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after="0" w:line="240" w:lineRule="auto"/>
        <w:ind w:right="0" w:firstLine="0"/>
        <w:jc w:val="left"/>
      </w:pPr>
      <w:bookmarkStart w:id="0" w:name="bookmark0"/>
      <w:bookmarkStart w:id="1" w:name="bookmark1"/>
      <w:bookmarkStart w:id="2" w:name="bookmark2"/>
      <w:r>
        <w:rPr>
          <w:spacing w:val="0"/>
          <w:w w:val="100"/>
          <w:position w:val="0"/>
        </w:rPr>
        <w:t>蓝盾</w:t>
      </w:r>
      <w:bookmarkEnd w:id="0"/>
      <w:bookmarkEnd w:id="1"/>
      <w:bookmarkEnd w:id="2"/>
    </w:p>
    <w:p>
      <w:pPr>
        <w:pStyle w:val="Style8"/>
        <w:keepNext w:val="0"/>
        <w:keepLines w:val="0"/>
        <w:widowControl w:val="0"/>
        <w:shd w:val="clear" w:color="auto" w:fill="auto"/>
        <w:bidi w:val="0"/>
        <w:spacing w:before="0" w:after="480" w:line="180" w:lineRule="auto"/>
        <w:ind w:left="4800" w:right="0" w:firstLine="0"/>
        <w:jc w:val="left"/>
        <w:rPr>
          <w:sz w:val="30"/>
          <w:szCs w:val="30"/>
        </w:rPr>
      </w:pPr>
      <w:r>
        <w:rPr>
          <w:rFonts w:ascii="Arial" w:eastAsia="Arial" w:hAnsi="Arial" w:cs="Arial"/>
          <w:smallCaps/>
          <w:color w:val="4D4946"/>
          <w:spacing w:val="0"/>
          <w:w w:val="100"/>
          <w:position w:val="0"/>
          <w:sz w:val="30"/>
          <w:szCs w:val="30"/>
        </w:rPr>
        <w:t>bluedon</w:t>
      </w:r>
    </w:p>
    <w:p>
      <w:pPr>
        <w:pStyle w:val="Style8"/>
        <w:keepNext w:val="0"/>
        <w:keepLines w:val="0"/>
        <w:widowControl w:val="0"/>
        <w:shd w:val="clear" w:color="auto" w:fill="auto"/>
        <w:bidi w:val="0"/>
        <w:spacing w:before="0" w:after="420" w:line="240" w:lineRule="auto"/>
        <w:ind w:left="0" w:right="0" w:firstLine="0"/>
        <w:jc w:val="center"/>
        <w:rPr>
          <w:sz w:val="36"/>
          <w:szCs w:val="36"/>
        </w:rPr>
      </w:pPr>
      <w:r>
        <w:rPr>
          <w:b/>
          <w:bCs/>
          <w:color w:val="000000"/>
          <w:spacing w:val="0"/>
          <w:w w:val="100"/>
          <w:position w:val="0"/>
          <w:sz w:val="36"/>
          <w:szCs w:val="36"/>
        </w:rPr>
        <w:t>蓝盾信息安全技术股份有限公司</w:t>
      </w:r>
    </w:p>
    <w:p>
      <w:pPr>
        <w:pStyle w:val="Style12"/>
        <w:keepNext/>
        <w:keepLines/>
        <w:widowControl w:val="0"/>
        <w:shd w:val="clear" w:color="auto" w:fill="auto"/>
        <w:bidi w:val="0"/>
        <w:spacing w:before="0" w:after="6020" w:line="240" w:lineRule="auto"/>
        <w:ind w:left="0" w:right="0" w:firstLine="0"/>
        <w:jc w:val="center"/>
      </w:pPr>
      <w:bookmarkStart w:id="3" w:name="bookmark3"/>
      <w:bookmarkStart w:id="4" w:name="bookmark4"/>
      <w:bookmarkStart w:id="5" w:name="bookmark5"/>
      <w:r>
        <w:rPr>
          <w:rFonts w:ascii="Times New Roman" w:eastAsia="Times New Roman" w:hAnsi="Times New Roman" w:cs="Times New Roman"/>
          <w:color w:val="000000"/>
          <w:spacing w:val="0"/>
          <w:w w:val="100"/>
          <w:position w:val="0"/>
        </w:rPr>
        <w:t>2013</w:t>
      </w:r>
      <w:r>
        <w:rPr>
          <w:color w:val="000000"/>
          <w:spacing w:val="0"/>
          <w:w w:val="100"/>
          <w:position w:val="0"/>
        </w:rPr>
        <w:t>年年度报告</w:t>
      </w:r>
      <w:bookmarkEnd w:id="3"/>
      <w:bookmarkEnd w:id="4"/>
      <w:bookmarkEnd w:id="5"/>
    </w:p>
    <w:p>
      <w:pPr>
        <w:pStyle w:val="Style8"/>
        <w:keepNext w:val="0"/>
        <w:keepLines w:val="0"/>
        <w:widowControl w:val="0"/>
        <w:shd w:val="clear" w:color="auto" w:fill="auto"/>
        <w:bidi w:val="0"/>
        <w:spacing w:before="0" w:after="480" w:line="240" w:lineRule="auto"/>
        <w:ind w:left="0" w:right="0" w:firstLine="0"/>
        <w:jc w:val="center"/>
        <w:rPr>
          <w:sz w:val="32"/>
          <w:szCs w:val="32"/>
        </w:rPr>
        <w:sectPr>
          <w:headerReference w:type="default" r:id="rId5"/>
          <w:footerReference w:type="default" r:id="rId6"/>
          <w:footnotePr>
            <w:pos w:val="pageBottom"/>
            <w:numFmt w:val="decimal"/>
            <w:numRestart w:val="continuous"/>
          </w:footnotePr>
          <w:pgSz w:w="11900" w:h="16840"/>
          <w:pgMar w:top="2770" w:right="1109" w:bottom="2770" w:left="1104" w:header="0" w:footer="3" w:gutter="0"/>
          <w:pgNumType w:start="1"/>
          <w:cols w:space="720"/>
          <w:noEndnote/>
          <w:rtlGutter w:val="0"/>
          <w:docGrid w:linePitch="360"/>
        </w:sectPr>
      </w:pPr>
      <w:r>
        <w:rPr>
          <w:rFonts w:ascii="Times New Roman" w:eastAsia="Times New Roman" w:hAnsi="Times New Roman" w:cs="Times New Roman"/>
          <w:b/>
          <w:bCs/>
          <w:color w:val="000000"/>
          <w:spacing w:val="0"/>
          <w:w w:val="100"/>
          <w:position w:val="0"/>
          <w:sz w:val="32"/>
          <w:szCs w:val="32"/>
        </w:rPr>
        <w:t>2014</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pStyle w:val="Style12"/>
        <w:keepNext/>
        <w:keepLines/>
        <w:widowControl w:val="0"/>
        <w:shd w:val="clear" w:color="auto" w:fill="auto"/>
        <w:bidi w:val="0"/>
        <w:spacing w:before="0" w:after="360" w:line="240" w:lineRule="auto"/>
        <w:ind w:left="0" w:right="0" w:firstLine="0"/>
        <w:jc w:val="center"/>
      </w:pPr>
      <w:bookmarkStart w:id="6" w:name="bookmark6"/>
      <w:bookmarkStart w:id="7" w:name="bookmark7"/>
      <w:bookmarkStart w:id="8" w:name="bookmark8"/>
      <w:r>
        <w:rPr>
          <w:color w:val="000000"/>
          <w:spacing w:val="0"/>
          <w:w w:val="100"/>
          <w:position w:val="0"/>
        </w:rPr>
        <w:t>第一节重要提示、目录和释义</w:t>
      </w:r>
      <w:bookmarkEnd w:id="6"/>
      <w:bookmarkEnd w:id="7"/>
      <w:bookmarkEnd w:id="8"/>
    </w:p>
    <w:p>
      <w:pPr>
        <w:pStyle w:val="Style17"/>
        <w:keepNext w:val="0"/>
        <w:keepLines w:val="0"/>
        <w:widowControl w:val="0"/>
        <w:shd w:val="clear" w:color="auto" w:fill="auto"/>
        <w:bidi w:val="0"/>
        <w:spacing w:before="0"/>
        <w:ind w:left="0" w:right="0"/>
        <w:jc w:val="both"/>
      </w:pPr>
      <w:r>
        <w:rPr>
          <w:color w:val="000000"/>
          <w:spacing w:val="0"/>
          <w:w w:val="100"/>
          <w:position w:val="0"/>
        </w:rPr>
        <w:t>本公司董事会、监事会及董事、监事、高级管理人员保证本报告所载资料 不存在任何虚假记载、误导性陈述或者重大遗漏，并对其内容的真实性、准确 性和完整性承担个别及连带责任。</w:t>
      </w:r>
    </w:p>
    <w:p>
      <w:pPr>
        <w:pStyle w:val="Style17"/>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7"/>
        <w:keepNext w:val="0"/>
        <w:keepLines w:val="0"/>
        <w:widowControl w:val="0"/>
        <w:shd w:val="clear" w:color="auto" w:fill="auto"/>
        <w:bidi w:val="0"/>
        <w:spacing w:before="0"/>
        <w:ind w:left="0" w:right="0"/>
        <w:jc w:val="both"/>
      </w:pPr>
      <w:r>
        <w:rPr>
          <w:color w:val="000000"/>
          <w:spacing w:val="0"/>
          <w:w w:val="100"/>
          <w:position w:val="0"/>
        </w:rPr>
        <w:t>公司负责人柯宗贵、主管会计工作负责人魏树华及会计机构负责人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景丽声明：保证年度报告中财务报告的真实、准确、完整。</w:t>
      </w:r>
    </w:p>
    <w:p>
      <w:pPr>
        <w:pStyle w:val="Style17"/>
        <w:keepNext w:val="0"/>
        <w:keepLines w:val="0"/>
        <w:widowControl w:val="0"/>
        <w:shd w:val="clear" w:color="auto" w:fill="auto"/>
        <w:bidi w:val="0"/>
        <w:spacing w:before="0" w:line="617" w:lineRule="exact"/>
        <w:ind w:left="0" w:right="0"/>
        <w:jc w:val="both"/>
        <w:sectPr>
          <w:headerReference w:type="default" r:id="rId7"/>
          <w:footerReference w:type="default" r:id="rId8"/>
          <w:footnotePr>
            <w:pos w:val="pageBottom"/>
            <w:numFmt w:val="decimal"/>
            <w:numRestart w:val="continuous"/>
          </w:footnotePr>
          <w:pgSz w:w="11900" w:h="16840"/>
          <w:pgMar w:top="1969" w:right="1109" w:bottom="1969" w:left="1104" w:header="0" w:footer="3" w:gutter="0"/>
          <w:cols w:space="720"/>
          <w:noEndnote/>
          <w:rtlGutter w:val="0"/>
          <w:docGrid w:linePitch="360"/>
        </w:sectPr>
      </w:pPr>
      <w:r>
        <w:rPr>
          <w:color w:val="000000"/>
          <w:spacing w:val="0"/>
          <w:w w:val="100"/>
          <w:position w:val="0"/>
        </w:rPr>
        <w:t>本报告中如有涉及未来的计划、业绩预测等方面的内容，均不构成本公司 对任何投资者及相关人士的承诺，投资者及相关人士均应对此保持足够的风险 认识，并且应当理解计划、预测与承诺之间的差异。</w:t>
      </w:r>
    </w:p>
    <w:p>
      <w:pPr>
        <w:pStyle w:val="Style8"/>
        <w:keepNext w:val="0"/>
        <w:keepLines w:val="0"/>
        <w:widowControl w:val="0"/>
        <w:shd w:val="clear" w:color="auto" w:fill="auto"/>
        <w:bidi w:val="0"/>
        <w:spacing w:before="1420" w:after="1600" w:line="240" w:lineRule="auto"/>
        <w:ind w:left="0" w:right="0" w:firstLine="0"/>
        <w:jc w:val="center"/>
        <w:rPr>
          <w:sz w:val="36"/>
          <w:szCs w:val="36"/>
        </w:rPr>
      </w:pPr>
      <w:r>
        <w:rPr>
          <w:b/>
          <w:bCs/>
          <w:color w:val="000000"/>
          <w:spacing w:val="0"/>
          <w:w w:val="100"/>
          <w:position w:val="0"/>
          <w:sz w:val="36"/>
          <w:szCs w:val="36"/>
        </w:rPr>
        <w:t>目录</w:t>
      </w:r>
    </w:p>
    <w:p>
      <w:pPr>
        <w:pStyle w:val="Style20"/>
        <w:keepNext w:val="0"/>
        <w:keepLines w:val="0"/>
        <w:widowControl w:val="0"/>
        <w:shd w:val="clear" w:color="auto" w:fill="auto"/>
        <w:tabs>
          <w:tab w:leader="dot" w:pos="9614" w:val="right"/>
        </w:tabs>
        <w:bidi w:val="0"/>
        <w:spacing w:before="0" w:line="240" w:lineRule="auto"/>
        <w:ind w:left="0" w:right="0" w:firstLine="0"/>
        <w:jc w:val="left"/>
      </w:pPr>
      <w:r>
        <w:fldChar w:fldCharType="begin"/>
        <w:instrText xml:space="preserve"> TOC \o "1-5" \h \z </w:instrText>
        <w:fldChar w:fldCharType="separate"/>
      </w:r>
      <w:hyperlink w:anchor="bookmark7" w:tooltip="Current Document">
        <w:r>
          <w:rPr>
            <w:color w:val="000000"/>
            <w:spacing w:val="0"/>
            <w:w w:val="100"/>
            <w:position w:val="0"/>
          </w:rPr>
          <w:t>第一节重要提示、目录和释义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2</w:t>
        </w:r>
      </w:hyperlink>
    </w:p>
    <w:p>
      <w:pPr>
        <w:pStyle w:val="Style20"/>
        <w:keepNext w:val="0"/>
        <w:keepLines w:val="0"/>
        <w:widowControl w:val="0"/>
        <w:shd w:val="clear" w:color="auto" w:fill="auto"/>
        <w:tabs>
          <w:tab w:pos="824" w:val="left"/>
          <w:tab w:leader="dot" w:pos="9614" w:val="right"/>
        </w:tabs>
        <w:bidi w:val="0"/>
        <w:spacing w:before="0" w:line="240" w:lineRule="auto"/>
        <w:ind w:left="0" w:right="0" w:firstLine="0"/>
        <w:jc w:val="left"/>
      </w:pPr>
      <w:hyperlink w:anchor="bookmark13" w:tooltip="Current Document">
        <w:r>
          <w:rPr>
            <w:color w:val="000000"/>
            <w:spacing w:val="0"/>
            <w:w w:val="100"/>
            <w:position w:val="0"/>
          </w:rPr>
          <w:t>第二节</w:t>
          <w:tab/>
          <w:t>公司基本情况简介</w:t>
        </w:r>
        <w:r>
          <w:rPr>
            <w:color w:val="000000"/>
            <w:spacing w:val="0"/>
            <w:w w:val="100"/>
            <w:position w:val="0"/>
          </w:rPr>
          <w:tab/>
        </w:r>
        <w:r>
          <w:rPr>
            <w:rFonts w:ascii="Times New Roman" w:eastAsia="Times New Roman" w:hAnsi="Times New Roman" w:cs="Times New Roman"/>
            <w:color w:val="000000"/>
            <w:spacing w:val="0"/>
            <w:w w:val="100"/>
            <w:position w:val="0"/>
          </w:rPr>
          <w:t>6</w:t>
        </w:r>
      </w:hyperlink>
    </w:p>
    <w:p>
      <w:pPr>
        <w:pStyle w:val="Style20"/>
        <w:keepNext w:val="0"/>
        <w:keepLines w:val="0"/>
        <w:widowControl w:val="0"/>
        <w:shd w:val="clear" w:color="auto" w:fill="auto"/>
        <w:tabs>
          <w:tab w:leader="dot" w:pos="9614" w:val="right"/>
        </w:tabs>
        <w:bidi w:val="0"/>
        <w:spacing w:before="0" w:line="240" w:lineRule="auto"/>
        <w:ind w:left="0" w:right="0" w:firstLine="0"/>
        <w:jc w:val="left"/>
      </w:pPr>
      <w:hyperlink w:anchor="bookmark31" w:tooltip="Current Document">
        <w:r>
          <w:rPr>
            <w:color w:val="000000"/>
            <w:spacing w:val="0"/>
            <w:w w:val="100"/>
            <w:position w:val="0"/>
          </w:rPr>
          <w:t>第三节会计数据和财务指标摘要</w:t>
        </w:r>
        <w:r>
          <w:rPr>
            <w:color w:val="000000"/>
            <w:spacing w:val="0"/>
            <w:w w:val="100"/>
            <w:position w:val="0"/>
          </w:rPr>
          <w:tab/>
        </w:r>
        <w:r>
          <w:rPr>
            <w:rFonts w:ascii="Times New Roman" w:eastAsia="Times New Roman" w:hAnsi="Times New Roman" w:cs="Times New Roman"/>
            <w:color w:val="000000"/>
            <w:spacing w:val="0"/>
            <w:w w:val="100"/>
            <w:position w:val="0"/>
          </w:rPr>
          <w:t>8</w:t>
        </w:r>
      </w:hyperlink>
    </w:p>
    <w:p>
      <w:pPr>
        <w:pStyle w:val="Style20"/>
        <w:keepNext w:val="0"/>
        <w:keepLines w:val="0"/>
        <w:widowControl w:val="0"/>
        <w:shd w:val="clear" w:color="auto" w:fill="auto"/>
        <w:tabs>
          <w:tab w:leader="dot" w:pos="9614" w:val="right"/>
        </w:tabs>
        <w:bidi w:val="0"/>
        <w:spacing w:before="0" w:line="240" w:lineRule="auto"/>
        <w:ind w:left="0" w:right="0" w:firstLine="0"/>
        <w:jc w:val="left"/>
      </w:pPr>
      <w:hyperlink w:anchor="bookmark54" w:tooltip="Current Document">
        <w:r>
          <w:rPr>
            <w:color w:val="000000"/>
            <w:spacing w:val="0"/>
            <w:w w:val="100"/>
            <w:position w:val="0"/>
          </w:rPr>
          <w:t>第四节董事会报告</w:t>
        </w:r>
        <w:r>
          <w:rPr>
            <w:color w:val="000000"/>
            <w:spacing w:val="0"/>
            <w:w w:val="100"/>
            <w:position w:val="0"/>
          </w:rPr>
          <w:tab/>
        </w:r>
        <w:r>
          <w:rPr>
            <w:rFonts w:ascii="Times New Roman" w:eastAsia="Times New Roman" w:hAnsi="Times New Roman" w:cs="Times New Roman"/>
            <w:color w:val="000000"/>
            <w:spacing w:val="0"/>
            <w:w w:val="100"/>
            <w:position w:val="0"/>
          </w:rPr>
          <w:t>11</w:t>
        </w:r>
      </w:hyperlink>
    </w:p>
    <w:p>
      <w:pPr>
        <w:pStyle w:val="Style20"/>
        <w:keepNext w:val="0"/>
        <w:keepLines w:val="0"/>
        <w:widowControl w:val="0"/>
        <w:shd w:val="clear" w:color="auto" w:fill="auto"/>
        <w:tabs>
          <w:tab w:pos="824" w:val="left"/>
          <w:tab w:leader="dot" w:pos="9614" w:val="right"/>
        </w:tabs>
        <w:bidi w:val="0"/>
        <w:spacing w:before="0" w:line="240" w:lineRule="auto"/>
        <w:ind w:left="0" w:right="0" w:firstLine="0"/>
        <w:jc w:val="left"/>
      </w:pPr>
      <w:hyperlink w:anchor="bookmark222" w:tooltip="Current Document">
        <w:r>
          <w:rPr>
            <w:color w:val="000000"/>
            <w:spacing w:val="0"/>
            <w:w w:val="100"/>
            <w:position w:val="0"/>
          </w:rPr>
          <w:t>第五节</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34</w:t>
        </w:r>
      </w:hyperlink>
    </w:p>
    <w:p>
      <w:pPr>
        <w:pStyle w:val="Style20"/>
        <w:keepNext w:val="0"/>
        <w:keepLines w:val="0"/>
        <w:widowControl w:val="0"/>
        <w:shd w:val="clear" w:color="auto" w:fill="auto"/>
        <w:tabs>
          <w:tab w:pos="824" w:val="left"/>
          <w:tab w:leader="dot" w:pos="9614" w:val="right"/>
        </w:tabs>
        <w:bidi w:val="0"/>
        <w:spacing w:before="0" w:line="240" w:lineRule="auto"/>
        <w:ind w:left="0" w:right="0" w:firstLine="0"/>
        <w:jc w:val="left"/>
      </w:pPr>
      <w:hyperlink w:anchor="bookmark280" w:tooltip="Current Document">
        <w:r>
          <w:rPr>
            <w:color w:val="000000"/>
            <w:spacing w:val="0"/>
            <w:w w:val="100"/>
            <w:position w:val="0"/>
          </w:rPr>
          <w:t>第六节</w:t>
          <w:tab/>
          <w:t>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39</w:t>
        </w:r>
      </w:hyperlink>
    </w:p>
    <w:p>
      <w:pPr>
        <w:pStyle w:val="Style20"/>
        <w:keepNext w:val="0"/>
        <w:keepLines w:val="0"/>
        <w:widowControl w:val="0"/>
        <w:shd w:val="clear" w:color="auto" w:fill="auto"/>
        <w:tabs>
          <w:tab w:leader="dot" w:pos="9614" w:val="right"/>
        </w:tabs>
        <w:bidi w:val="0"/>
        <w:spacing w:before="0" w:line="240" w:lineRule="auto"/>
        <w:ind w:left="0" w:right="0" w:firstLine="0"/>
        <w:jc w:val="left"/>
      </w:pPr>
      <w:hyperlink w:anchor="bookmark333" w:tooltip="Current Document">
        <w:r>
          <w:rPr>
            <w:color w:val="000000"/>
            <w:spacing w:val="0"/>
            <w:w w:val="100"/>
            <w:position w:val="0"/>
          </w:rPr>
          <w:t>第七节董事、监事、高级管理人员和员工情况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45</w:t>
        </w:r>
      </w:hyperlink>
    </w:p>
    <w:p>
      <w:pPr>
        <w:pStyle w:val="Style20"/>
        <w:keepNext w:val="0"/>
        <w:keepLines w:val="0"/>
        <w:widowControl w:val="0"/>
        <w:shd w:val="clear" w:color="auto" w:fill="auto"/>
        <w:tabs>
          <w:tab w:pos="824" w:val="left"/>
          <w:tab w:leader="dot" w:pos="9614" w:val="right"/>
        </w:tabs>
        <w:bidi w:val="0"/>
        <w:spacing w:before="0" w:line="240" w:lineRule="auto"/>
        <w:ind w:left="0" w:right="0" w:firstLine="0"/>
        <w:jc w:val="left"/>
      </w:pPr>
      <w:hyperlink w:anchor="bookmark377" w:tooltip="Current Document">
        <w:r>
          <w:rPr>
            <w:color w:val="000000"/>
            <w:spacing w:val="0"/>
            <w:w w:val="100"/>
            <w:position w:val="0"/>
          </w:rPr>
          <w:t>第八节</w:t>
          <w:tab/>
          <w:t>公司治理</w:t>
        </w:r>
        <w:r>
          <w:rPr>
            <w:color w:val="000000"/>
            <w:spacing w:val="0"/>
            <w:w w:val="100"/>
            <w:position w:val="0"/>
          </w:rPr>
          <w:tab/>
        </w:r>
        <w:r>
          <w:rPr>
            <w:rFonts w:ascii="Times New Roman" w:eastAsia="Times New Roman" w:hAnsi="Times New Roman" w:cs="Times New Roman"/>
            <w:color w:val="000000"/>
            <w:spacing w:val="0"/>
            <w:w w:val="100"/>
            <w:position w:val="0"/>
          </w:rPr>
          <w:t>50</w:t>
        </w:r>
      </w:hyperlink>
    </w:p>
    <w:p>
      <w:pPr>
        <w:pStyle w:val="Style20"/>
        <w:keepNext w:val="0"/>
        <w:keepLines w:val="0"/>
        <w:widowControl w:val="0"/>
        <w:shd w:val="clear" w:color="auto" w:fill="auto"/>
        <w:tabs>
          <w:tab w:pos="824" w:val="left"/>
          <w:tab w:leader="dot" w:pos="9614" w:val="right"/>
        </w:tabs>
        <w:bidi w:val="0"/>
        <w:spacing w:before="0" w:line="240" w:lineRule="auto"/>
        <w:ind w:left="0" w:right="0" w:firstLine="0"/>
        <w:jc w:val="left"/>
      </w:pPr>
      <w:hyperlink w:anchor="bookmark415" w:tooltip="Current Document">
        <w:r>
          <w:rPr>
            <w:color w:val="000000"/>
            <w:spacing w:val="0"/>
            <w:w w:val="100"/>
            <w:position w:val="0"/>
          </w:rPr>
          <w:t>第九节</w:t>
          <w:tab/>
          <w:t>财务报告</w:t>
        </w:r>
        <w:r>
          <w:rPr>
            <w:color w:val="000000"/>
            <w:spacing w:val="0"/>
            <w:w w:val="100"/>
            <w:position w:val="0"/>
          </w:rPr>
          <w:tab/>
        </w:r>
        <w:r>
          <w:rPr>
            <w:rFonts w:ascii="Times New Roman" w:eastAsia="Times New Roman" w:hAnsi="Times New Roman" w:cs="Times New Roman"/>
            <w:color w:val="000000"/>
            <w:spacing w:val="0"/>
            <w:w w:val="100"/>
            <w:position w:val="0"/>
          </w:rPr>
          <w:t>53</w:t>
        </w:r>
      </w:hyperlink>
    </w:p>
    <w:p>
      <w:pPr>
        <w:pStyle w:val="Style20"/>
        <w:keepNext w:val="0"/>
        <w:keepLines w:val="0"/>
        <w:widowControl w:val="0"/>
        <w:shd w:val="clear" w:color="auto" w:fill="auto"/>
        <w:tabs>
          <w:tab w:leader="dot" w:pos="9614" w:val="right"/>
        </w:tabs>
        <w:bidi w:val="0"/>
        <w:spacing w:before="0" w:line="240" w:lineRule="auto"/>
        <w:ind w:left="0" w:right="0" w:firstLine="0"/>
        <w:jc w:val="left"/>
      </w:pPr>
      <w:hyperlink w:anchor="bookmark1363" w:tooltip="Current Document">
        <w:r>
          <w:rPr>
            <w:color w:val="000000"/>
            <w:spacing w:val="0"/>
            <w:w w:val="100"/>
            <w:position w:val="0"/>
          </w:rPr>
          <w:t>第十节备查文件目录</w:t>
        </w:r>
        <w:r>
          <w:rPr>
            <w:color w:val="000000"/>
            <w:spacing w:val="0"/>
            <w:w w:val="100"/>
            <w:position w:val="0"/>
          </w:rPr>
          <w:tab/>
        </w:r>
        <w:r>
          <w:rPr>
            <w:rFonts w:ascii="Times New Roman" w:eastAsia="Times New Roman" w:hAnsi="Times New Roman" w:cs="Times New Roman"/>
            <w:color w:val="000000"/>
            <w:spacing w:val="0"/>
            <w:w w:val="100"/>
            <w:position w:val="0"/>
          </w:rPr>
          <w:t>133</w:t>
        </w:r>
      </w:hyperlink>
      <w:r>
        <w:br w:type="page"/>
      </w:r>
      <w:r>
        <w:fldChar w:fldCharType="end"/>
      </w:r>
    </w:p>
    <w:p>
      <w:pPr>
        <w:pStyle w:val="Style12"/>
        <w:keepNext/>
        <w:keepLines/>
        <w:widowControl w:val="0"/>
        <w:shd w:val="clear" w:color="auto" w:fill="auto"/>
        <w:bidi w:val="0"/>
        <w:spacing w:before="0" w:after="820" w:line="240" w:lineRule="auto"/>
        <w:ind w:left="0" w:right="0" w:firstLine="0"/>
        <w:jc w:val="center"/>
      </w:pPr>
      <w:bookmarkStart w:id="10" w:name="bookmark10"/>
      <w:bookmarkStart w:id="11" w:name="bookmark11"/>
      <w:bookmarkStart w:id="9" w:name="bookmark9"/>
      <w:r>
        <w:rPr>
          <w:color w:val="000000"/>
          <w:spacing w:val="0"/>
          <w:w w:val="100"/>
          <w:position w:val="0"/>
        </w:rPr>
        <w:t>释义</w:t>
      </w:r>
      <w:bookmarkEnd w:id="10"/>
      <w:bookmarkEnd w:id="11"/>
      <w:bookmarkEnd w:id="9"/>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释义项</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释义内容</w:t>
            </w:r>
          </w:p>
        </w:tc>
      </w:tr>
      <w:tr>
        <w:trPr>
          <w:trHeight w:val="398"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公司、本公司、股份公司、蓝盾股份</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蓝盾信息安全技术股份有限公司</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人民币普通股</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控股股东、实际控制人</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柯宗庆、柯宗贵兄弟二人</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股东大会</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蓝盾信息安全技术股份有限公司股东大会</w:t>
            </w:r>
          </w:p>
        </w:tc>
      </w:tr>
      <w:tr>
        <w:trPr>
          <w:trHeight w:val="398"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董事会</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蓝盾信息安全技术股份有限公司董事会</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监事会</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蓝盾信息安全技术股份有限公司监事会</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中国证监会</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中国证券监督管理委员会</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安全产品</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用于保证信息安全的各种软件产品和相关的软硬一体化产品。</w:t>
            </w:r>
          </w:p>
        </w:tc>
      </w:tr>
      <w:tr>
        <w:trPr>
          <w:trHeight w:val="710"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安全服务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根据客户需求提供与信息安全相关的安全测评、技术支持、安全管理 咨询、系统维护、运营管理、安全培训、安全托管等内容。</w:t>
            </w:r>
          </w:p>
        </w:tc>
      </w:tr>
      <w:tr>
        <w:trPr>
          <w:trHeight w:val="1027"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安全集成</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根据客户要求，为客户设置或组建能满足其个性化需求的信息安全系 统，提供从安全方案设计、方案实施、系统测试到系统验收的信息安 全整体解决方案，满足客户在系统集成中对信息安全的全方位需求。</w:t>
            </w:r>
          </w:p>
        </w:tc>
      </w:tr>
      <w:tr>
        <w:trPr>
          <w:trHeight w:val="1027"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安全运营</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利用先进的云计算技术，搭建云安全综合运营平台，为客户提供诸如 网站安全防护等一系列服务，让客户得到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零部署</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零维护</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等一站 式的智能安全防护体验。</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《章程》</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《蓝盾信息安全技术股份有限公司章程》</w:t>
            </w:r>
          </w:p>
        </w:tc>
      </w:tr>
      <w:tr>
        <w:trPr>
          <w:trHeight w:val="710"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信息安全</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对信息系统、信息与信息的利用的固有属性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即</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攻击与保护的过 程。</w:t>
            </w:r>
          </w:p>
        </w:tc>
      </w:tr>
      <w:tr>
        <w:trPr>
          <w:trHeight w:val="1027"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动立方</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蓝盾信息安全技术股份有限公司集多年研发经验提出的产品设计理 念，即''主动、自动、联动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color w:val="000000"/>
                <w:spacing w:val="0"/>
                <w:w w:val="100"/>
                <w:position w:val="0"/>
                <w:sz w:val="17"/>
                <w:szCs w:val="17"/>
              </w:rPr>
              <w:t>建立主动防御、自动响应、联动管理的 网络安全防护体系。</w:t>
            </w:r>
          </w:p>
        </w:tc>
      </w:tr>
      <w:tr>
        <w:trPr>
          <w:trHeight w:val="1339"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防火墙</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是一种访问控制产品，它在内部网络与不安全的外部网络之间设置障 碍，阻止外界对内部资源的非法访问和内部对外部的不安全访问，能 有效防止对内部网络的攻击，并实现数据流的监控、过滤、记录和报 告功能，隔断内部网络与外部网络的连接。</w:t>
            </w:r>
          </w:p>
        </w:tc>
      </w:tr>
      <w:tr>
        <w:trPr>
          <w:trHeight w:val="1027"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入侵检测系统</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依照一定的安全策略，对网络、系统的运行状况进行监视，尽可能发 现各种攻击企图、攻击行为或者攻击结果，以保证网络系统资源的机 密性、完整性和可用性。</w:t>
            </w:r>
          </w:p>
        </w:tc>
      </w:tr>
      <w:tr>
        <w:trPr>
          <w:trHeight w:val="710"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石河子欣晟</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石河子欣晟股权投资有限公司，公司首发股东之一，原公司名称为广 州欣晟投资咨询有限公司</w:t>
            </w:r>
          </w:p>
        </w:tc>
      </w:tr>
      <w:tr>
        <w:trPr>
          <w:trHeight w:val="413" w:hRule="exact"/>
        </w:trPr>
        <w:tc>
          <w:tcPr>
            <w:tcBorders>
              <w:top w:val="single" w:sz="4"/>
              <w:left w:val="single" w:sz="4"/>
              <w:bottom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深圳博益</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bottom w:val="single" w:sz="4"/>
              <w:righ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深圳市博益投资发展有限公司，公司首发股东之一</w:t>
            </w:r>
          </w:p>
        </w:tc>
      </w:tr>
    </w:tbl>
    <w:p>
      <w:pPr>
        <w:spacing w:lineRule="exact" w:line="1"/>
        <w:rPr>
          <w:sz w:val="2"/>
          <w:szCs w:val="2"/>
        </w:rPr>
      </w:pPr>
      <w:r>
        <w:br w:type="page"/>
      </w:r>
    </w:p>
    <w:tbl>
      <w:tblPr>
        <w:tblOverlap w:val="never"/>
        <w:jc w:val="center"/>
        <w:tblLayout w:type="fixed"/>
      </w:tblPr>
      <w:tblGrid>
        <w:gridCol w:w="3533"/>
        <w:gridCol w:w="619"/>
        <w:gridCol w:w="5434"/>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释义项</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释义内容</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宝德投资</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深圳市宝德投资控股有限公司，公司首发股东之一</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华软投资</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华软创业投资无锡合伙企业（有限合伙），公司首发股东之一</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瑞华信投资</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深圳瑞华信投资有限责任公司，公司首发股东之一</w:t>
            </w:r>
          </w:p>
        </w:tc>
      </w:tr>
      <w:tr>
        <w:trPr>
          <w:trHeight w:val="398"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蓝盾技术</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蓝盾信息安全技术有限公司，公司全资子公司</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蓝盾学院</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广东省蓝盾职业培训学院，公司全资子公司</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蓝盾乐庚</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广东蓝盾乐庚信息技术有限公司，公司控股子公司</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蓝盾移动</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广东蓝盾移动互联网信息科技有限公司，公司全资子公司</w:t>
            </w:r>
          </w:p>
        </w:tc>
      </w:tr>
      <w:tr>
        <w:trPr>
          <w:trHeight w:val="413" w:hRule="exact"/>
        </w:trPr>
        <w:tc>
          <w:tcPr>
            <w:tcBorders>
              <w:top w:val="single" w:sz="4"/>
              <w:left w:val="single" w:sz="4"/>
              <w:bottom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《公司法》</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指</w:t>
            </w:r>
          </w:p>
        </w:tc>
        <w:tc>
          <w:tcPr>
            <w:tcBorders>
              <w:top w:val="single" w:sz="4"/>
              <w:left w:val="single" w:sz="4"/>
              <w:bottom w:val="single" w:sz="4"/>
              <w:righ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《中华人民共和国公司法》</w:t>
            </w:r>
          </w:p>
        </w:tc>
      </w:tr>
    </w:tbl>
    <w:p>
      <w:pPr>
        <w:sectPr>
          <w:footnotePr>
            <w:pos w:val="pageBottom"/>
            <w:numFmt w:val="decimal"/>
            <w:numRestart w:val="continuous"/>
          </w:footnotePr>
          <w:pgSz w:w="11900" w:h="16840"/>
          <w:pgMar w:top="1441" w:right="1140" w:bottom="1537" w:left="1084" w:header="0" w:footer="3" w:gutter="0"/>
          <w:cols w:space="720"/>
          <w:noEndnote/>
          <w:rtlGutter w:val="0"/>
          <w:docGrid w:linePitch="360"/>
        </w:sectPr>
      </w:pPr>
    </w:p>
    <w:p>
      <w:pPr>
        <w:pStyle w:val="Style12"/>
        <w:keepNext/>
        <w:keepLines/>
        <w:widowControl w:val="0"/>
        <w:shd w:val="clear" w:color="auto" w:fill="auto"/>
        <w:bidi w:val="0"/>
        <w:spacing w:before="520" w:after="540" w:line="240" w:lineRule="auto"/>
        <w:ind w:left="0" w:right="0" w:firstLine="0"/>
        <w:jc w:val="center"/>
      </w:pPr>
      <w:bookmarkStart w:id="12" w:name="bookmark12"/>
      <w:bookmarkStart w:id="13" w:name="bookmark13"/>
      <w:bookmarkStart w:id="14" w:name="bookmark14"/>
      <w:r>
        <w:rPr>
          <w:color w:val="000000"/>
          <w:spacing w:val="0"/>
          <w:w w:val="100"/>
          <w:position w:val="0"/>
        </w:rPr>
        <w:t>第二节公司基本情况简介</w:t>
      </w:r>
      <w:bookmarkEnd w:id="12"/>
      <w:bookmarkEnd w:id="13"/>
      <w:bookmarkEnd w:id="14"/>
    </w:p>
    <w:p>
      <w:pPr>
        <w:pStyle w:val="Style25"/>
        <w:keepNext/>
        <w:keepLines/>
        <w:widowControl w:val="0"/>
        <w:shd w:val="clear" w:color="auto" w:fill="auto"/>
        <w:bidi w:val="0"/>
        <w:spacing w:before="0" w:line="240" w:lineRule="auto"/>
        <w:ind w:left="0" w:right="0" w:firstLine="240"/>
        <w:jc w:val="left"/>
      </w:pPr>
      <w:bookmarkStart w:id="15" w:name="bookmark15"/>
      <w:bookmarkStart w:id="16" w:name="bookmark16"/>
      <w:bookmarkStart w:id="17" w:name="bookmark17"/>
      <w:r>
        <w:rPr>
          <w:color w:val="000000"/>
          <w:spacing w:val="0"/>
          <w:w w:val="100"/>
          <w:position w:val="0"/>
        </w:rPr>
        <w:t>、公司信息</w:t>
      </w:r>
      <w:bookmarkEnd w:id="15"/>
      <w:bookmarkEnd w:id="16"/>
      <w:bookmarkEnd w:id="17"/>
    </w:p>
    <w:tbl>
      <w:tblPr>
        <w:tblOverlap w:val="never"/>
        <w:jc w:val="center"/>
        <w:tblLayout w:type="fixed"/>
      </w:tblPr>
      <w:tblGrid>
        <w:gridCol w:w="2938"/>
        <w:gridCol w:w="2304"/>
        <w:gridCol w:w="2160"/>
        <w:gridCol w:w="2184"/>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股票简称</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蓝盾股份</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股票代码</w:t>
            </w:r>
          </w:p>
        </w:tc>
        <w:tc>
          <w:tcPr>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300297</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公司的中文名称</w:t>
            </w:r>
          </w:p>
        </w:tc>
        <w:tc>
          <w:tcPr>
            <w:gridSpan w:val="3"/>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蓝盾信息安全技术股份有限公司</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公司的中文简称</w:t>
            </w:r>
          </w:p>
        </w:tc>
        <w:tc>
          <w:tcPr>
            <w:gridSpan w:val="3"/>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蓝盾股份</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公司的外文名称</w:t>
            </w:r>
          </w:p>
        </w:tc>
        <w:tc>
          <w:tcPr>
            <w:gridSpan w:val="3"/>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Bluedon Information Security Technologies Co.,Ltd</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公司的外文名称缩写</w:t>
            </w:r>
          </w:p>
        </w:tc>
        <w:tc>
          <w:tcPr>
            <w:gridSpan w:val="3"/>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BLUEDON</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公司的法定代表人</w:t>
            </w:r>
          </w:p>
        </w:tc>
        <w:tc>
          <w:tcPr>
            <w:gridSpan w:val="3"/>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柯宗贵</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注册地址</w:t>
            </w:r>
          </w:p>
        </w:tc>
        <w:tc>
          <w:tcPr>
            <w:gridSpan w:val="3"/>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广州市天河区科韵路</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号自编</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栋</w:t>
            </w:r>
            <w:r>
              <w:rPr>
                <w:rFonts w:ascii="Times New Roman" w:eastAsia="Times New Roman" w:hAnsi="Times New Roman" w:cs="Times New Roman"/>
                <w:color w:val="000000"/>
                <w:spacing w:val="0"/>
                <w:w w:val="100"/>
                <w:position w:val="0"/>
                <w:sz w:val="18"/>
                <w:szCs w:val="18"/>
              </w:rPr>
              <w:t>2101</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注册地址的邮政编码</w:t>
            </w:r>
          </w:p>
        </w:tc>
        <w:tc>
          <w:tcPr>
            <w:gridSpan w:val="3"/>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510665</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办公地址</w:t>
            </w:r>
          </w:p>
        </w:tc>
        <w:tc>
          <w:tcPr>
            <w:gridSpan w:val="3"/>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广州市天河区科韵路</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号自编</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栋</w:t>
            </w:r>
            <w:r>
              <w:rPr>
                <w:rFonts w:ascii="Times New Roman" w:eastAsia="Times New Roman" w:hAnsi="Times New Roman" w:cs="Times New Roman"/>
                <w:color w:val="000000"/>
                <w:spacing w:val="0"/>
                <w:w w:val="100"/>
                <w:position w:val="0"/>
                <w:sz w:val="18"/>
                <w:szCs w:val="18"/>
              </w:rPr>
              <w:t>2101</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办公地址的邮政编码</w:t>
            </w:r>
          </w:p>
        </w:tc>
        <w:tc>
          <w:tcPr>
            <w:gridSpan w:val="3"/>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510665</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公司国际互联网网址</w:t>
            </w:r>
          </w:p>
        </w:tc>
        <w:tc>
          <w:tcPr>
            <w:gridSpan w:val="3"/>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"http://www.bluedon.com" </w:instrText>
            </w:r>
            <w:r>
              <w:fldChar w:fldCharType="separate"/>
            </w:r>
            <w:r>
              <w:rPr>
                <w:rFonts w:ascii="Times New Roman" w:eastAsia="Times New Roman" w:hAnsi="Times New Roman" w:cs="Times New Roman"/>
                <w:color w:val="000000"/>
                <w:spacing w:val="0"/>
                <w:w w:val="100"/>
                <w:position w:val="0"/>
                <w:sz w:val="18"/>
                <w:szCs w:val="18"/>
              </w:rPr>
              <w:t>www.bluedon.com</w:t>
            </w:r>
            <w:r>
              <w:fldChar w:fldCharType="end"/>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电子信箱</w:t>
            </w:r>
          </w:p>
        </w:tc>
        <w:tc>
          <w:tcPr>
            <w:gridSpan w:val="3"/>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stock@chinabluedon. cn</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公司聘请的会计师事务所名称</w:t>
            </w:r>
          </w:p>
        </w:tc>
        <w:tc>
          <w:tcPr>
            <w:gridSpan w:val="3"/>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大华会计师事务所（特殊普通合伙）</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公司聘请的会计师事务所办公地址</w:t>
            </w:r>
          </w:p>
        </w:tc>
        <w:tc>
          <w:tcPr>
            <w:gridSpan w:val="3"/>
            <w:tcBorders>
              <w:top w:val="single" w:sz="4"/>
              <w:left w:val="single" w:sz="4"/>
              <w:bottom w:val="single" w:sz="4"/>
              <w:righ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北京海淀区西四环中路</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号</w:t>
            </w:r>
          </w:p>
        </w:tc>
      </w:tr>
    </w:tbl>
    <w:p>
      <w:pPr>
        <w:widowControl w:val="0"/>
        <w:spacing w:after="319" w:line="1" w:lineRule="exact"/>
      </w:pPr>
    </w:p>
    <w:p>
      <w:pPr>
        <w:pStyle w:val="Style25"/>
        <w:keepNext/>
        <w:keepLines/>
        <w:widowControl w:val="0"/>
        <w:shd w:val="clear" w:color="auto" w:fill="auto"/>
        <w:bidi w:val="0"/>
        <w:spacing w:before="0" w:line="240" w:lineRule="auto"/>
        <w:ind w:left="0" w:right="0" w:firstLine="0"/>
        <w:jc w:val="left"/>
      </w:pPr>
      <w:bookmarkStart w:id="18" w:name="bookmark18"/>
      <w:bookmarkStart w:id="19" w:name="bookmark19"/>
      <w:bookmarkStart w:id="20" w:name="bookmark20"/>
      <w:bookmarkStart w:id="21" w:name="bookmark21"/>
      <w:r>
        <w:rPr>
          <w:color w:val="000000"/>
          <w:spacing w:val="0"/>
          <w:w w:val="100"/>
          <w:position w:val="0"/>
        </w:rPr>
        <w:t>二</w:t>
      </w:r>
      <w:bookmarkEnd w:id="20"/>
      <w:r>
        <w:rPr>
          <w:color w:val="000000"/>
          <w:spacing w:val="0"/>
          <w:w w:val="100"/>
          <w:position w:val="0"/>
        </w:rPr>
        <w:t>、联系人和联系方式</w:t>
      </w:r>
      <w:bookmarkEnd w:id="18"/>
      <w:bookmarkEnd w:id="19"/>
      <w:bookmarkEnd w:id="21"/>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董事会秘书</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证券事务代表</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姓名</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李德桂</w:t>
            </w:r>
          </w:p>
        </w:tc>
        <w:tc>
          <w:tcPr>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肖泽燕</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联系地址</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广州市天河区科韵路</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号自编</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栋</w:t>
            </w:r>
            <w:r>
              <w:rPr>
                <w:rFonts w:ascii="Times New Roman" w:eastAsia="Times New Roman" w:hAnsi="Times New Roman" w:cs="Times New Roman"/>
                <w:color w:val="000000"/>
                <w:spacing w:val="0"/>
                <w:w w:val="100"/>
                <w:position w:val="0"/>
                <w:sz w:val="18"/>
                <w:szCs w:val="18"/>
              </w:rPr>
              <w:t>2101</w:t>
            </w:r>
          </w:p>
        </w:tc>
        <w:tc>
          <w:tcPr>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广州市天河区科韵路</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号自编</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栋</w:t>
            </w:r>
            <w:r>
              <w:rPr>
                <w:rFonts w:ascii="Times New Roman" w:eastAsia="Times New Roman" w:hAnsi="Times New Roman" w:cs="Times New Roman"/>
                <w:color w:val="000000"/>
                <w:spacing w:val="0"/>
                <w:w w:val="100"/>
                <w:position w:val="0"/>
                <w:sz w:val="18"/>
                <w:szCs w:val="18"/>
              </w:rPr>
              <w:t>2101</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020-85639340</w:t>
            </w:r>
          </w:p>
        </w:tc>
        <w:tc>
          <w:tcPr>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020-85639340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传真</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020-85639340</w:t>
            </w:r>
          </w:p>
        </w:tc>
        <w:tc>
          <w:tcPr>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020-85639340</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电子信箱</w:t>
            </w:r>
          </w:p>
        </w:tc>
        <w:tc>
          <w:tcPr>
            <w:tcBorders>
              <w:top w:val="single" w:sz="4"/>
              <w:left w:val="single" w:sz="4"/>
              <w:bottom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"mailto:lee_bluedon@163.com" </w:instrText>
            </w:r>
            <w:r>
              <w:fldChar w:fldCharType="separate"/>
            </w:r>
            <w:r>
              <w:rPr>
                <w:rFonts w:ascii="Times New Roman" w:eastAsia="Times New Roman" w:hAnsi="Times New Roman" w:cs="Times New Roman"/>
                <w:color w:val="000000"/>
                <w:spacing w:val="0"/>
                <w:w w:val="100"/>
                <w:position w:val="0"/>
                <w:sz w:val="18"/>
                <w:szCs w:val="18"/>
              </w:rPr>
              <w:t>lee_bluedon@163.com</w:t>
            </w:r>
            <w:r>
              <w:fldChar w:fldCharType="end"/>
            </w:r>
          </w:p>
        </w:tc>
        <w:tc>
          <w:tcPr>
            <w:tcBorders>
              <w:top w:val="single" w:sz="4"/>
              <w:left w:val="single" w:sz="4"/>
              <w:bottom w:val="single" w:sz="4"/>
              <w:righ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zeyan_xiao @163. com</w:t>
            </w:r>
          </w:p>
        </w:tc>
      </w:tr>
    </w:tbl>
    <w:p>
      <w:pPr>
        <w:widowControl w:val="0"/>
        <w:spacing w:after="319" w:line="1" w:lineRule="exact"/>
      </w:pPr>
    </w:p>
    <w:p>
      <w:pPr>
        <w:pStyle w:val="Style25"/>
        <w:keepNext/>
        <w:keepLines/>
        <w:widowControl w:val="0"/>
        <w:shd w:val="clear" w:color="auto" w:fill="auto"/>
        <w:bidi w:val="0"/>
        <w:spacing w:before="0" w:line="240" w:lineRule="auto"/>
        <w:ind w:left="0" w:right="0" w:firstLine="0"/>
        <w:jc w:val="left"/>
      </w:pPr>
      <w:bookmarkStart w:id="22" w:name="bookmark22"/>
      <w:bookmarkStart w:id="23" w:name="bookmark23"/>
      <w:bookmarkStart w:id="24" w:name="bookmark24"/>
      <w:bookmarkStart w:id="25" w:name="bookmark25"/>
      <w:r>
        <w:rPr>
          <w:color w:val="000000"/>
          <w:spacing w:val="0"/>
          <w:w w:val="100"/>
          <w:position w:val="0"/>
        </w:rPr>
        <w:t>三</w:t>
      </w:r>
      <w:bookmarkEnd w:id="24"/>
      <w:r>
        <w:rPr>
          <w:color w:val="000000"/>
          <w:spacing w:val="0"/>
          <w:w w:val="100"/>
          <w:position w:val="0"/>
        </w:rPr>
        <w:t>、信息披露及备置地点</w:t>
      </w:r>
      <w:bookmarkEnd w:id="22"/>
      <w:bookmarkEnd w:id="23"/>
      <w:bookmarkEnd w:id="25"/>
    </w:p>
    <w:tbl>
      <w:tblPr>
        <w:tblOverlap w:val="never"/>
        <w:jc w:val="center"/>
        <w:tblLayout w:type="fixed"/>
      </w:tblPr>
      <w:tblGrid>
        <w:gridCol w:w="3869"/>
        <w:gridCol w:w="5717"/>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公司选定的信息披露媒体的名称</w:t>
            </w:r>
          </w:p>
        </w:tc>
        <w:tc>
          <w:tcPr>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《证券时报》、《中国证券报》、《上海证券报》、《证券日报》</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登载年度报告的中国证监会指定网站的网址</w:t>
            </w:r>
          </w:p>
        </w:tc>
        <w:tc>
          <w:tcPr>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http://www. cninfo. com.cn</w:t>
            </w:r>
          </w:p>
        </w:tc>
      </w:tr>
      <w:tr>
        <w:trPr>
          <w:trHeight w:val="40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公司年度报告备置地点</w:t>
            </w:r>
          </w:p>
        </w:tc>
        <w:tc>
          <w:tcPr>
            <w:tcBorders>
              <w:top w:val="single" w:sz="4"/>
              <w:left w:val="single" w:sz="4"/>
              <w:bottom w:val="single" w:sz="4"/>
              <w:righ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公司证券部</w:t>
            </w:r>
          </w:p>
        </w:tc>
      </w:tr>
    </w:tbl>
    <w:p>
      <w:pPr>
        <w:spacing w:lineRule="exact" w:line="1"/>
        <w:rPr>
          <w:sz w:val="2"/>
          <w:szCs w:val="2"/>
        </w:rPr>
      </w:pPr>
      <w:r>
        <w:br w:type="page"/>
      </w:r>
    </w:p>
    <w:p>
      <w:pPr>
        <w:pStyle w:val="Style25"/>
        <w:keepNext/>
        <w:keepLines/>
        <w:widowControl w:val="0"/>
        <w:shd w:val="clear" w:color="auto" w:fill="auto"/>
        <w:bidi w:val="0"/>
        <w:spacing w:before="0" w:line="240" w:lineRule="auto"/>
        <w:ind w:left="0" w:right="0" w:firstLine="0"/>
        <w:jc w:val="both"/>
      </w:pPr>
      <w:bookmarkStart w:id="26" w:name="bookmark26"/>
      <w:bookmarkStart w:id="27" w:name="bookmark27"/>
      <w:bookmarkStart w:id="28" w:name="bookmark28"/>
      <w:bookmarkStart w:id="29" w:name="bookmark29"/>
      <w:r>
        <w:rPr>
          <w:color w:val="000000"/>
          <w:spacing w:val="0"/>
          <w:w w:val="100"/>
          <w:position w:val="0"/>
        </w:rPr>
        <w:t>四</w:t>
      </w:r>
      <w:bookmarkEnd w:id="28"/>
      <w:r>
        <w:rPr>
          <w:color w:val="000000"/>
          <w:spacing w:val="0"/>
          <w:w w:val="100"/>
          <w:position w:val="0"/>
        </w:rPr>
        <w:t>、公司历史沿革</w:t>
      </w:r>
      <w:bookmarkEnd w:id="26"/>
      <w:bookmarkEnd w:id="27"/>
      <w:bookmarkEnd w:id="29"/>
    </w:p>
    <w:tbl>
      <w:tblPr>
        <w:tblOverlap w:val="never"/>
        <w:jc w:val="center"/>
        <w:tblLayout w:type="fixed"/>
      </w:tblPr>
      <w:tblGrid>
        <w:gridCol w:w="1603"/>
        <w:gridCol w:w="1594"/>
        <w:gridCol w:w="1594"/>
        <w:gridCol w:w="1598"/>
        <w:gridCol w:w="1594"/>
        <w:gridCol w:w="1603"/>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注册登记日期</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注册登记地点</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企业法人营业执照 注册号</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税务登记号码</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组织机构代码</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首次注册</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1999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广东省工商行政管</w:t>
            </w:r>
          </w:p>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理局</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4400002004846</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440106707689817</w:t>
            </w:r>
          </w:p>
        </w:tc>
        <w:tc>
          <w:tcPr>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70768981-7</w:t>
            </w:r>
          </w:p>
        </w:tc>
      </w:tr>
      <w:tr>
        <w:trPr>
          <w:trHeight w:val="715"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股份公司成立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广东省工商行政管</w:t>
            </w:r>
          </w:p>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理局</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440000000030094</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440106707689817</w:t>
            </w:r>
          </w:p>
        </w:tc>
        <w:tc>
          <w:tcPr>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70768981-7</w:t>
            </w:r>
          </w:p>
        </w:tc>
      </w:tr>
      <w:tr>
        <w:trPr>
          <w:trHeight w:val="715"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公开发行股票上市</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广东省工商行政管</w:t>
            </w:r>
          </w:p>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理局</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440000000030094</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440106707689817</w:t>
            </w:r>
          </w:p>
        </w:tc>
        <w:tc>
          <w:tcPr>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70768981-7</w:t>
            </w:r>
          </w:p>
        </w:tc>
      </w:tr>
      <w:tr>
        <w:trPr>
          <w:trHeight w:val="720" w:hRule="exact"/>
        </w:trPr>
        <w:tc>
          <w:tcPr>
            <w:tcBorders>
              <w:top w:val="single" w:sz="4"/>
              <w:left w:val="single" w:sz="4"/>
              <w:bottom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注册资本变更</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bottom w:val="single" w:sz="4"/>
            </w:tcBorders>
            <w:shd w:val="clear" w:color="auto" w:fill="CCE8CF"/>
            <w:vAlign w:val="center"/>
          </w:tcPr>
          <w:p>
            <w:pPr>
              <w:pStyle w:val="Style8"/>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广东省工商行政管</w:t>
            </w:r>
          </w:p>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理局</w:t>
            </w:r>
          </w:p>
        </w:tc>
        <w:tc>
          <w:tcPr>
            <w:tcBorders>
              <w:top w:val="single" w:sz="4"/>
              <w:left w:val="single" w:sz="4"/>
              <w:bottom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440000000030094</w:t>
            </w:r>
          </w:p>
        </w:tc>
        <w:tc>
          <w:tcPr>
            <w:tcBorders>
              <w:top w:val="single" w:sz="4"/>
              <w:left w:val="single" w:sz="4"/>
              <w:bottom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440106707689817</w:t>
            </w:r>
          </w:p>
        </w:tc>
        <w:tc>
          <w:tcPr>
            <w:tcBorders>
              <w:top w:val="single" w:sz="4"/>
              <w:left w:val="single" w:sz="4"/>
              <w:bottom w:val="single" w:sz="4"/>
              <w:righ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70768981-7</w:t>
            </w:r>
          </w:p>
        </w:tc>
      </w:tr>
    </w:tbl>
    <w:p>
      <w:pPr>
        <w:spacing w:lineRule="exact" w:line="1"/>
        <w:rPr>
          <w:sz w:val="2"/>
          <w:szCs w:val="2"/>
        </w:rPr>
      </w:pPr>
      <w:r>
        <w:br w:type="page"/>
      </w:r>
    </w:p>
    <w:p>
      <w:pPr>
        <w:pStyle w:val="Style12"/>
        <w:keepNext/>
        <w:keepLines/>
        <w:widowControl w:val="0"/>
        <w:shd w:val="clear" w:color="auto" w:fill="auto"/>
        <w:bidi w:val="0"/>
        <w:spacing w:before="0" w:after="560" w:line="240" w:lineRule="auto"/>
        <w:ind w:left="0" w:right="0" w:firstLine="0"/>
        <w:jc w:val="center"/>
      </w:pPr>
      <w:bookmarkStart w:id="30" w:name="bookmark30"/>
      <w:bookmarkStart w:id="31" w:name="bookmark31"/>
      <w:bookmarkStart w:id="32" w:name="bookmark32"/>
      <w:r>
        <w:rPr>
          <w:color w:val="000000"/>
          <w:spacing w:val="0"/>
          <w:w w:val="100"/>
          <w:position w:val="0"/>
        </w:rPr>
        <w:t>第三节会计数据和财务指标摘要</w:t>
      </w:r>
      <w:bookmarkEnd w:id="30"/>
      <w:bookmarkEnd w:id="31"/>
      <w:bookmarkEnd w:id="32"/>
    </w:p>
    <w:p>
      <w:pPr>
        <w:pStyle w:val="Style25"/>
        <w:keepNext/>
        <w:keepLines/>
        <w:widowControl w:val="0"/>
        <w:shd w:val="clear" w:color="auto" w:fill="auto"/>
        <w:bidi w:val="0"/>
        <w:spacing w:before="0" w:after="380" w:line="240" w:lineRule="auto"/>
        <w:ind w:left="0" w:right="0" w:firstLine="0"/>
        <w:jc w:val="left"/>
      </w:pPr>
      <w:bookmarkStart w:id="33" w:name="bookmark33"/>
      <w:bookmarkStart w:id="34" w:name="bookmark34"/>
      <w:bookmarkStart w:id="35" w:name="bookmark35"/>
      <w:bookmarkStart w:id="36" w:name="bookmark36"/>
      <w:r>
        <w:rPr>
          <w:color w:val="000000"/>
          <w:spacing w:val="0"/>
          <w:w w:val="100"/>
          <w:position w:val="0"/>
        </w:rPr>
        <w:t>一</w:t>
      </w:r>
      <w:bookmarkEnd w:id="35"/>
      <w:r>
        <w:rPr>
          <w:color w:val="000000"/>
          <w:spacing w:val="0"/>
          <w:w w:val="100"/>
          <w:position w:val="0"/>
        </w:rPr>
        <w:t>、主要会计数据和财务指标</w:t>
      </w:r>
      <w:bookmarkEnd w:id="33"/>
      <w:bookmarkEnd w:id="34"/>
      <w:bookmarkEnd w:id="36"/>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公司是否因会计政策变更及会计差错更正等追溯调整或重述以前年度会计数据</w:t>
      </w:r>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color w:val="000000"/>
          <w:spacing w:val="0"/>
          <w:w w:val="100"/>
          <w:position w:val="0"/>
          <w:sz w:val="18"/>
          <w:szCs w:val="18"/>
        </w:rPr>
        <w:t>寸</w:t>
      </w:r>
      <w:r>
        <w:rPr>
          <w:color w:val="000000"/>
          <w:spacing w:val="0"/>
          <w:w w:val="100"/>
          <w:position w:val="0"/>
        </w:rPr>
        <w:t>否</w:t>
      </w:r>
    </w:p>
    <w:p>
      <w:pPr>
        <w:pStyle w:val="Style31"/>
        <w:keepNext w:val="0"/>
        <w:keepLines w:val="0"/>
        <w:widowControl w:val="0"/>
        <w:shd w:val="clear" w:color="auto" w:fill="auto"/>
        <w:bidi w:val="0"/>
        <w:spacing w:before="0" w:after="0" w:line="240" w:lineRule="auto"/>
        <w:ind w:left="86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2626"/>
        <w:gridCol w:w="1738"/>
        <w:gridCol w:w="1742"/>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80"/>
              <w:jc w:val="left"/>
              <w:rPr>
                <w:sz w:val="17"/>
                <w:szCs w:val="17"/>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80"/>
              <w:jc w:val="left"/>
              <w:rPr>
                <w:sz w:val="17"/>
                <w:szCs w:val="17"/>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本年比上年增减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80"/>
              <w:jc w:val="left"/>
              <w:rPr>
                <w:sz w:val="17"/>
                <w:szCs w:val="17"/>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年</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395,366,353.03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345,203,862.94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14.53%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278,770,826.35</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营业成本（元）</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249,656,361.15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192,196,870.75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153,335,027.21</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营业利润（元）</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11,447,579.90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50,935,148.86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-77.53%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46,865,750.07</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利润总额（元）</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36,215,550.23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67,789,424.88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-46.58%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60,345,035.54</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归属于上市公司普通股股东的净 利润（元）</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31,963,282.74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58,090,774.13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-44.98%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52,320,390.32</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归属于上市公司普通股股东的扣 除非经常性损益后的净利润（元）</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12,743,389.75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48,848,198.87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-73.91%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47,997,639.64</w:t>
            </w:r>
          </w:p>
        </w:tc>
      </w:tr>
      <w:tr>
        <w:trPr>
          <w:trHeight w:val="71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经营活动产生的现金流量净额</w:t>
            </w:r>
          </w:p>
          <w:p>
            <w:pPr>
              <w:pStyle w:val="Style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（元）</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49,937,839.99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35,472,526.83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40.78%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70,552,369.44</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每股经营活动产生的现金流量净 额（元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0.2548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-29.61%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0.9599</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加权平均净资产收益率（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23.11%</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扣除非经常性损益后的加权平均 净资产收益率（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21.21%</w:t>
            </w:r>
          </w:p>
        </w:tc>
      </w:tr>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4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年末</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年末</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本年末比上年末增减</w:t>
            </w:r>
          </w:p>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7"/>
                <w:szCs w:val="17"/>
              </w:rPr>
              <w:t>年末</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期末总股本（股）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196,000,000.00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98,000,000.00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73,500,000.00</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资产总额（元）</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1,088,703,880.98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942,800,517.78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15.48%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399,396,170.59</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负债总额（元）</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403,827,606.29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286,018,100.15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41.19%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150,561,190.59</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归属于上市公司普通股股东的所 有者权益（元）</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680,865,700.37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654,782,417.63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248,834,980.00</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归属于上市公司普通股股东的每 股净资产（元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3.4738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6.6815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-48.01%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3.3855</w:t>
            </w:r>
          </w:p>
        </w:tc>
      </w:tr>
      <w:tr>
        <w:trPr>
          <w:trHeight w:val="40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资产负债率（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37.09%</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30.34%</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w:t>
            </w:r>
          </w:p>
        </w:tc>
      </w:tr>
    </w:tbl>
    <w:p>
      <w:pPr>
        <w:pStyle w:val="Style25"/>
        <w:keepNext/>
        <w:keepLines/>
        <w:widowControl w:val="0"/>
        <w:shd w:val="clear" w:color="auto" w:fill="auto"/>
        <w:bidi w:val="0"/>
        <w:spacing w:before="0" w:after="380" w:line="240" w:lineRule="auto"/>
        <w:ind w:left="0" w:right="0" w:firstLine="0"/>
        <w:jc w:val="left"/>
      </w:pPr>
      <w:bookmarkStart w:id="37" w:name="bookmark37"/>
      <w:bookmarkStart w:id="38" w:name="bookmark38"/>
      <w:bookmarkStart w:id="39" w:name="bookmark39"/>
      <w:bookmarkStart w:id="40" w:name="bookmark40"/>
      <w:r>
        <w:rPr>
          <w:color w:val="000000"/>
          <w:spacing w:val="0"/>
          <w:w w:val="100"/>
          <w:position w:val="0"/>
        </w:rPr>
        <w:t>二</w:t>
      </w:r>
      <w:bookmarkEnd w:id="39"/>
      <w:r>
        <w:rPr>
          <w:color w:val="000000"/>
          <w:spacing w:val="0"/>
          <w:w w:val="100"/>
          <w:position w:val="0"/>
        </w:rPr>
        <w:t>、非经常性损益的项目及金额</w:t>
      </w:r>
      <w:bookmarkEnd w:id="37"/>
      <w:bookmarkEnd w:id="38"/>
      <w:bookmarkEnd w:id="40"/>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7"/>
                <w:szCs w:val="17"/>
              </w:rPr>
              <w:t>年金额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说明</w:t>
            </w:r>
          </w:p>
        </w:tc>
      </w:tr>
      <w:tr>
        <w:trPr>
          <w:trHeight w:val="71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非流动资产处置损益（包括已计提资产减 值准备的冲销部分）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-2,363,337.31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-2,320.55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24,188,000.00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10,915,200.00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5,570,000.00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-455,343.06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-39,261.50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-484,410.96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2,149,119.34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1,631,042.69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762,838.36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少数股东权益影响额（税后）</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19,219,892.99</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9,242,575.26</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4,322,750.68</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140" w:line="31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27"/>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270"/>
        <w:gridCol w:w="2126"/>
        <w:gridCol w:w="5189"/>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涉及金额（元）</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原因</w:t>
            </w:r>
          </w:p>
        </w:tc>
      </w:tr>
      <w:tr>
        <w:trPr>
          <w:trHeight w:val="725" w:hRule="exact"/>
        </w:trPr>
        <w:tc>
          <w:tcPr>
            <w:tcBorders>
              <w:top w:val="single" w:sz="4"/>
              <w:left w:val="single" w:sz="4"/>
              <w:bottom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增值税退税补贴</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3,398,650.70</w:t>
            </w:r>
          </w:p>
        </w:tc>
        <w:tc>
          <w:tcPr>
            <w:tcBorders>
              <w:top w:val="single" w:sz="4"/>
              <w:left w:val="single" w:sz="4"/>
              <w:bottom w:val="single" w:sz="4"/>
              <w:right w:val="single" w:sz="4"/>
            </w:tcBorders>
            <w:shd w:val="clear" w:color="auto" w:fill="CCE8CF"/>
            <w:vAlign w:val="center"/>
          </w:tcPr>
          <w:p>
            <w:pPr>
              <w:pStyle w:val="Style8"/>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依据国家对软件行业的总体政策导向，预期软件增值税退税的税 收优惠政策将在较长时期内保持稳定，故定义为经常性损益。</w:t>
            </w:r>
          </w:p>
        </w:tc>
      </w:tr>
    </w:tbl>
    <w:p>
      <w:pPr>
        <w:widowControl w:val="0"/>
        <w:spacing w:after="299" w:line="1" w:lineRule="exact"/>
      </w:pPr>
    </w:p>
    <w:p>
      <w:pPr>
        <w:pStyle w:val="Style25"/>
        <w:keepNext/>
        <w:keepLines/>
        <w:widowControl w:val="0"/>
        <w:shd w:val="clear" w:color="auto" w:fill="auto"/>
        <w:bidi w:val="0"/>
        <w:spacing w:before="0" w:after="300" w:line="240" w:lineRule="auto"/>
        <w:ind w:left="0" w:right="0" w:firstLine="0"/>
        <w:jc w:val="both"/>
      </w:pPr>
      <w:bookmarkStart w:id="41" w:name="bookmark41"/>
      <w:bookmarkStart w:id="42" w:name="bookmark42"/>
      <w:bookmarkStart w:id="43" w:name="bookmark43"/>
      <w:bookmarkStart w:id="44" w:name="bookmark44"/>
      <w:r>
        <w:rPr>
          <w:color w:val="000000"/>
          <w:spacing w:val="0"/>
          <w:w w:val="100"/>
          <w:position w:val="0"/>
        </w:rPr>
        <w:t>三</w:t>
      </w:r>
      <w:bookmarkEnd w:id="43"/>
      <w:r>
        <w:rPr>
          <w:color w:val="000000"/>
          <w:spacing w:val="0"/>
          <w:w w:val="100"/>
          <w:position w:val="0"/>
        </w:rPr>
        <w:t>、重大风险提示</w:t>
      </w:r>
      <w:bookmarkEnd w:id="41"/>
      <w:bookmarkEnd w:id="42"/>
      <w:bookmarkEnd w:id="44"/>
    </w:p>
    <w:p>
      <w:pPr>
        <w:pStyle w:val="Style35"/>
        <w:keepNext w:val="0"/>
        <w:keepLines w:val="0"/>
        <w:widowControl w:val="0"/>
        <w:shd w:val="clear" w:color="auto" w:fill="auto"/>
        <w:tabs>
          <w:tab w:pos="794" w:val="left"/>
        </w:tabs>
        <w:bidi w:val="0"/>
        <w:spacing w:before="0" w:after="0" w:line="398" w:lineRule="exact"/>
        <w:ind w:left="0" w:right="0" w:firstLine="440"/>
        <w:jc w:val="both"/>
      </w:pPr>
      <w:bookmarkStart w:id="45" w:name="bookmark45"/>
      <w:r>
        <w:rPr>
          <w:rFonts w:ascii="Times New Roman" w:eastAsia="Times New Roman" w:hAnsi="Times New Roman" w:cs="Times New Roman"/>
          <w:color w:val="000000"/>
          <w:spacing w:val="0"/>
          <w:w w:val="100"/>
          <w:position w:val="0"/>
        </w:rPr>
        <w:t>1</w:t>
      </w:r>
      <w:bookmarkEnd w:id="45"/>
      <w:r>
        <w:rPr>
          <w:color w:val="000000"/>
          <w:spacing w:val="0"/>
          <w:w w:val="100"/>
          <w:position w:val="0"/>
        </w:rPr>
        <w:t>、</w:t>
        <w:tab/>
        <w:t>竞争加剧导致毛利率下降的风险</w:t>
      </w:r>
    </w:p>
    <w:p>
      <w:pPr>
        <w:pStyle w:val="Style35"/>
        <w:keepNext w:val="0"/>
        <w:keepLines w:val="0"/>
        <w:widowControl w:val="0"/>
        <w:shd w:val="clear" w:color="auto" w:fill="auto"/>
        <w:bidi w:val="0"/>
        <w:spacing w:before="0" w:after="0" w:line="398" w:lineRule="exact"/>
        <w:ind w:left="0" w:right="0" w:firstLine="440"/>
        <w:jc w:val="both"/>
      </w:pPr>
      <w:r>
        <w:rPr>
          <w:color w:val="000000"/>
          <w:spacing w:val="0"/>
          <w:w w:val="100"/>
          <w:position w:val="0"/>
        </w:rPr>
        <w:t>公司所处信息安全行业的市场竞争加剧，部分项目毛利率呈下降趋势。公司在项目施工进行过程中， 人工成本、原材料、设备价格的波动可能会影响项目毛利。</w:t>
      </w:r>
    </w:p>
    <w:p>
      <w:pPr>
        <w:pStyle w:val="Style35"/>
        <w:keepNext w:val="0"/>
        <w:keepLines w:val="0"/>
        <w:widowControl w:val="0"/>
        <w:shd w:val="clear" w:color="auto" w:fill="auto"/>
        <w:tabs>
          <w:tab w:pos="813" w:val="left"/>
        </w:tabs>
        <w:bidi w:val="0"/>
        <w:spacing w:before="0" w:after="0" w:line="398" w:lineRule="exact"/>
        <w:ind w:left="0" w:right="0" w:firstLine="440"/>
        <w:jc w:val="both"/>
      </w:pPr>
      <w:bookmarkStart w:id="46" w:name="bookmark46"/>
      <w:r>
        <w:rPr>
          <w:rFonts w:ascii="Times New Roman" w:eastAsia="Times New Roman" w:hAnsi="Times New Roman" w:cs="Times New Roman"/>
          <w:color w:val="000000"/>
          <w:spacing w:val="0"/>
          <w:w w:val="100"/>
          <w:position w:val="0"/>
        </w:rPr>
        <w:t>2</w:t>
      </w:r>
      <w:bookmarkEnd w:id="46"/>
      <w:r>
        <w:rPr>
          <w:color w:val="000000"/>
          <w:spacing w:val="0"/>
          <w:w w:val="100"/>
          <w:position w:val="0"/>
        </w:rPr>
        <w:t>、</w:t>
        <w:tab/>
        <w:t>技术失密和核心技术人员流失的风险</w:t>
      </w:r>
    </w:p>
    <w:p>
      <w:pPr>
        <w:pStyle w:val="Style35"/>
        <w:keepNext w:val="0"/>
        <w:keepLines w:val="0"/>
        <w:widowControl w:val="0"/>
        <w:shd w:val="clear" w:color="auto" w:fill="auto"/>
        <w:bidi w:val="0"/>
        <w:spacing w:before="0" w:after="0" w:line="398" w:lineRule="exact"/>
        <w:ind w:left="0" w:right="0" w:firstLine="440"/>
        <w:jc w:val="both"/>
      </w:pPr>
      <w:r>
        <w:rPr>
          <w:color w:val="000000"/>
          <w:spacing w:val="0"/>
          <w:w w:val="100"/>
          <w:position w:val="0"/>
        </w:rPr>
        <w:t>信息安全行业属知识密集型行业，行业内的市场竞争主要体现为产品科技含量和研发技术人员技术水 平的竞争。由于公司的技术水平处于行业领先地位，不排除出现竞争对手通过各种不正当手段窃取公司技 术机密或争夺公司核心技术人员的情形。</w:t>
      </w:r>
    </w:p>
    <w:p>
      <w:pPr>
        <w:pStyle w:val="Style35"/>
        <w:keepNext w:val="0"/>
        <w:keepLines w:val="0"/>
        <w:widowControl w:val="0"/>
        <w:shd w:val="clear" w:color="auto" w:fill="auto"/>
        <w:tabs>
          <w:tab w:pos="813" w:val="left"/>
        </w:tabs>
        <w:bidi w:val="0"/>
        <w:spacing w:before="0" w:after="0" w:line="398" w:lineRule="exact"/>
        <w:ind w:left="0" w:right="0" w:firstLine="440"/>
        <w:jc w:val="both"/>
      </w:pPr>
      <w:bookmarkStart w:id="47" w:name="bookmark47"/>
      <w:r>
        <w:rPr>
          <w:rFonts w:ascii="Times New Roman" w:eastAsia="Times New Roman" w:hAnsi="Times New Roman" w:cs="Times New Roman"/>
          <w:color w:val="000000"/>
          <w:spacing w:val="0"/>
          <w:w w:val="100"/>
          <w:position w:val="0"/>
        </w:rPr>
        <w:t>3</w:t>
      </w:r>
      <w:bookmarkEnd w:id="47"/>
      <w:r>
        <w:rPr>
          <w:color w:val="000000"/>
          <w:spacing w:val="0"/>
          <w:w w:val="100"/>
          <w:position w:val="0"/>
        </w:rPr>
        <w:t>、</w:t>
        <w:tab/>
        <w:t>技术开发和升级滞后的风险</w:t>
      </w:r>
    </w:p>
    <w:p>
      <w:pPr>
        <w:pStyle w:val="Style35"/>
        <w:keepNext w:val="0"/>
        <w:keepLines w:val="0"/>
        <w:widowControl w:val="0"/>
        <w:shd w:val="clear" w:color="auto" w:fill="auto"/>
        <w:bidi w:val="0"/>
        <w:spacing w:before="0" w:after="220" w:line="398" w:lineRule="exact"/>
        <w:ind w:left="0" w:right="0" w:firstLine="440"/>
        <w:jc w:val="both"/>
      </w:pPr>
      <w:r>
        <w:rPr>
          <w:color w:val="000000"/>
          <w:spacing w:val="0"/>
          <w:w w:val="100"/>
          <w:position w:val="0"/>
        </w:rPr>
        <w:t>信息安全领域涉及的专业技术门类较多，涉及到公司业务的技术主要包括计算机威胁检测与清除技 术、安全防护技术、安全审计技术、安全检测与监控技术、身份认证技术等，上述信息安全技术更新速度 快、生命周期短。为了保持竞争优势，公司必须准确预测业内技术发展趋势，及时将成熟、实用、先进的 技术用于自身产品的设计开发和技术升级。如果不能准确地把握行业技术的发展趋势，在技术开发方向的 决策上发生失误，或不能及时将新技术运用于业务的开发和升级，公司将可能丧失在技术研发和市场的领 先地位。</w:t>
      </w:r>
    </w:p>
    <w:p>
      <w:pPr>
        <w:pStyle w:val="Style35"/>
        <w:keepNext w:val="0"/>
        <w:keepLines w:val="0"/>
        <w:widowControl w:val="0"/>
        <w:shd w:val="clear" w:color="auto" w:fill="auto"/>
        <w:bidi w:val="0"/>
        <w:spacing w:before="0" w:after="0" w:line="404" w:lineRule="exact"/>
        <w:ind w:left="0" w:right="0" w:firstLine="440"/>
        <w:jc w:val="left"/>
      </w:pPr>
      <w:bookmarkStart w:id="48" w:name="bookmark48"/>
      <w:r>
        <w:rPr>
          <w:rFonts w:ascii="Times New Roman" w:eastAsia="Times New Roman" w:hAnsi="Times New Roman" w:cs="Times New Roman"/>
          <w:color w:val="000000"/>
          <w:spacing w:val="0"/>
          <w:w w:val="100"/>
          <w:position w:val="0"/>
        </w:rPr>
        <w:t>4</w:t>
      </w:r>
      <w:bookmarkEnd w:id="48"/>
      <w:r>
        <w:rPr>
          <w:color w:val="000000"/>
          <w:spacing w:val="0"/>
          <w:w w:val="100"/>
          <w:position w:val="0"/>
        </w:rPr>
        <w:t>、应收账款风险</w:t>
      </w:r>
    </w:p>
    <w:p>
      <w:pPr>
        <w:pStyle w:val="Style35"/>
        <w:keepNext w:val="0"/>
        <w:keepLines w:val="0"/>
        <w:widowControl w:val="0"/>
        <w:shd w:val="clear" w:color="auto" w:fill="auto"/>
        <w:bidi w:val="0"/>
        <w:spacing w:before="0" w:after="400" w:line="404" w:lineRule="exact"/>
        <w:ind w:left="0" w:right="0" w:firstLine="440"/>
        <w:jc w:val="left"/>
      </w:pPr>
      <w:r>
        <w:rPr>
          <w:color w:val="000000"/>
          <w:spacing w:val="0"/>
          <w:w w:val="100"/>
          <w:position w:val="0"/>
        </w:rPr>
        <w:t>由于公司部分合同执行期及结算周期较长，应收账款数额增加，有可能存在坏账的风险。</w:t>
      </w:r>
    </w:p>
    <w:p>
      <w:pPr>
        <w:pStyle w:val="Style35"/>
        <w:keepNext w:val="0"/>
        <w:keepLines w:val="0"/>
        <w:widowControl w:val="0"/>
        <w:shd w:val="clear" w:color="auto" w:fill="auto"/>
        <w:bidi w:val="0"/>
        <w:spacing w:before="0" w:after="0" w:line="404" w:lineRule="exact"/>
        <w:ind w:left="0" w:right="0" w:firstLine="0"/>
        <w:jc w:val="left"/>
      </w:pPr>
      <w:r>
        <w:rPr>
          <w:color w:val="000000"/>
          <w:spacing w:val="0"/>
          <w:w w:val="100"/>
          <w:position w:val="0"/>
        </w:rPr>
        <w:t>应对措施：</w:t>
      </w:r>
    </w:p>
    <w:p>
      <w:pPr>
        <w:pStyle w:val="Style35"/>
        <w:keepNext w:val="0"/>
        <w:keepLines w:val="0"/>
        <w:widowControl w:val="0"/>
        <w:shd w:val="clear" w:color="auto" w:fill="auto"/>
        <w:tabs>
          <w:tab w:pos="782" w:val="left"/>
        </w:tabs>
        <w:bidi w:val="0"/>
        <w:spacing w:before="0" w:after="0" w:line="404" w:lineRule="exact"/>
        <w:ind w:left="0" w:right="0" w:firstLine="440"/>
        <w:jc w:val="left"/>
      </w:pPr>
      <w:bookmarkStart w:id="49" w:name="bookmark49"/>
      <w:r>
        <w:rPr>
          <w:rFonts w:ascii="Times New Roman" w:eastAsia="Times New Roman" w:hAnsi="Times New Roman" w:cs="Times New Roman"/>
          <w:color w:val="000000"/>
          <w:spacing w:val="0"/>
          <w:w w:val="100"/>
          <w:position w:val="0"/>
        </w:rPr>
        <w:t>1</w:t>
      </w:r>
      <w:bookmarkEnd w:id="49"/>
      <w:r>
        <w:rPr>
          <w:color w:val="000000"/>
          <w:spacing w:val="0"/>
          <w:w w:val="100"/>
          <w:position w:val="0"/>
        </w:rPr>
        <w:t>、</w:t>
        <w:tab/>
        <w:t>在项目投标前期，公司将通过分析决策主动回避部分风险大、毛利率低的项目。同时，公司会进 一步加强项目的绩效管理与考核，提高项目负责人的管理水平，加强工期管理等措施。为了防范工程原材 料、设备价格波动带来的经营风险，公司尽量选择信誉良好和资金实力较强的供应商进行长期合作。</w:t>
      </w:r>
    </w:p>
    <w:p>
      <w:pPr>
        <w:pStyle w:val="Style35"/>
        <w:keepNext w:val="0"/>
        <w:keepLines w:val="0"/>
        <w:widowControl w:val="0"/>
        <w:shd w:val="clear" w:color="auto" w:fill="auto"/>
        <w:tabs>
          <w:tab w:pos="782" w:val="left"/>
        </w:tabs>
        <w:bidi w:val="0"/>
        <w:spacing w:before="0" w:after="0" w:line="404" w:lineRule="exact"/>
        <w:ind w:left="0" w:right="0" w:firstLine="440"/>
        <w:jc w:val="left"/>
      </w:pPr>
      <w:bookmarkStart w:id="50" w:name="bookmark50"/>
      <w:r>
        <w:rPr>
          <w:rFonts w:ascii="Times New Roman" w:eastAsia="Times New Roman" w:hAnsi="Times New Roman" w:cs="Times New Roman"/>
          <w:color w:val="000000"/>
          <w:spacing w:val="0"/>
          <w:w w:val="100"/>
          <w:position w:val="0"/>
        </w:rPr>
        <w:t>2</w:t>
      </w:r>
      <w:bookmarkEnd w:id="50"/>
      <w:r>
        <w:rPr>
          <w:color w:val="000000"/>
          <w:spacing w:val="0"/>
          <w:w w:val="100"/>
          <w:position w:val="0"/>
        </w:rPr>
        <w:t>、</w:t>
        <w:tab/>
        <w:t>报告期内，公司加强了人力资源体系建设，制定了富有竞争力的薪酬体系，并努力创建良好的工 作环境和工作氛围，防止人才流失。目前，公司通过内部培养和外部聘请，努力打造一批高端的管理、研 发及营销人才，以适应公司快速发展需要。</w:t>
      </w:r>
    </w:p>
    <w:p>
      <w:pPr>
        <w:pStyle w:val="Style35"/>
        <w:keepNext w:val="0"/>
        <w:keepLines w:val="0"/>
        <w:widowControl w:val="0"/>
        <w:shd w:val="clear" w:color="auto" w:fill="auto"/>
        <w:tabs>
          <w:tab w:pos="782" w:val="left"/>
        </w:tabs>
        <w:bidi w:val="0"/>
        <w:spacing w:before="0" w:after="0" w:line="404" w:lineRule="exact"/>
        <w:ind w:left="0" w:right="0" w:firstLine="440"/>
        <w:jc w:val="left"/>
      </w:pPr>
      <w:bookmarkStart w:id="51" w:name="bookmark51"/>
      <w:r>
        <w:rPr>
          <w:rFonts w:ascii="Times New Roman" w:eastAsia="Times New Roman" w:hAnsi="Times New Roman" w:cs="Times New Roman"/>
          <w:color w:val="000000"/>
          <w:spacing w:val="0"/>
          <w:w w:val="100"/>
          <w:position w:val="0"/>
        </w:rPr>
        <w:t>3</w:t>
      </w:r>
      <w:bookmarkEnd w:id="51"/>
      <w:r>
        <w:rPr>
          <w:color w:val="000000"/>
          <w:spacing w:val="0"/>
          <w:w w:val="100"/>
          <w:position w:val="0"/>
        </w:rPr>
        <w:t>、</w:t>
        <w:tab/>
        <w:t>公司将持续加大技术研发投入，进一步完善研发激励机制。同时，加快技术软硬件建设、实验室 建设。另外，公司研发部将持续关注行业技术发展情况，积极参与行业技术研讨会议，探索适合公司发展 情况的开发模式。</w:t>
      </w:r>
    </w:p>
    <w:p>
      <w:pPr>
        <w:pStyle w:val="Style35"/>
        <w:keepNext w:val="0"/>
        <w:keepLines w:val="0"/>
        <w:widowControl w:val="0"/>
        <w:shd w:val="clear" w:color="auto" w:fill="auto"/>
        <w:tabs>
          <w:tab w:pos="782" w:val="left"/>
        </w:tabs>
        <w:bidi w:val="0"/>
        <w:spacing w:before="0" w:after="0" w:line="403" w:lineRule="exact"/>
        <w:ind w:left="0" w:right="0" w:firstLine="440"/>
        <w:jc w:val="left"/>
        <w:sectPr>
          <w:footnotePr>
            <w:pos w:val="pageBottom"/>
            <w:numFmt w:val="decimal"/>
            <w:numRestart w:val="continuous"/>
          </w:footnotePr>
          <w:pgSz w:w="11900" w:h="16840"/>
          <w:pgMar w:top="1402" w:right="1116" w:bottom="1724" w:left="1073" w:header="0" w:footer="3" w:gutter="0"/>
          <w:cols w:space="720"/>
          <w:noEndnote/>
          <w:rtlGutter w:val="0"/>
          <w:docGrid w:linePitch="360"/>
        </w:sectPr>
      </w:pPr>
      <w:bookmarkStart w:id="52" w:name="bookmark52"/>
      <w:r>
        <w:rPr>
          <w:rFonts w:ascii="Times New Roman" w:eastAsia="Times New Roman" w:hAnsi="Times New Roman" w:cs="Times New Roman"/>
          <w:color w:val="000000"/>
          <w:spacing w:val="0"/>
          <w:w w:val="100"/>
          <w:position w:val="0"/>
        </w:rPr>
        <w:t>4</w:t>
      </w:r>
      <w:bookmarkEnd w:id="52"/>
      <w:r>
        <w:rPr>
          <w:color w:val="000000"/>
          <w:spacing w:val="0"/>
          <w:w w:val="100"/>
          <w:position w:val="0"/>
        </w:rPr>
        <w:t>、</w:t>
        <w:tab/>
        <w:t>公司将完善信用制度规范信用期限，调整收账政策强化应收账款管理，建立销售合同专项管理， 加大应收账款责任制实施力度，优化业务人员在收款工作方面的考评。</w:t>
      </w:r>
    </w:p>
    <w:p>
      <w:pPr>
        <w:pStyle w:val="Style12"/>
        <w:keepNext/>
        <w:keepLines/>
        <w:widowControl w:val="0"/>
        <w:shd w:val="clear" w:color="auto" w:fill="auto"/>
        <w:bidi w:val="0"/>
        <w:spacing w:before="720" w:after="540" w:line="240" w:lineRule="auto"/>
        <w:ind w:left="0" w:right="0" w:firstLine="0"/>
        <w:jc w:val="center"/>
      </w:pPr>
      <w:bookmarkStart w:id="53" w:name="bookmark53"/>
      <w:bookmarkStart w:id="54" w:name="bookmark54"/>
      <w:bookmarkStart w:id="55" w:name="bookmark55"/>
      <w:r>
        <w:rPr>
          <w:color w:val="000000"/>
          <w:spacing w:val="0"/>
          <w:w w:val="100"/>
          <w:position w:val="0"/>
        </w:rPr>
        <w:t>第四节董事会报告</w:t>
      </w:r>
      <w:bookmarkEnd w:id="53"/>
      <w:bookmarkEnd w:id="54"/>
      <w:bookmarkEnd w:id="55"/>
    </w:p>
    <w:p>
      <w:pPr>
        <w:pStyle w:val="Style25"/>
        <w:keepNext/>
        <w:keepLines/>
        <w:widowControl w:val="0"/>
        <w:shd w:val="clear" w:color="auto" w:fill="auto"/>
        <w:bidi w:val="0"/>
        <w:spacing w:before="0" w:after="140" w:line="240" w:lineRule="auto"/>
        <w:ind w:left="0" w:right="0" w:firstLine="0"/>
        <w:jc w:val="both"/>
      </w:pPr>
      <w:bookmarkStart w:id="56" w:name="bookmark56"/>
      <w:bookmarkStart w:id="57" w:name="bookmark57"/>
      <w:bookmarkStart w:id="58" w:name="bookmark58"/>
      <w:bookmarkStart w:id="59" w:name="bookmark59"/>
      <w:r>
        <w:rPr>
          <w:color w:val="000000"/>
          <w:spacing w:val="0"/>
          <w:w w:val="100"/>
          <w:position w:val="0"/>
        </w:rPr>
        <w:t>一</w:t>
      </w:r>
      <w:bookmarkEnd w:id="58"/>
      <w:r>
        <w:rPr>
          <w:color w:val="000000"/>
          <w:spacing w:val="0"/>
          <w:w w:val="100"/>
          <w:position w:val="0"/>
        </w:rPr>
        <w:t>、管理层讨论与分析</w:t>
      </w:r>
      <w:bookmarkEnd w:id="56"/>
      <w:bookmarkEnd w:id="57"/>
      <w:bookmarkEnd w:id="59"/>
    </w:p>
    <w:p>
      <w:pPr>
        <w:pStyle w:val="Style38"/>
        <w:keepNext/>
        <w:keepLines/>
        <w:widowControl w:val="0"/>
        <w:shd w:val="clear" w:color="auto" w:fill="auto"/>
        <w:bidi w:val="0"/>
        <w:spacing w:before="0" w:after="220" w:line="470" w:lineRule="exact"/>
        <w:ind w:left="0" w:right="0" w:firstLine="0"/>
        <w:jc w:val="both"/>
      </w:pPr>
      <w:bookmarkStart w:id="60" w:name="bookmark60"/>
      <w:bookmarkStart w:id="61" w:name="bookmark61"/>
      <w:bookmarkStart w:id="62" w:name="bookmark62"/>
      <w:bookmarkStart w:id="63" w:name="bookmark63"/>
      <w:r>
        <w:rPr>
          <w:rFonts w:ascii="Times New Roman" w:eastAsia="Times New Roman" w:hAnsi="Times New Roman" w:cs="Times New Roman"/>
          <w:color w:val="000000"/>
          <w:spacing w:val="0"/>
          <w:w w:val="100"/>
          <w:position w:val="0"/>
        </w:rPr>
        <w:t>1</w:t>
      </w:r>
      <w:bookmarkEnd w:id="62"/>
      <w:r>
        <w:rPr>
          <w:color w:val="000000"/>
          <w:spacing w:val="0"/>
          <w:w w:val="100"/>
          <w:position w:val="0"/>
        </w:rPr>
        <w:t>、报告期内主要业务回顾</w:t>
      </w:r>
      <w:bookmarkEnd w:id="60"/>
      <w:bookmarkEnd w:id="61"/>
      <w:bookmarkEnd w:id="63"/>
    </w:p>
    <w:p>
      <w:pPr>
        <w:pStyle w:val="Style35"/>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年对信息安全行业而言是意义重大的一年，网络安全事件频发不止，其中以“棱镜门”事件最为 引人注目，在随后的中共第十八届三中全会上“国家安全委员会”应运而生，而今年召开的国家安全委员 会第一次会议提出了 “总体国家安全观”，表示既要重视传统安全，又要重视以科技安全、信息安全等为 代表的非传统安全，进一步明确了将信息安全提升至国家战略层面。在这样的大背景下，公司秉承“让你 的安全更智慧”的发展理念，创建性地提出了 “主动、自动、联动”的“动立方”产品理念，继续凭借安 全产品、安全集成、安全服务、安全运营“四位一体”联动发展的经营模式，为各大行业客户提供一站式 的安全解决方案。报告期内，公司的主营业务稳步推进，研发创新力度持续加大，内部控制和管理体系不 断优化，核心管理和技术人员保持稳定，公司整体上保持了健康的发展态势。</w:t>
      </w:r>
    </w:p>
    <w:p>
      <w:pPr>
        <w:pStyle w:val="Style35"/>
        <w:keepNext w:val="0"/>
        <w:keepLines w:val="0"/>
        <w:widowControl w:val="0"/>
        <w:shd w:val="clear" w:color="auto" w:fill="auto"/>
        <w:bidi w:val="0"/>
        <w:spacing w:before="0" w:after="0" w:line="485" w:lineRule="exact"/>
        <w:ind w:left="0" w:right="0" w:firstLine="440"/>
        <w:jc w:val="both"/>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rPr>
        <w:t>39,536.64</w:t>
      </w:r>
      <w:r>
        <w:rPr>
          <w:color w:val="000000"/>
          <w:spacing w:val="0"/>
          <w:w w:val="100"/>
          <w:position w:val="0"/>
        </w:rPr>
        <w:t>万元，同比增长</w:t>
      </w:r>
      <w:r>
        <w:rPr>
          <w:rFonts w:ascii="Times New Roman" w:eastAsia="Times New Roman" w:hAnsi="Times New Roman" w:cs="Times New Roman"/>
          <w:color w:val="000000"/>
          <w:spacing w:val="0"/>
          <w:w w:val="100"/>
          <w:position w:val="0"/>
        </w:rPr>
        <w:t>14.53%</w:t>
      </w:r>
      <w:r>
        <w:rPr>
          <w:color w:val="000000"/>
          <w:spacing w:val="0"/>
          <w:w w:val="100"/>
          <w:position w:val="0"/>
        </w:rPr>
        <w:t>，主要原因是公司积极进行业务拓展， 保持了营业收入的稳步增长。</w:t>
      </w:r>
    </w:p>
    <w:p>
      <w:pPr>
        <w:pStyle w:val="Style35"/>
        <w:keepNext w:val="0"/>
        <w:keepLines w:val="0"/>
        <w:widowControl w:val="0"/>
        <w:shd w:val="clear" w:color="auto" w:fill="auto"/>
        <w:bidi w:val="0"/>
        <w:spacing w:before="0" w:after="460" w:line="475" w:lineRule="exact"/>
        <w:ind w:left="0" w:right="0" w:firstLine="440"/>
        <w:jc w:val="both"/>
      </w:pPr>
      <w:r>
        <w:rPr>
          <w:color w:val="000000"/>
          <w:spacing w:val="0"/>
          <w:w w:val="100"/>
          <w:position w:val="0"/>
        </w:rPr>
        <w:t>报告期内，公司实现利润总额</w:t>
      </w:r>
      <w:r>
        <w:rPr>
          <w:rFonts w:ascii="Times New Roman" w:eastAsia="Times New Roman" w:hAnsi="Times New Roman" w:cs="Times New Roman"/>
          <w:color w:val="000000"/>
          <w:spacing w:val="0"/>
          <w:w w:val="100"/>
          <w:position w:val="0"/>
        </w:rPr>
        <w:t>3,621.56</w:t>
      </w:r>
      <w:r>
        <w:rPr>
          <w:color w:val="000000"/>
          <w:spacing w:val="0"/>
          <w:w w:val="100"/>
          <w:position w:val="0"/>
        </w:rPr>
        <w:t>万元，同比下降</w:t>
      </w:r>
      <w:r>
        <w:rPr>
          <w:rFonts w:ascii="Times New Roman" w:eastAsia="Times New Roman" w:hAnsi="Times New Roman" w:cs="Times New Roman"/>
          <w:color w:val="000000"/>
          <w:spacing w:val="0"/>
          <w:w w:val="100"/>
          <w:position w:val="0"/>
        </w:rPr>
        <w:t>46.58%</w:t>
      </w:r>
      <w:r>
        <w:rPr>
          <w:color w:val="000000"/>
          <w:spacing w:val="0"/>
          <w:w w:val="100"/>
          <w:position w:val="0"/>
        </w:rPr>
        <w:t>；归属母公司所有者的净利润</w:t>
      </w:r>
      <w:r>
        <w:rPr>
          <w:rFonts w:ascii="Times New Roman" w:eastAsia="Times New Roman" w:hAnsi="Times New Roman" w:cs="Times New Roman"/>
          <w:color w:val="000000"/>
          <w:spacing w:val="0"/>
          <w:w w:val="100"/>
          <w:position w:val="0"/>
        </w:rPr>
        <w:t>3,196.33</w:t>
      </w:r>
      <w:r>
        <w:rPr>
          <w:color w:val="000000"/>
          <w:spacing w:val="0"/>
          <w:w w:val="100"/>
          <w:position w:val="0"/>
        </w:rPr>
        <w:t>万 元，同比下降</w:t>
      </w:r>
      <w:r>
        <w:rPr>
          <w:rFonts w:ascii="Times New Roman" w:eastAsia="Times New Roman" w:hAnsi="Times New Roman" w:cs="Times New Roman"/>
          <w:color w:val="000000"/>
          <w:spacing w:val="0"/>
          <w:w w:val="100"/>
          <w:position w:val="0"/>
        </w:rPr>
        <w:t>44.98%</w:t>
      </w:r>
      <w:r>
        <w:rPr>
          <w:color w:val="000000"/>
          <w:spacing w:val="0"/>
          <w:w w:val="100"/>
          <w:position w:val="0"/>
        </w:rPr>
        <w:t>，主要原因是部分安全集成项目的毛利率有所下降，同时随着公司业务规模的扩大， 人工、折旧等费用增加较多，项目效益相对滞后，影响了公司在报告期内的利润情况。</w:t>
      </w:r>
    </w:p>
    <w:p>
      <w:pPr>
        <w:pStyle w:val="Style38"/>
        <w:keepNext/>
        <w:keepLines/>
        <w:widowControl w:val="0"/>
        <w:shd w:val="clear" w:color="auto" w:fill="auto"/>
        <w:bidi w:val="0"/>
        <w:spacing w:before="0" w:after="220" w:line="470" w:lineRule="exact"/>
        <w:ind w:left="0" w:right="0"/>
        <w:jc w:val="both"/>
      </w:pPr>
      <w:bookmarkStart w:id="64" w:name="bookmark64"/>
      <w:bookmarkStart w:id="65" w:name="bookmark65"/>
      <w:bookmarkStart w:id="66" w:name="bookmark66"/>
      <w:r>
        <w:rPr>
          <w:color w:val="000000"/>
          <w:spacing w:val="0"/>
          <w:w w:val="100"/>
          <w:position w:val="0"/>
        </w:rPr>
        <w:t>报告期内，公司主要经营情况如下：</w:t>
      </w:r>
      <w:bookmarkEnd w:id="64"/>
      <w:bookmarkEnd w:id="65"/>
      <w:bookmarkEnd w:id="66"/>
    </w:p>
    <w:p>
      <w:pPr>
        <w:pStyle w:val="Style38"/>
        <w:keepNext/>
        <w:keepLines/>
        <w:widowControl w:val="0"/>
        <w:shd w:val="clear" w:color="auto" w:fill="auto"/>
        <w:bidi w:val="0"/>
        <w:spacing w:before="0" w:after="0"/>
        <w:ind w:left="0" w:right="0" w:firstLine="360"/>
        <w:jc w:val="both"/>
      </w:pPr>
      <w:bookmarkStart w:id="64" w:name="bookmark64"/>
      <w:bookmarkStart w:id="65" w:name="bookmark65"/>
      <w:bookmarkStart w:id="67" w:name="bookmark67"/>
      <w:bookmarkStart w:id="68" w:name="bookmark68"/>
      <w:r>
        <w:rPr>
          <w:rFonts w:ascii="Times New Roman" w:eastAsia="Times New Roman" w:hAnsi="Times New Roman" w:cs="Times New Roman"/>
          <w:color w:val="000000"/>
          <w:spacing w:val="0"/>
          <w:w w:val="100"/>
          <w:position w:val="0"/>
        </w:rPr>
        <w:t>1</w:t>
      </w:r>
      <w:bookmarkEnd w:id="67"/>
      <w:r>
        <w:rPr>
          <w:color w:val="000000"/>
          <w:spacing w:val="0"/>
          <w:w w:val="100"/>
          <w:position w:val="0"/>
        </w:rPr>
        <w:t>、市场拓展方面</w:t>
      </w:r>
      <w:bookmarkEnd w:id="64"/>
      <w:bookmarkEnd w:id="65"/>
      <w:bookmarkEnd w:id="68"/>
    </w:p>
    <w:p>
      <w:pPr>
        <w:pStyle w:val="Style35"/>
        <w:keepNext w:val="0"/>
        <w:keepLines w:val="0"/>
        <w:widowControl w:val="0"/>
        <w:shd w:val="clear" w:color="auto" w:fill="auto"/>
        <w:tabs>
          <w:tab w:pos="982" w:val="left"/>
        </w:tabs>
        <w:bidi w:val="0"/>
        <w:spacing w:before="0" w:after="0" w:line="470" w:lineRule="exact"/>
        <w:ind w:left="0" w:right="0" w:firstLine="440"/>
        <w:jc w:val="both"/>
      </w:pPr>
      <w:bookmarkStart w:id="69" w:name="bookmark69"/>
      <w:r>
        <w:rPr>
          <w:color w:val="000000"/>
          <w:spacing w:val="0"/>
          <w:w w:val="100"/>
          <w:position w:val="0"/>
        </w:rPr>
        <w:t>（</w:t>
      </w:r>
      <w:bookmarkEnd w:id="69"/>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年公司继续加大市场拓展力度，以用户需求为先导，提出了 “技术研发人员到市场中去” 的策略，强化了售前、售后和研发人员的沟通交流，客户的开发和服务管理体系得以优化，用户黏性不断 提高，品牌知名度得到一定提升；公司在市场推广中重视市场调研工作，并时刻了解竞争对手的情况，销 售人员也更清楚地掌握了自身产品和方案的功能及亮点；同时，由于公司的安全集成业务渐趋稳定，销售 团队也把更多精力放到了产品及解决方案的推广上，公司的市场开发能力和抵御市场风险能力也不断增 强。</w:t>
      </w:r>
    </w:p>
    <w:p>
      <w:pPr>
        <w:pStyle w:val="Style35"/>
        <w:keepNext w:val="0"/>
        <w:keepLines w:val="0"/>
        <w:widowControl w:val="0"/>
        <w:shd w:val="clear" w:color="auto" w:fill="auto"/>
        <w:tabs>
          <w:tab w:pos="977" w:val="left"/>
        </w:tabs>
        <w:bidi w:val="0"/>
        <w:spacing w:before="0" w:after="0" w:line="470" w:lineRule="exact"/>
        <w:ind w:left="0" w:right="0" w:firstLine="440"/>
        <w:jc w:val="both"/>
      </w:pPr>
      <w:bookmarkStart w:id="70" w:name="bookmark70"/>
      <w:r>
        <w:rPr>
          <w:color w:val="000000"/>
          <w:spacing w:val="0"/>
          <w:w w:val="100"/>
          <w:position w:val="0"/>
        </w:rPr>
        <w:t>（</w:t>
      </w:r>
      <w:bookmarkEnd w:id="70"/>
      <w:r>
        <w:rPr>
          <w:rFonts w:ascii="Times New Roman" w:eastAsia="Times New Roman" w:hAnsi="Times New Roman" w:cs="Times New Roman"/>
          <w:color w:val="000000"/>
          <w:spacing w:val="0"/>
          <w:w w:val="100"/>
          <w:position w:val="0"/>
        </w:rPr>
        <w:t>2</w:t>
      </w:r>
      <w:r>
        <w:rPr>
          <w:color w:val="000000"/>
          <w:spacing w:val="0"/>
          <w:w w:val="100"/>
          <w:position w:val="0"/>
        </w:rPr>
        <w:t>）</w:t>
        <w:tab/>
        <w:t>报告期内，公司建立了更为完善的全国市场营销网络，新设立了北京、重庆等分公司及浙江、 南京、兰州、海口等办事处。截至</w:t>
      </w:r>
      <w:r>
        <w:rPr>
          <w:rFonts w:ascii="Times New Roman" w:eastAsia="Times New Roman" w:hAnsi="Times New Roman" w:cs="Times New Roman"/>
          <w:color w:val="000000"/>
          <w:spacing w:val="0"/>
          <w:w w:val="100"/>
          <w:position w:val="0"/>
        </w:rPr>
        <w:t>2013</w:t>
      </w:r>
      <w:r>
        <w:rPr>
          <w:color w:val="000000"/>
          <w:spacing w:val="0"/>
          <w:w w:val="100"/>
          <w:position w:val="0"/>
        </w:rPr>
        <w:t>年底，公司共设立了</w:t>
      </w:r>
      <w:r>
        <w:rPr>
          <w:rFonts w:ascii="Times New Roman" w:eastAsia="Times New Roman" w:hAnsi="Times New Roman" w:cs="Times New Roman"/>
          <w:color w:val="000000"/>
          <w:spacing w:val="0"/>
          <w:w w:val="100"/>
          <w:position w:val="0"/>
        </w:rPr>
        <w:t>8</w:t>
      </w:r>
      <w:r>
        <w:rPr>
          <w:color w:val="000000"/>
          <w:spacing w:val="0"/>
          <w:w w:val="100"/>
          <w:position w:val="0"/>
        </w:rPr>
        <w:t>家分公司、</w:t>
      </w:r>
      <w:r>
        <w:rPr>
          <w:rFonts w:ascii="Times New Roman" w:eastAsia="Times New Roman" w:hAnsi="Times New Roman" w:cs="Times New Roman"/>
          <w:color w:val="000000"/>
          <w:spacing w:val="0"/>
          <w:w w:val="100"/>
          <w:position w:val="0"/>
        </w:rPr>
        <w:t>11</w:t>
      </w:r>
      <w:r>
        <w:rPr>
          <w:color w:val="000000"/>
          <w:spacing w:val="0"/>
          <w:w w:val="100"/>
          <w:position w:val="0"/>
        </w:rPr>
        <w:t xml:space="preserve">个办事处，异地扩张步伐不断 </w:t>
      </w:r>
      <w:r>
        <w:rPr>
          <w:color w:val="000000"/>
          <w:spacing w:val="0"/>
          <w:w w:val="100"/>
          <w:position w:val="0"/>
        </w:rPr>
        <w:t>迈进，同时公司继续夯实在华南地区的龙头地位，业务深度不断提升。从销售收入来看，华南地区稳步提 升，市场占有率进一步提高，而华北、西北等区域则呈现出快速上升的趋势，公司的全国性业务拓展工作 卓有成效。</w:t>
      </w:r>
    </w:p>
    <w:p>
      <w:pPr>
        <w:pStyle w:val="Style35"/>
        <w:keepNext w:val="0"/>
        <w:keepLines w:val="0"/>
        <w:widowControl w:val="0"/>
        <w:shd w:val="clear" w:color="auto" w:fill="auto"/>
        <w:bidi w:val="0"/>
        <w:spacing w:before="0" w:after="220" w:line="470" w:lineRule="exact"/>
        <w:ind w:left="0" w:right="0" w:firstLine="440"/>
        <w:jc w:val="both"/>
      </w:pPr>
      <w:bookmarkStart w:id="71" w:name="bookmark71"/>
      <w:r>
        <w:rPr>
          <w:color w:val="000000"/>
          <w:spacing w:val="0"/>
          <w:w w:val="100"/>
          <w:position w:val="0"/>
        </w:rPr>
        <w:t>（</w:t>
      </w:r>
      <w:bookmarkEnd w:id="71"/>
      <w:r>
        <w:rPr>
          <w:rFonts w:ascii="Times New Roman" w:eastAsia="Times New Roman" w:hAnsi="Times New Roman" w:cs="Times New Roman"/>
          <w:color w:val="000000"/>
          <w:spacing w:val="0"/>
          <w:w w:val="100"/>
          <w:position w:val="0"/>
        </w:rPr>
        <w:t>3</w:t>
      </w:r>
      <w:r>
        <w:rPr>
          <w:color w:val="000000"/>
          <w:spacing w:val="0"/>
          <w:w w:val="100"/>
          <w:position w:val="0"/>
        </w:rPr>
        <w:t>）报告期内，公司保持了在政府、教育等行业的竞争优势，同时向应急等新领域进行了积极拓展, 已形成政府、教育、应急、电信、电力、金融、医疗、交通等十多个行业较成熟的解决方案，公司的市场 营销团队通过召开产品发布会、研讨会等行业化营销的方式，在全国各省、市、自治区的各个行业客户进 行了开发和渗透，取得了良好的效果；同时，公司也重点关注“智慧城市”建设带来的契机，如智能政务、 智能建筑、智能交通、智慧教育、智慧医疗等领域，由于客户在相关领域的信息化建设中越来越关注信息 安全问题，也给公司的销售团队带来了一定机会。</w:t>
      </w:r>
    </w:p>
    <w:p>
      <w:pPr>
        <w:pStyle w:val="Style38"/>
        <w:keepNext/>
        <w:keepLines/>
        <w:widowControl w:val="0"/>
        <w:shd w:val="clear" w:color="auto" w:fill="auto"/>
        <w:bidi w:val="0"/>
        <w:spacing w:before="0" w:after="0"/>
        <w:ind w:left="0" w:right="0"/>
        <w:jc w:val="both"/>
      </w:pPr>
      <w:bookmarkStart w:id="72" w:name="bookmark72"/>
      <w:bookmarkStart w:id="73" w:name="bookmark73"/>
      <w:bookmarkStart w:id="74" w:name="bookmark74"/>
      <w:bookmarkStart w:id="75" w:name="bookmark75"/>
      <w:r>
        <w:rPr>
          <w:rFonts w:ascii="Times New Roman" w:eastAsia="Times New Roman" w:hAnsi="Times New Roman" w:cs="Times New Roman"/>
          <w:color w:val="000000"/>
          <w:spacing w:val="0"/>
          <w:w w:val="100"/>
          <w:position w:val="0"/>
        </w:rPr>
        <w:t>2</w:t>
      </w:r>
      <w:bookmarkEnd w:id="74"/>
      <w:r>
        <w:rPr>
          <w:color w:val="000000"/>
          <w:spacing w:val="0"/>
          <w:w w:val="100"/>
          <w:position w:val="0"/>
        </w:rPr>
        <w:t>、核心产品及技术研发方面</w:t>
      </w:r>
      <w:bookmarkEnd w:id="72"/>
      <w:bookmarkEnd w:id="73"/>
      <w:bookmarkEnd w:id="75"/>
    </w:p>
    <w:p>
      <w:pPr>
        <w:pStyle w:val="Style35"/>
        <w:keepNext w:val="0"/>
        <w:keepLines w:val="0"/>
        <w:widowControl w:val="0"/>
        <w:shd w:val="clear" w:color="auto" w:fill="auto"/>
        <w:bidi w:val="0"/>
        <w:spacing w:before="0" w:after="0" w:line="470" w:lineRule="exact"/>
        <w:ind w:left="0" w:right="0" w:firstLine="440"/>
        <w:jc w:val="both"/>
      </w:pPr>
      <w:bookmarkStart w:id="76" w:name="bookmark76"/>
      <w:r>
        <w:rPr>
          <w:color w:val="000000"/>
          <w:spacing w:val="0"/>
          <w:w w:val="100"/>
          <w:position w:val="0"/>
        </w:rPr>
        <w:t>（</w:t>
      </w:r>
      <w:bookmarkEnd w:id="76"/>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2013</w:t>
      </w:r>
      <w:r>
        <w:rPr>
          <w:color w:val="000000"/>
          <w:spacing w:val="0"/>
          <w:w w:val="100"/>
          <w:position w:val="0"/>
        </w:rPr>
        <w:t>年公司继续加大研发投入，对产品线进行了整体规划，产品研发往行业化定制及高性能等 方向发展，更好地适应和满足了客户需求；围绕公司的募投项目，对产品结构进行了完善、升级，报告期 内，公司多个募投项目基本研发完成（募投项目进度情况详见本节第“</w:t>
      </w:r>
      <w:r>
        <w:rPr>
          <w:rFonts w:ascii="Times New Roman" w:eastAsia="Times New Roman" w:hAnsi="Times New Roman" w:cs="Times New Roman"/>
          <w:color w:val="000000"/>
          <w:spacing w:val="0"/>
          <w:w w:val="100"/>
          <w:position w:val="0"/>
        </w:rPr>
        <w:t>6</w:t>
      </w:r>
      <w:r>
        <w:rPr>
          <w:color w:val="000000"/>
          <w:spacing w:val="0"/>
          <w:w w:val="100"/>
          <w:position w:val="0"/>
        </w:rPr>
        <w:t>、募投项目进展情况”），对公司 核心竞争力的提高具有重大意义。</w:t>
      </w:r>
    </w:p>
    <w:p>
      <w:pPr>
        <w:pStyle w:val="Style35"/>
        <w:keepNext w:val="0"/>
        <w:keepLines w:val="0"/>
        <w:widowControl w:val="0"/>
        <w:shd w:val="clear" w:color="auto" w:fill="auto"/>
        <w:tabs>
          <w:tab w:pos="961" w:val="left"/>
        </w:tabs>
        <w:bidi w:val="0"/>
        <w:spacing w:before="0" w:after="0" w:line="470" w:lineRule="exact"/>
        <w:ind w:left="0" w:right="0" w:firstLine="440"/>
        <w:jc w:val="both"/>
      </w:pPr>
      <w:bookmarkStart w:id="77" w:name="bookmark77"/>
      <w:r>
        <w:rPr>
          <w:color w:val="000000"/>
          <w:spacing w:val="0"/>
          <w:w w:val="100"/>
          <w:position w:val="0"/>
        </w:rPr>
        <w:t>（</w:t>
      </w:r>
      <w:bookmarkEnd w:id="77"/>
      <w:r>
        <w:rPr>
          <w:rFonts w:ascii="Times New Roman" w:eastAsia="Times New Roman" w:hAnsi="Times New Roman" w:cs="Times New Roman"/>
          <w:color w:val="000000"/>
          <w:spacing w:val="0"/>
          <w:w w:val="100"/>
          <w:position w:val="0"/>
        </w:rPr>
        <w:t>2</w:t>
      </w:r>
      <w:r>
        <w:rPr>
          <w:color w:val="000000"/>
          <w:spacing w:val="0"/>
          <w:w w:val="100"/>
          <w:position w:val="0"/>
        </w:rPr>
        <w:t>）</w:t>
        <w:tab/>
        <w:t>报告期内，公司在业内率先提出了 “动立方”的产品理念，即实现主动、自动、联动的安全防 护，建立主动防御、自动响应、联动管理的网络安全防护体系。“动立方”的提出也呼应了公司“让你的 安全更智慧”的理念，并且落实体现在了边界安全、安全管理、安全审计、应用安全等多条产品线上。如 边界安全产品运用了蜜罐技术、自动反向拍照、自动反</w:t>
      </w:r>
      <w:r>
        <w:rPr>
          <w:rFonts w:ascii="Times New Roman" w:eastAsia="Times New Roman" w:hAnsi="Times New Roman" w:cs="Times New Roman"/>
          <w:color w:val="000000"/>
          <w:spacing w:val="0"/>
          <w:w w:val="100"/>
          <w:position w:val="0"/>
        </w:rPr>
        <w:t>DDOS/CC</w:t>
      </w:r>
      <w:r>
        <w:rPr>
          <w:color w:val="000000"/>
          <w:spacing w:val="0"/>
          <w:w w:val="100"/>
          <w:position w:val="0"/>
        </w:rPr>
        <w:t>攻击等技术，安全管理产品运用了智能应 急联动、自动巡检、内网异常行为主动监控等技术，安全审计产品运用了图片内容主动识别、网盘文件主 动识别、关键数据主动监控等技术，应用安全产品运用了服务器资源及进程自动监控、移动安全主动防护 等技术。随着网络安全环境日趋多样化、复杂化，以上各条产品线的智慧安全产品能协助用户更好地进行 主动、自动防御并统一安全部署策略，协同各安全产品，在出现网络安全事件或故障时快速反应、全面排 除故障，帮助用户简化大量繁琐的工作，降低管理和运维的难度，并提升安全保护力度，让用户得到更智 慧的安全防护。</w:t>
      </w:r>
    </w:p>
    <w:p>
      <w:pPr>
        <w:pStyle w:val="Style35"/>
        <w:keepNext w:val="0"/>
        <w:keepLines w:val="0"/>
        <w:widowControl w:val="0"/>
        <w:shd w:val="clear" w:color="auto" w:fill="auto"/>
        <w:tabs>
          <w:tab w:pos="961" w:val="left"/>
        </w:tabs>
        <w:bidi w:val="0"/>
        <w:spacing w:before="0" w:after="240" w:line="470" w:lineRule="exact"/>
        <w:ind w:left="0" w:right="0" w:firstLine="440"/>
        <w:jc w:val="both"/>
      </w:pPr>
      <w:bookmarkStart w:id="78" w:name="bookmark78"/>
      <w:r>
        <w:rPr>
          <w:color w:val="000000"/>
          <w:spacing w:val="0"/>
          <w:w w:val="100"/>
          <w:position w:val="0"/>
        </w:rPr>
        <w:t>（</w:t>
      </w:r>
      <w:bookmarkEnd w:id="78"/>
      <w:r>
        <w:rPr>
          <w:rFonts w:ascii="Times New Roman" w:eastAsia="Times New Roman" w:hAnsi="Times New Roman" w:cs="Times New Roman"/>
          <w:color w:val="000000"/>
          <w:spacing w:val="0"/>
          <w:w w:val="100"/>
          <w:position w:val="0"/>
        </w:rPr>
        <w:t>3</w:t>
      </w:r>
      <w:r>
        <w:rPr>
          <w:color w:val="000000"/>
          <w:spacing w:val="0"/>
          <w:w w:val="100"/>
          <w:position w:val="0"/>
        </w:rPr>
        <w:t>）</w:t>
        <w:tab/>
        <w:t>报告期内，公司注重研发创新，综合运用各类前沿技术研发、探索出一系列的创新产品。针对 云计算安全问题，在公司原有的网站防护系统</w:t>
      </w:r>
      <w:r>
        <w:rPr>
          <w:rFonts w:ascii="Times New Roman" w:eastAsia="Times New Roman" w:hAnsi="Times New Roman" w:cs="Times New Roman"/>
          <w:color w:val="000000"/>
          <w:spacing w:val="0"/>
          <w:w w:val="100"/>
          <w:position w:val="0"/>
        </w:rPr>
        <w:t>Cl oudFenc e</w:t>
      </w:r>
      <w:r>
        <w:rPr>
          <w:color w:val="000000"/>
          <w:spacing w:val="0"/>
          <w:w w:val="100"/>
          <w:position w:val="0"/>
        </w:rPr>
        <w:t>云防线的基础上，进一步探索了云计算安全监控 及管理平台，并在教育、电信等行业开展了私有云建设试点；针对“大数据”安全问题，公司提出了大数 据应用平台的安全管理方案，并开始着手研发大数据安全综合管理平台，相关项目也进入了国家发改委组 织的</w:t>
      </w:r>
      <w:r>
        <w:rPr>
          <w:rFonts w:ascii="Times New Roman" w:eastAsia="Times New Roman" w:hAnsi="Times New Roman" w:cs="Times New Roman"/>
          <w:color w:val="000000"/>
          <w:spacing w:val="0"/>
          <w:w w:val="100"/>
          <w:position w:val="0"/>
        </w:rPr>
        <w:t>2013</w:t>
      </w:r>
      <w:r>
        <w:rPr>
          <w:color w:val="000000"/>
          <w:spacing w:val="0"/>
          <w:w w:val="100"/>
          <w:position w:val="0"/>
        </w:rPr>
        <w:t>年国家信息安全专项产品测试名单；针对</w:t>
      </w:r>
      <w:r>
        <w:rPr>
          <w:rFonts w:ascii="Times New Roman" w:eastAsia="Times New Roman" w:hAnsi="Times New Roman" w:cs="Times New Roman"/>
          <w:color w:val="000000"/>
          <w:spacing w:val="0"/>
          <w:w w:val="100"/>
          <w:position w:val="0"/>
        </w:rPr>
        <w:t>IPv4</w:t>
      </w:r>
      <w:r>
        <w:rPr>
          <w:color w:val="000000"/>
          <w:spacing w:val="0"/>
          <w:w w:val="100"/>
          <w:position w:val="0"/>
        </w:rPr>
        <w:t>至</w:t>
      </w:r>
      <w:r>
        <w:rPr>
          <w:rFonts w:ascii="Times New Roman" w:eastAsia="Times New Roman" w:hAnsi="Times New Roman" w:cs="Times New Roman"/>
          <w:color w:val="000000"/>
          <w:spacing w:val="0"/>
          <w:w w:val="100"/>
          <w:position w:val="0"/>
        </w:rPr>
        <w:t>IPv6</w:t>
      </w:r>
      <w:r>
        <w:rPr>
          <w:color w:val="000000"/>
          <w:spacing w:val="0"/>
          <w:w w:val="100"/>
          <w:position w:val="0"/>
        </w:rPr>
        <w:t>的升级、迁移问题，公司也进行了快速、全 面的部署，报告期内，蓝盾防火墙、</w:t>
      </w:r>
      <w:r>
        <w:rPr>
          <w:rFonts w:ascii="Times New Roman" w:eastAsia="Times New Roman" w:hAnsi="Times New Roman" w:cs="Times New Roman"/>
          <w:color w:val="000000"/>
          <w:spacing w:val="0"/>
          <w:w w:val="100"/>
          <w:position w:val="0"/>
        </w:rPr>
        <w:t>UTM</w:t>
      </w:r>
      <w:r>
        <w:rPr>
          <w:color w:val="000000"/>
          <w:spacing w:val="0"/>
          <w:w w:val="100"/>
          <w:position w:val="0"/>
        </w:rPr>
        <w:t>、</w:t>
      </w:r>
      <w:r>
        <w:rPr>
          <w:rFonts w:ascii="Times New Roman" w:eastAsia="Times New Roman" w:hAnsi="Times New Roman" w:cs="Times New Roman"/>
          <w:color w:val="000000"/>
          <w:spacing w:val="0"/>
          <w:w w:val="100"/>
          <w:position w:val="0"/>
        </w:rPr>
        <w:t>IDS</w:t>
      </w:r>
      <w:r>
        <w:rPr>
          <w:color w:val="000000"/>
          <w:spacing w:val="0"/>
          <w:w w:val="100"/>
          <w:position w:val="0"/>
        </w:rPr>
        <w:t>、</w:t>
      </w:r>
      <w:r>
        <w:rPr>
          <w:rFonts w:ascii="Times New Roman" w:eastAsia="Times New Roman" w:hAnsi="Times New Roman" w:cs="Times New Roman"/>
          <w:color w:val="000000"/>
          <w:spacing w:val="0"/>
          <w:w w:val="100"/>
          <w:position w:val="0"/>
        </w:rPr>
        <w:t>IPS</w:t>
      </w:r>
      <w:r>
        <w:rPr>
          <w:color w:val="000000"/>
          <w:spacing w:val="0"/>
          <w:w w:val="100"/>
          <w:position w:val="0"/>
        </w:rPr>
        <w:t>、</w:t>
      </w:r>
      <w:r>
        <w:rPr>
          <w:rFonts w:ascii="Times New Roman" w:eastAsia="Times New Roman" w:hAnsi="Times New Roman" w:cs="Times New Roman"/>
          <w:color w:val="000000"/>
          <w:spacing w:val="0"/>
          <w:w w:val="100"/>
          <w:position w:val="0"/>
        </w:rPr>
        <w:t>SOC</w:t>
      </w:r>
      <w:r>
        <w:rPr>
          <w:color w:val="000000"/>
          <w:spacing w:val="0"/>
          <w:w w:val="100"/>
          <w:position w:val="0"/>
        </w:rPr>
        <w:t>、</w:t>
      </w:r>
      <w:r>
        <w:rPr>
          <w:color w:val="000000"/>
          <w:spacing w:val="0"/>
          <w:w w:val="100"/>
          <w:position w:val="0"/>
        </w:rPr>
        <w:t>安全管理审计等六类产品均获得了</w:t>
      </w:r>
      <w:r>
        <w:rPr>
          <w:rFonts w:ascii="Times New Roman" w:eastAsia="Times New Roman" w:hAnsi="Times New Roman" w:cs="Times New Roman"/>
          <w:color w:val="000000"/>
          <w:spacing w:val="0"/>
          <w:w w:val="100"/>
          <w:position w:val="0"/>
        </w:rPr>
        <w:t>IPv6</w:t>
      </w:r>
      <w:r>
        <w:rPr>
          <w:color w:val="000000"/>
          <w:spacing w:val="0"/>
          <w:w w:val="100"/>
          <w:position w:val="0"/>
        </w:rPr>
        <w:t xml:space="preserve">金牌 </w:t>
      </w:r>
      <w:r>
        <w:rPr>
          <w:color w:val="000000"/>
          <w:spacing w:val="0"/>
          <w:w w:val="100"/>
          <w:position w:val="0"/>
        </w:rPr>
        <w:t>认证，成为国内信息安全产品通过</w:t>
      </w:r>
      <w:r>
        <w:rPr>
          <w:rFonts w:ascii="Times New Roman" w:eastAsia="Times New Roman" w:hAnsi="Times New Roman" w:cs="Times New Roman"/>
          <w:color w:val="000000"/>
          <w:spacing w:val="0"/>
          <w:w w:val="100"/>
          <w:position w:val="0"/>
        </w:rPr>
        <w:t>IPv6</w:t>
      </w:r>
      <w:r>
        <w:rPr>
          <w:color w:val="000000"/>
          <w:spacing w:val="0"/>
          <w:w w:val="100"/>
          <w:position w:val="0"/>
        </w:rPr>
        <w:t>金牌认证最多的厂商之一；针对移动安全问题，报告期内，公司推 出了移动安全平台管理系统，能强力保护企业、组织的移动办公数据安全，保障其业务正常安全地开展； 针对虚拟化技术的飞速发展，公司加强了</w:t>
      </w:r>
      <w:r>
        <w:rPr>
          <w:rFonts w:ascii="Times New Roman" w:eastAsia="Times New Roman" w:hAnsi="Times New Roman" w:cs="Times New Roman"/>
          <w:color w:val="000000"/>
          <w:spacing w:val="0"/>
          <w:w w:val="100"/>
          <w:position w:val="0"/>
        </w:rPr>
        <w:t>SDN</w:t>
      </w:r>
      <w:r>
        <w:rPr>
          <w:color w:val="000000"/>
          <w:spacing w:val="0"/>
          <w:w w:val="100"/>
          <w:position w:val="0"/>
        </w:rPr>
        <w:t>、</w:t>
      </w:r>
      <w:r>
        <w:rPr>
          <w:rFonts w:ascii="Times New Roman" w:eastAsia="Times New Roman" w:hAnsi="Times New Roman" w:cs="Times New Roman"/>
          <w:color w:val="000000"/>
          <w:spacing w:val="0"/>
          <w:w w:val="100"/>
          <w:position w:val="0"/>
        </w:rPr>
        <w:t>NFV</w:t>
      </w:r>
      <w:r>
        <w:rPr>
          <w:color w:val="000000"/>
          <w:spacing w:val="0"/>
          <w:w w:val="100"/>
          <w:position w:val="0"/>
        </w:rPr>
        <w:t>等技术的研究探索，注重移动应用虚拟化及数据安全 管理问题，报告期内推出了</w:t>
      </w:r>
      <w:r>
        <w:rPr>
          <w:rFonts w:ascii="Times New Roman" w:eastAsia="Times New Roman" w:hAnsi="Times New Roman" w:cs="Times New Roman"/>
          <w:color w:val="000000"/>
          <w:spacing w:val="0"/>
          <w:w w:val="100"/>
          <w:position w:val="0"/>
        </w:rPr>
        <w:t>SDN</w:t>
      </w:r>
      <w:r>
        <w:rPr>
          <w:color w:val="000000"/>
          <w:spacing w:val="0"/>
          <w:w w:val="100"/>
          <w:position w:val="0"/>
        </w:rPr>
        <w:t>网络实验室，通过智能化的配置管理大幅节省了用户的精力并且降低了运 维技术要求；另外针对一些新领域的客户需求，相应推出了全息智能监控应急指挥调度平台及业务流程监 控系统等产品及解决方案，为公司的市场拓展打下了良好的产品和技术基础。</w:t>
      </w:r>
    </w:p>
    <w:p>
      <w:pPr>
        <w:pStyle w:val="Style38"/>
        <w:keepNext/>
        <w:keepLines/>
        <w:widowControl w:val="0"/>
        <w:shd w:val="clear" w:color="auto" w:fill="auto"/>
        <w:bidi w:val="0"/>
        <w:spacing w:before="0" w:after="0" w:line="492" w:lineRule="auto"/>
        <w:ind w:left="0" w:right="0"/>
        <w:jc w:val="both"/>
      </w:pPr>
      <w:bookmarkStart w:id="79" w:name="bookmark79"/>
      <w:bookmarkStart w:id="80" w:name="bookmark80"/>
      <w:bookmarkStart w:id="81" w:name="bookmark81"/>
      <w:bookmarkStart w:id="82" w:name="bookmark82"/>
      <w:r>
        <w:rPr>
          <w:rFonts w:ascii="Times New Roman" w:eastAsia="Times New Roman" w:hAnsi="Times New Roman" w:cs="Times New Roman"/>
          <w:color w:val="000000"/>
          <w:spacing w:val="0"/>
          <w:w w:val="100"/>
          <w:position w:val="0"/>
        </w:rPr>
        <w:t>3</w:t>
      </w:r>
      <w:bookmarkEnd w:id="81"/>
      <w:r>
        <w:rPr>
          <w:color w:val="000000"/>
          <w:spacing w:val="0"/>
          <w:w w:val="100"/>
          <w:position w:val="0"/>
        </w:rPr>
        <w:t>、公司管理方面</w:t>
      </w:r>
      <w:bookmarkEnd w:id="79"/>
      <w:bookmarkEnd w:id="80"/>
      <w:bookmarkEnd w:id="82"/>
    </w:p>
    <w:p>
      <w:pPr>
        <w:pStyle w:val="Style35"/>
        <w:keepNext w:val="0"/>
        <w:keepLines w:val="0"/>
        <w:widowControl w:val="0"/>
        <w:shd w:val="clear" w:color="auto" w:fill="auto"/>
        <w:tabs>
          <w:tab w:pos="956" w:val="left"/>
        </w:tabs>
        <w:bidi w:val="0"/>
        <w:spacing w:before="0" w:after="0" w:line="472" w:lineRule="exact"/>
        <w:ind w:left="0" w:right="0" w:firstLine="440"/>
        <w:jc w:val="both"/>
      </w:pPr>
      <w:bookmarkStart w:id="83" w:name="bookmark83"/>
      <w:r>
        <w:rPr>
          <w:color w:val="000000"/>
          <w:spacing w:val="0"/>
          <w:w w:val="100"/>
          <w:position w:val="0"/>
        </w:rPr>
        <w:t>（</w:t>
      </w:r>
      <w:bookmarkEnd w:id="83"/>
      <w:r>
        <w:rPr>
          <w:rFonts w:ascii="Times New Roman" w:eastAsia="Times New Roman" w:hAnsi="Times New Roman" w:cs="Times New Roman"/>
          <w:color w:val="000000"/>
          <w:spacing w:val="0"/>
          <w:w w:val="100"/>
          <w:position w:val="0"/>
        </w:rPr>
        <w:t>1</w:t>
      </w:r>
      <w:r>
        <w:rPr>
          <w:color w:val="000000"/>
          <w:spacing w:val="0"/>
          <w:w w:val="100"/>
          <w:position w:val="0"/>
        </w:rPr>
        <w:t>）</w:t>
        <w:tab/>
        <w:t>报告期内，公司根据业务开展需要，进行了组织结构的调整优化，加强了部分区域营销管理体 系的建设，加强了售前、售后、研发等的流程管理，提高了重点业务推广及重点产品研发的效率。</w:t>
      </w:r>
    </w:p>
    <w:p>
      <w:pPr>
        <w:pStyle w:val="Style35"/>
        <w:keepNext w:val="0"/>
        <w:keepLines w:val="0"/>
        <w:widowControl w:val="0"/>
        <w:shd w:val="clear" w:color="auto" w:fill="auto"/>
        <w:bidi w:val="0"/>
        <w:spacing w:before="0" w:after="0" w:line="472" w:lineRule="exact"/>
        <w:ind w:left="0" w:right="0" w:firstLine="440"/>
        <w:jc w:val="both"/>
      </w:pPr>
      <w:bookmarkStart w:id="84" w:name="bookmark84"/>
      <w:r>
        <w:rPr>
          <w:color w:val="000000"/>
          <w:spacing w:val="0"/>
          <w:w w:val="100"/>
          <w:position w:val="0"/>
        </w:rPr>
        <w:t>（</w:t>
      </w:r>
      <w:bookmarkEnd w:id="84"/>
      <w:r>
        <w:rPr>
          <w:rFonts w:ascii="Times New Roman" w:eastAsia="Times New Roman" w:hAnsi="Times New Roman" w:cs="Times New Roman"/>
          <w:color w:val="000000"/>
          <w:spacing w:val="0"/>
          <w:w w:val="100"/>
          <w:position w:val="0"/>
        </w:rPr>
        <w:t>2</w:t>
      </w:r>
      <w:r>
        <w:rPr>
          <w:color w:val="000000"/>
          <w:spacing w:val="0"/>
          <w:w w:val="100"/>
          <w:position w:val="0"/>
        </w:rPr>
        <w:t>） 在内部控制管理方面，公司董事会根据相关法律法规的要求，不断加强公司治理，提高了规范 运作水平。报告期内，公司积极响应广东证监局关于加强上市公司治理的专项活动，对公司治理情况进行 了全面的自查，并披露了相应的自查报告，同时公司结合自身生产经营的需要，制定了《固定资产管理制 度》及《研发项目管理制度》等内部管理制度，公司内部控制体系得到了进一步的健全和优化。</w:t>
      </w:r>
    </w:p>
    <w:p>
      <w:pPr>
        <w:pStyle w:val="Style35"/>
        <w:keepNext w:val="0"/>
        <w:keepLines w:val="0"/>
        <w:widowControl w:val="0"/>
        <w:shd w:val="clear" w:color="auto" w:fill="auto"/>
        <w:tabs>
          <w:tab w:pos="961" w:val="left"/>
        </w:tabs>
        <w:bidi w:val="0"/>
        <w:spacing w:before="0" w:after="240" w:line="472" w:lineRule="exact"/>
        <w:ind w:left="0" w:right="0" w:firstLine="440"/>
        <w:jc w:val="both"/>
      </w:pPr>
      <w:bookmarkStart w:id="85" w:name="bookmark85"/>
      <w:r>
        <w:rPr>
          <w:color w:val="000000"/>
          <w:spacing w:val="0"/>
          <w:w w:val="100"/>
          <w:position w:val="0"/>
        </w:rPr>
        <w:t>（</w:t>
      </w:r>
      <w:bookmarkEnd w:id="85"/>
      <w:r>
        <w:rPr>
          <w:rFonts w:ascii="Times New Roman" w:eastAsia="Times New Roman" w:hAnsi="Times New Roman" w:cs="Times New Roman"/>
          <w:color w:val="000000"/>
          <w:spacing w:val="0"/>
          <w:w w:val="100"/>
          <w:position w:val="0"/>
        </w:rPr>
        <w:t>3</w:t>
      </w:r>
      <w:r>
        <w:rPr>
          <w:color w:val="000000"/>
          <w:spacing w:val="0"/>
          <w:w w:val="100"/>
          <w:position w:val="0"/>
        </w:rPr>
        <w:t>）</w:t>
        <w:tab/>
        <w:t>报告期内，公司积极履行了各项信息披露义务，信息披露水平不断提升，内幕信息知情人登记 管理工作执行到位，也严格按照监管机构的要求及流程进行了各类材料的报送。同时，公司高度重视投资 者关系管理工作，报告期内严格按照股东回报规划的要求制定并执行了利润分配方案，广泛听取了投资者 对公司的各类意见和建议，不断提高公司的管理水平和可持续发展能力。</w:t>
      </w:r>
    </w:p>
    <w:p>
      <w:pPr>
        <w:pStyle w:val="Style38"/>
        <w:keepNext/>
        <w:keepLines/>
        <w:widowControl w:val="0"/>
        <w:shd w:val="clear" w:color="auto" w:fill="auto"/>
        <w:tabs>
          <w:tab w:pos="910" w:val="left"/>
        </w:tabs>
        <w:bidi w:val="0"/>
        <w:spacing w:before="0" w:after="0" w:line="492" w:lineRule="auto"/>
        <w:ind w:left="0" w:right="0" w:firstLine="520"/>
        <w:jc w:val="both"/>
      </w:pPr>
      <w:bookmarkStart w:id="86" w:name="bookmark86"/>
      <w:bookmarkStart w:id="87" w:name="bookmark87"/>
      <w:bookmarkStart w:id="88" w:name="bookmark88"/>
      <w:bookmarkStart w:id="89" w:name="bookmark89"/>
      <w:r>
        <w:rPr>
          <w:rFonts w:ascii="Times New Roman" w:eastAsia="Times New Roman" w:hAnsi="Times New Roman" w:cs="Times New Roman"/>
          <w:color w:val="000000"/>
          <w:spacing w:val="0"/>
          <w:w w:val="100"/>
          <w:position w:val="0"/>
        </w:rPr>
        <w:t>4</w:t>
      </w:r>
      <w:bookmarkEnd w:id="88"/>
      <w:r>
        <w:rPr>
          <w:color w:val="000000"/>
          <w:spacing w:val="0"/>
          <w:w w:val="100"/>
          <w:position w:val="0"/>
        </w:rPr>
        <w:t>、</w:t>
        <w:tab/>
        <w:t>人力资源管理方面</w:t>
      </w:r>
      <w:bookmarkEnd w:id="86"/>
      <w:bookmarkEnd w:id="87"/>
      <w:bookmarkEnd w:id="89"/>
    </w:p>
    <w:p>
      <w:pPr>
        <w:pStyle w:val="Style35"/>
        <w:keepNext w:val="0"/>
        <w:keepLines w:val="0"/>
        <w:widowControl w:val="0"/>
        <w:shd w:val="clear" w:color="auto" w:fill="auto"/>
        <w:bidi w:val="0"/>
        <w:spacing w:before="0" w:after="0" w:line="472" w:lineRule="exact"/>
        <w:ind w:left="0" w:right="0" w:firstLine="440"/>
        <w:jc w:val="left"/>
      </w:pPr>
      <w:bookmarkStart w:id="90" w:name="bookmark90"/>
      <w:r>
        <w:rPr>
          <w:color w:val="000000"/>
          <w:spacing w:val="0"/>
          <w:w w:val="100"/>
          <w:position w:val="0"/>
        </w:rPr>
        <w:t>（</w:t>
      </w:r>
      <w:bookmarkEnd w:id="90"/>
      <w:r>
        <w:rPr>
          <w:rFonts w:ascii="Times New Roman" w:eastAsia="Times New Roman" w:hAnsi="Times New Roman" w:cs="Times New Roman"/>
          <w:color w:val="000000"/>
          <w:spacing w:val="0"/>
          <w:w w:val="100"/>
          <w:position w:val="0"/>
        </w:rPr>
        <w:t>1</w:t>
      </w:r>
      <w:r>
        <w:rPr>
          <w:color w:val="000000"/>
          <w:spacing w:val="0"/>
          <w:w w:val="100"/>
          <w:position w:val="0"/>
        </w:rPr>
        <w:t>） 随着公司业务规模及区域的不断扩展，</w:t>
      </w:r>
      <w:r>
        <w:rPr>
          <w:rFonts w:ascii="Times New Roman" w:eastAsia="Times New Roman" w:hAnsi="Times New Roman" w:cs="Times New Roman"/>
          <w:color w:val="000000"/>
          <w:spacing w:val="0"/>
          <w:w w:val="100"/>
          <w:position w:val="0"/>
        </w:rPr>
        <w:t>2013</w:t>
      </w:r>
      <w:r>
        <w:rPr>
          <w:color w:val="000000"/>
          <w:spacing w:val="0"/>
          <w:w w:val="100"/>
          <w:position w:val="0"/>
        </w:rPr>
        <w:t>年公司加大对管理、技术研发、销售等各方面人才 的引进，并且对原有的团队结构进行了优化调整。截止</w:t>
      </w:r>
      <w:r>
        <w:rPr>
          <w:rFonts w:ascii="Times New Roman" w:eastAsia="Times New Roman" w:hAnsi="Times New Roman" w:cs="Times New Roman"/>
          <w:color w:val="000000"/>
          <w:spacing w:val="0"/>
          <w:w w:val="100"/>
          <w:position w:val="0"/>
        </w:rPr>
        <w:t>2013</w:t>
      </w:r>
      <w:r>
        <w:rPr>
          <w:color w:val="000000"/>
          <w:spacing w:val="0"/>
          <w:w w:val="100"/>
          <w:position w:val="0"/>
        </w:rPr>
        <w:t>年底，公司员工人数增加至</w:t>
      </w:r>
      <w:r>
        <w:rPr>
          <w:rFonts w:ascii="Times New Roman" w:eastAsia="Times New Roman" w:hAnsi="Times New Roman" w:cs="Times New Roman"/>
          <w:color w:val="000000"/>
          <w:spacing w:val="0"/>
          <w:w w:val="100"/>
          <w:position w:val="0"/>
        </w:rPr>
        <w:t>691</w:t>
      </w:r>
      <w:r>
        <w:rPr>
          <w:color w:val="000000"/>
          <w:spacing w:val="0"/>
          <w:w w:val="100"/>
          <w:position w:val="0"/>
        </w:rPr>
        <w:t>人，其中大部 分为技术研发及销售人员，高端技术人才及优秀营销、管理人才的引进为募投项目的后续工作执行及业务 推广提供了有力保障。</w:t>
      </w:r>
    </w:p>
    <w:p>
      <w:pPr>
        <w:pStyle w:val="Style35"/>
        <w:keepNext w:val="0"/>
        <w:keepLines w:val="0"/>
        <w:widowControl w:val="0"/>
        <w:shd w:val="clear" w:color="auto" w:fill="auto"/>
        <w:tabs>
          <w:tab w:pos="961" w:val="left"/>
        </w:tabs>
        <w:bidi w:val="0"/>
        <w:spacing w:before="0" w:after="0" w:line="472" w:lineRule="exact"/>
        <w:ind w:left="0" w:right="0" w:firstLine="440"/>
        <w:jc w:val="left"/>
      </w:pPr>
      <w:bookmarkStart w:id="91" w:name="bookmark91"/>
      <w:r>
        <w:rPr>
          <w:color w:val="000000"/>
          <w:spacing w:val="0"/>
          <w:w w:val="100"/>
          <w:position w:val="0"/>
        </w:rPr>
        <w:t>（</w:t>
      </w:r>
      <w:bookmarkEnd w:id="91"/>
      <w:r>
        <w:rPr>
          <w:rFonts w:ascii="Times New Roman" w:eastAsia="Times New Roman" w:hAnsi="Times New Roman" w:cs="Times New Roman"/>
          <w:color w:val="000000"/>
          <w:spacing w:val="0"/>
          <w:w w:val="100"/>
          <w:position w:val="0"/>
        </w:rPr>
        <w:t>2</w:t>
      </w:r>
      <w:r>
        <w:rPr>
          <w:color w:val="000000"/>
          <w:spacing w:val="0"/>
          <w:w w:val="100"/>
          <w:position w:val="0"/>
        </w:rPr>
        <w:t>）</w:t>
        <w:tab/>
        <w:t>报告期内，公司积极参考、学习业内优秀企业的人力资源管理方法，并结合公司实际情况，建 立了更专业、更高效的人力资源管理体系，打造、完善了 “标准化、制度化、专业化、流程化”的人才建 设体系，并进一步规范了职务管理体系，加强了各部门员工的业务培训，极大提高了员工的工作效率。</w:t>
      </w:r>
    </w:p>
    <w:p>
      <w:pPr>
        <w:pStyle w:val="Style35"/>
        <w:keepNext w:val="0"/>
        <w:keepLines w:val="0"/>
        <w:widowControl w:val="0"/>
        <w:shd w:val="clear" w:color="auto" w:fill="auto"/>
        <w:tabs>
          <w:tab w:pos="961" w:val="left"/>
        </w:tabs>
        <w:bidi w:val="0"/>
        <w:spacing w:before="0" w:after="240" w:line="475" w:lineRule="exact"/>
        <w:ind w:left="0" w:right="0" w:firstLine="440"/>
        <w:jc w:val="left"/>
      </w:pPr>
      <w:bookmarkStart w:id="92" w:name="bookmark92"/>
      <w:r>
        <w:rPr>
          <w:color w:val="000000"/>
          <w:spacing w:val="0"/>
          <w:w w:val="100"/>
          <w:position w:val="0"/>
        </w:rPr>
        <w:t>（</w:t>
      </w:r>
      <w:bookmarkEnd w:id="92"/>
      <w:r>
        <w:rPr>
          <w:rFonts w:ascii="Times New Roman" w:eastAsia="Times New Roman" w:hAnsi="Times New Roman" w:cs="Times New Roman"/>
          <w:color w:val="000000"/>
          <w:spacing w:val="0"/>
          <w:w w:val="100"/>
          <w:position w:val="0"/>
        </w:rPr>
        <w:t>3</w:t>
      </w:r>
      <w:r>
        <w:rPr>
          <w:color w:val="000000"/>
          <w:spacing w:val="0"/>
          <w:w w:val="100"/>
          <w:position w:val="0"/>
        </w:rPr>
        <w:t>）</w:t>
        <w:tab/>
        <w:t>在绩效管理方面，</w:t>
      </w:r>
      <w:r>
        <w:rPr>
          <w:rFonts w:ascii="Times New Roman" w:eastAsia="Times New Roman" w:hAnsi="Times New Roman" w:cs="Times New Roman"/>
          <w:color w:val="000000"/>
          <w:spacing w:val="0"/>
          <w:w w:val="100"/>
          <w:position w:val="0"/>
        </w:rPr>
        <w:t>2013</w:t>
      </w:r>
      <w:r>
        <w:rPr>
          <w:color w:val="000000"/>
          <w:spacing w:val="0"/>
          <w:w w:val="100"/>
          <w:position w:val="0"/>
        </w:rPr>
        <w:t>年公司引入了先进的绩效管理方法，通过优化、完善岗位目标责任制， 加大责任追究考核力度，确保了公司整体目标任务的实现。同时公司评估了当前行业发展水平及现状，激 励与淘汰并行，对现有的薪酬体系和考核激励机制进行了优化，提升了对核心人才的吸引力。</w:t>
      </w:r>
    </w:p>
    <w:p>
      <w:pPr>
        <w:pStyle w:val="Style38"/>
        <w:keepNext/>
        <w:keepLines/>
        <w:widowControl w:val="0"/>
        <w:shd w:val="clear" w:color="auto" w:fill="auto"/>
        <w:tabs>
          <w:tab w:pos="910" w:val="left"/>
        </w:tabs>
        <w:bidi w:val="0"/>
        <w:spacing w:before="0" w:after="0" w:line="497" w:lineRule="auto"/>
        <w:ind w:left="0" w:right="0" w:firstLine="520"/>
        <w:jc w:val="both"/>
      </w:pPr>
      <w:bookmarkStart w:id="93" w:name="bookmark93"/>
      <w:bookmarkStart w:id="94" w:name="bookmark94"/>
      <w:bookmarkStart w:id="95" w:name="bookmark95"/>
      <w:bookmarkStart w:id="96" w:name="bookmark96"/>
      <w:r>
        <w:rPr>
          <w:rFonts w:ascii="Times New Roman" w:eastAsia="Times New Roman" w:hAnsi="Times New Roman" w:cs="Times New Roman"/>
          <w:color w:val="000000"/>
          <w:spacing w:val="0"/>
          <w:w w:val="100"/>
          <w:position w:val="0"/>
        </w:rPr>
        <w:t>5</w:t>
      </w:r>
      <w:bookmarkEnd w:id="95"/>
      <w:r>
        <w:rPr>
          <w:color w:val="000000"/>
          <w:spacing w:val="0"/>
          <w:w w:val="100"/>
          <w:position w:val="0"/>
        </w:rPr>
        <w:t>、</w:t>
        <w:tab/>
        <w:t>知识产权方面</w:t>
      </w:r>
      <w:bookmarkEnd w:id="93"/>
      <w:bookmarkEnd w:id="94"/>
      <w:bookmarkEnd w:id="96"/>
    </w:p>
    <w:p>
      <w:pPr>
        <w:pStyle w:val="Style35"/>
        <w:keepNext w:val="0"/>
        <w:keepLines w:val="0"/>
        <w:widowControl w:val="0"/>
        <w:shd w:val="clear" w:color="auto" w:fill="auto"/>
        <w:bidi w:val="0"/>
        <w:spacing w:before="0" w:after="220" w:line="475" w:lineRule="exact"/>
        <w:ind w:left="0" w:right="0" w:firstLine="520"/>
        <w:jc w:val="both"/>
      </w:pPr>
      <w:r>
        <w:rPr>
          <w:color w:val="000000"/>
          <w:spacing w:val="0"/>
          <w:w w:val="100"/>
          <w:position w:val="0"/>
        </w:rPr>
        <w:t>报告期内，公司新增发明专利</w:t>
      </w:r>
      <w:r>
        <w:rPr>
          <w:rFonts w:ascii="Times New Roman" w:eastAsia="Times New Roman" w:hAnsi="Times New Roman" w:cs="Times New Roman"/>
          <w:color w:val="000000"/>
          <w:spacing w:val="0"/>
          <w:w w:val="100"/>
          <w:position w:val="0"/>
        </w:rPr>
        <w:t>2</w:t>
      </w:r>
      <w:r>
        <w:rPr>
          <w:color w:val="000000"/>
          <w:spacing w:val="0"/>
          <w:w w:val="100"/>
          <w:position w:val="0"/>
        </w:rPr>
        <w:t>项，正在申请的发明专利新增</w:t>
      </w:r>
      <w:r>
        <w:rPr>
          <w:rFonts w:ascii="Times New Roman" w:eastAsia="Times New Roman" w:hAnsi="Times New Roman" w:cs="Times New Roman"/>
          <w:color w:val="000000"/>
          <w:spacing w:val="0"/>
          <w:w w:val="100"/>
          <w:position w:val="0"/>
        </w:rPr>
        <w:t>3</w:t>
      </w:r>
      <w:r>
        <w:rPr>
          <w:color w:val="000000"/>
          <w:spacing w:val="0"/>
          <w:w w:val="100"/>
          <w:position w:val="0"/>
        </w:rPr>
        <w:t>项，新增软件著作权</w:t>
      </w:r>
      <w:r>
        <w:rPr>
          <w:rFonts w:ascii="Times New Roman" w:eastAsia="Times New Roman" w:hAnsi="Times New Roman" w:cs="Times New Roman"/>
          <w:color w:val="000000"/>
          <w:spacing w:val="0"/>
          <w:w w:val="100"/>
          <w:position w:val="0"/>
        </w:rPr>
        <w:t>3</w:t>
      </w:r>
      <w:r>
        <w:rPr>
          <w:color w:val="000000"/>
          <w:spacing w:val="0"/>
          <w:w w:val="100"/>
          <w:position w:val="0"/>
        </w:rPr>
        <w:t xml:space="preserve">项。另外, </w:t>
      </w:r>
      <w:r>
        <w:rPr>
          <w:color w:val="000000"/>
          <w:spacing w:val="0"/>
          <w:w w:val="100"/>
          <w:position w:val="0"/>
        </w:rPr>
        <w:t>报告期内，全资子公司蓝盾信息安全技术有限公司新增软件著作权</w:t>
      </w:r>
      <w:r>
        <w:rPr>
          <w:rFonts w:ascii="Times New Roman" w:eastAsia="Times New Roman" w:hAnsi="Times New Roman" w:cs="Times New Roman"/>
          <w:color w:val="000000"/>
          <w:spacing w:val="0"/>
          <w:w w:val="100"/>
          <w:position w:val="0"/>
        </w:rPr>
        <w:t>51</w:t>
      </w:r>
      <w:r>
        <w:rPr>
          <w:color w:val="000000"/>
          <w:spacing w:val="0"/>
          <w:w w:val="100"/>
          <w:position w:val="0"/>
        </w:rPr>
        <w:t>项。</w:t>
      </w:r>
    </w:p>
    <w:p>
      <w:pPr>
        <w:pStyle w:val="Style38"/>
        <w:keepNext/>
        <w:keepLines/>
        <w:widowControl w:val="0"/>
        <w:shd w:val="clear" w:color="auto" w:fill="auto"/>
        <w:tabs>
          <w:tab w:pos="758" w:val="left"/>
        </w:tabs>
        <w:bidi w:val="0"/>
        <w:spacing w:before="0" w:after="0" w:line="494" w:lineRule="auto"/>
        <w:ind w:left="0" w:right="0"/>
        <w:jc w:val="both"/>
      </w:pPr>
      <w:bookmarkStart w:id="100" w:name="bookmark100"/>
      <w:bookmarkStart w:id="97" w:name="bookmark97"/>
      <w:bookmarkStart w:id="98" w:name="bookmark98"/>
      <w:bookmarkStart w:id="99" w:name="bookmark99"/>
      <w:r>
        <w:rPr>
          <w:rFonts w:ascii="Times New Roman" w:eastAsia="Times New Roman" w:hAnsi="Times New Roman" w:cs="Times New Roman"/>
          <w:color w:val="000000"/>
          <w:spacing w:val="0"/>
          <w:w w:val="100"/>
          <w:position w:val="0"/>
        </w:rPr>
        <w:t>6</w:t>
      </w:r>
      <w:bookmarkEnd w:id="99"/>
      <w:r>
        <w:rPr>
          <w:color w:val="000000"/>
          <w:spacing w:val="0"/>
          <w:w w:val="100"/>
          <w:position w:val="0"/>
        </w:rPr>
        <w:t>、</w:t>
        <w:tab/>
        <w:t>募投项目进展情况</w:t>
      </w:r>
      <w:bookmarkEnd w:id="100"/>
      <w:bookmarkEnd w:id="97"/>
      <w:bookmarkEnd w:id="98"/>
    </w:p>
    <w:p>
      <w:pPr>
        <w:pStyle w:val="Style35"/>
        <w:keepNext w:val="0"/>
        <w:keepLines w:val="0"/>
        <w:widowControl w:val="0"/>
        <w:shd w:val="clear" w:color="auto" w:fill="auto"/>
        <w:bidi w:val="0"/>
        <w:spacing w:before="0" w:after="60" w:line="473" w:lineRule="exact"/>
        <w:ind w:left="0" w:right="0" w:firstLine="440"/>
        <w:jc w:val="both"/>
      </w:pPr>
      <w:r>
        <w:rPr>
          <w:color w:val="000000"/>
          <w:spacing w:val="0"/>
          <w:w w:val="100"/>
          <w:position w:val="0"/>
        </w:rPr>
        <w:t>报告期内，公司积极推进募投项目的建设，截止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0，</w:t>
      </w:r>
      <w:r>
        <w:rPr>
          <w:color w:val="000000"/>
          <w:spacing w:val="0"/>
          <w:w w:val="100"/>
          <w:position w:val="0"/>
        </w:rPr>
        <w:t>公司已累计使用募集资金</w:t>
      </w:r>
      <w:r>
        <w:rPr>
          <w:rFonts w:ascii="Times New Roman" w:eastAsia="Times New Roman" w:hAnsi="Times New Roman" w:cs="Times New Roman"/>
          <w:color w:val="000000"/>
          <w:spacing w:val="0"/>
          <w:w w:val="100"/>
          <w:position w:val="0"/>
        </w:rPr>
        <w:t xml:space="preserve">21,975.36 </w:t>
      </w:r>
      <w:r>
        <w:rPr>
          <w:color w:val="000000"/>
          <w:spacing w:val="0"/>
          <w:w w:val="100"/>
          <w:position w:val="0"/>
        </w:rPr>
        <w:t>万元，占募集资金总额的比例为</w:t>
      </w:r>
      <w:r>
        <w:rPr>
          <w:rFonts w:ascii="Times New Roman" w:eastAsia="Times New Roman" w:hAnsi="Times New Roman" w:cs="Times New Roman"/>
          <w:color w:val="000000"/>
          <w:spacing w:val="0"/>
          <w:w w:val="100"/>
          <w:position w:val="0"/>
        </w:rPr>
        <w:t>62.30%</w:t>
      </w:r>
      <w:r>
        <w:rPr>
          <w:color w:val="000000"/>
          <w:spacing w:val="0"/>
          <w:w w:val="100"/>
          <w:position w:val="0"/>
        </w:rPr>
        <w:t>。募集资金主要用于以下</w:t>
      </w:r>
      <w:r>
        <w:rPr>
          <w:rFonts w:ascii="Times New Roman" w:eastAsia="Times New Roman" w:hAnsi="Times New Roman" w:cs="Times New Roman"/>
          <w:color w:val="000000"/>
          <w:spacing w:val="0"/>
          <w:w w:val="100"/>
          <w:position w:val="0"/>
        </w:rPr>
        <w:t>6</w:t>
      </w:r>
      <w:r>
        <w:rPr>
          <w:color w:val="000000"/>
          <w:spacing w:val="0"/>
          <w:w w:val="100"/>
          <w:position w:val="0"/>
        </w:rPr>
        <w:t>个募投项目的建设，报告期内，募投项 目实施情况与计划进度基本一致，具体开发进度如下：</w:t>
      </w:r>
    </w:p>
    <w:p>
      <w:pPr>
        <w:pStyle w:val="Style35"/>
        <w:keepNext w:val="0"/>
        <w:keepLines w:val="0"/>
        <w:widowControl w:val="0"/>
        <w:shd w:val="clear" w:color="auto" w:fill="auto"/>
        <w:bidi w:val="0"/>
        <w:spacing w:before="0" w:after="0" w:line="400" w:lineRule="exact"/>
        <w:ind w:left="0" w:right="0" w:firstLine="440"/>
        <w:jc w:val="both"/>
      </w:pPr>
      <w:r>
        <w:rPr>
          <w:color w:val="000000"/>
          <w:spacing w:val="0"/>
          <w:w w:val="100"/>
          <w:position w:val="0"/>
        </w:rPr>
        <w:t>服务器安全综合监测平台项目、</w:t>
      </w:r>
      <w:r>
        <w:rPr>
          <w:rFonts w:ascii="Times New Roman" w:eastAsia="Times New Roman" w:hAnsi="Times New Roman" w:cs="Times New Roman"/>
          <w:color w:val="000000"/>
          <w:spacing w:val="0"/>
          <w:w w:val="100"/>
          <w:position w:val="0"/>
        </w:rPr>
        <w:t>NxSOC</w:t>
      </w:r>
      <w:r>
        <w:rPr>
          <w:color w:val="000000"/>
          <w:spacing w:val="0"/>
          <w:w w:val="100"/>
          <w:position w:val="0"/>
        </w:rPr>
        <w:t>新一代安全综合运维管理平台项目已于</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月份完成开发 工作，全网综合监控审计平台项目、</w:t>
      </w:r>
      <w:r>
        <w:rPr>
          <w:rFonts w:ascii="Times New Roman" w:eastAsia="Times New Roman" w:hAnsi="Times New Roman" w:cs="Times New Roman"/>
          <w:color w:val="000000"/>
          <w:spacing w:val="0"/>
          <w:w w:val="100"/>
          <w:position w:val="0"/>
        </w:rPr>
        <w:t>UltraUTM</w:t>
      </w:r>
      <w:r>
        <w:rPr>
          <w:color w:val="000000"/>
          <w:spacing w:val="0"/>
          <w:w w:val="100"/>
          <w:position w:val="0"/>
        </w:rPr>
        <w:t>统一安全网关项目已于</w:t>
      </w:r>
      <w:r>
        <w:rPr>
          <w:color w:val="000000"/>
          <w:spacing w:val="0"/>
          <w:w w:val="100"/>
          <w:position w:val="0"/>
        </w:rPr>
        <w:t>2014</w:t>
      </w:r>
      <w:r>
        <w:rPr>
          <w:color w:val="000000"/>
          <w:spacing w:val="0"/>
          <w:w w:val="100"/>
          <w:position w:val="0"/>
        </w:rPr>
        <w:t>年</w:t>
      </w:r>
      <w:r>
        <w:rPr>
          <w:color w:val="000000"/>
          <w:spacing w:val="0"/>
          <w:w w:val="100"/>
          <w:position w:val="0"/>
        </w:rPr>
        <w:t>1</w:t>
      </w:r>
      <w:r>
        <w:rPr>
          <w:color w:val="000000"/>
          <w:spacing w:val="0"/>
          <w:w w:val="100"/>
          <w:position w:val="0"/>
        </w:rPr>
        <w:t>月开发完成，研发及培训中 心建设项目已于</w:t>
      </w:r>
      <w:r>
        <w:rPr>
          <w:color w:val="000000"/>
          <w:spacing w:val="0"/>
          <w:w w:val="100"/>
          <w:position w:val="0"/>
        </w:rPr>
        <w:t>2014</w:t>
      </w:r>
      <w:r>
        <w:rPr>
          <w:color w:val="000000"/>
          <w:spacing w:val="0"/>
          <w:w w:val="100"/>
          <w:position w:val="0"/>
        </w:rPr>
        <w:t>年</w:t>
      </w:r>
      <w:r>
        <w:rPr>
          <w:color w:val="000000"/>
          <w:spacing w:val="0"/>
          <w:w w:val="100"/>
          <w:position w:val="0"/>
        </w:rPr>
        <w:t>3</w:t>
      </w:r>
      <w:r>
        <w:rPr>
          <w:color w:val="000000"/>
          <w:spacing w:val="0"/>
          <w:w w:val="100"/>
          <w:position w:val="0"/>
        </w:rPr>
        <w:t>月开发完成。</w:t>
      </w:r>
    </w:p>
    <w:p>
      <w:pPr>
        <w:pStyle w:val="Style35"/>
        <w:keepNext w:val="0"/>
        <w:keepLines w:val="0"/>
        <w:widowControl w:val="0"/>
        <w:shd w:val="clear" w:color="auto" w:fill="auto"/>
        <w:bidi w:val="0"/>
        <w:spacing w:before="0" w:after="160" w:line="400" w:lineRule="exact"/>
        <w:ind w:left="0" w:right="0" w:firstLine="440"/>
        <w:jc w:val="both"/>
      </w:pPr>
      <w:r>
        <w:rPr>
          <w:color w:val="000000"/>
          <w:spacing w:val="0"/>
          <w:w w:val="100"/>
          <w:position w:val="0"/>
        </w:rPr>
        <w:t>互联网舆情分析系统：该项目从</w:t>
      </w:r>
      <w:r>
        <w:rPr>
          <w:color w:val="000000"/>
          <w:spacing w:val="0"/>
          <w:w w:val="100"/>
          <w:position w:val="0"/>
        </w:rPr>
        <w:t>2013</w:t>
      </w:r>
      <w:r>
        <w:rPr>
          <w:color w:val="000000"/>
          <w:spacing w:val="0"/>
          <w:w w:val="100"/>
          <w:position w:val="0"/>
        </w:rPr>
        <w:t>年</w:t>
      </w:r>
      <w:r>
        <w:rPr>
          <w:color w:val="000000"/>
          <w:spacing w:val="0"/>
          <w:w w:val="100"/>
          <w:position w:val="0"/>
        </w:rPr>
        <w:t>6</w:t>
      </w:r>
      <w:r>
        <w:rPr>
          <w:color w:val="000000"/>
          <w:spacing w:val="0"/>
          <w:w w:val="100"/>
          <w:position w:val="0"/>
        </w:rPr>
        <w:t>月份进入功能开发阶段，</w:t>
      </w:r>
      <w:r>
        <w:rPr>
          <w:color w:val="000000"/>
          <w:spacing w:val="0"/>
          <w:w w:val="100"/>
          <w:position w:val="0"/>
        </w:rPr>
        <w:t>2013</w:t>
      </w:r>
      <w:r>
        <w:rPr>
          <w:color w:val="000000"/>
          <w:spacing w:val="0"/>
          <w:w w:val="100"/>
          <w:position w:val="0"/>
        </w:rPr>
        <w:t>年完成了舆情信息采集相关功 能的开发，功能包含：专为舆情系统设计的智能爬虫系统，可以实现高质量和快速的抓取，还支持对新浪 微博、腾讯微博、搜狐微博、网易微博等主要微博平台信息的实时抓取。人工定义的</w:t>
      </w:r>
      <w:r>
        <w:rPr>
          <w:color w:val="000000"/>
          <w:spacing w:val="0"/>
          <w:w w:val="100"/>
          <w:position w:val="0"/>
        </w:rPr>
        <w:t>15</w:t>
      </w:r>
      <w:r>
        <w:rPr>
          <w:color w:val="000000"/>
          <w:spacing w:val="0"/>
          <w:w w:val="100"/>
          <w:position w:val="0"/>
        </w:rPr>
        <w:t>万重点站点中的新 闻、论坛、博客等实现全面的抓取，同时支持对主流新闻网站分页、评论内容的采集以及对论坛点击数、 回帖数、回帖内容的抓取。自动跟踪多个搜索引擎的搜索结果，对于系统抓取进行补充，确保信息全面无 遗漏。完成了对舆情分析引擎相关功能的开发，包含文章权重的计算分析，传播轨迹分析，自动分类与情 感分析，相似文章算法，媒体覆盖分析，爆发趋势分析，倾向性分析的功能模块开发。</w:t>
      </w:r>
      <w:r>
        <w:rPr>
          <w:color w:val="000000"/>
          <w:spacing w:val="0"/>
          <w:w w:val="100"/>
          <w:position w:val="0"/>
        </w:rPr>
        <w:t>2014</w:t>
      </w:r>
      <w:r>
        <w:rPr>
          <w:color w:val="000000"/>
          <w:spacing w:val="0"/>
          <w:w w:val="100"/>
          <w:position w:val="0"/>
        </w:rPr>
        <w:t>年</w:t>
      </w:r>
      <w:r>
        <w:rPr>
          <w:color w:val="000000"/>
          <w:spacing w:val="0"/>
          <w:w w:val="100"/>
          <w:position w:val="0"/>
        </w:rPr>
        <w:t>2</w:t>
      </w:r>
      <w:r>
        <w:rPr>
          <w:color w:val="000000"/>
          <w:spacing w:val="0"/>
          <w:w w:val="100"/>
          <w:position w:val="0"/>
        </w:rPr>
        <w:t>月完成垃 圾信息过滤，智能去重，</w:t>
      </w:r>
      <w:r>
        <w:rPr>
          <w:color w:val="000000"/>
          <w:spacing w:val="0"/>
          <w:w w:val="100"/>
          <w:position w:val="0"/>
        </w:rPr>
        <w:t>HTML</w:t>
      </w:r>
      <w:r>
        <w:rPr>
          <w:color w:val="000000"/>
          <w:spacing w:val="0"/>
          <w:w w:val="100"/>
          <w:position w:val="0"/>
        </w:rPr>
        <w:t>内容提取，快照保存等信息处理功能的开发工作。</w:t>
      </w:r>
      <w:r>
        <w:rPr>
          <w:color w:val="000000"/>
          <w:spacing w:val="0"/>
          <w:w w:val="100"/>
          <w:position w:val="0"/>
        </w:rPr>
        <w:t>2014</w:t>
      </w:r>
      <w:r>
        <w:rPr>
          <w:color w:val="000000"/>
          <w:spacing w:val="0"/>
          <w:w w:val="100"/>
          <w:position w:val="0"/>
        </w:rPr>
        <w:t>年</w:t>
      </w:r>
      <w:r>
        <w:rPr>
          <w:color w:val="000000"/>
          <w:spacing w:val="0"/>
          <w:w w:val="100"/>
          <w:position w:val="0"/>
        </w:rPr>
        <w:t>5</w:t>
      </w:r>
      <w:r>
        <w:rPr>
          <w:color w:val="000000"/>
          <w:spacing w:val="0"/>
          <w:w w:val="100"/>
          <w:position w:val="0"/>
        </w:rPr>
        <w:t>月计划完成</w:t>
      </w:r>
      <w:r>
        <w:rPr>
          <w:color w:val="000000"/>
          <w:spacing w:val="0"/>
          <w:w w:val="100"/>
          <w:position w:val="0"/>
        </w:rPr>
        <w:t>web</w:t>
      </w:r>
      <w:r>
        <w:rPr>
          <w:color w:val="000000"/>
          <w:spacing w:val="0"/>
          <w:w w:val="100"/>
          <w:position w:val="0"/>
        </w:rPr>
        <w:t>展 现模块相关功能，完成用户操作界面的设计开发，完成信息采集关键词设置及舆情预警设置等管理模块功 能，完善中文分词库及采集信息源的功能开发。</w:t>
      </w:r>
      <w:r>
        <w:rPr>
          <w:color w:val="000000"/>
          <w:spacing w:val="0"/>
          <w:w w:val="100"/>
          <w:position w:val="0"/>
        </w:rPr>
        <w:t>2014</w:t>
      </w:r>
      <w:r>
        <w:rPr>
          <w:color w:val="000000"/>
          <w:spacing w:val="0"/>
          <w:w w:val="100"/>
          <w:position w:val="0"/>
        </w:rPr>
        <w:t>年</w:t>
      </w:r>
      <w:r>
        <w:rPr>
          <w:color w:val="000000"/>
          <w:spacing w:val="0"/>
          <w:w w:val="100"/>
          <w:position w:val="0"/>
        </w:rPr>
        <w:t>6</w:t>
      </w:r>
      <w:r>
        <w:rPr>
          <w:color w:val="000000"/>
          <w:spacing w:val="0"/>
          <w:w w:val="100"/>
          <w:position w:val="0"/>
        </w:rPr>
        <w:t>月底完成测试及</w:t>
      </w:r>
      <w:r>
        <w:rPr>
          <w:color w:val="000000"/>
          <w:spacing w:val="0"/>
          <w:w w:val="100"/>
          <w:position w:val="0"/>
        </w:rPr>
        <w:t>bug</w:t>
      </w:r>
      <w:r>
        <w:rPr>
          <w:color w:val="000000"/>
          <w:spacing w:val="0"/>
          <w:w w:val="100"/>
          <w:position w:val="0"/>
        </w:rPr>
        <w:t>修改工作。预计</w:t>
      </w:r>
      <w:r>
        <w:rPr>
          <w:color w:val="000000"/>
          <w:spacing w:val="0"/>
          <w:w w:val="100"/>
          <w:position w:val="0"/>
        </w:rPr>
        <w:t>2014</w:t>
      </w:r>
      <w:r>
        <w:rPr>
          <w:color w:val="000000"/>
          <w:spacing w:val="0"/>
          <w:w w:val="100"/>
          <w:position w:val="0"/>
        </w:rPr>
        <w:t>年</w:t>
      </w:r>
      <w:r>
        <w:rPr>
          <w:color w:val="000000"/>
          <w:spacing w:val="0"/>
          <w:w w:val="100"/>
          <w:position w:val="0"/>
        </w:rPr>
        <w:t>7</w:t>
      </w:r>
      <w:r>
        <w:rPr>
          <w:color w:val="000000"/>
          <w:spacing w:val="0"/>
          <w:w w:val="100"/>
          <w:position w:val="0"/>
        </w:rPr>
        <w:t>月正 式面市。</w:t>
      </w:r>
    </w:p>
    <w:p>
      <w:pPr>
        <w:pStyle w:val="Style38"/>
        <w:keepNext/>
        <w:keepLines/>
        <w:widowControl w:val="0"/>
        <w:shd w:val="clear" w:color="auto" w:fill="auto"/>
        <w:tabs>
          <w:tab w:pos="758" w:val="left"/>
        </w:tabs>
        <w:bidi w:val="0"/>
        <w:spacing w:before="0" w:after="0" w:line="418" w:lineRule="auto"/>
        <w:ind w:left="0" w:right="0"/>
        <w:jc w:val="both"/>
      </w:pPr>
      <w:bookmarkStart w:id="101" w:name="bookmark101"/>
      <w:bookmarkStart w:id="102" w:name="bookmark102"/>
      <w:bookmarkStart w:id="103" w:name="bookmark103"/>
      <w:bookmarkStart w:id="104" w:name="bookmark104"/>
      <w:r>
        <w:rPr>
          <w:rFonts w:ascii="Times New Roman" w:eastAsia="Times New Roman" w:hAnsi="Times New Roman" w:cs="Times New Roman"/>
          <w:color w:val="000000"/>
          <w:spacing w:val="0"/>
          <w:w w:val="100"/>
          <w:position w:val="0"/>
        </w:rPr>
        <w:t>7</w:t>
      </w:r>
      <w:bookmarkEnd w:id="103"/>
      <w:r>
        <w:rPr>
          <w:color w:val="000000"/>
          <w:spacing w:val="0"/>
          <w:w w:val="100"/>
          <w:position w:val="0"/>
        </w:rPr>
        <w:t>、</w:t>
        <w:tab/>
        <w:t>投资并购方面</w:t>
      </w:r>
      <w:bookmarkEnd w:id="101"/>
      <w:bookmarkEnd w:id="102"/>
      <w:bookmarkEnd w:id="104"/>
    </w:p>
    <w:p>
      <w:pPr>
        <w:pStyle w:val="Style35"/>
        <w:keepNext w:val="0"/>
        <w:keepLines w:val="0"/>
        <w:widowControl w:val="0"/>
        <w:shd w:val="clear" w:color="auto" w:fill="auto"/>
        <w:bidi w:val="0"/>
        <w:spacing w:before="0" w:after="160" w:line="402" w:lineRule="exact"/>
        <w:ind w:left="0" w:right="0" w:firstLine="540"/>
        <w:jc w:val="both"/>
      </w:pPr>
      <w:r>
        <w:rPr>
          <w:color w:val="000000"/>
          <w:spacing w:val="0"/>
          <w:w w:val="100"/>
          <w:position w:val="0"/>
        </w:rPr>
        <w:t>报告期内，公司逐步推进对外投资及并购储备工作。其中，</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月，公司以自有资金</w:t>
      </w:r>
      <w:r>
        <w:rPr>
          <w:rFonts w:ascii="Times New Roman" w:eastAsia="Times New Roman" w:hAnsi="Times New Roman" w:cs="Times New Roman"/>
          <w:color w:val="000000"/>
          <w:spacing w:val="0"/>
          <w:w w:val="100"/>
          <w:position w:val="0"/>
        </w:rPr>
        <w:t>5000</w:t>
      </w:r>
      <w:r>
        <w:rPr>
          <w:color w:val="000000"/>
          <w:spacing w:val="0"/>
          <w:w w:val="100"/>
          <w:position w:val="0"/>
        </w:rPr>
        <w:t>万元 对全资子公司蓝盾信息安全技术有限公司（以下简称“蓝盾技术”）进行了增资，显著提升了其业务拓展 能力；</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月，蓝盾技术与北京纹歌科技发展有限公司（以下简称“纹歌科技”）签订了协议，以自 有资金</w:t>
      </w:r>
      <w:r>
        <w:rPr>
          <w:rFonts w:ascii="Times New Roman" w:eastAsia="Times New Roman" w:hAnsi="Times New Roman" w:cs="Times New Roman"/>
          <w:color w:val="000000"/>
          <w:spacing w:val="0"/>
          <w:w w:val="100"/>
          <w:position w:val="0"/>
        </w:rPr>
        <w:t>214</w:t>
      </w:r>
      <w:r>
        <w:rPr>
          <w:color w:val="000000"/>
          <w:spacing w:val="0"/>
          <w:w w:val="100"/>
          <w:position w:val="0"/>
        </w:rPr>
        <w:t>万元向该公司进行增资，该增资事项已于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月完成，增资后公司拥有纹歌科技</w:t>
      </w:r>
      <w:r>
        <w:rPr>
          <w:rFonts w:ascii="Times New Roman" w:eastAsia="Times New Roman" w:hAnsi="Times New Roman" w:cs="Times New Roman"/>
          <w:color w:val="000000"/>
          <w:spacing w:val="0"/>
          <w:w w:val="100"/>
          <w:position w:val="0"/>
        </w:rPr>
        <w:t>30%</w:t>
      </w:r>
      <w:r>
        <w:rPr>
          <w:color w:val="000000"/>
          <w:spacing w:val="0"/>
          <w:w w:val="100"/>
          <w:position w:val="0"/>
        </w:rPr>
        <w:t>的股权, 纹歌科技在司法取证、手机取证等领域有深厚的技术积累，在补充了公司相关领域的客户资源的同时，也 有利公司未来在数据安全、移动安全等领域的进一步拓展；同时公司管理层明确了产业并购作为公司长期 发展战略之一，积极研究学习国内有代表性的并购重组案例，并有计划地考察了全国各地具有潜力的标的 企业，考察过程中主要从技术、产品、渠道的互补性，标的企业的发展潜力及产业整合的可行性等方面进 行考虑、评估。本着对公司股东及公司长期发展负责的态度，公司的评估工作进行得相对严谨，但大量的 并购标的储备为公司未来产业并购战略的实现提供了较充足的空间。</w:t>
      </w:r>
    </w:p>
    <w:p>
      <w:pPr>
        <w:pStyle w:val="Style38"/>
        <w:keepNext/>
        <w:keepLines/>
        <w:widowControl w:val="0"/>
        <w:shd w:val="clear" w:color="auto" w:fill="auto"/>
        <w:bidi w:val="0"/>
        <w:spacing w:before="0" w:after="120" w:line="480" w:lineRule="exact"/>
        <w:ind w:left="0" w:right="0" w:firstLine="0"/>
        <w:jc w:val="left"/>
      </w:pPr>
      <w:bookmarkStart w:id="105" w:name="bookmark105"/>
      <w:bookmarkStart w:id="106" w:name="bookmark106"/>
      <w:bookmarkStart w:id="107" w:name="bookmark107"/>
      <w:bookmarkStart w:id="108" w:name="bookmark108"/>
      <w:r>
        <w:rPr>
          <w:rFonts w:ascii="Times New Roman" w:eastAsia="Times New Roman" w:hAnsi="Times New Roman" w:cs="Times New Roman"/>
          <w:color w:val="000000"/>
          <w:spacing w:val="0"/>
          <w:w w:val="100"/>
          <w:position w:val="0"/>
        </w:rPr>
        <w:t>2</w:t>
      </w:r>
      <w:bookmarkEnd w:id="107"/>
      <w:r>
        <w:rPr>
          <w:color w:val="000000"/>
          <w:spacing w:val="0"/>
          <w:w w:val="100"/>
          <w:position w:val="0"/>
        </w:rPr>
        <w:t>、报告期内主要经营情况</w:t>
      </w:r>
      <w:bookmarkEnd w:id="105"/>
      <w:bookmarkEnd w:id="106"/>
      <w:bookmarkEnd w:id="108"/>
    </w:p>
    <w:p>
      <w:pPr>
        <w:pStyle w:val="Style38"/>
        <w:keepNext/>
        <w:keepLines/>
        <w:widowControl w:val="0"/>
        <w:shd w:val="clear" w:color="auto" w:fill="auto"/>
        <w:bidi w:val="0"/>
        <w:spacing w:before="0" w:after="460" w:line="480" w:lineRule="exact"/>
        <w:ind w:left="0" w:right="0" w:firstLine="0"/>
        <w:jc w:val="left"/>
      </w:pPr>
      <w:bookmarkStart w:id="105" w:name="bookmark105"/>
      <w:bookmarkStart w:id="106" w:name="bookmark106"/>
      <w:bookmarkStart w:id="109" w:name="bookmark109"/>
      <w:bookmarkStart w:id="110" w:name="bookmark110"/>
      <w:r>
        <w:rPr>
          <w:color w:val="000000"/>
          <w:spacing w:val="0"/>
          <w:w w:val="100"/>
          <w:position w:val="0"/>
        </w:rPr>
        <w:t>（</w:t>
      </w:r>
      <w:bookmarkEnd w:id="109"/>
      <w:r>
        <w:rPr>
          <w:rFonts w:ascii="Times New Roman" w:eastAsia="Times New Roman" w:hAnsi="Times New Roman" w:cs="Times New Roman"/>
          <w:color w:val="000000"/>
          <w:spacing w:val="0"/>
          <w:w w:val="100"/>
          <w:position w:val="0"/>
        </w:rPr>
        <w:t>1</w:t>
      </w:r>
      <w:r>
        <w:rPr>
          <w:color w:val="000000"/>
          <w:spacing w:val="0"/>
          <w:w w:val="100"/>
          <w:position w:val="0"/>
        </w:rPr>
        <w:t>）主营业务分析</w:t>
      </w:r>
      <w:bookmarkEnd w:id="105"/>
      <w:bookmarkEnd w:id="106"/>
      <w:bookmarkEnd w:id="110"/>
    </w:p>
    <w:p>
      <w:pPr>
        <w:pStyle w:val="Style8"/>
        <w:keepNext w:val="0"/>
        <w:keepLines w:val="0"/>
        <w:widowControl w:val="0"/>
        <w:shd w:val="clear" w:color="auto" w:fill="auto"/>
        <w:tabs>
          <w:tab w:pos="344" w:val="left"/>
        </w:tabs>
        <w:bidi w:val="0"/>
        <w:spacing w:before="0" w:after="0" w:line="240" w:lineRule="auto"/>
        <w:ind w:left="0" w:right="0" w:firstLine="0"/>
        <w:jc w:val="left"/>
      </w:pPr>
      <w:bookmarkStart w:id="111" w:name="bookmark111"/>
      <w:r>
        <w:rPr>
          <w:rFonts w:ascii="Times New Roman" w:eastAsia="Times New Roman" w:hAnsi="Times New Roman" w:cs="Times New Roman"/>
          <w:color w:val="000000"/>
          <w:spacing w:val="0"/>
          <w:w w:val="100"/>
          <w:position w:val="0"/>
        </w:rPr>
        <w:t>1</w:t>
      </w:r>
      <w:bookmarkEnd w:id="111"/>
      <w:r>
        <w:rPr>
          <w:rFonts w:ascii="Times New Roman" w:eastAsia="Times New Roman" w:hAnsi="Times New Roman" w:cs="Times New Roman"/>
          <w:color w:val="000000"/>
          <w:spacing w:val="0"/>
          <w:w w:val="100"/>
          <w:position w:val="0"/>
        </w:rPr>
        <w:t>）</w:t>
        <w:tab/>
      </w:r>
      <w:r>
        <w:rPr>
          <w:color w:val="000000"/>
          <w:spacing w:val="0"/>
          <w:w w:val="100"/>
          <w:position w:val="0"/>
        </w:rPr>
        <w:t>概述</w:t>
      </w:r>
    </w:p>
    <w:p>
      <w:pPr>
        <w:pStyle w:val="Style35"/>
        <w:keepNext w:val="0"/>
        <w:keepLines w:val="0"/>
        <w:widowControl w:val="0"/>
        <w:shd w:val="clear" w:color="auto" w:fill="auto"/>
        <w:bidi w:val="0"/>
        <w:spacing w:before="0" w:after="0" w:line="480" w:lineRule="exact"/>
        <w:ind w:left="0" w:right="0" w:firstLine="440"/>
        <w:jc w:val="left"/>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rPr>
        <w:t>39,536.64</w:t>
      </w:r>
      <w:r>
        <w:rPr>
          <w:color w:val="000000"/>
          <w:spacing w:val="0"/>
          <w:w w:val="100"/>
          <w:position w:val="0"/>
        </w:rPr>
        <w:t>万元，同比增长</w:t>
      </w:r>
      <w:r>
        <w:rPr>
          <w:rFonts w:ascii="Times New Roman" w:eastAsia="Times New Roman" w:hAnsi="Times New Roman" w:cs="Times New Roman"/>
          <w:color w:val="000000"/>
          <w:spacing w:val="0"/>
          <w:w w:val="100"/>
          <w:position w:val="0"/>
        </w:rPr>
        <w:t>14.53%</w:t>
      </w:r>
      <w:r>
        <w:rPr>
          <w:color w:val="000000"/>
          <w:spacing w:val="0"/>
          <w:w w:val="100"/>
          <w:position w:val="0"/>
        </w:rPr>
        <w:t>，主要原因是公司积极进行业务拓展， 保持了营业收入的稳步增长。</w:t>
      </w:r>
    </w:p>
    <w:p>
      <w:pPr>
        <w:pStyle w:val="Style35"/>
        <w:keepNext w:val="0"/>
        <w:keepLines w:val="0"/>
        <w:widowControl w:val="0"/>
        <w:shd w:val="clear" w:color="auto" w:fill="auto"/>
        <w:bidi w:val="0"/>
        <w:spacing w:before="0" w:after="0" w:line="478" w:lineRule="exact"/>
        <w:ind w:left="0" w:right="0" w:firstLine="440"/>
        <w:jc w:val="left"/>
      </w:pPr>
      <w:r>
        <w:rPr>
          <w:color w:val="000000"/>
          <w:spacing w:val="0"/>
          <w:w w:val="100"/>
          <w:position w:val="0"/>
        </w:rPr>
        <w:t>报告期内，公司营业成本为</w:t>
      </w:r>
      <w:r>
        <w:rPr>
          <w:rFonts w:ascii="Times New Roman" w:eastAsia="Times New Roman" w:hAnsi="Times New Roman" w:cs="Times New Roman"/>
          <w:color w:val="000000"/>
          <w:spacing w:val="0"/>
          <w:w w:val="100"/>
          <w:position w:val="0"/>
        </w:rPr>
        <w:t>24,965.64</w:t>
      </w:r>
      <w:r>
        <w:rPr>
          <w:color w:val="000000"/>
          <w:spacing w:val="0"/>
          <w:w w:val="100"/>
          <w:position w:val="0"/>
        </w:rPr>
        <w:t>万元，同比增长</w:t>
      </w:r>
      <w:r>
        <w:rPr>
          <w:rFonts w:ascii="Times New Roman" w:eastAsia="Times New Roman" w:hAnsi="Times New Roman" w:cs="Times New Roman"/>
          <w:color w:val="000000"/>
          <w:spacing w:val="0"/>
          <w:w w:val="100"/>
          <w:position w:val="0"/>
        </w:rPr>
        <w:t>29.9%</w:t>
      </w:r>
      <w:r>
        <w:rPr>
          <w:color w:val="000000"/>
          <w:spacing w:val="0"/>
          <w:w w:val="100"/>
          <w:position w:val="0"/>
        </w:rPr>
        <w:t>，主要原因是公司外购的原材料比例增加 及人工成本增长。</w:t>
      </w:r>
    </w:p>
    <w:p>
      <w:pPr>
        <w:pStyle w:val="Style35"/>
        <w:keepNext w:val="0"/>
        <w:keepLines w:val="0"/>
        <w:widowControl w:val="0"/>
        <w:shd w:val="clear" w:color="auto" w:fill="auto"/>
        <w:bidi w:val="0"/>
        <w:spacing w:before="0" w:after="0" w:line="478" w:lineRule="exact"/>
        <w:ind w:left="0" w:right="0" w:firstLine="440"/>
        <w:jc w:val="left"/>
      </w:pPr>
      <w:r>
        <w:rPr>
          <w:color w:val="000000"/>
          <w:spacing w:val="0"/>
          <w:w w:val="100"/>
          <w:position w:val="0"/>
        </w:rPr>
        <w:t>报告期内，公司销售费用为</w:t>
      </w:r>
      <w:r>
        <w:rPr>
          <w:rFonts w:ascii="Times New Roman" w:eastAsia="Times New Roman" w:hAnsi="Times New Roman" w:cs="Times New Roman"/>
          <w:color w:val="000000"/>
          <w:spacing w:val="0"/>
          <w:w w:val="100"/>
          <w:position w:val="0"/>
        </w:rPr>
        <w:t>2,859.75</w:t>
      </w:r>
      <w:r>
        <w:rPr>
          <w:color w:val="000000"/>
          <w:spacing w:val="0"/>
          <w:w w:val="100"/>
          <w:position w:val="0"/>
        </w:rPr>
        <w:t>万元，同比下降</w:t>
      </w:r>
      <w:r>
        <w:rPr>
          <w:rFonts w:ascii="Times New Roman" w:eastAsia="Times New Roman" w:hAnsi="Times New Roman" w:cs="Times New Roman"/>
          <w:color w:val="000000"/>
          <w:spacing w:val="0"/>
          <w:w w:val="100"/>
          <w:position w:val="0"/>
        </w:rPr>
        <w:t>8.56%</w:t>
      </w:r>
      <w:r>
        <w:rPr>
          <w:color w:val="000000"/>
          <w:spacing w:val="0"/>
          <w:w w:val="100"/>
          <w:position w:val="0"/>
        </w:rPr>
        <w:t>，主要原因是报告期公司广告费及业务招待 费支出下降。</w:t>
      </w:r>
    </w:p>
    <w:p>
      <w:pPr>
        <w:pStyle w:val="Style35"/>
        <w:keepNext w:val="0"/>
        <w:keepLines w:val="0"/>
        <w:widowControl w:val="0"/>
        <w:shd w:val="clear" w:color="auto" w:fill="auto"/>
        <w:bidi w:val="0"/>
        <w:spacing w:before="0" w:after="0" w:line="485" w:lineRule="exact"/>
        <w:ind w:left="0" w:right="0" w:firstLine="440"/>
        <w:jc w:val="left"/>
      </w:pPr>
      <w:r>
        <w:rPr>
          <w:color w:val="000000"/>
          <w:spacing w:val="0"/>
          <w:w w:val="100"/>
          <w:position w:val="0"/>
        </w:rPr>
        <w:t>报告期内，公司管理费用为</w:t>
      </w:r>
      <w:r>
        <w:rPr>
          <w:rFonts w:ascii="Times New Roman" w:eastAsia="Times New Roman" w:hAnsi="Times New Roman" w:cs="Times New Roman"/>
          <w:color w:val="000000"/>
          <w:spacing w:val="0"/>
          <w:w w:val="100"/>
          <w:position w:val="0"/>
        </w:rPr>
        <w:t>9,079.13</w:t>
      </w:r>
      <w:r>
        <w:rPr>
          <w:color w:val="000000"/>
          <w:spacing w:val="0"/>
          <w:w w:val="100"/>
          <w:position w:val="0"/>
        </w:rPr>
        <w:t>万元，同比增长</w:t>
      </w:r>
      <w:r>
        <w:rPr>
          <w:rFonts w:ascii="Times New Roman" w:eastAsia="Times New Roman" w:hAnsi="Times New Roman" w:cs="Times New Roman"/>
          <w:color w:val="000000"/>
          <w:spacing w:val="0"/>
          <w:w w:val="100"/>
          <w:position w:val="0"/>
        </w:rPr>
        <w:t>58.66%</w:t>
      </w:r>
      <w:r>
        <w:rPr>
          <w:color w:val="000000"/>
          <w:spacing w:val="0"/>
          <w:w w:val="100"/>
          <w:position w:val="0"/>
        </w:rPr>
        <w:t>，主要原因是报告期公司人员工资水平增 长，相关支出增加；研发投入较上年同期增长。</w:t>
      </w:r>
    </w:p>
    <w:p>
      <w:pPr>
        <w:pStyle w:val="Style35"/>
        <w:keepNext w:val="0"/>
        <w:keepLines w:val="0"/>
        <w:widowControl w:val="0"/>
        <w:shd w:val="clear" w:color="auto" w:fill="auto"/>
        <w:bidi w:val="0"/>
        <w:spacing w:before="0" w:after="0" w:line="485" w:lineRule="exact"/>
        <w:ind w:left="0" w:right="0" w:firstLine="440"/>
        <w:jc w:val="left"/>
      </w:pPr>
      <w:r>
        <w:rPr>
          <w:color w:val="000000"/>
          <w:spacing w:val="0"/>
          <w:w w:val="100"/>
          <w:position w:val="0"/>
        </w:rPr>
        <w:t>报告期内，公司财务费用为</w:t>
      </w:r>
      <w:r>
        <w:rPr>
          <w:rFonts w:ascii="Times New Roman" w:eastAsia="Times New Roman" w:hAnsi="Times New Roman" w:cs="Times New Roman"/>
          <w:color w:val="000000"/>
          <w:spacing w:val="0"/>
          <w:w w:val="100"/>
          <w:position w:val="0"/>
        </w:rPr>
        <w:t>707.47</w:t>
      </w:r>
      <w:r>
        <w:rPr>
          <w:color w:val="000000"/>
          <w:spacing w:val="0"/>
          <w:w w:val="100"/>
          <w:position w:val="0"/>
        </w:rPr>
        <w:t>万元，同比增长</w:t>
      </w:r>
      <w:r>
        <w:rPr>
          <w:rFonts w:ascii="Times New Roman" w:eastAsia="Times New Roman" w:hAnsi="Times New Roman" w:cs="Times New Roman"/>
          <w:color w:val="000000"/>
          <w:spacing w:val="0"/>
          <w:w w:val="100"/>
          <w:position w:val="0"/>
        </w:rPr>
        <w:t>113.20%</w:t>
      </w:r>
      <w:r>
        <w:rPr>
          <w:color w:val="000000"/>
          <w:spacing w:val="0"/>
          <w:w w:val="100"/>
          <w:position w:val="0"/>
        </w:rPr>
        <w:t>,主要原因是报告期公司借款增加，相应的 利息支出增加。</w:t>
      </w:r>
    </w:p>
    <w:p>
      <w:pPr>
        <w:pStyle w:val="Style35"/>
        <w:keepNext w:val="0"/>
        <w:keepLines w:val="0"/>
        <w:widowControl w:val="0"/>
        <w:shd w:val="clear" w:color="auto" w:fill="auto"/>
        <w:bidi w:val="0"/>
        <w:spacing w:before="0" w:after="0" w:line="480" w:lineRule="exact"/>
        <w:ind w:left="0" w:right="0" w:firstLine="440"/>
        <w:jc w:val="left"/>
      </w:pPr>
      <w:r>
        <w:rPr>
          <w:color w:val="000000"/>
          <w:spacing w:val="0"/>
          <w:w w:val="100"/>
          <w:position w:val="0"/>
        </w:rPr>
        <w:t>报告期内，公司研发投入金额为</w:t>
      </w:r>
      <w:r>
        <w:rPr>
          <w:rFonts w:ascii="Times New Roman" w:eastAsia="Times New Roman" w:hAnsi="Times New Roman" w:cs="Times New Roman"/>
          <w:color w:val="000000"/>
          <w:spacing w:val="0"/>
          <w:w w:val="100"/>
          <w:position w:val="0"/>
        </w:rPr>
        <w:t>8,172.45</w:t>
      </w:r>
      <w:r>
        <w:rPr>
          <w:color w:val="000000"/>
          <w:spacing w:val="0"/>
          <w:w w:val="100"/>
          <w:position w:val="0"/>
        </w:rPr>
        <w:t>万元，同比增长</w:t>
      </w:r>
      <w:r>
        <w:rPr>
          <w:rFonts w:ascii="Times New Roman" w:eastAsia="Times New Roman" w:hAnsi="Times New Roman" w:cs="Times New Roman"/>
          <w:color w:val="000000"/>
          <w:spacing w:val="0"/>
          <w:w w:val="100"/>
          <w:position w:val="0"/>
        </w:rPr>
        <w:t>131.55%</w:t>
      </w:r>
      <w:r>
        <w:rPr>
          <w:color w:val="000000"/>
          <w:spacing w:val="0"/>
          <w:w w:val="100"/>
          <w:position w:val="0"/>
        </w:rPr>
        <w:t>,占当期营业收入的</w:t>
      </w:r>
      <w:r>
        <w:rPr>
          <w:rFonts w:ascii="Times New Roman" w:eastAsia="Times New Roman" w:hAnsi="Times New Roman" w:cs="Times New Roman"/>
          <w:color w:val="000000"/>
          <w:spacing w:val="0"/>
          <w:w w:val="100"/>
          <w:position w:val="0"/>
        </w:rPr>
        <w:t>20.67%</w:t>
      </w:r>
      <w:r>
        <w:rPr>
          <w:color w:val="000000"/>
          <w:spacing w:val="0"/>
          <w:w w:val="100"/>
          <w:position w:val="0"/>
        </w:rPr>
        <w:t>,主要原 因是报告期公司及子公司均增加了研发的投入。</w:t>
      </w:r>
    </w:p>
    <w:p>
      <w:pPr>
        <w:pStyle w:val="Style35"/>
        <w:keepNext w:val="0"/>
        <w:keepLines w:val="0"/>
        <w:widowControl w:val="0"/>
        <w:shd w:val="clear" w:color="auto" w:fill="auto"/>
        <w:bidi w:val="0"/>
        <w:spacing w:before="0" w:after="460" w:line="478" w:lineRule="exact"/>
        <w:ind w:left="0" w:right="0" w:firstLine="440"/>
        <w:jc w:val="left"/>
      </w:pPr>
      <w:r>
        <w:rPr>
          <w:color w:val="000000"/>
          <w:spacing w:val="0"/>
          <w:w w:val="100"/>
          <w:position w:val="0"/>
        </w:rPr>
        <w:t>报告期内，公司经营活动产生的现金流量净额为</w:t>
      </w:r>
      <w:r>
        <w:rPr>
          <w:rFonts w:ascii="Times New Roman" w:eastAsia="Times New Roman" w:hAnsi="Times New Roman" w:cs="Times New Roman"/>
          <w:color w:val="000000"/>
          <w:spacing w:val="0"/>
          <w:w w:val="100"/>
          <w:position w:val="0"/>
        </w:rPr>
        <w:t>4,993.78</w:t>
      </w:r>
      <w:r>
        <w:rPr>
          <w:color w:val="000000"/>
          <w:spacing w:val="0"/>
          <w:w w:val="100"/>
          <w:position w:val="0"/>
        </w:rPr>
        <w:t>万元，同比增长</w:t>
      </w:r>
      <w:r>
        <w:rPr>
          <w:rFonts w:ascii="Times New Roman" w:eastAsia="Times New Roman" w:hAnsi="Times New Roman" w:cs="Times New Roman"/>
          <w:color w:val="000000"/>
          <w:spacing w:val="0"/>
          <w:w w:val="100"/>
          <w:position w:val="0"/>
        </w:rPr>
        <w:t>40.78%</w:t>
      </w:r>
      <w:r>
        <w:rPr>
          <w:color w:val="000000"/>
          <w:spacing w:val="0"/>
          <w:w w:val="100"/>
          <w:position w:val="0"/>
        </w:rPr>
        <w:t>，主要是报告期随着 业务拓展，安全集成业务增长，销售商品及提供劳务收到的现金以及收到的政府补助金额较上年同期增加 所致。</w:t>
      </w:r>
    </w:p>
    <w:p>
      <w:pPr>
        <w:pStyle w:val="Style35"/>
        <w:keepNext w:val="0"/>
        <w:keepLines w:val="0"/>
        <w:widowControl w:val="0"/>
        <w:shd w:val="clear" w:color="auto" w:fill="auto"/>
        <w:tabs>
          <w:tab w:pos="363" w:val="left"/>
        </w:tabs>
        <w:bidi w:val="0"/>
        <w:spacing w:before="0" w:after="200" w:line="480" w:lineRule="exact"/>
        <w:ind w:left="0" w:right="0" w:firstLine="0"/>
        <w:jc w:val="left"/>
      </w:pPr>
      <w:bookmarkStart w:id="112" w:name="bookmark112"/>
      <w:r>
        <w:rPr>
          <w:rFonts w:ascii="Times New Roman" w:eastAsia="Times New Roman" w:hAnsi="Times New Roman" w:cs="Times New Roman"/>
          <w:color w:val="000000"/>
          <w:spacing w:val="0"/>
          <w:w w:val="100"/>
          <w:position w:val="0"/>
        </w:rPr>
        <w:t>2</w:t>
      </w:r>
      <w:bookmarkEnd w:id="112"/>
      <w:r>
        <w:rPr>
          <w:rFonts w:ascii="Times New Roman" w:eastAsia="Times New Roman" w:hAnsi="Times New Roman" w:cs="Times New Roman"/>
          <w:color w:val="000000"/>
          <w:spacing w:val="0"/>
          <w:w w:val="100"/>
          <w:position w:val="0"/>
        </w:rPr>
        <w:t>）</w:t>
        <w:tab/>
      </w:r>
      <w:r>
        <w:rPr>
          <w:color w:val="000000"/>
          <w:spacing w:val="0"/>
          <w:w w:val="100"/>
          <w:position w:val="0"/>
        </w:rPr>
        <w:t>报告期利润构成或利润来源发生重大变动的说明</w:t>
      </w:r>
    </w:p>
    <w:p>
      <w:pPr>
        <w:pStyle w:val="Style35"/>
        <w:keepNext w:val="0"/>
        <w:keepLines w:val="0"/>
        <w:widowControl w:val="0"/>
        <w:shd w:val="clear" w:color="auto" w:fill="auto"/>
        <w:bidi w:val="0"/>
        <w:spacing w:before="0" w:after="200" w:line="240" w:lineRule="auto"/>
        <w:ind w:left="0" w:right="0" w:firstLine="0"/>
        <w:jc w:val="left"/>
      </w:pPr>
      <w:r>
        <w:rPr>
          <w:color w:val="000000"/>
          <w:spacing w:val="0"/>
          <w:w w:val="100"/>
          <w:position w:val="0"/>
        </w:rPr>
        <w:t>报告期利润构成或利润来源未发生重大变动。</w:t>
      </w:r>
    </w:p>
    <w:p>
      <w:pPr>
        <w:pStyle w:val="Style31"/>
        <w:keepNext w:val="0"/>
        <w:keepLines w:val="0"/>
        <w:widowControl w:val="0"/>
        <w:shd w:val="clear" w:color="auto" w:fill="auto"/>
        <w:tabs>
          <w:tab w:pos="187"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tab/>
      </w:r>
      <w:r>
        <w:rPr>
          <w:color w:val="000000"/>
          <w:spacing w:val="0"/>
          <w:w w:val="100"/>
          <w:position w:val="0"/>
        </w:rPr>
        <w:t>收入</w:t>
      </w:r>
    </w:p>
    <w:p>
      <w:pPr>
        <w:pStyle w:val="Style3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同比增减情况</w:t>
            </w:r>
          </w:p>
        </w:tc>
      </w:tr>
      <w:tr>
        <w:trPr>
          <w:trHeight w:val="40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395,366,353.03</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345,203,862.94</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14.53%</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驱动收入变化的因素</w:t>
      </w:r>
    </w:p>
    <w:p>
      <w:pPr>
        <w:pStyle w:val="Style35"/>
        <w:keepNext w:val="0"/>
        <w:keepLines w:val="0"/>
        <w:widowControl w:val="0"/>
        <w:shd w:val="clear" w:color="auto" w:fill="auto"/>
        <w:bidi w:val="0"/>
        <w:spacing w:before="0" w:after="520" w:line="398" w:lineRule="exact"/>
        <w:ind w:left="0" w:right="0" w:firstLine="440"/>
        <w:jc w:val="both"/>
      </w:pPr>
      <w:r>
        <w:rPr>
          <w:color w:val="000000"/>
          <w:spacing w:val="0"/>
          <w:w w:val="100"/>
          <w:position w:val="0"/>
        </w:rPr>
        <w:t>公司本年收入较去年同期相比稳中有升。公司管理层积极应对日益加剧的市场竞争格局以及未明显复 苏的经济形势，不断调整战略部署，调动营销人员的工作激情，强化公司竞争优势，探索开拓新市场。</w:t>
      </w:r>
    </w:p>
    <w:p>
      <w:pPr>
        <w:pStyle w:val="Style35"/>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公司实物销售收入是否大于劳务收入</w:t>
      </w:r>
    </w:p>
    <w:p>
      <w:pPr>
        <w:pStyle w:val="Style35"/>
        <w:keepNext w:val="0"/>
        <w:keepLines w:val="0"/>
        <w:widowControl w:val="0"/>
        <w:shd w:val="clear" w:color="auto" w:fill="auto"/>
        <w:bidi w:val="0"/>
        <w:spacing w:before="0" w:after="20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［否</w:t>
      </w:r>
    </w:p>
    <w:p>
      <w:pPr>
        <w:pStyle w:val="Style35"/>
        <w:keepNext w:val="0"/>
        <w:keepLines w:val="0"/>
        <w:widowControl w:val="0"/>
        <w:shd w:val="clear" w:color="auto" w:fill="auto"/>
        <w:bidi w:val="0"/>
        <w:spacing w:before="0" w:after="80" w:line="350" w:lineRule="exact"/>
        <w:ind w:left="0" w:right="0" w:firstLine="0"/>
        <w:jc w:val="left"/>
      </w:pPr>
      <w:r>
        <w:rPr>
          <w:color w:val="000000"/>
          <w:spacing w:val="0"/>
          <w:w w:val="100"/>
          <w:position w:val="0"/>
        </w:rPr>
        <w:t xml:space="preserve">公司重大的在手订单情况 </w:t>
      </w: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5"/>
        <w:keepNext w:val="0"/>
        <w:keepLines w:val="0"/>
        <w:widowControl w:val="0"/>
        <w:shd w:val="clear" w:color="auto" w:fill="auto"/>
        <w:bidi w:val="0"/>
        <w:spacing w:before="0" w:after="80" w:line="350"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日与广州市职业技术教研室签订了《广州市职业技术教研室广州市职业教育</w:t>
      </w:r>
    </w:p>
    <w:p>
      <w:pPr>
        <w:pStyle w:val="Style35"/>
        <w:keepNext w:val="0"/>
        <w:keepLines w:val="0"/>
        <w:widowControl w:val="0"/>
        <w:shd w:val="clear" w:color="auto" w:fill="auto"/>
        <w:bidi w:val="0"/>
        <w:spacing w:before="0" w:after="340" w:line="350" w:lineRule="exact"/>
        <w:ind w:left="0" w:right="0" w:firstLine="0"/>
        <w:jc w:val="both"/>
      </w:pPr>
      <w:r>
        <w:rPr>
          <w:color w:val="000000"/>
          <w:spacing w:val="0"/>
          <w:w w:val="100"/>
          <w:position w:val="0"/>
        </w:rPr>
        <w:t>信息系统</w:t>
      </w:r>
      <w:r>
        <w:rPr>
          <w:rFonts w:ascii="Times New Roman" w:eastAsia="Times New Roman" w:hAnsi="Times New Roman" w:cs="Times New Roman"/>
          <w:color w:val="000000"/>
          <w:spacing w:val="0"/>
          <w:w w:val="100"/>
          <w:position w:val="0"/>
        </w:rPr>
        <w:t>2011</w:t>
      </w:r>
      <w:r>
        <w:rPr>
          <w:color w:val="000000"/>
          <w:spacing w:val="0"/>
          <w:w w:val="100"/>
          <w:position w:val="0"/>
        </w:rPr>
        <w:t>年建设项目》的合同，合同总金额</w:t>
      </w:r>
      <w:r>
        <w:rPr>
          <w:rFonts w:ascii="Times New Roman" w:eastAsia="Times New Roman" w:hAnsi="Times New Roman" w:cs="Times New Roman"/>
          <w:color w:val="000000"/>
          <w:spacing w:val="0"/>
          <w:w w:val="100"/>
          <w:position w:val="0"/>
        </w:rPr>
        <w:t>84,690,880.00</w:t>
      </w:r>
      <w:r>
        <w:rPr>
          <w:color w:val="000000"/>
          <w:spacing w:val="0"/>
          <w:w w:val="100"/>
          <w:position w:val="0"/>
        </w:rPr>
        <w:t>元。该项目已于</w:t>
      </w:r>
      <w:r>
        <w:rPr>
          <w:rFonts w:ascii="Times New Roman" w:eastAsia="Times New Roman" w:hAnsi="Times New Roman" w:cs="Times New Roman"/>
          <w:color w:val="000000"/>
          <w:spacing w:val="0"/>
          <w:w w:val="100"/>
          <w:position w:val="0"/>
        </w:rPr>
        <w:t>2013</w:t>
      </w:r>
      <w:r>
        <w:rPr>
          <w:color w:val="000000"/>
          <w:spacing w:val="0"/>
          <w:w w:val="100"/>
          <w:position w:val="0"/>
        </w:rPr>
        <w:t>年底顺利验收完成。</w:t>
      </w:r>
    </w:p>
    <w:p>
      <w:pPr>
        <w:pStyle w:val="Style35"/>
        <w:keepNext w:val="0"/>
        <w:keepLines w:val="0"/>
        <w:widowControl w:val="0"/>
        <w:shd w:val="clear" w:color="auto" w:fill="auto"/>
        <w:bidi w:val="0"/>
        <w:spacing w:before="0" w:after="120" w:line="350" w:lineRule="exact"/>
        <w:ind w:left="0" w:right="0" w:firstLine="0"/>
        <w:jc w:val="both"/>
      </w:pPr>
      <w:r>
        <w:rPr>
          <w:color w:val="000000"/>
          <w:spacing w:val="0"/>
          <w:w w:val="100"/>
          <w:position w:val="0"/>
        </w:rPr>
        <w:t>数量分散的订单情况</w:t>
      </w:r>
    </w:p>
    <w:p>
      <w:pPr>
        <w:pStyle w:val="Style35"/>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35"/>
        <w:keepNext w:val="0"/>
        <w:keepLines w:val="0"/>
        <w:widowControl w:val="0"/>
        <w:shd w:val="clear" w:color="auto" w:fill="auto"/>
        <w:bidi w:val="0"/>
        <w:spacing w:before="0" w:after="120" w:line="350" w:lineRule="exact"/>
        <w:ind w:left="0" w:right="0" w:firstLine="0"/>
        <w:jc w:val="both"/>
      </w:pPr>
      <w:r>
        <w:rPr>
          <w:color w:val="000000"/>
          <w:spacing w:val="0"/>
          <w:w w:val="100"/>
          <w:position w:val="0"/>
        </w:rPr>
        <w:t>公司报告期内产品或服务发生重大变化或调整有关情况</w:t>
      </w:r>
    </w:p>
    <w:p>
      <w:pPr>
        <w:pStyle w:val="Style35"/>
        <w:keepNext w:val="0"/>
        <w:keepLines w:val="0"/>
        <w:widowControl w:val="0"/>
        <w:shd w:val="clear" w:color="auto" w:fill="auto"/>
        <w:bidi w:val="0"/>
        <w:spacing w:before="0" w:after="340" w:line="36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5"/>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成本</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7"/>
                <w:szCs w:val="17"/>
              </w:rPr>
              <w:t>同比增减</w:t>
            </w:r>
            <w:r>
              <w:rPr>
                <w:rFonts w:ascii="Times New Roman" w:eastAsia="Times New Roman" w:hAnsi="Times New Roman" w:cs="Times New Roman"/>
                <w:color w:val="000000"/>
                <w:spacing w:val="0"/>
                <w:w w:val="100"/>
                <w:position w:val="0"/>
                <w:sz w:val="18"/>
                <w:szCs w:val="18"/>
              </w:rPr>
              <w:t>（%）</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占营业成本比重</w:t>
            </w:r>
          </w:p>
          <w:p>
            <w:pPr>
              <w:pStyle w:val="Style8"/>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占营业成本比重</w:t>
            </w:r>
          </w:p>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政府机关</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135,434,867.16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110,208,524.82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57.34%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22.93%</w:t>
            </w:r>
          </w:p>
        </w:tc>
      </w:tr>
      <w:tr>
        <w:trPr>
          <w:trHeight w:val="398"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系统集成商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54,373,720.26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44,123,786.95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22.96%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18.83%</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教育机构</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23,487,554.00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9.41%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19,289,832.08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10.04%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21.79%</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制造贸易</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20,178,672.45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8.08%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4,694,221.78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2.44%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329.86%</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电信业</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7,051,972.99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2.82%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9,892,317.30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5.15%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w:t>
            </w:r>
          </w:p>
        </w:tc>
      </w:tr>
      <w:tr>
        <w:trPr>
          <w:trHeight w:val="398"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9,129,574.29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3.66%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3,988,187.82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2.08%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128.92%</w:t>
            </w:r>
          </w:p>
        </w:tc>
      </w:tr>
      <w:tr>
        <w:trPr>
          <w:trHeight w:val="413" w:hRule="exact"/>
        </w:trPr>
        <w:tc>
          <w:tcPr>
            <w:tcBorders>
              <w:top w:val="single" w:sz="4"/>
              <w:left w:val="single" w:sz="4"/>
              <w:bottom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249,656,361.15</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192,196,870.75</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w:t>
            </w:r>
          </w:p>
        </w:tc>
      </w:tr>
    </w:tbl>
    <w:p>
      <w:pPr>
        <w:widowControl w:val="0"/>
        <w:spacing w:after="79" w:line="1" w:lineRule="exact"/>
      </w:pPr>
    </w:p>
    <w:p>
      <w:pPr>
        <w:pStyle w:val="Style35"/>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费用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同比增减（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重大变动说明</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28,597,482.04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31,272,929.26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w:t>
            </w:r>
          </w:p>
        </w:tc>
        <w:tc>
          <w:tcPr>
            <w:tcBorders>
              <w:top w:val="single" w:sz="4"/>
              <w:left w:val="single" w:sz="4"/>
              <w:right w:val="single" w:sz="4"/>
            </w:tcBorders>
            <w:shd w:val="clear" w:color="auto" w:fill="CCE8C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90,791,343.47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57,223,331.43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58.66%</w:t>
            </w:r>
          </w:p>
        </w:tc>
        <w:tc>
          <w:tcPr>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本期研发费用及折旧摊销增加</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7,074,660.22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3,318,338.82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w:t>
            </w:r>
          </w:p>
        </w:tc>
        <w:tc>
          <w:tcPr>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本期银行借款增加</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所得税</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4,241,693.17</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9,698,650.75</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-56.27%</w:t>
            </w:r>
          </w:p>
        </w:tc>
        <w:tc>
          <w:tcPr>
            <w:tcBorders>
              <w:top w:val="single" w:sz="4"/>
              <w:left w:val="single" w:sz="4"/>
              <w:bottom w:val="single" w:sz="4"/>
              <w:righ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本期利润总额下降及税率变化</w:t>
            </w:r>
          </w:p>
        </w:tc>
      </w:tr>
    </w:tbl>
    <w:p>
      <w:pPr>
        <w:widowControl w:val="0"/>
        <w:spacing w:after="259" w:line="1" w:lineRule="exact"/>
      </w:pPr>
    </w:p>
    <w:p>
      <w:pPr>
        <w:pStyle w:val="Style35"/>
        <w:keepNext w:val="0"/>
        <w:keepLines w:val="0"/>
        <w:widowControl w:val="0"/>
        <w:shd w:val="clear" w:color="auto" w:fill="auto"/>
        <w:bidi w:val="0"/>
        <w:spacing w:before="0" w:after="0" w:line="406" w:lineRule="exact"/>
        <w:ind w:left="0" w:right="0" w:firstLine="0"/>
        <w:jc w:val="both"/>
      </w:pPr>
      <w:r>
        <w:rPr>
          <w:rFonts w:ascii="Times New Roman" w:eastAsia="Times New Roman" w:hAnsi="Times New Roman" w:cs="Times New Roman"/>
          <w:color w:val="000000"/>
          <w:spacing w:val="0"/>
          <w:w w:val="100"/>
          <w:position w:val="0"/>
        </w:rPr>
        <w:t>6）</w:t>
      </w:r>
      <w:r>
        <w:rPr>
          <w:color w:val="000000"/>
          <w:spacing w:val="0"/>
          <w:w w:val="100"/>
          <w:position w:val="0"/>
        </w:rPr>
        <w:t>研发投入</w:t>
      </w:r>
    </w:p>
    <w:p>
      <w:pPr>
        <w:pStyle w:val="Style35"/>
        <w:keepNext w:val="0"/>
        <w:keepLines w:val="0"/>
        <w:widowControl w:val="0"/>
        <w:shd w:val="clear" w:color="auto" w:fill="auto"/>
        <w:bidi w:val="0"/>
        <w:spacing w:before="0" w:after="80" w:line="406" w:lineRule="exact"/>
        <w:ind w:left="0" w:right="0" w:firstLine="44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年度公司研发支出总额</w:t>
      </w:r>
      <w:r>
        <w:rPr>
          <w:rFonts w:ascii="Times New Roman" w:eastAsia="Times New Roman" w:hAnsi="Times New Roman" w:cs="Times New Roman"/>
          <w:color w:val="000000"/>
          <w:spacing w:val="0"/>
          <w:w w:val="100"/>
          <w:position w:val="0"/>
        </w:rPr>
        <w:t>8,172.45</w:t>
      </w:r>
      <w:r>
        <w:rPr>
          <w:color w:val="000000"/>
          <w:spacing w:val="0"/>
          <w:w w:val="100"/>
          <w:position w:val="0"/>
        </w:rPr>
        <w:t>万元，其中：资本化金额为</w:t>
      </w:r>
      <w:r>
        <w:rPr>
          <w:rFonts w:ascii="Times New Roman" w:eastAsia="Times New Roman" w:hAnsi="Times New Roman" w:cs="Times New Roman"/>
          <w:color w:val="000000"/>
          <w:spacing w:val="0"/>
          <w:w w:val="100"/>
          <w:position w:val="0"/>
        </w:rPr>
        <w:t>4,254.04</w:t>
      </w:r>
      <w:r>
        <w:rPr>
          <w:color w:val="000000"/>
          <w:spacing w:val="0"/>
          <w:w w:val="100"/>
          <w:position w:val="0"/>
        </w:rPr>
        <w:t>万元，占研发支出总额</w:t>
      </w:r>
      <w:r>
        <w:rPr>
          <w:rFonts w:ascii="Times New Roman" w:eastAsia="Times New Roman" w:hAnsi="Times New Roman" w:cs="Times New Roman"/>
          <w:color w:val="000000"/>
          <w:spacing w:val="0"/>
          <w:w w:val="100"/>
          <w:position w:val="0"/>
        </w:rPr>
        <w:t>52.05%</w:t>
      </w:r>
      <w:r>
        <w:rPr>
          <w:color w:val="000000"/>
          <w:spacing w:val="0"/>
          <w:w w:val="100"/>
          <w:position w:val="0"/>
        </w:rPr>
        <w:t>； 本年研发支出总额较去年同期增长</w:t>
      </w:r>
      <w:r>
        <w:rPr>
          <w:rFonts w:ascii="Times New Roman" w:eastAsia="Times New Roman" w:hAnsi="Times New Roman" w:cs="Times New Roman"/>
          <w:color w:val="000000"/>
          <w:spacing w:val="0"/>
          <w:w w:val="100"/>
          <w:position w:val="0"/>
        </w:rPr>
        <w:t>131.55%</w:t>
      </w:r>
      <w:r>
        <w:rPr>
          <w:color w:val="000000"/>
          <w:spacing w:val="0"/>
          <w:w w:val="100"/>
          <w:position w:val="0"/>
        </w:rPr>
        <w:t>，占营业收入</w:t>
      </w:r>
      <w:r>
        <w:rPr>
          <w:rFonts w:ascii="Times New Roman" w:eastAsia="Times New Roman" w:hAnsi="Times New Roman" w:cs="Times New Roman"/>
          <w:color w:val="000000"/>
          <w:spacing w:val="0"/>
          <w:w w:val="100"/>
          <w:position w:val="0"/>
        </w:rPr>
        <w:t>20.67%</w:t>
      </w:r>
      <w:r>
        <w:rPr>
          <w:color w:val="000000"/>
          <w:spacing w:val="0"/>
          <w:w w:val="100"/>
          <w:position w:val="0"/>
        </w:rPr>
        <w:t>。研发支出较去年同期增长主要是由于为 增强公司的市场竞争力，公司持续加大了研发投入力度。</w:t>
      </w:r>
      <w:r>
        <w:br w:type="page"/>
      </w:r>
    </w:p>
    <w:p>
      <w:pPr>
        <w:pStyle w:val="Style35"/>
        <w:keepNext w:val="0"/>
        <w:keepLines w:val="0"/>
        <w:widowControl w:val="0"/>
        <w:shd w:val="clear" w:color="auto" w:fill="auto"/>
        <w:bidi w:val="0"/>
        <w:spacing w:before="0" w:after="8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年</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研发投入金额（元）</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81,724,503.32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35,294,990.05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20,559,225.56</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研发投入占营业收入比例（%）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研发支出资本化的金额（元）</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42,540,403.77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18,125,375.04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资本化研发支出占研发投入 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5"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资本化研发支出占当期净利 润的比重（</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133.05%</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35"/>
        <w:keepNext w:val="0"/>
        <w:keepLines w:val="0"/>
        <w:widowControl w:val="0"/>
        <w:shd w:val="clear" w:color="auto" w:fill="auto"/>
        <w:bidi w:val="0"/>
        <w:spacing w:before="0" w:after="120" w:line="346" w:lineRule="exact"/>
        <w:ind w:left="0" w:right="0" w:firstLine="0"/>
        <w:jc w:val="left"/>
      </w:pPr>
      <w:r>
        <w:rPr>
          <w:color w:val="000000"/>
          <w:spacing w:val="0"/>
          <w:w w:val="100"/>
          <w:position w:val="0"/>
        </w:rPr>
        <w:t xml:space="preserve">研发投入资本化率大幅变动的原因及其合理性说明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 xml:space="preserve">不适用 </w:t>
      </w:r>
      <w:r>
        <w:rPr>
          <w:rFonts w:ascii="Times New Roman" w:eastAsia="Times New Roman" w:hAnsi="Times New Roman" w:cs="Times New Roman"/>
          <w:color w:val="000000"/>
          <w:spacing w:val="0"/>
          <w:w w:val="100"/>
          <w:position w:val="0"/>
        </w:rPr>
        <w:t>7）</w:t>
      </w:r>
      <w:r>
        <w:rPr>
          <w:color w:val="000000"/>
          <w:spacing w:val="0"/>
          <w:w w:val="100"/>
          <w:position w:val="0"/>
        </w:rPr>
        <w:t>现金流</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同比增减（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443,588,130.01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323,382,912.80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37.17%</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393,650,290.02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287,910,385.97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36.73%</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经营活动产生的现金流量净 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49,937,839.99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35,472,526.83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40.78%</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15,400,000.00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140,343,346.41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198,181,365.89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-29.18%</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投资活动产生的现金流量净 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-124,943,346.41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-198,181,365.89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-37.09%</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246,324,366.52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542,623,610.77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215,032,257.10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107,445,048.82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100.13%</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筹资活动产生的现金流量净 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31,292,109.42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435,178,561.95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-92.81%</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-43,713,397.00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272,469,722.89</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-116.04%</w:t>
            </w:r>
          </w:p>
        </w:tc>
      </w:tr>
    </w:tbl>
    <w:p>
      <w:pPr>
        <w:pStyle w:val="Style35"/>
        <w:keepNext w:val="0"/>
        <w:keepLines w:val="0"/>
        <w:widowControl w:val="0"/>
        <w:shd w:val="clear" w:color="auto" w:fill="auto"/>
        <w:bidi w:val="0"/>
        <w:spacing w:before="0" w:after="0" w:line="370" w:lineRule="exact"/>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rPr>
        <w:t>30%</w:t>
      </w:r>
      <w:r>
        <w:rPr>
          <w:color w:val="000000"/>
          <w:spacing w:val="0"/>
          <w:w w:val="100"/>
          <w:position w:val="0"/>
        </w:rPr>
        <w:t xml:space="preserve">以上的原因说明 </w:t>
      </w: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5"/>
        <w:keepNext w:val="0"/>
        <w:keepLines w:val="0"/>
        <w:widowControl w:val="0"/>
        <w:shd w:val="clear" w:color="auto" w:fill="auto"/>
        <w:tabs>
          <w:tab w:pos="742" w:val="left"/>
        </w:tabs>
        <w:bidi w:val="0"/>
        <w:spacing w:before="0" w:after="0" w:line="405" w:lineRule="exact"/>
        <w:ind w:left="0" w:right="0" w:firstLine="440"/>
        <w:jc w:val="left"/>
      </w:pPr>
      <w:bookmarkStart w:id="113" w:name="bookmark113"/>
      <w:r>
        <w:rPr>
          <w:rFonts w:ascii="Times New Roman" w:eastAsia="Times New Roman" w:hAnsi="Times New Roman" w:cs="Times New Roman"/>
          <w:color w:val="000000"/>
          <w:spacing w:val="0"/>
          <w:w w:val="100"/>
          <w:position w:val="0"/>
        </w:rPr>
        <w:t>a</w:t>
      </w:r>
      <w:bookmarkEnd w:id="113"/>
      <w:r>
        <w:rPr>
          <w:rFonts w:ascii="Times New Roman" w:eastAsia="Times New Roman" w:hAnsi="Times New Roman" w:cs="Times New Roman"/>
          <w:color w:val="000000"/>
          <w:spacing w:val="0"/>
          <w:w w:val="100"/>
          <w:position w:val="0"/>
        </w:rPr>
        <w:t>）</w:t>
        <w:tab/>
      </w:r>
      <w:r>
        <w:rPr>
          <w:color w:val="000000"/>
          <w:spacing w:val="0"/>
          <w:w w:val="100"/>
          <w:position w:val="0"/>
        </w:rPr>
        <w:t>经营活动现金流入小计较上年同期发生数增加</w:t>
      </w:r>
      <w:r>
        <w:rPr>
          <w:rFonts w:ascii="Times New Roman" w:eastAsia="Times New Roman" w:hAnsi="Times New Roman" w:cs="Times New Roman"/>
          <w:color w:val="000000"/>
          <w:spacing w:val="0"/>
          <w:w w:val="100"/>
          <w:position w:val="0"/>
        </w:rPr>
        <w:t>37.17%</w:t>
      </w:r>
      <w:r>
        <w:rPr>
          <w:color w:val="000000"/>
          <w:spacing w:val="0"/>
          <w:w w:val="100"/>
          <w:position w:val="0"/>
        </w:rPr>
        <w:t>,主要原因为公司收到销售商品提供劳务现金 以及收到的政府补助金额较上年同期增加所致。</w:t>
      </w:r>
    </w:p>
    <w:p>
      <w:pPr>
        <w:pStyle w:val="Style35"/>
        <w:keepNext w:val="0"/>
        <w:keepLines w:val="0"/>
        <w:widowControl w:val="0"/>
        <w:shd w:val="clear" w:color="auto" w:fill="auto"/>
        <w:tabs>
          <w:tab w:pos="781" w:val="left"/>
        </w:tabs>
        <w:bidi w:val="0"/>
        <w:spacing w:before="0" w:after="0" w:line="405" w:lineRule="exact"/>
        <w:ind w:left="0" w:right="0" w:firstLine="440"/>
        <w:jc w:val="left"/>
      </w:pPr>
      <w:bookmarkStart w:id="114" w:name="bookmark114"/>
      <w:r>
        <w:rPr>
          <w:rFonts w:ascii="Times New Roman" w:eastAsia="Times New Roman" w:hAnsi="Times New Roman" w:cs="Times New Roman"/>
          <w:color w:val="000000"/>
          <w:spacing w:val="0"/>
          <w:w w:val="100"/>
          <w:position w:val="0"/>
        </w:rPr>
        <w:t>b</w:t>
      </w:r>
      <w:bookmarkEnd w:id="114"/>
      <w:r>
        <w:rPr>
          <w:rFonts w:ascii="Times New Roman" w:eastAsia="Times New Roman" w:hAnsi="Times New Roman" w:cs="Times New Roman"/>
          <w:color w:val="000000"/>
          <w:spacing w:val="0"/>
          <w:w w:val="100"/>
          <w:position w:val="0"/>
        </w:rPr>
        <w:t>）</w:t>
        <w:tab/>
      </w:r>
      <w:r>
        <w:rPr>
          <w:color w:val="000000"/>
          <w:spacing w:val="0"/>
          <w:w w:val="100"/>
          <w:position w:val="0"/>
        </w:rPr>
        <w:t>经营活动现金流出小计较上年同期发生数增加</w:t>
      </w:r>
      <w:r>
        <w:rPr>
          <w:rFonts w:ascii="Times New Roman" w:eastAsia="Times New Roman" w:hAnsi="Times New Roman" w:cs="Times New Roman"/>
          <w:color w:val="000000"/>
          <w:spacing w:val="0"/>
          <w:w w:val="100"/>
          <w:position w:val="0"/>
        </w:rPr>
        <w:t>36.73%</w:t>
      </w:r>
      <w:r>
        <w:rPr>
          <w:color w:val="000000"/>
          <w:spacing w:val="0"/>
          <w:w w:val="100"/>
          <w:position w:val="0"/>
        </w:rPr>
        <w:t>，主要原因为公司的安全集成业务稳步增长, 公司业务中的外购比例随之提升，报告期为购买材料等支付的现金也相应增加。同时随着公司规模扩大， 人员增加，相关的人工等支出也相应增加。</w:t>
      </w:r>
    </w:p>
    <w:p>
      <w:pPr>
        <w:pStyle w:val="Style35"/>
        <w:keepNext w:val="0"/>
        <w:keepLines w:val="0"/>
        <w:widowControl w:val="0"/>
        <w:shd w:val="clear" w:color="auto" w:fill="auto"/>
        <w:tabs>
          <w:tab w:pos="368" w:val="left"/>
        </w:tabs>
        <w:bidi w:val="0"/>
        <w:spacing w:before="0" w:after="0" w:line="405" w:lineRule="exact"/>
        <w:ind w:left="0" w:right="0" w:firstLine="440"/>
        <w:jc w:val="both"/>
      </w:pPr>
      <w:bookmarkStart w:id="115" w:name="bookmark115"/>
      <w:r>
        <w:rPr>
          <w:rFonts w:ascii="Times New Roman" w:eastAsia="Times New Roman" w:hAnsi="Times New Roman" w:cs="Times New Roman"/>
          <w:color w:val="000000"/>
          <w:spacing w:val="0"/>
          <w:w w:val="100"/>
          <w:position w:val="0"/>
        </w:rPr>
        <w:t>c</w:t>
      </w:r>
      <w:bookmarkEnd w:id="115"/>
      <w:r>
        <w:rPr>
          <w:rFonts w:ascii="Times New Roman" w:eastAsia="Times New Roman" w:hAnsi="Times New Roman" w:cs="Times New Roman"/>
          <w:color w:val="000000"/>
          <w:spacing w:val="0"/>
          <w:w w:val="100"/>
          <w:position w:val="0"/>
        </w:rPr>
        <w:t>）</w:t>
        <w:tab/>
      </w:r>
      <w:r>
        <w:rPr>
          <w:color w:val="000000"/>
          <w:spacing w:val="0"/>
          <w:w w:val="100"/>
          <w:position w:val="0"/>
        </w:rPr>
        <w:t>投资活动产生的现金流量净额较上年同期减少</w:t>
      </w:r>
      <w:r>
        <w:rPr>
          <w:rFonts w:ascii="Times New Roman" w:eastAsia="Times New Roman" w:hAnsi="Times New Roman" w:cs="Times New Roman"/>
          <w:color w:val="000000"/>
          <w:spacing w:val="0"/>
          <w:w w:val="100"/>
          <w:position w:val="0"/>
        </w:rPr>
        <w:t>37.09%</w:t>
      </w:r>
      <w:r>
        <w:rPr>
          <w:color w:val="000000"/>
          <w:spacing w:val="0"/>
          <w:w w:val="100"/>
          <w:position w:val="0"/>
        </w:rPr>
        <w:t xml:space="preserve">，主要原因为本报告期内，公司募投项目陆续 </w:t>
      </w:r>
      <w:r>
        <w:rPr>
          <w:color w:val="000000"/>
          <w:spacing w:val="0"/>
          <w:w w:val="100"/>
          <w:position w:val="0"/>
        </w:rPr>
        <w:t>研发完成，购买的网络设备较上年同期减少所致。</w:t>
      </w:r>
    </w:p>
    <w:p>
      <w:pPr>
        <w:pStyle w:val="Style35"/>
        <w:keepNext w:val="0"/>
        <w:keepLines w:val="0"/>
        <w:widowControl w:val="0"/>
        <w:shd w:val="clear" w:color="auto" w:fill="auto"/>
        <w:bidi w:val="0"/>
        <w:spacing w:before="0" w:after="320" w:line="413" w:lineRule="exact"/>
        <w:ind w:left="0" w:right="0" w:firstLine="440"/>
        <w:jc w:val="both"/>
      </w:pPr>
      <w:bookmarkStart w:id="116" w:name="bookmark116"/>
      <w:r>
        <w:rPr>
          <w:rFonts w:ascii="Times New Roman" w:eastAsia="Times New Roman" w:hAnsi="Times New Roman" w:cs="Times New Roman"/>
          <w:color w:val="000000"/>
          <w:spacing w:val="0"/>
          <w:w w:val="100"/>
          <w:position w:val="0"/>
        </w:rPr>
        <w:t>d</w:t>
      </w:r>
      <w:bookmarkEnd w:id="116"/>
      <w:r>
        <w:rPr>
          <w:rFonts w:ascii="Times New Roman" w:eastAsia="Times New Roman" w:hAnsi="Times New Roman" w:cs="Times New Roman"/>
          <w:color w:val="000000"/>
          <w:spacing w:val="0"/>
          <w:w w:val="100"/>
          <w:position w:val="0"/>
        </w:rPr>
        <w:t>）</w:t>
      </w:r>
      <w:r>
        <w:rPr>
          <w:color w:val="000000"/>
          <w:spacing w:val="0"/>
          <w:w w:val="100"/>
          <w:position w:val="0"/>
        </w:rPr>
        <w:t>筹资活动产生的现金流量净额较上年同期下降</w:t>
      </w:r>
      <w:r>
        <w:rPr>
          <w:rFonts w:ascii="Times New Roman" w:eastAsia="Times New Roman" w:hAnsi="Times New Roman" w:cs="Times New Roman"/>
          <w:color w:val="000000"/>
          <w:spacing w:val="0"/>
          <w:w w:val="100"/>
          <w:position w:val="0"/>
        </w:rPr>
        <w:t>92.81%</w:t>
      </w:r>
      <w:r>
        <w:rPr>
          <w:color w:val="000000"/>
          <w:spacing w:val="0"/>
          <w:w w:val="100"/>
          <w:position w:val="0"/>
        </w:rPr>
        <w:t>,主要原因为一方面上年度因首次发行股票 而收到募集资金，另一方面公司报告期归还银行借款金额增加所致。</w:t>
      </w:r>
    </w:p>
    <w:p>
      <w:pPr>
        <w:pStyle w:val="Style35"/>
        <w:keepNext w:val="0"/>
        <w:keepLines w:val="0"/>
        <w:widowControl w:val="0"/>
        <w:shd w:val="clear" w:color="auto" w:fill="auto"/>
        <w:bidi w:val="0"/>
        <w:spacing w:before="0" w:after="320" w:line="360" w:lineRule="exact"/>
        <w:ind w:left="0" w:right="0" w:firstLine="0"/>
        <w:jc w:val="both"/>
      </w:pPr>
      <w:r>
        <w:rPr>
          <w:color w:val="000000"/>
          <w:spacing w:val="0"/>
          <w:w w:val="100"/>
          <w:position w:val="0"/>
        </w:rPr>
        <w:t xml:space="preserve">报告期内公司经营活动的现金流量与本年度净利润存在重大差异的原因说明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1"/>
        <w:keepNext w:val="0"/>
        <w:keepLines w:val="0"/>
        <w:widowControl w:val="0"/>
        <w:shd w:val="clear" w:color="auto" w:fill="auto"/>
        <w:bidi w:val="0"/>
        <w:spacing w:before="0" w:after="0" w:line="365" w:lineRule="exact"/>
        <w:ind w:left="0" w:right="0" w:firstLine="0"/>
        <w:jc w:val="left"/>
      </w:pPr>
      <w:r>
        <w:rPr>
          <w:rFonts w:ascii="Times New Roman" w:eastAsia="Times New Roman" w:hAnsi="Times New Roman" w:cs="Times New Roman"/>
          <w:color w:val="000000"/>
          <w:spacing w:val="0"/>
          <w:w w:val="100"/>
          <w:position w:val="0"/>
        </w:rPr>
        <w:t>8）</w:t>
      </w:r>
      <w:r>
        <w:rPr>
          <w:color w:val="000000"/>
          <w:spacing w:val="0"/>
          <w:w w:val="100"/>
          <w:position w:val="0"/>
        </w:rPr>
        <w:t>公司主要供应商、客户情况 公司主要销售客户情况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前五名客户合计销售金额（元）</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122,366,963.91</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前五名客户合计销售金额占年度销售总额比例（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30.95%</w:t>
            </w:r>
          </w:p>
        </w:tc>
      </w:tr>
    </w:tbl>
    <w:p>
      <w:pPr>
        <w:pStyle w:val="Style31"/>
        <w:keepNext w:val="0"/>
        <w:keepLines w:val="0"/>
        <w:widowControl w:val="0"/>
        <w:shd w:val="clear" w:color="auto" w:fill="auto"/>
        <w:bidi w:val="0"/>
        <w:spacing w:before="0" w:after="0" w:line="348" w:lineRule="exact"/>
        <w:ind w:left="0" w:right="0" w:firstLine="0"/>
        <w:jc w:val="left"/>
      </w:pPr>
      <w:r>
        <w:rPr>
          <w:color w:val="000000"/>
          <w:spacing w:val="0"/>
          <w:w w:val="100"/>
          <w:position w:val="0"/>
        </w:rPr>
        <w:t>向单一客户销售比例超过</w:t>
      </w:r>
      <w:r>
        <w:rPr>
          <w:rFonts w:ascii="Times New Roman" w:eastAsia="Times New Roman" w:hAnsi="Times New Roman" w:cs="Times New Roman"/>
          <w:color w:val="000000"/>
          <w:spacing w:val="0"/>
          <w:w w:val="100"/>
          <w:position w:val="0"/>
        </w:rPr>
        <w:t>30%</w:t>
      </w:r>
      <w:r>
        <w:rPr>
          <w:color w:val="000000"/>
          <w:spacing w:val="0"/>
          <w:w w:val="100"/>
          <w:position w:val="0"/>
        </w:rPr>
        <w:t xml:space="preserve">的客户资料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 公司主要供应商情况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前五名供应商合计采购金额（元）</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47,776,538.17</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前五名供应商合计采购金额占年度采购总额比例（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14.77%</w:t>
            </w:r>
          </w:p>
        </w:tc>
      </w:tr>
    </w:tbl>
    <w:p>
      <w:pPr>
        <w:pStyle w:val="Style31"/>
        <w:keepNext w:val="0"/>
        <w:keepLines w:val="0"/>
        <w:widowControl w:val="0"/>
        <w:shd w:val="clear" w:color="auto" w:fill="auto"/>
        <w:bidi w:val="0"/>
        <w:spacing w:before="0" w:after="0" w:line="355" w:lineRule="exact"/>
        <w:ind w:left="0" w:right="0" w:firstLine="0"/>
        <w:jc w:val="left"/>
      </w:pPr>
      <w:r>
        <w:rPr>
          <w:color w:val="000000"/>
          <w:spacing w:val="0"/>
          <w:w w:val="100"/>
          <w:position w:val="0"/>
        </w:rPr>
        <w:t>向单一供应商采购比例超过</w:t>
      </w:r>
      <w:r>
        <w:rPr>
          <w:rFonts w:ascii="Times New Roman" w:eastAsia="Times New Roman" w:hAnsi="Times New Roman" w:cs="Times New Roman"/>
          <w:color w:val="000000"/>
          <w:spacing w:val="0"/>
          <w:w w:val="100"/>
          <w:position w:val="0"/>
        </w:rPr>
        <w:t>30%</w:t>
      </w:r>
      <w:r>
        <w:rPr>
          <w:color w:val="000000"/>
          <w:spacing w:val="0"/>
          <w:w w:val="100"/>
          <w:position w:val="0"/>
        </w:rPr>
        <w:t xml:space="preserve">的客户资料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widowControl w:val="0"/>
        <w:spacing w:after="219" w:line="1" w:lineRule="exact"/>
      </w:pPr>
    </w:p>
    <w:p>
      <w:pPr>
        <w:pStyle w:val="Style35"/>
        <w:keepNext w:val="0"/>
        <w:keepLines w:val="0"/>
        <w:widowControl w:val="0"/>
        <w:shd w:val="clear" w:color="auto" w:fill="auto"/>
        <w:bidi w:val="0"/>
        <w:spacing w:before="0" w:after="460" w:line="402" w:lineRule="exact"/>
        <w:ind w:left="0" w:right="0" w:firstLine="0"/>
        <w:jc w:val="both"/>
      </w:pPr>
      <w:r>
        <w:rPr>
          <w:rFonts w:ascii="Times New Roman" w:eastAsia="Times New Roman" w:hAnsi="Times New Roman" w:cs="Times New Roman"/>
          <w:color w:val="000000"/>
          <w:spacing w:val="0"/>
          <w:w w:val="100"/>
          <w:position w:val="0"/>
        </w:rPr>
        <w:t>9）</w:t>
      </w:r>
      <w:r>
        <w:rPr>
          <w:color w:val="000000"/>
          <w:spacing w:val="0"/>
          <w:w w:val="100"/>
          <w:position w:val="0"/>
        </w:rPr>
        <w:t>公司未来发展与规划延续至报告期的说明</w:t>
      </w:r>
    </w:p>
    <w:p>
      <w:pPr>
        <w:pStyle w:val="Style35"/>
        <w:keepNext w:val="0"/>
        <w:keepLines w:val="0"/>
        <w:widowControl w:val="0"/>
        <w:shd w:val="clear" w:color="auto" w:fill="auto"/>
        <w:bidi w:val="0"/>
        <w:spacing w:before="0" w:after="120" w:line="240" w:lineRule="auto"/>
        <w:ind w:left="0" w:right="0" w:firstLine="0"/>
        <w:jc w:val="both"/>
      </w:pPr>
      <w:r>
        <w:rPr>
          <w:color w:val="000000"/>
          <w:spacing w:val="0"/>
          <w:w w:val="100"/>
          <w:position w:val="0"/>
        </w:rPr>
        <w:t>首次公开发行招股说明书中披露的未来发展与规划在本报告期的实施情况</w:t>
      </w:r>
    </w:p>
    <w:p>
      <w:pPr>
        <w:pStyle w:val="Style3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5"/>
        <w:keepNext w:val="0"/>
        <w:keepLines w:val="0"/>
        <w:widowControl w:val="0"/>
        <w:shd w:val="clear" w:color="auto" w:fill="auto"/>
        <w:bidi w:val="0"/>
        <w:spacing w:before="0" w:after="0" w:line="402" w:lineRule="exact"/>
        <w:ind w:left="0" w:right="0" w:firstLine="440"/>
        <w:jc w:val="both"/>
      </w:pPr>
      <w:r>
        <w:rPr>
          <w:color w:val="000000"/>
          <w:spacing w:val="0"/>
          <w:w w:val="100"/>
          <w:position w:val="0"/>
        </w:rPr>
        <w:t>公司在首次公开发行招股说明书中披露的未来三年发展规划及目标，主要围绕把公司“打造为国际一 流的信息安全企业”的战略远景，在企业级信息安全领域深耕细作，拓展蓝盾自主品牌，积极进行技术创 新，拓展全国业务布局，针对安全产品、安全集成、安全服务等主营业务发展做出了计划，同时企业管理 水平得到提升。</w:t>
      </w:r>
    </w:p>
    <w:p>
      <w:pPr>
        <w:pStyle w:val="Style35"/>
        <w:keepNext w:val="0"/>
        <w:keepLines w:val="0"/>
        <w:widowControl w:val="0"/>
        <w:shd w:val="clear" w:color="auto" w:fill="auto"/>
        <w:bidi w:val="0"/>
        <w:spacing w:before="0" w:after="460" w:line="402" w:lineRule="exact"/>
        <w:ind w:left="0" w:right="0" w:firstLine="440"/>
        <w:jc w:val="both"/>
      </w:pPr>
      <w:r>
        <w:rPr>
          <w:color w:val="000000"/>
          <w:spacing w:val="0"/>
          <w:w w:val="100"/>
          <w:position w:val="0"/>
        </w:rPr>
        <w:t>报告期内，公司基本上是围绕上述发展规划及目标开展技术研发及市场拓展工作。在技术研发方面， 公司围绕募投项目及云计算、大数据等最新技术领域，进行了多项重要项目的研发和升级整合，产品线得 到了完善和优化，解决方案更符合客户需求，公司的核心竞争力不断提高；在市场拓展方面，公司在保持 华南区域信息安全龙头企业的基础上，按照计划进度进行了全国营销网络布局，同时在政府、教育、社保 等十多个领域的拓展中取得显著进展。</w:t>
      </w:r>
    </w:p>
    <w:p>
      <w:pPr>
        <w:pStyle w:val="Style35"/>
        <w:keepNext w:val="0"/>
        <w:keepLines w:val="0"/>
        <w:widowControl w:val="0"/>
        <w:shd w:val="clear" w:color="auto" w:fill="auto"/>
        <w:bidi w:val="0"/>
        <w:spacing w:before="0" w:after="0" w:line="403" w:lineRule="exact"/>
        <w:ind w:left="0" w:right="0" w:firstLine="0"/>
        <w:jc w:val="both"/>
      </w:pPr>
      <w:r>
        <w:rPr>
          <w:color w:val="000000"/>
          <w:spacing w:val="0"/>
          <w:w w:val="100"/>
          <w:position w:val="0"/>
        </w:rPr>
        <w:t>前期披露的发展战略和经营计划在报告期内的进展情况</w:t>
      </w:r>
    </w:p>
    <w:p>
      <w:pPr>
        <w:pStyle w:val="Style35"/>
        <w:keepNext w:val="0"/>
        <w:keepLines w:val="0"/>
        <w:widowControl w:val="0"/>
        <w:shd w:val="clear" w:color="auto" w:fill="auto"/>
        <w:bidi w:val="0"/>
        <w:spacing w:before="0" w:after="340" w:line="403" w:lineRule="exact"/>
        <w:ind w:left="0" w:right="0" w:firstLine="440"/>
        <w:jc w:val="both"/>
      </w:pPr>
      <w:r>
        <w:rPr>
          <w:color w:val="000000"/>
          <w:spacing w:val="0"/>
          <w:w w:val="100"/>
          <w:position w:val="0"/>
        </w:rPr>
        <w:t>报告期内，公司基本按照年初董事会制定的发展战略和年度经营计划开展工作，各方面工作基本得到 落实，公司管理能力及综合竞争力进一步提升。（详见本节“一、管理层讨论与分析”之“</w:t>
      </w:r>
      <w:r>
        <w:rPr>
          <w:rFonts w:ascii="Times New Roman" w:eastAsia="Times New Roman" w:hAnsi="Times New Roman" w:cs="Times New Roman"/>
          <w:color w:val="000000"/>
          <w:spacing w:val="0"/>
          <w:w w:val="100"/>
          <w:position w:val="0"/>
        </w:rPr>
        <w:t>1</w:t>
      </w:r>
      <w:r>
        <w:rPr>
          <w:color w:val="000000"/>
          <w:spacing w:val="0"/>
          <w:w w:val="100"/>
          <w:position w:val="0"/>
        </w:rPr>
        <w:t>、报告期内主</w:t>
        <w:br w:type="page"/>
      </w:r>
      <w:r>
        <w:rPr>
          <w:color w:val="000000"/>
          <w:spacing w:val="0"/>
          <w:w w:val="100"/>
          <w:position w:val="0"/>
        </w:rPr>
        <w:t>要业务回顾”。）</w:t>
      </w:r>
    </w:p>
    <w:p>
      <w:pPr>
        <w:pStyle w:val="Style35"/>
        <w:keepNext w:val="0"/>
        <w:keepLines w:val="0"/>
        <w:widowControl w:val="0"/>
        <w:shd w:val="clear" w:color="auto" w:fill="auto"/>
        <w:bidi w:val="0"/>
        <w:spacing w:before="0" w:after="220" w:line="355" w:lineRule="exact"/>
        <w:ind w:left="0" w:right="0" w:firstLine="0"/>
        <w:jc w:val="left"/>
      </w:pPr>
      <w:r>
        <w:rPr>
          <w:color w:val="000000"/>
          <w:spacing w:val="0"/>
          <w:w w:val="100"/>
          <w:position w:val="0"/>
        </w:rPr>
        <w:t>公司实际经营业绩较曾公开披露过的本年度盈利预测低于或高于</w:t>
      </w:r>
      <w:r>
        <w:rPr>
          <w:rFonts w:ascii="Times New Roman" w:eastAsia="Times New Roman" w:hAnsi="Times New Roman" w:cs="Times New Roman"/>
          <w:color w:val="000000"/>
          <w:spacing w:val="0"/>
          <w:w w:val="100"/>
          <w:position w:val="0"/>
        </w:rPr>
        <w:t>20%</w:t>
      </w:r>
      <w:r>
        <w:rPr>
          <w:color w:val="000000"/>
          <w:spacing w:val="0"/>
          <w:w w:val="100"/>
          <w:position w:val="0"/>
        </w:rPr>
        <w:t xml:space="preserve">以上的差异原因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8"/>
        <w:keepNext/>
        <w:keepLines/>
        <w:widowControl w:val="0"/>
        <w:shd w:val="clear" w:color="auto" w:fill="auto"/>
        <w:bidi w:val="0"/>
        <w:spacing w:before="0" w:after="400" w:line="355" w:lineRule="exact"/>
        <w:ind w:left="0" w:right="0" w:firstLine="0"/>
        <w:jc w:val="left"/>
      </w:pPr>
      <w:bookmarkStart w:id="117" w:name="bookmark117"/>
      <w:bookmarkStart w:id="118" w:name="bookmark118"/>
      <w:bookmarkStart w:id="119" w:name="bookmark119"/>
      <w:bookmarkStart w:id="120" w:name="bookmark120"/>
      <w:r>
        <w:rPr>
          <w:color w:val="000000"/>
          <w:spacing w:val="0"/>
          <w:w w:val="100"/>
          <w:position w:val="0"/>
        </w:rPr>
        <w:t>（</w:t>
      </w:r>
      <w:bookmarkEnd w:id="119"/>
      <w:r>
        <w:rPr>
          <w:rFonts w:ascii="Times New Roman" w:eastAsia="Times New Roman" w:hAnsi="Times New Roman" w:cs="Times New Roman"/>
          <w:color w:val="000000"/>
          <w:spacing w:val="0"/>
          <w:w w:val="100"/>
          <w:position w:val="0"/>
        </w:rPr>
        <w:t>2</w:t>
      </w:r>
      <w:r>
        <w:rPr>
          <w:color w:val="000000"/>
          <w:spacing w:val="0"/>
          <w:w w:val="100"/>
          <w:position w:val="0"/>
        </w:rPr>
        <w:t>）主营业务分部报告</w:t>
      </w:r>
      <w:bookmarkEnd w:id="117"/>
      <w:bookmarkEnd w:id="118"/>
      <w:bookmarkEnd w:id="120"/>
    </w:p>
    <w:p>
      <w:pPr>
        <w:pStyle w:val="Style35"/>
        <w:keepNext w:val="0"/>
        <w:keepLines w:val="0"/>
        <w:widowControl w:val="0"/>
        <w:shd w:val="clear" w:color="auto" w:fill="auto"/>
        <w:bidi w:val="0"/>
        <w:spacing w:before="0" w:after="0" w:line="372"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报告期主营业务收入及主营业务利润的构成</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主营业务收入</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主营业务利润</w:t>
            </w:r>
          </w:p>
        </w:tc>
      </w:tr>
      <w:tr>
        <w:trPr>
          <w:trHeight w:val="403" w:hRule="exact"/>
        </w:trPr>
        <w:tc>
          <w:tcPr>
            <w:gridSpan w:val="3"/>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分行业</w:t>
            </w:r>
          </w:p>
        </w:tc>
      </w:tr>
      <w:tr>
        <w:trPr>
          <w:trHeight w:val="398"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政府机关</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198,037,508.28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62,602,641.12</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系统集成商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106,195,317.88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51,821,597.62</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教育机构</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31,077,984.35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7,590,430.35</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制造贸易</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30,572,869.07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10,394,196.62</w:t>
            </w:r>
          </w:p>
        </w:tc>
      </w:tr>
      <w:tr>
        <w:trPr>
          <w:trHeight w:val="398"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电信业</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17,255,905.82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10,203,932.83</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12,226,767.63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3,097,193.34</w:t>
            </w:r>
          </w:p>
        </w:tc>
      </w:tr>
      <w:tr>
        <w:trPr>
          <w:trHeight w:val="403" w:hRule="exact"/>
        </w:trPr>
        <w:tc>
          <w:tcPr>
            <w:gridSpan w:val="3"/>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分产品</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安全产品</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88,539,709.63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65,751,226.10</w:t>
            </w:r>
          </w:p>
        </w:tc>
      </w:tr>
      <w:tr>
        <w:trPr>
          <w:trHeight w:val="398"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安全集成</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279,117,788.25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61,318,573.59</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安全服务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27,708,855.15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18,640,192.19</w:t>
            </w:r>
          </w:p>
        </w:tc>
      </w:tr>
      <w:tr>
        <w:trPr>
          <w:trHeight w:val="403" w:hRule="exact"/>
        </w:trPr>
        <w:tc>
          <w:tcPr>
            <w:gridSpan w:val="3"/>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分地区</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358,119.65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229,676.84</w:t>
            </w:r>
          </w:p>
        </w:tc>
      </w:tr>
      <w:tr>
        <w:trPr>
          <w:trHeight w:val="398"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15,910,723.89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4,421,983.82</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华东</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2,989,976.94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1,857,945.52</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358,585,237.87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130,146,447.41</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华中</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7,409,181.19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3,182,540.88</w:t>
            </w:r>
          </w:p>
        </w:tc>
      </w:tr>
      <w:tr>
        <w:trPr>
          <w:trHeight w:val="398"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9,651,425.44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5,550,106.94</w:t>
            </w:r>
          </w:p>
        </w:tc>
      </w:tr>
      <w:tr>
        <w:trPr>
          <w:trHeight w:val="413" w:hRule="exact"/>
        </w:trPr>
        <w:tc>
          <w:tcPr>
            <w:tcBorders>
              <w:top w:val="single" w:sz="4"/>
              <w:left w:val="single" w:sz="4"/>
              <w:bottom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西南</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461,688.05</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321,290.47</w:t>
            </w:r>
          </w:p>
        </w:tc>
      </w:tr>
    </w:tbl>
    <w:p>
      <w:pPr>
        <w:widowControl w:val="0"/>
        <w:spacing w:after="79" w:line="1" w:lineRule="exact"/>
      </w:pPr>
    </w:p>
    <w:p>
      <w:pPr>
        <w:pStyle w:val="Style3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占比</w:t>
      </w:r>
      <w:r>
        <w:rPr>
          <w:rFonts w:ascii="Times New Roman" w:eastAsia="Times New Roman" w:hAnsi="Times New Roman" w:cs="Times New Roman"/>
          <w:color w:val="000000"/>
          <w:spacing w:val="0"/>
          <w:w w:val="100"/>
          <w:position w:val="0"/>
        </w:rPr>
        <w:t>10%</w:t>
      </w:r>
      <w:r>
        <w:rPr>
          <w:color w:val="000000"/>
          <w:spacing w:val="0"/>
          <w:w w:val="100"/>
          <w:position w:val="0"/>
        </w:rPr>
        <w:t>以上的产品、行业或地区情况</w:t>
      </w:r>
    </w:p>
    <w:p>
      <w:pPr>
        <w:pStyle w:val="Style3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378"/>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毛利率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营业收入比上年 同期增减（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营业成本比上年 同期增减（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毛利率比上年同 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分行业</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政府机关</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198,037,508.28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135,434,867.16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w:t>
            </w:r>
          </w:p>
        </w:tc>
      </w:tr>
      <w:tr>
        <w:trPr>
          <w:trHeight w:val="413" w:hRule="exact"/>
        </w:trPr>
        <w:tc>
          <w:tcPr>
            <w:tcBorders>
              <w:top w:val="single" w:sz="4"/>
              <w:left w:val="single" w:sz="4"/>
              <w:bottom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系统集成商</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106,195,317.88</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54,373,720.26</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23.23%</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3"/>
        <w:gridCol w:w="1368"/>
        <w:gridCol w:w="1382"/>
      </w:tblGrid>
      <w:tr>
        <w:trPr>
          <w:trHeight w:val="403" w:hRule="exact"/>
        </w:trPr>
        <w:tc>
          <w:tcPr>
            <w:gridSpan w:val="7"/>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分产品</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安全产品</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88,539,709.63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22,788,483.53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安全集成</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279,117,788.25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217,799,214.66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w:t>
            </w:r>
          </w:p>
        </w:tc>
      </w:tr>
      <w:tr>
        <w:trPr>
          <w:trHeight w:val="403" w:hRule="exact"/>
        </w:trPr>
        <w:tc>
          <w:tcPr>
            <w:gridSpan w:val="7"/>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分地区</w:t>
            </w:r>
          </w:p>
        </w:tc>
      </w:tr>
      <w:tr>
        <w:trPr>
          <w:trHeight w:val="413" w:hRule="exact"/>
        </w:trPr>
        <w:tc>
          <w:tcPr>
            <w:tcBorders>
              <w:top w:val="single" w:sz="4"/>
              <w:left w:val="single" w:sz="4"/>
              <w:bottom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华南</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358,585,237.87</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228,438,790.46</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36.29%</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14.98%</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33.83%</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w:t>
            </w:r>
          </w:p>
        </w:tc>
      </w:tr>
    </w:tbl>
    <w:p>
      <w:pPr>
        <w:widowControl w:val="0"/>
        <w:spacing w:after="319" w:line="1" w:lineRule="exact"/>
      </w:pPr>
    </w:p>
    <w:p>
      <w:pPr>
        <w:pStyle w:val="Style38"/>
        <w:keepNext/>
        <w:keepLines/>
        <w:widowControl w:val="0"/>
        <w:shd w:val="clear" w:color="auto" w:fill="auto"/>
        <w:bidi w:val="0"/>
        <w:spacing w:before="0" w:after="360" w:line="240" w:lineRule="auto"/>
        <w:ind w:left="0" w:right="0" w:firstLine="520"/>
        <w:jc w:val="left"/>
      </w:pPr>
      <w:bookmarkStart w:id="121" w:name="bookmark121"/>
      <w:bookmarkStart w:id="122" w:name="bookmark122"/>
      <w:bookmarkStart w:id="123" w:name="bookmark123"/>
      <w:bookmarkStart w:id="124" w:name="bookmark124"/>
      <w:r>
        <w:rPr>
          <w:color w:val="000000"/>
          <w:spacing w:val="0"/>
          <w:w w:val="100"/>
          <w:position w:val="0"/>
        </w:rPr>
        <w:t>（</w:t>
      </w:r>
      <w:bookmarkEnd w:id="123"/>
      <w:r>
        <w:rPr>
          <w:rFonts w:ascii="Times New Roman" w:eastAsia="Times New Roman" w:hAnsi="Times New Roman" w:cs="Times New Roman"/>
          <w:color w:val="000000"/>
          <w:spacing w:val="0"/>
          <w:w w:val="100"/>
          <w:position w:val="0"/>
        </w:rPr>
        <w:t>3</w:t>
      </w:r>
      <w:r>
        <w:rPr>
          <w:color w:val="000000"/>
          <w:spacing w:val="0"/>
          <w:w w:val="100"/>
          <w:position w:val="0"/>
        </w:rPr>
        <w:t>）资产、负债状况分析</w:t>
      </w:r>
      <w:bookmarkEnd w:id="121"/>
      <w:bookmarkEnd w:id="122"/>
      <w:bookmarkEnd w:id="124"/>
    </w:p>
    <w:p>
      <w:pPr>
        <w:pStyle w:val="Style35"/>
        <w:keepNext w:val="0"/>
        <w:keepLines w:val="0"/>
        <w:widowControl w:val="0"/>
        <w:shd w:val="clear" w:color="auto" w:fill="auto"/>
        <w:bidi w:val="0"/>
        <w:spacing w:before="0" w:after="100" w:line="240" w:lineRule="auto"/>
        <w:ind w:left="0" w:right="0" w:firstLine="520"/>
        <w:jc w:val="left"/>
      </w:pPr>
      <w:r>
        <w:rPr>
          <w:rFonts w:ascii="Times New Roman" w:eastAsia="Times New Roman" w:hAnsi="Times New Roman" w:cs="Times New Roman"/>
          <w:color w:val="000000"/>
          <w:spacing w:val="0"/>
          <w:w w:val="100"/>
          <w:position w:val="0"/>
        </w:rPr>
        <w:t>1）</w:t>
      </w:r>
      <w:r>
        <w:rPr>
          <w:color w:val="000000"/>
          <w:spacing w:val="0"/>
          <w:w w:val="100"/>
          <w:position w:val="0"/>
        </w:rPr>
        <w:t>资产项目重大变动情况</w:t>
      </w:r>
    </w:p>
    <w:p>
      <w:pPr>
        <w:pStyle w:val="Style3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378"/>
        <w:gridCol w:w="1325"/>
        <w:gridCol w:w="1061"/>
        <w:gridCol w:w="1195"/>
        <w:gridCol w:w="1066"/>
        <w:gridCol w:w="797"/>
        <w:gridCol w:w="2928"/>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年末</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年末</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20" w:line="240" w:lineRule="auto"/>
              <w:ind w:left="0" w:right="140" w:firstLine="0"/>
              <w:jc w:val="right"/>
              <w:rPr>
                <w:sz w:val="17"/>
                <w:szCs w:val="17"/>
              </w:rPr>
            </w:pPr>
            <w:r>
              <w:rPr>
                <w:color w:val="000000"/>
                <w:spacing w:val="0"/>
                <w:w w:val="100"/>
                <w:position w:val="0"/>
                <w:sz w:val="17"/>
                <w:szCs w:val="17"/>
              </w:rPr>
              <w:t>比重增减</w:t>
            </w:r>
          </w:p>
          <w:p>
            <w:pPr>
              <w:pStyle w:val="Style8"/>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vMerge w:val="restart"/>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占总资产比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占总资产比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408,677,824.12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37.54%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448,411,173.70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47.56%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w:t>
            </w:r>
          </w:p>
        </w:tc>
        <w:tc>
          <w:tcPr>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公司募集资金陆续使用所致</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204,929,839.53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18.82%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160,272,515.94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1.82%</w:t>
            </w:r>
          </w:p>
        </w:tc>
        <w:tc>
          <w:tcPr>
            <w:tcBorders>
              <w:top w:val="single" w:sz="4"/>
              <w:left w:val="single" w:sz="4"/>
              <w:right w:val="single" w:sz="4"/>
            </w:tcBorders>
            <w:shd w:val="clear" w:color="auto" w:fill="CCE8C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19,840,013.33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1.82%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17,738,799.80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right w:val="single" w:sz="4"/>
            </w:tcBorders>
            <w:shd w:val="clear" w:color="auto" w:fill="CCE8C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165,171,233.73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15.17%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127,728,464.15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13.55%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1.62%</w:t>
            </w:r>
          </w:p>
        </w:tc>
        <w:tc>
          <w:tcPr>
            <w:tcBorders>
              <w:top w:val="single" w:sz="4"/>
              <w:left w:val="single" w:sz="4"/>
              <w:right w:val="single" w:sz="4"/>
            </w:tcBorders>
            <w:shd w:val="clear" w:color="auto" w:fill="CCE8C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在建工程</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114,319,458.69</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10.5%</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83,382,822.30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1.66%</w:t>
            </w:r>
          </w:p>
        </w:tc>
        <w:tc>
          <w:tcPr>
            <w:tcBorders>
              <w:top w:val="single" w:sz="4"/>
              <w:left w:val="single" w:sz="4"/>
              <w:bottom w:val="single" w:sz="4"/>
              <w:right w:val="single" w:sz="4"/>
            </w:tcBorders>
            <w:shd w:val="clear" w:color="auto" w:fill="CCE8CF"/>
            <w:vAlign w:val="top"/>
          </w:tcPr>
          <w:p>
            <w:pPr>
              <w:widowControl w:val="0"/>
              <w:rPr>
                <w:sz w:val="10"/>
                <w:szCs w:val="10"/>
              </w:rPr>
            </w:pPr>
          </w:p>
        </w:tc>
      </w:tr>
    </w:tbl>
    <w:p>
      <w:pPr>
        <w:widowControl w:val="0"/>
        <w:spacing w:after="419" w:line="1" w:lineRule="exact"/>
      </w:pPr>
    </w:p>
    <w:p>
      <w:pPr>
        <w:pStyle w:val="Style35"/>
        <w:keepNext w:val="0"/>
        <w:keepLines w:val="0"/>
        <w:widowControl w:val="0"/>
        <w:shd w:val="clear" w:color="auto" w:fill="auto"/>
        <w:bidi w:val="0"/>
        <w:spacing w:before="0" w:after="100" w:line="240" w:lineRule="auto"/>
        <w:ind w:left="0" w:right="0" w:firstLine="520"/>
        <w:jc w:val="left"/>
      </w:pPr>
      <w:r>
        <w:rPr>
          <w:rFonts w:ascii="Times New Roman" w:eastAsia="Times New Roman" w:hAnsi="Times New Roman" w:cs="Times New Roman"/>
          <w:color w:val="000000"/>
          <w:spacing w:val="0"/>
          <w:w w:val="100"/>
          <w:position w:val="0"/>
        </w:rPr>
        <w:t>2）</w:t>
      </w:r>
      <w:r>
        <w:rPr>
          <w:color w:val="000000"/>
          <w:spacing w:val="0"/>
          <w:w w:val="100"/>
          <w:position w:val="0"/>
        </w:rPr>
        <w:t>负债项目重大变动情况</w:t>
      </w:r>
    </w:p>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单位：元</w:t>
      </w:r>
    </w:p>
    <w:tbl>
      <w:tblPr>
        <w:tblOverlap w:val="never"/>
        <w:jc w:val="center"/>
        <w:tblLayout w:type="fixed"/>
      </w:tblPr>
      <w:tblGrid>
        <w:gridCol w:w="1378"/>
        <w:gridCol w:w="1325"/>
        <w:gridCol w:w="1061"/>
        <w:gridCol w:w="1195"/>
        <w:gridCol w:w="1066"/>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年</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20" w:line="240" w:lineRule="auto"/>
              <w:ind w:left="0" w:right="140" w:firstLine="0"/>
              <w:jc w:val="right"/>
              <w:rPr>
                <w:sz w:val="17"/>
                <w:szCs w:val="17"/>
              </w:rPr>
            </w:pPr>
            <w:r>
              <w:rPr>
                <w:color w:val="000000"/>
                <w:spacing w:val="0"/>
                <w:w w:val="100"/>
                <w:position w:val="0"/>
                <w:sz w:val="17"/>
                <w:szCs w:val="17"/>
              </w:rPr>
              <w:t>比重增减</w:t>
            </w:r>
          </w:p>
          <w:p>
            <w:pPr>
              <w:pStyle w:val="Style8"/>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vMerge w:val="restart"/>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98" w:lineRule="exact"/>
              <w:ind w:left="0" w:right="0" w:firstLine="0"/>
              <w:jc w:val="center"/>
              <w:rPr>
                <w:sz w:val="17"/>
                <w:szCs w:val="17"/>
              </w:rPr>
            </w:pPr>
            <w:r>
              <w:rPr>
                <w:color w:val="000000"/>
                <w:spacing w:val="0"/>
                <w:w w:val="100"/>
                <w:position w:val="0"/>
                <w:sz w:val="17"/>
                <w:szCs w:val="17"/>
              </w:rPr>
              <w:t>占总资产比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98" w:lineRule="exact"/>
              <w:ind w:left="0" w:right="0" w:firstLine="0"/>
              <w:jc w:val="center"/>
              <w:rPr>
                <w:sz w:val="17"/>
                <w:szCs w:val="17"/>
              </w:rPr>
            </w:pPr>
            <w:r>
              <w:rPr>
                <w:color w:val="000000"/>
                <w:spacing w:val="0"/>
                <w:w w:val="100"/>
                <w:position w:val="0"/>
                <w:sz w:val="17"/>
                <w:szCs w:val="17"/>
              </w:rPr>
              <w:t>占总资产比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162,900,000.00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14.96%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10.61%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4.35%</w:t>
            </w:r>
          </w:p>
        </w:tc>
        <w:tc>
          <w:tcPr>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报告期公司新增短期借款所致</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长期借款</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70,000,000.00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6.43%</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w:t>
            </w:r>
          </w:p>
        </w:tc>
        <w:tc>
          <w:tcPr>
            <w:tcBorders>
              <w:top w:val="single" w:sz="4"/>
              <w:left w:val="single" w:sz="4"/>
              <w:bottom w:val="single" w:sz="4"/>
              <w:right w:val="single" w:sz="4"/>
            </w:tcBorders>
            <w:shd w:val="clear" w:color="auto" w:fill="CCE8CF"/>
            <w:vAlign w:val="top"/>
          </w:tcPr>
          <w:p>
            <w:pPr>
              <w:widowControl w:val="0"/>
              <w:rPr>
                <w:sz w:val="10"/>
                <w:szCs w:val="10"/>
              </w:rPr>
            </w:pPr>
          </w:p>
        </w:tc>
      </w:tr>
    </w:tbl>
    <w:p>
      <w:pPr>
        <w:widowControl w:val="0"/>
        <w:spacing w:after="319" w:line="1" w:lineRule="exact"/>
      </w:pPr>
    </w:p>
    <w:p>
      <w:pPr>
        <w:pStyle w:val="Style38"/>
        <w:keepNext/>
        <w:keepLines/>
        <w:widowControl w:val="0"/>
        <w:shd w:val="clear" w:color="auto" w:fill="auto"/>
        <w:tabs>
          <w:tab w:pos="1013" w:val="left"/>
        </w:tabs>
        <w:bidi w:val="0"/>
        <w:spacing w:before="0" w:after="360" w:line="240" w:lineRule="auto"/>
        <w:ind w:left="0" w:right="0" w:firstLine="520"/>
        <w:jc w:val="left"/>
      </w:pPr>
      <w:bookmarkStart w:id="125" w:name="bookmark125"/>
      <w:bookmarkStart w:id="126" w:name="bookmark126"/>
      <w:bookmarkStart w:id="127" w:name="bookmark127"/>
      <w:bookmarkStart w:id="128" w:name="bookmark128"/>
      <w:r>
        <w:rPr>
          <w:color w:val="000000"/>
          <w:spacing w:val="0"/>
          <w:w w:val="100"/>
          <w:position w:val="0"/>
        </w:rPr>
        <w:t>（</w:t>
      </w:r>
      <w:bookmarkEnd w:id="127"/>
      <w:r>
        <w:rPr>
          <w:rFonts w:ascii="Times New Roman" w:eastAsia="Times New Roman" w:hAnsi="Times New Roman" w:cs="Times New Roman"/>
          <w:color w:val="000000"/>
          <w:spacing w:val="0"/>
          <w:w w:val="100"/>
          <w:position w:val="0"/>
        </w:rPr>
        <w:t>4</w:t>
      </w:r>
      <w:r>
        <w:rPr>
          <w:color w:val="000000"/>
          <w:spacing w:val="0"/>
          <w:w w:val="100"/>
          <w:position w:val="0"/>
        </w:rPr>
        <w:t>）</w:t>
        <w:tab/>
        <w:t>公司竞争能力重大变化分析</w:t>
      </w:r>
      <w:bookmarkEnd w:id="125"/>
      <w:bookmarkEnd w:id="126"/>
      <w:bookmarkEnd w:id="128"/>
    </w:p>
    <w:p>
      <w:pPr>
        <w:pStyle w:val="Style35"/>
        <w:keepNext w:val="0"/>
        <w:keepLines w:val="0"/>
        <w:widowControl w:val="0"/>
        <w:shd w:val="clear" w:color="auto" w:fill="auto"/>
        <w:bidi w:val="0"/>
        <w:spacing w:before="0" w:after="360" w:line="240" w:lineRule="auto"/>
        <w:ind w:left="0" w:right="0" w:firstLine="520"/>
        <w:jc w:val="left"/>
      </w:pPr>
      <w:r>
        <w:rPr>
          <w:color w:val="000000"/>
          <w:spacing w:val="0"/>
          <w:w w:val="100"/>
          <w:position w:val="0"/>
        </w:rPr>
        <w:t>报告期，公司竞争能力未发生重大变化。</w:t>
      </w:r>
    </w:p>
    <w:p>
      <w:pPr>
        <w:pStyle w:val="Style38"/>
        <w:keepNext/>
        <w:keepLines/>
        <w:widowControl w:val="0"/>
        <w:shd w:val="clear" w:color="auto" w:fill="auto"/>
        <w:tabs>
          <w:tab w:pos="1013" w:val="left"/>
        </w:tabs>
        <w:bidi w:val="0"/>
        <w:spacing w:before="0" w:after="360" w:line="240" w:lineRule="auto"/>
        <w:ind w:left="0" w:right="0" w:firstLine="520"/>
        <w:jc w:val="left"/>
      </w:pPr>
      <w:bookmarkStart w:id="129" w:name="bookmark129"/>
      <w:bookmarkStart w:id="130" w:name="bookmark130"/>
      <w:bookmarkStart w:id="131" w:name="bookmark131"/>
      <w:bookmarkStart w:id="132" w:name="bookmark132"/>
      <w:r>
        <w:rPr>
          <w:color w:val="000000"/>
          <w:spacing w:val="0"/>
          <w:w w:val="100"/>
          <w:position w:val="0"/>
        </w:rPr>
        <w:t>（</w:t>
      </w:r>
      <w:bookmarkEnd w:id="131"/>
      <w:r>
        <w:rPr>
          <w:rFonts w:ascii="Times New Roman" w:eastAsia="Times New Roman" w:hAnsi="Times New Roman" w:cs="Times New Roman"/>
          <w:color w:val="000000"/>
          <w:spacing w:val="0"/>
          <w:w w:val="100"/>
          <w:position w:val="0"/>
        </w:rPr>
        <w:t>5</w:t>
      </w:r>
      <w:r>
        <w:rPr>
          <w:color w:val="000000"/>
          <w:spacing w:val="0"/>
          <w:w w:val="100"/>
          <w:position w:val="0"/>
        </w:rPr>
        <w:t>）</w:t>
        <w:tab/>
        <w:t>投资状况分析</w:t>
      </w:r>
      <w:bookmarkEnd w:id="129"/>
      <w:bookmarkEnd w:id="130"/>
      <w:bookmarkEnd w:id="132"/>
    </w:p>
    <w:p>
      <w:pPr>
        <w:pStyle w:val="Style35"/>
        <w:keepNext w:val="0"/>
        <w:keepLines w:val="0"/>
        <w:widowControl w:val="0"/>
        <w:shd w:val="clear" w:color="auto" w:fill="auto"/>
        <w:tabs>
          <w:tab w:pos="864" w:val="left"/>
        </w:tabs>
        <w:bidi w:val="0"/>
        <w:spacing w:before="0" w:after="100" w:line="240" w:lineRule="auto"/>
        <w:ind w:left="0" w:right="0" w:firstLine="520"/>
        <w:jc w:val="left"/>
      </w:pPr>
      <w:bookmarkStart w:id="133" w:name="bookmark133"/>
      <w:r>
        <w:rPr>
          <w:rFonts w:ascii="Times New Roman" w:eastAsia="Times New Roman" w:hAnsi="Times New Roman" w:cs="Times New Roman"/>
          <w:color w:val="000000"/>
          <w:spacing w:val="0"/>
          <w:w w:val="100"/>
          <w:position w:val="0"/>
        </w:rPr>
        <w:t>1</w:t>
      </w:r>
      <w:bookmarkEnd w:id="133"/>
      <w:r>
        <w:rPr>
          <w:rFonts w:ascii="Times New Roman" w:eastAsia="Times New Roman" w:hAnsi="Times New Roman" w:cs="Times New Roman"/>
          <w:color w:val="000000"/>
          <w:spacing w:val="0"/>
          <w:w w:val="100"/>
          <w:position w:val="0"/>
        </w:rPr>
        <w:t>）</w:t>
        <w:tab/>
      </w:r>
      <w:r>
        <w:rPr>
          <w:color w:val="000000"/>
          <w:spacing w:val="0"/>
          <w:w w:val="100"/>
          <w:position w:val="0"/>
        </w:rPr>
        <w:t>对外投资情况</w:t>
      </w:r>
    </w:p>
    <w:p>
      <w:pPr>
        <w:pStyle w:val="Style35"/>
        <w:keepNext w:val="0"/>
        <w:keepLines w:val="0"/>
        <w:widowControl w:val="0"/>
        <w:shd w:val="clear" w:color="auto" w:fill="auto"/>
        <w:bidi w:val="0"/>
        <w:spacing w:before="0" w:after="460" w:line="240" w:lineRule="auto"/>
        <w:ind w:left="0" w:right="0" w:firstLine="520"/>
        <w:jc w:val="left"/>
      </w:pPr>
      <w:r>
        <w:rPr>
          <w:color w:val="000000"/>
          <w:spacing w:val="0"/>
          <w:w w:val="100"/>
          <w:position w:val="0"/>
        </w:rPr>
        <w:t>无</w:t>
      </w:r>
    </w:p>
    <w:p>
      <w:pPr>
        <w:pStyle w:val="Style35"/>
        <w:keepNext w:val="0"/>
        <w:keepLines w:val="0"/>
        <w:widowControl w:val="0"/>
        <w:shd w:val="clear" w:color="auto" w:fill="auto"/>
        <w:tabs>
          <w:tab w:pos="883" w:val="left"/>
        </w:tabs>
        <w:bidi w:val="0"/>
        <w:spacing w:before="0" w:after="340" w:line="240" w:lineRule="auto"/>
        <w:ind w:left="0" w:right="0" w:firstLine="520"/>
        <w:jc w:val="left"/>
      </w:pPr>
      <w:bookmarkStart w:id="134" w:name="bookmark134"/>
      <w:r>
        <w:rPr>
          <w:rFonts w:ascii="Times New Roman" w:eastAsia="Times New Roman" w:hAnsi="Times New Roman" w:cs="Times New Roman"/>
          <w:color w:val="000000"/>
          <w:spacing w:val="0"/>
          <w:w w:val="100"/>
          <w:position w:val="0"/>
        </w:rPr>
        <w:t>2</w:t>
      </w:r>
      <w:bookmarkEnd w:id="134"/>
      <w:r>
        <w:rPr>
          <w:rFonts w:ascii="Times New Roman" w:eastAsia="Times New Roman" w:hAnsi="Times New Roman" w:cs="Times New Roman"/>
          <w:color w:val="000000"/>
          <w:spacing w:val="0"/>
          <w:w w:val="100"/>
          <w:position w:val="0"/>
        </w:rPr>
        <w:t>）</w:t>
        <w:tab/>
      </w:r>
      <w:r>
        <w:rPr>
          <w:color w:val="000000"/>
          <w:spacing w:val="0"/>
          <w:w w:val="100"/>
          <w:position w:val="0"/>
        </w:rPr>
        <w:t>募集资金总体使用情况</w:t>
      </w:r>
      <w:r>
        <w:br w:type="page"/>
      </w:r>
    </w:p>
    <w:p>
      <w:pPr>
        <w:pStyle w:val="Style3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单位：万元</w:t>
      </w:r>
    </w:p>
    <w:tbl>
      <w:tblPr>
        <w:tblOverlap w:val="never"/>
        <w:jc w:val="center"/>
        <w:tblLayout w:type="fixed"/>
      </w:tblPr>
      <w:tblGrid>
        <w:gridCol w:w="4406"/>
        <w:gridCol w:w="5890"/>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募集资金总额</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35,275.67</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报告期投入募集资金总额</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3,726.74</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已累计投入募集资金总额</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21,975.36</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报告期内变更用途的募集资金总额</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累计变更用途的募集资金总额</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累计变更用途的募集资金总额比例(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2"/>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募集资金总体使用情况说明</w:t>
            </w:r>
          </w:p>
        </w:tc>
      </w:tr>
      <w:tr>
        <w:trPr>
          <w:trHeight w:val="1349" w:hRule="exact"/>
        </w:trPr>
        <w:tc>
          <w:tcPr>
            <w:gridSpan w:val="2"/>
            <w:tcBorders>
              <w:top w:val="single" w:sz="4"/>
              <w:left w:val="single" w:sz="4"/>
              <w:bottom w:val="single" w:sz="4"/>
              <w:right w:val="single" w:sz="4"/>
            </w:tcBorders>
            <w:shd w:val="clear" w:color="auto" w:fill="CCE8CF"/>
            <w:vAlign w:val="center"/>
          </w:tcPr>
          <w:p>
            <w:pPr>
              <w:pStyle w:val="Style8"/>
              <w:keepNext w:val="0"/>
              <w:keepLines w:val="0"/>
              <w:widowControl w:val="0"/>
              <w:shd w:val="clear" w:color="auto" w:fill="auto"/>
              <w:bidi w:val="0"/>
              <w:spacing w:before="0" w:after="0" w:line="309" w:lineRule="exact"/>
              <w:ind w:left="0" w:right="0" w:firstLine="0"/>
              <w:jc w:val="both"/>
              <w:rPr>
                <w:sz w:val="17"/>
                <w:szCs w:val="17"/>
              </w:rPr>
            </w:pPr>
            <w:r>
              <w:rPr>
                <w:color w:val="000000"/>
                <w:spacing w:val="0"/>
                <w:w w:val="100"/>
                <w:position w:val="0"/>
                <w:sz w:val="17"/>
                <w:szCs w:val="17"/>
              </w:rPr>
              <w:t>公司严格按照《募集资金管理办法》的规定和要求，对募集资金的存放和使用进行了有效的监督和管理，以确保用于募集资金投资 项目的建设。截止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日，公司累计使用募集资金</w:t>
            </w:r>
            <w:r>
              <w:rPr>
                <w:rFonts w:ascii="Times New Roman" w:eastAsia="Times New Roman" w:hAnsi="Times New Roman" w:cs="Times New Roman"/>
                <w:color w:val="000000"/>
                <w:spacing w:val="0"/>
                <w:w w:val="100"/>
                <w:position w:val="0"/>
                <w:sz w:val="18"/>
                <w:szCs w:val="18"/>
              </w:rPr>
              <w:t>21,975.36</w:t>
            </w:r>
            <w:r>
              <w:rPr>
                <w:color w:val="000000"/>
                <w:spacing w:val="0"/>
                <w:w w:val="100"/>
                <w:position w:val="0"/>
                <w:sz w:val="17"/>
                <w:szCs w:val="17"/>
              </w:rPr>
              <w:t>万元，占募集资金总额的比例为</w:t>
            </w:r>
            <w:r>
              <w:rPr>
                <w:rFonts w:ascii="Times New Roman" w:eastAsia="Times New Roman" w:hAnsi="Times New Roman" w:cs="Times New Roman"/>
                <w:color w:val="000000"/>
                <w:spacing w:val="0"/>
                <w:w w:val="100"/>
                <w:position w:val="0"/>
                <w:sz w:val="18"/>
                <w:szCs w:val="18"/>
              </w:rPr>
              <w:t>62.30%</w:t>
            </w:r>
            <w:r>
              <w:rPr>
                <w:color w:val="000000"/>
                <w:spacing w:val="0"/>
                <w:w w:val="100"/>
                <w:position w:val="0"/>
                <w:sz w:val="17"/>
                <w:szCs w:val="17"/>
              </w:rPr>
              <w:t>。其中，承诺投 资项目使用募集资金总额</w:t>
            </w:r>
            <w:r>
              <w:rPr>
                <w:rFonts w:ascii="Times New Roman" w:eastAsia="Times New Roman" w:hAnsi="Times New Roman" w:cs="Times New Roman"/>
                <w:color w:val="000000"/>
                <w:spacing w:val="0"/>
                <w:w w:val="100"/>
                <w:position w:val="0"/>
                <w:sz w:val="18"/>
                <w:szCs w:val="18"/>
              </w:rPr>
              <w:t>9,431.91</w:t>
            </w:r>
            <w:r>
              <w:rPr>
                <w:color w:val="000000"/>
                <w:spacing w:val="0"/>
                <w:w w:val="100"/>
                <w:position w:val="0"/>
                <w:sz w:val="17"/>
                <w:szCs w:val="17"/>
              </w:rPr>
              <w:t>万元，占承诺投资项目承诺投资总额的比例为</w:t>
            </w:r>
            <w:r>
              <w:rPr>
                <w:rFonts w:ascii="Times New Roman" w:eastAsia="Times New Roman" w:hAnsi="Times New Roman" w:cs="Times New Roman"/>
                <w:color w:val="000000"/>
                <w:spacing w:val="0"/>
                <w:w w:val="100"/>
                <w:position w:val="0"/>
                <w:sz w:val="18"/>
                <w:szCs w:val="18"/>
              </w:rPr>
              <w:t>44.85%</w:t>
            </w:r>
            <w:r>
              <w:rPr>
                <w:color w:val="000000"/>
                <w:spacing w:val="0"/>
                <w:w w:val="100"/>
                <w:position w:val="0"/>
                <w:sz w:val="17"/>
                <w:szCs w:val="17"/>
              </w:rPr>
              <w:t>；使用超募资金</w:t>
            </w:r>
            <w:r>
              <w:rPr>
                <w:rFonts w:ascii="Times New Roman" w:eastAsia="Times New Roman" w:hAnsi="Times New Roman" w:cs="Times New Roman"/>
                <w:color w:val="000000"/>
                <w:spacing w:val="0"/>
                <w:w w:val="100"/>
                <w:position w:val="0"/>
                <w:sz w:val="18"/>
                <w:szCs w:val="18"/>
              </w:rPr>
              <w:t>12,543.44</w:t>
            </w:r>
            <w:r>
              <w:rPr>
                <w:color w:val="000000"/>
                <w:spacing w:val="0"/>
                <w:w w:val="100"/>
                <w:position w:val="0"/>
                <w:sz w:val="17"/>
                <w:szCs w:val="17"/>
              </w:rPr>
              <w:t>万元，占超募资 金总额的比例为</w:t>
            </w:r>
            <w:r>
              <w:rPr>
                <w:rFonts w:ascii="Times New Roman" w:eastAsia="Times New Roman" w:hAnsi="Times New Roman" w:cs="Times New Roman"/>
                <w:color w:val="000000"/>
                <w:spacing w:val="0"/>
                <w:w w:val="100"/>
                <w:position w:val="0"/>
                <w:sz w:val="18"/>
                <w:szCs w:val="18"/>
              </w:rPr>
              <w:t>88.06%</w:t>
            </w:r>
            <w:r>
              <w:rPr>
                <w:color w:val="000000"/>
                <w:spacing w:val="0"/>
                <w:w w:val="100"/>
                <w:position w:val="0"/>
                <w:sz w:val="17"/>
                <w:szCs w:val="17"/>
              </w:rPr>
              <w:t>。</w:t>
            </w:r>
          </w:p>
        </w:tc>
      </w:tr>
    </w:tbl>
    <w:p>
      <w:pPr>
        <w:widowControl w:val="0"/>
        <w:spacing w:after="79" w:line="1" w:lineRule="exact"/>
      </w:pPr>
    </w:p>
    <w:p>
      <w:pPr>
        <w:pStyle w:val="Style35"/>
        <w:keepNext w:val="0"/>
        <w:keepLines w:val="0"/>
        <w:widowControl w:val="0"/>
        <w:numPr>
          <w:ilvl w:val="0"/>
          <w:numId w:val="1"/>
        </w:numPr>
        <w:shd w:val="clear" w:color="auto" w:fill="auto"/>
        <w:bidi w:val="0"/>
        <w:spacing w:before="0" w:after="80" w:line="240" w:lineRule="auto"/>
        <w:ind w:left="0" w:right="0" w:firstLine="520"/>
        <w:jc w:val="left"/>
      </w:pPr>
      <w:bookmarkStart w:id="135" w:name="bookmark135"/>
      <w:bookmarkEnd w:id="135"/>
      <w:r>
        <w:rPr>
          <w:color w:val="000000"/>
          <w:spacing w:val="0"/>
          <w:w w:val="100"/>
          <w:position w:val="0"/>
        </w:rPr>
        <w:t>募集资金承诺项目情况</w:t>
      </w:r>
    </w:p>
    <w:p>
      <w:pPr>
        <w:pStyle w:val="Style3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单位：万元</w:t>
      </w:r>
    </w:p>
    <w:tbl>
      <w:tblPr>
        <w:tblOverlap w:val="never"/>
        <w:jc w:val="center"/>
        <w:tblLayout w:type="fixed"/>
      </w:tblPr>
      <w:tblGrid>
        <w:gridCol w:w="1848"/>
        <w:gridCol w:w="725"/>
        <w:gridCol w:w="835"/>
        <w:gridCol w:w="850"/>
        <w:gridCol w:w="720"/>
        <w:gridCol w:w="802"/>
        <w:gridCol w:w="830"/>
        <w:gridCol w:w="984"/>
        <w:gridCol w:w="720"/>
        <w:gridCol w:w="878"/>
        <w:gridCol w:w="720"/>
        <w:gridCol w:w="792"/>
      </w:tblGrid>
      <w:tr>
        <w:trPr>
          <w:trHeight w:val="1344"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承诺投资项目和超募 资金投向</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是否已 变更项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 分变更</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募集资金 承诺投资 总额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调整后投 资总额</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本报告 期投入 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5" w:lineRule="exact"/>
              <w:ind w:left="0" w:right="0" w:firstLine="0"/>
              <w:jc w:val="center"/>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317" w:lineRule="exact"/>
              <w:ind w:left="0" w:right="0" w:firstLine="0"/>
              <w:jc w:val="center"/>
              <w:rPr>
                <w:sz w:val="17"/>
                <w:szCs w:val="17"/>
              </w:rPr>
            </w:pPr>
            <w:r>
              <w:rPr>
                <w:color w:val="000000"/>
                <w:spacing w:val="0"/>
                <w:w w:val="100"/>
                <w:position w:val="0"/>
                <w:sz w:val="17"/>
                <w:szCs w:val="17"/>
              </w:rPr>
              <w:t xml:space="preserve">截至期末 投资进度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p>
          <w:p>
            <w:pPr>
              <w:pStyle w:val="Style8"/>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项目达到预 定可使用状 态日期</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本报告 期实现 的效益</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截止报告 期末累计 实现的效</w:t>
            </w:r>
          </w:p>
          <w:p>
            <w:pPr>
              <w:pStyle w:val="Style8"/>
              <w:keepNext w:val="0"/>
              <w:keepLines w:val="0"/>
              <w:widowControl w:val="0"/>
              <w:shd w:val="clear" w:color="auto" w:fill="auto"/>
              <w:bidi w:val="0"/>
              <w:spacing w:before="0" w:after="0" w:line="312" w:lineRule="exact"/>
              <w:ind w:left="0" w:right="0" w:firstLine="340"/>
              <w:jc w:val="left"/>
              <w:rPr>
                <w:sz w:val="17"/>
                <w:szCs w:val="17"/>
              </w:rPr>
            </w:pPr>
            <w:r>
              <w:rPr>
                <w:color w:val="000000"/>
                <w:spacing w:val="0"/>
                <w:w w:val="100"/>
                <w:position w:val="0"/>
                <w:sz w:val="17"/>
                <w:szCs w:val="17"/>
              </w:rPr>
              <w:t>益</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是否达 到预计 效益</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项目可行 性是否发 生重大变</w:t>
            </w:r>
          </w:p>
          <w:p>
            <w:pPr>
              <w:pStyle w:val="Style8"/>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化</w:t>
            </w:r>
          </w:p>
        </w:tc>
      </w:tr>
      <w:tr>
        <w:trPr>
          <w:trHeight w:val="403" w:hRule="exact"/>
        </w:trPr>
        <w:tc>
          <w:tcPr>
            <w:gridSpan w:val="12"/>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承诺投资项目</w:t>
            </w:r>
          </w:p>
        </w:tc>
      </w:tr>
      <w:tr>
        <w:trPr>
          <w:trHeight w:val="710"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全网综合监控审计平 台项目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5,520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5,520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636.61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2,848.84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51.61%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2014-01-17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UltraUTM</w:t>
            </w:r>
            <w:r>
              <w:rPr>
                <w:color w:val="000000"/>
                <w:spacing w:val="0"/>
                <w:w w:val="100"/>
                <w:position w:val="0"/>
                <w:sz w:val="17"/>
                <w:szCs w:val="17"/>
              </w:rPr>
              <w:t>统一安全网 关项目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5,010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5,010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439.48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1,944.81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38.82%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2014-01-09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服务器安全综合监测 平台项目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3,600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3,600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326.81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1,346.57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37.4%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2013-12-17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NxSOC</w:t>
            </w:r>
            <w:r>
              <w:rPr>
                <w:color w:val="000000"/>
                <w:spacing w:val="0"/>
                <w:w w:val="100"/>
                <w:position w:val="0"/>
                <w:sz w:val="17"/>
                <w:szCs w:val="17"/>
              </w:rPr>
              <w:t>新一代安全综 合运维管理平台项目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4,006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4,006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576.16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1,719.91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42.93%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2013-12-19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研发及培训中心建设 项目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2,896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2,896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1,163.24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1,571.79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54.27%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2014-03-31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承诺投资项目小计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21,032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21,032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3,142.30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9,431.92</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2"/>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超募资金投向</w:t>
            </w:r>
          </w:p>
        </w:tc>
      </w:tr>
      <w:tr>
        <w:trPr>
          <w:trHeight w:val="715"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互联网舆情分析平台 项目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584.44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1,806.02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51.6%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2014-07-30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蓝盾股份信息安全产</w:t>
            </w:r>
          </w:p>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业基地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7,943.67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7,943.67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7,937.42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99.92%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2014-08-30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补充流动资金(如有)</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2,800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2,800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28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超募资金投向小计</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14,243.67</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14,243.67</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584.44</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12,543.44</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1848"/>
        <w:gridCol w:w="8856"/>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tabs>
                <w:tab w:pos="809" w:val="left"/>
                <w:tab w:pos="1658" w:val="left"/>
                <w:tab w:pos="4279" w:val="left"/>
                <w:tab w:pos="5182" w:val="left"/>
                <w:tab w:pos="6338" w:val="left"/>
                <w:tab w:pos="7217" w:val="left"/>
                <w:tab w:pos="7634" w:val="left"/>
                <w:tab w:pos="8388" w:val="left"/>
              </w:tabs>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tab/>
              <w:t>35,275.67</w:t>
              <w:tab/>
              <w:t>35,275.67 3,726.74 21,975.36</w:t>
              <w:tab/>
              <w:t>--</w:t>
              <w:tab/>
              <w:t>--</w:t>
              <w:tab/>
            </w:r>
            <w:r>
              <w:rPr>
                <w:rFonts w:ascii="Times New Roman" w:eastAsia="Times New Roman" w:hAnsi="Times New Roman" w:cs="Times New Roman"/>
                <w:color w:val="000000"/>
                <w:spacing w:val="0"/>
                <w:w w:val="100"/>
                <w:position w:val="0"/>
                <w:sz w:val="18"/>
                <w:szCs w:val="18"/>
              </w:rPr>
              <w:t>0</w:t>
              <w:tab/>
              <w:t>0</w:t>
              <w:tab/>
            </w:r>
            <w:r>
              <w:rPr>
                <w:rFonts w:ascii="Times New Roman" w:eastAsia="Times New Roman" w:hAnsi="Times New Roman" w:cs="Times New Roman"/>
                <w:color w:val="000000"/>
                <w:spacing w:val="0"/>
                <w:w w:val="100"/>
                <w:position w:val="0"/>
                <w:sz w:val="18"/>
                <w:szCs w:val="18"/>
              </w:rPr>
              <w:t>--</w:t>
              <w:tab/>
              <w:t>--</w:t>
            </w:r>
          </w:p>
        </w:tc>
      </w:tr>
      <w:tr>
        <w:trPr>
          <w:trHeight w:val="1027"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未达到计划进度或预 计收益的情况和原因</w:t>
            </w:r>
          </w:p>
          <w:p>
            <w:pPr>
              <w:pStyle w:val="Style8"/>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（分具体项目）</w:t>
            </w:r>
          </w:p>
        </w:tc>
        <w:tc>
          <w:tcPr>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项目可行性发生重大 变化的情况说明</w:t>
            </w:r>
          </w:p>
        </w:tc>
        <w:tc>
          <w:tcPr>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403"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超募资金的金额、用途 及使用进展情况</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适用</w:t>
            </w:r>
          </w:p>
        </w:tc>
      </w:tr>
      <w:tr>
        <w:trPr>
          <w:trHeight w:val="3830"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日公司第一届董事会第十八次会议审议通过了《关于使用部分超募资金永久性补充流动资金的 议案》。公司使用超募资金人民币</w:t>
            </w:r>
            <w:r>
              <w:rPr>
                <w:rFonts w:ascii="Times New Roman" w:eastAsia="Times New Roman" w:hAnsi="Times New Roman" w:cs="Times New Roman"/>
                <w:color w:val="000000"/>
                <w:spacing w:val="0"/>
                <w:w w:val="100"/>
                <w:position w:val="0"/>
                <w:sz w:val="18"/>
                <w:szCs w:val="18"/>
              </w:rPr>
              <w:t>2,800</w:t>
            </w:r>
            <w:r>
              <w:rPr>
                <w:color w:val="000000"/>
                <w:spacing w:val="0"/>
                <w:w w:val="100"/>
                <w:position w:val="0"/>
                <w:sz w:val="17"/>
                <w:szCs w:val="17"/>
              </w:rPr>
              <w:t>万元用于永久性补充流动资金。</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日召开的</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7"/>
                <w:szCs w:val="17"/>
              </w:rPr>
              <w:t>年年 度股东大会审议通过了《关于使用部分超募资金对子公司广东蓝盾信息安全技术有限公司进行增资的议案》，公 司拟使用部分超募资金对子公司广东蓝盾信息安全技术有限公司进行增资，本次增资</w:t>
            </w:r>
            <w:r>
              <w:rPr>
                <w:rFonts w:ascii="Times New Roman" w:eastAsia="Times New Roman" w:hAnsi="Times New Roman" w:cs="Times New Roman"/>
                <w:color w:val="000000"/>
                <w:spacing w:val="0"/>
                <w:w w:val="100"/>
                <w:position w:val="0"/>
                <w:sz w:val="18"/>
                <w:szCs w:val="18"/>
              </w:rPr>
              <w:t>3,500.00</w:t>
            </w:r>
            <w:r>
              <w:rPr>
                <w:color w:val="000000"/>
                <w:spacing w:val="0"/>
                <w:w w:val="100"/>
                <w:position w:val="0"/>
                <w:sz w:val="17"/>
                <w:szCs w:val="17"/>
              </w:rPr>
              <w:t>万元，增资完成后 公司出资</w:t>
            </w:r>
            <w:r>
              <w:rPr>
                <w:rFonts w:ascii="Times New Roman" w:eastAsia="Times New Roman" w:hAnsi="Times New Roman" w:cs="Times New Roman"/>
                <w:color w:val="000000"/>
                <w:spacing w:val="0"/>
                <w:w w:val="100"/>
                <w:position w:val="0"/>
                <w:sz w:val="18"/>
                <w:szCs w:val="18"/>
              </w:rPr>
              <w:t>6,000.00</w:t>
            </w:r>
            <w:r>
              <w:rPr>
                <w:color w:val="000000"/>
                <w:spacing w:val="0"/>
                <w:w w:val="100"/>
                <w:position w:val="0"/>
                <w:sz w:val="17"/>
                <w:szCs w:val="17"/>
              </w:rPr>
              <w:t>万元，占注册资本比例为</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7"/>
                <w:szCs w:val="17"/>
              </w:rPr>
              <w:t>，子公司于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日办妥工商变更手续。本次增资用途 为：建设互联网舆情分析平台项目。</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日召开的</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7"/>
                <w:szCs w:val="17"/>
              </w:rPr>
              <w:t xml:space="preserve">年年度股东大会审议通过了《关于使用部 分超募资金建设蓝盾股份信息安全产业基地的议案》及相关的可行性研究报告，公司拟使用超募资金 </w:t>
            </w:r>
            <w:r>
              <w:rPr>
                <w:rFonts w:ascii="Times New Roman" w:eastAsia="Times New Roman" w:hAnsi="Times New Roman" w:cs="Times New Roman"/>
                <w:color w:val="000000"/>
                <w:spacing w:val="0"/>
                <w:w w:val="100"/>
                <w:position w:val="0"/>
                <w:sz w:val="18"/>
                <w:szCs w:val="18"/>
              </w:rPr>
              <w:t>79,436,663.50</w:t>
            </w:r>
            <w:r>
              <w:rPr>
                <w:color w:val="000000"/>
                <w:spacing w:val="0"/>
                <w:w w:val="100"/>
                <w:position w:val="0"/>
                <w:sz w:val="17"/>
                <w:szCs w:val="17"/>
              </w:rPr>
              <w:t>元建设蓝盾股份信息安全产业基地。公司独立董事、保荐机构和监事会分别对此事项发表了同意意 见。</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日公司第二届董事会第九次（临时）会议审议通过了《关于对蓝盾股份信息安全产业基地 追加投资的议案》，使用自有资金追加投资</w:t>
            </w:r>
            <w:r>
              <w:rPr>
                <w:rFonts w:ascii="Times New Roman" w:eastAsia="Times New Roman" w:hAnsi="Times New Roman" w:cs="Times New Roman"/>
                <w:color w:val="000000"/>
                <w:spacing w:val="0"/>
                <w:w w:val="100"/>
                <w:position w:val="0"/>
                <w:sz w:val="18"/>
                <w:szCs w:val="18"/>
              </w:rPr>
              <w:t>4,640.37</w:t>
            </w:r>
            <w:r>
              <w:rPr>
                <w:color w:val="000000"/>
                <w:spacing w:val="0"/>
                <w:w w:val="100"/>
                <w:position w:val="0"/>
                <w:sz w:val="17"/>
                <w:szCs w:val="17"/>
              </w:rPr>
              <w:t>万元，追加后的总投资额为</w:t>
            </w:r>
            <w:r>
              <w:rPr>
                <w:rFonts w:ascii="Times New Roman" w:eastAsia="Times New Roman" w:hAnsi="Times New Roman" w:cs="Times New Roman"/>
                <w:color w:val="000000"/>
                <w:spacing w:val="0"/>
                <w:w w:val="100"/>
                <w:position w:val="0"/>
                <w:sz w:val="18"/>
                <w:szCs w:val="18"/>
              </w:rPr>
              <w:t>17,698.77</w:t>
            </w:r>
            <w:r>
              <w:rPr>
                <w:color w:val="000000"/>
                <w:spacing w:val="0"/>
                <w:w w:val="100"/>
                <w:position w:val="0"/>
                <w:sz w:val="17"/>
                <w:szCs w:val="17"/>
              </w:rPr>
              <w:t>万元。因追加投资的金 额较大，建设内容较多，设备安装及工程施工任务增加，项目主体于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年年底建设完成，</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年开始大楼的 装修工程，预计</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月份达到预定可使用状态。</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募集资金投资项目实 施地点变更情况</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不适用</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募集资金投资项目实 施方式调整情况</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不适用</w:t>
            </w:r>
          </w:p>
        </w:tc>
      </w:tr>
      <w:tr>
        <w:trPr>
          <w:trHeight w:val="403"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募集资金投资项目先 期投入及置换情况</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适用</w:t>
            </w:r>
          </w:p>
        </w:tc>
      </w:tr>
      <w:tr>
        <w:trPr>
          <w:trHeight w:val="195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1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日公司第一届董事会第十七次会议审议通过了《关于使用募集资金置换预先投入募集资金投资项 目的自筹资金的议案》。截至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 xml:space="preserve">日，公司以自筹资金预先投入募集资金投资项目的实际投资额为 </w:t>
            </w:r>
            <w:r>
              <w:rPr>
                <w:rFonts w:ascii="Times New Roman" w:eastAsia="Times New Roman" w:hAnsi="Times New Roman" w:cs="Times New Roman"/>
                <w:color w:val="000000"/>
                <w:spacing w:val="0"/>
                <w:w w:val="100"/>
                <w:position w:val="0"/>
                <w:sz w:val="18"/>
                <w:szCs w:val="18"/>
              </w:rPr>
              <w:t>14,531,626.55</w:t>
            </w:r>
            <w:r>
              <w:rPr>
                <w:color w:val="000000"/>
                <w:spacing w:val="0"/>
                <w:w w:val="100"/>
                <w:position w:val="0"/>
                <w:sz w:val="17"/>
                <w:szCs w:val="17"/>
              </w:rPr>
              <w:t>元，公司以募集资金置换预先投入募集资金投资项目的自筹资金</w:t>
            </w:r>
            <w:r>
              <w:rPr>
                <w:rFonts w:ascii="Times New Roman" w:eastAsia="Times New Roman" w:hAnsi="Times New Roman" w:cs="Times New Roman"/>
                <w:color w:val="000000"/>
                <w:spacing w:val="0"/>
                <w:w w:val="100"/>
                <w:position w:val="0"/>
                <w:sz w:val="18"/>
                <w:szCs w:val="18"/>
              </w:rPr>
              <w:t>14,531,626.55</w:t>
            </w:r>
            <w:r>
              <w:rPr>
                <w:color w:val="000000"/>
                <w:spacing w:val="0"/>
                <w:w w:val="100"/>
                <w:position w:val="0"/>
                <w:sz w:val="17"/>
                <w:szCs w:val="17"/>
              </w:rPr>
              <w:t>元，上述投入及置 换情况已经北京永拓会计师事务所有限责任公司审核，并由其出具京永专字〔</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）第</w:t>
            </w:r>
            <w:r>
              <w:rPr>
                <w:rFonts w:ascii="Times New Roman" w:eastAsia="Times New Roman" w:hAnsi="Times New Roman" w:cs="Times New Roman"/>
                <w:color w:val="000000"/>
                <w:spacing w:val="0"/>
                <w:w w:val="100"/>
                <w:position w:val="0"/>
                <w:sz w:val="18"/>
                <w:szCs w:val="18"/>
              </w:rPr>
              <w:t>31059</w:t>
            </w:r>
            <w:r>
              <w:rPr>
                <w:color w:val="000000"/>
                <w:spacing w:val="0"/>
                <w:w w:val="100"/>
                <w:position w:val="0"/>
                <w:sz w:val="17"/>
                <w:szCs w:val="17"/>
              </w:rPr>
              <w:t>号《关于蓝盾信息 安全技术股份有限公司以募集资金置换预先已投入募集资金项目的自筹资金的鉴证报告》。截至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7"/>
                <w:szCs w:val="17"/>
              </w:rPr>
              <w:t>日，公司置换了上述预先投入募投项目的自筹资金。</w:t>
            </w:r>
          </w:p>
        </w:tc>
      </w:tr>
      <w:tr>
        <w:trPr>
          <w:trHeight w:val="403"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用闲置募集资金暂时 补充流动资金情况</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适用</w:t>
            </w:r>
          </w:p>
        </w:tc>
      </w:tr>
      <w:tr>
        <w:trPr>
          <w:trHeight w:val="2587"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公司经过</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年第二次临时股东大会审议通过了《关于使用部分闲置募集资金暂时性补充流动资金及归还银行 贷款的议案》，同意公司使用募集资金中的</w:t>
            </w:r>
            <w:r>
              <w:rPr>
                <w:rFonts w:ascii="Times New Roman" w:eastAsia="Times New Roman" w:hAnsi="Times New Roman" w:cs="Times New Roman"/>
                <w:color w:val="000000"/>
                <w:spacing w:val="0"/>
                <w:w w:val="100"/>
                <w:position w:val="0"/>
                <w:sz w:val="18"/>
                <w:szCs w:val="18"/>
              </w:rPr>
              <w:t>10,000.00</w:t>
            </w:r>
            <w:r>
              <w:rPr>
                <w:color w:val="000000"/>
                <w:spacing w:val="0"/>
                <w:w w:val="100"/>
                <w:position w:val="0"/>
                <w:sz w:val="17"/>
                <w:szCs w:val="17"/>
              </w:rPr>
              <w:t>万元闲置募集资金暂时性补充流动资金及归还银行贷款，其 中</w:t>
            </w:r>
            <w:r>
              <w:rPr>
                <w:rFonts w:ascii="Times New Roman" w:eastAsia="Times New Roman" w:hAnsi="Times New Roman" w:cs="Times New Roman"/>
                <w:color w:val="000000"/>
                <w:spacing w:val="0"/>
                <w:w w:val="100"/>
                <w:position w:val="0"/>
                <w:sz w:val="18"/>
                <w:szCs w:val="18"/>
              </w:rPr>
              <w:t>2,626.00</w:t>
            </w:r>
            <w:r>
              <w:rPr>
                <w:color w:val="000000"/>
                <w:spacing w:val="0"/>
                <w:w w:val="100"/>
                <w:position w:val="0"/>
                <w:sz w:val="17"/>
                <w:szCs w:val="17"/>
              </w:rPr>
              <w:t>万元用于补充流动资金，</w:t>
            </w:r>
            <w:r>
              <w:rPr>
                <w:rFonts w:ascii="Times New Roman" w:eastAsia="Times New Roman" w:hAnsi="Times New Roman" w:cs="Times New Roman"/>
                <w:color w:val="000000"/>
                <w:spacing w:val="0"/>
                <w:w w:val="100"/>
                <w:position w:val="0"/>
                <w:sz w:val="18"/>
                <w:szCs w:val="18"/>
              </w:rPr>
              <w:t>7,374.00</w:t>
            </w:r>
            <w:r>
              <w:rPr>
                <w:color w:val="000000"/>
                <w:spacing w:val="0"/>
                <w:w w:val="100"/>
                <w:position w:val="0"/>
                <w:sz w:val="17"/>
                <w:szCs w:val="17"/>
              </w:rPr>
              <w:t>万元用于归还银行贷款，使用期限不超过股东大会批准之日起</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个月，到期将归还至募集资金专户。公司独立董事、保荐机构和监事会分别对此事项发表了同意意见。</w:t>
            </w:r>
            <w:r>
              <w:rPr>
                <w:color w:val="000000"/>
                <w:spacing w:val="0"/>
                <w:w w:val="100"/>
                <w:position w:val="0"/>
                <w:sz w:val="18"/>
                <w:szCs w:val="18"/>
              </w:rPr>
              <w:t>（</w:t>
            </w:r>
            <w:r>
              <w:rPr>
                <w:color w:val="000000"/>
                <w:spacing w:val="0"/>
                <w:w w:val="100"/>
                <w:position w:val="0"/>
                <w:sz w:val="17"/>
                <w:szCs w:val="17"/>
              </w:rPr>
              <w:t>该事项详 见</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日证监会指定创业板信息披露网站</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。本次使用闲置募集资金</w:t>
            </w:r>
            <w:r>
              <w:rPr>
                <w:rFonts w:ascii="Times New Roman" w:eastAsia="Times New Roman" w:hAnsi="Times New Roman" w:cs="Times New Roman"/>
                <w:color w:val="000000"/>
                <w:spacing w:val="0"/>
                <w:w w:val="100"/>
                <w:position w:val="0"/>
                <w:sz w:val="18"/>
                <w:szCs w:val="18"/>
              </w:rPr>
              <w:t>10,000.00</w:t>
            </w:r>
            <w:r>
              <w:rPr>
                <w:color w:val="000000"/>
                <w:spacing w:val="0"/>
                <w:w w:val="100"/>
                <w:position w:val="0"/>
                <w:sz w:val="17"/>
                <w:szCs w:val="17"/>
              </w:rPr>
              <w:t>万元暂时性补充流动 资金及归还银行贷款的到期日为</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日，公司于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日已将</w:t>
            </w:r>
            <w:r>
              <w:rPr>
                <w:rFonts w:ascii="Times New Roman" w:eastAsia="Times New Roman" w:hAnsi="Times New Roman" w:cs="Times New Roman"/>
                <w:color w:val="000000"/>
                <w:spacing w:val="0"/>
                <w:w w:val="100"/>
                <w:position w:val="0"/>
                <w:sz w:val="18"/>
                <w:szCs w:val="18"/>
              </w:rPr>
              <w:t>10,000.00</w:t>
            </w:r>
            <w:r>
              <w:rPr>
                <w:color w:val="000000"/>
                <w:spacing w:val="0"/>
                <w:w w:val="100"/>
                <w:position w:val="0"/>
                <w:sz w:val="17"/>
                <w:szCs w:val="17"/>
              </w:rPr>
              <w:t>万元人民币归还至 公司募集资金专用账户，并及时通知了公司保荐机构广发证券股份有限公司及保荐代表人。至此，本次用于补充 流动资金及归还银行贷款的闲置募集资金已归还完毕。</w:t>
            </w:r>
          </w:p>
        </w:tc>
      </w:tr>
      <w:tr>
        <w:trPr>
          <w:trHeight w:val="403"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项目实施出现募集资</w:t>
            </w:r>
          </w:p>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金结余的金额及原因</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适用</w:t>
            </w:r>
          </w:p>
        </w:tc>
      </w:tr>
      <w:tr>
        <w:trPr>
          <w:trHeight w:val="370" w:hRule="exact"/>
        </w:trPr>
        <w:tc>
          <w:tcPr>
            <w:vMerge/>
            <w:tcBorders>
              <w:left w:val="single" w:sz="4"/>
              <w:bottom w:val="single" w:sz="4"/>
            </w:tcBorders>
            <w:shd w:val="clear" w:color="auto" w:fill="D3D3D3"/>
            <w:vAlign w:val="center"/>
          </w:tcPr>
          <w:p>
            <w:pP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在项目实施进程中公司较好地利用了前期积累的研发资源，对募投项目的研发和实施环节进行了优化，使得实际</w:t>
            </w:r>
          </w:p>
        </w:tc>
      </w:tr>
    </w:tbl>
    <w:tbl>
      <w:tblPr>
        <w:tblOverlap w:val="never"/>
        <w:jc w:val="center"/>
        <w:tblLayout w:type="fixed"/>
      </w:tblPr>
      <w:tblGrid>
        <w:gridCol w:w="1848"/>
        <w:gridCol w:w="8856"/>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投入较计划有一定幅度的减少，从而降低了项目总支出。</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尚未使用的募集资金</w:t>
            </w:r>
          </w:p>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用途及去向</w:t>
            </w:r>
          </w:p>
        </w:tc>
        <w:tc>
          <w:tcPr>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尚未使用的募集资金均存放于本公司募集资金专项账户中。</w:t>
            </w:r>
          </w:p>
        </w:tc>
      </w:tr>
      <w:tr>
        <w:trPr>
          <w:trHeight w:val="1037"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募集资金使用及披露 中存在的问题或其他 情况</w:t>
            </w:r>
          </w:p>
        </w:tc>
        <w:tc>
          <w:tcPr>
            <w:tcBorders>
              <w:top w:val="single" w:sz="4"/>
              <w:left w:val="single" w:sz="4"/>
              <w:bottom w:val="single" w:sz="4"/>
              <w:righ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widowControl w:val="0"/>
        <w:spacing w:after="279" w:line="1" w:lineRule="exact"/>
      </w:pPr>
    </w:p>
    <w:p>
      <w:pPr>
        <w:pStyle w:val="Style35"/>
        <w:keepNext w:val="0"/>
        <w:keepLines w:val="0"/>
        <w:widowControl w:val="0"/>
        <w:numPr>
          <w:ilvl w:val="0"/>
          <w:numId w:val="1"/>
        </w:numPr>
        <w:shd w:val="clear" w:color="auto" w:fill="auto"/>
        <w:tabs>
          <w:tab w:pos="883" w:val="left"/>
        </w:tabs>
        <w:bidi w:val="0"/>
        <w:spacing w:before="0" w:after="340" w:line="370" w:lineRule="exact"/>
        <w:ind w:left="520" w:right="0" w:firstLine="0"/>
        <w:jc w:val="left"/>
      </w:pPr>
      <w:bookmarkStart w:id="136" w:name="bookmark136"/>
      <w:bookmarkEnd w:id="136"/>
      <w:r>
        <w:rPr>
          <w:color w:val="000000"/>
          <w:spacing w:val="0"/>
          <w:w w:val="100"/>
          <w:position w:val="0"/>
        </w:rPr>
        <w:t>募集资金变更项目情况 公司募集资金项目未发生变更。</w:t>
      </w:r>
    </w:p>
    <w:p>
      <w:pPr>
        <w:pStyle w:val="Style35"/>
        <w:keepNext w:val="0"/>
        <w:keepLines w:val="0"/>
        <w:widowControl w:val="0"/>
        <w:numPr>
          <w:ilvl w:val="0"/>
          <w:numId w:val="1"/>
        </w:numPr>
        <w:shd w:val="clear" w:color="auto" w:fill="auto"/>
        <w:tabs>
          <w:tab w:pos="883" w:val="left"/>
        </w:tabs>
        <w:bidi w:val="0"/>
        <w:spacing w:before="0" w:after="240" w:line="360" w:lineRule="exact"/>
        <w:ind w:left="520" w:right="0" w:firstLine="0"/>
        <w:jc w:val="left"/>
      </w:pPr>
      <w:bookmarkStart w:id="137" w:name="bookmark137"/>
      <w:bookmarkEnd w:id="137"/>
      <w:r>
        <w:rPr>
          <w:color w:val="000000"/>
          <w:spacing w:val="0"/>
          <w:w w:val="100"/>
          <w:position w:val="0"/>
        </w:rPr>
        <w:t>非募集资金投资的重大项目情况 无。</w:t>
      </w:r>
    </w:p>
    <w:p>
      <w:pPr>
        <w:pStyle w:val="Style38"/>
        <w:keepNext/>
        <w:keepLines/>
        <w:widowControl w:val="0"/>
        <w:numPr>
          <w:ilvl w:val="0"/>
          <w:numId w:val="3"/>
        </w:numPr>
        <w:shd w:val="clear" w:color="auto" w:fill="auto"/>
        <w:bidi w:val="0"/>
        <w:spacing w:before="0" w:after="240" w:line="365" w:lineRule="exact"/>
        <w:ind w:left="0" w:right="0" w:firstLine="520"/>
        <w:jc w:val="both"/>
      </w:pPr>
      <w:bookmarkStart w:id="138" w:name="bookmark138"/>
      <w:bookmarkStart w:id="139" w:name="bookmark139"/>
      <w:bookmarkStart w:id="140" w:name="bookmark140"/>
      <w:bookmarkStart w:id="141" w:name="bookmark141"/>
      <w:bookmarkEnd w:id="140"/>
      <w:r>
        <w:rPr>
          <w:color w:val="000000"/>
          <w:spacing w:val="0"/>
          <w:w w:val="100"/>
          <w:position w:val="0"/>
        </w:rPr>
        <w:t>主要控股参股公司分析</w:t>
      </w:r>
      <w:bookmarkEnd w:id="138"/>
      <w:bookmarkEnd w:id="139"/>
      <w:bookmarkEnd w:id="141"/>
    </w:p>
    <w:p>
      <w:pPr>
        <w:pStyle w:val="Style35"/>
        <w:keepNext w:val="0"/>
        <w:keepLines w:val="0"/>
        <w:widowControl w:val="0"/>
        <w:shd w:val="clear" w:color="auto" w:fill="auto"/>
        <w:bidi w:val="0"/>
        <w:spacing w:before="0" w:after="260" w:line="365" w:lineRule="exact"/>
        <w:ind w:left="0" w:right="0" w:firstLine="520"/>
        <w:jc w:val="both"/>
        <w:sectPr>
          <w:footnotePr>
            <w:pos w:val="pageBottom"/>
            <w:numFmt w:val="decimal"/>
            <w:numRestart w:val="continuous"/>
          </w:footnotePr>
          <w:pgSz w:w="11900" w:h="16840"/>
          <w:pgMar w:top="1244" w:right="576" w:bottom="1450" w:left="620" w:header="0" w:footer="3" w:gutter="0"/>
          <w:cols w:space="720"/>
          <w:noEndnote/>
          <w:rtlGutter w:val="0"/>
          <w:docGrid w:linePitch="360"/>
        </w:sectPr>
      </w:pPr>
      <w:r>
        <w:rPr>
          <w:color w:val="000000"/>
          <w:spacing w:val="0"/>
          <w:w w:val="100"/>
          <w:position w:val="0"/>
        </w:rPr>
        <w:t>主要子公司、参股公司情况</w:t>
      </w:r>
    </w:p>
    <w:tbl>
      <w:tblPr>
        <w:tblOverlap w:val="never"/>
        <w:jc w:val="center"/>
        <w:tblLayout w:type="fixed"/>
      </w:tblPr>
      <w:tblGrid>
        <w:gridCol w:w="1426"/>
        <w:gridCol w:w="1080"/>
        <w:gridCol w:w="941"/>
        <w:gridCol w:w="3269"/>
        <w:gridCol w:w="1277"/>
        <w:gridCol w:w="1277"/>
        <w:gridCol w:w="1277"/>
        <w:gridCol w:w="1133"/>
        <w:gridCol w:w="1133"/>
        <w:gridCol w:w="1286"/>
      </w:tblGrid>
      <w:tr>
        <w:trPr>
          <w:trHeight w:val="437"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公司类型</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所处行业</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主要产品或服务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总资产（元）</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净资产（元）</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营业收入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元</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营业利润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净利润（元）</w:t>
            </w:r>
          </w:p>
        </w:tc>
      </w:tr>
      <w:tr>
        <w:trPr>
          <w:trHeight w:val="1334"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蓝盾信息安全技 术有限公司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计算机应 用服务业</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计算机软、硬件开发；计算机信息系统集 成；承接网络工程建设项目；信息技术开 发、服务；计算机网络技术服务、咨询； 销售：计算机及辅助设备、电子产品</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140,181,636.56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112,542,213.98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40,436,170.61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-470,078.85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-234,690.94</w:t>
            </w:r>
          </w:p>
        </w:tc>
      </w:tr>
      <w:tr>
        <w:trPr>
          <w:trHeight w:val="1027"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广东省蓝盾职业 培训学院</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教育培训 服务</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计算机网络管理员、计算机程序设计员、 电子商务师、通信网络管理员（三四级） 等的教育培训</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9,062,056.69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8,870,149.00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1,593,651.38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-1,500,024.94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-1,133,606.27</w:t>
            </w:r>
          </w:p>
        </w:tc>
      </w:tr>
      <w:tr>
        <w:trPr>
          <w:trHeight w:val="1037" w:hRule="exact"/>
        </w:trPr>
        <w:tc>
          <w:tcPr>
            <w:tcBorders>
              <w:top w:val="single" w:sz="4"/>
              <w:left w:val="single" w:sz="4"/>
              <w:bottom w:val="single" w:sz="4"/>
            </w:tcBorders>
            <w:shd w:val="clear" w:color="auto" w:fill="CCE8CF"/>
            <w:vAlign w:val="center"/>
          </w:tcPr>
          <w:p>
            <w:pPr>
              <w:pStyle w:val="Style8"/>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广东蓝盾乐庚信 息技术有限公司</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bottom w:val="single" w:sz="4"/>
            </w:tcBorders>
            <w:shd w:val="clear" w:color="auto" w:fill="CCE8CF"/>
            <w:vAlign w:val="center"/>
          </w:tcPr>
          <w:p>
            <w:pPr>
              <w:pStyle w:val="Style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计算机应 用服务业</w:t>
            </w:r>
          </w:p>
        </w:tc>
        <w:tc>
          <w:tcPr>
            <w:tcBorders>
              <w:top w:val="single" w:sz="4"/>
              <w:left w:val="single" w:sz="4"/>
              <w:bottom w:val="single" w:sz="4"/>
            </w:tcBorders>
            <w:shd w:val="clear" w:color="auto" w:fill="CCE8CF"/>
            <w:vAlign w:val="center"/>
          </w:tcPr>
          <w:p>
            <w:pPr>
              <w:pStyle w:val="Style8"/>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承接计算机软件和网络工程；计算机系统 集成；软件咨询；计算机软硬件及网络维 护</w:t>
            </w:r>
          </w:p>
        </w:tc>
        <w:tc>
          <w:tcPr>
            <w:tcBorders>
              <w:top w:val="single" w:sz="4"/>
              <w:left w:val="single" w:sz="4"/>
              <w:bottom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11,041,043.53</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10,026,435.79</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5,018,549.95</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120,115.08</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26,435.79</w:t>
            </w:r>
          </w:p>
        </w:tc>
      </w:tr>
    </w:tbl>
    <w:p>
      <w:pPr>
        <w:widowControl w:val="0"/>
        <w:spacing w:after="299" w:line="1" w:lineRule="exact"/>
      </w:pPr>
    </w:p>
    <w:p>
      <w:pPr>
        <w:pStyle w:val="Style35"/>
        <w:keepNext w:val="0"/>
        <w:keepLines w:val="0"/>
        <w:widowControl w:val="0"/>
        <w:shd w:val="clear" w:color="auto" w:fill="auto"/>
        <w:bidi w:val="0"/>
        <w:spacing w:before="0" w:after="300" w:line="355" w:lineRule="exact"/>
        <w:ind w:left="0" w:right="0" w:firstLine="0"/>
        <w:jc w:val="left"/>
      </w:pPr>
      <w:r>
        <w:rPr>
          <w:color w:val="000000"/>
          <w:spacing w:val="0"/>
          <w:w w:val="100"/>
          <w:position w:val="0"/>
        </w:rPr>
        <w:t>主要子公司、参股公司情况说明 无。</w:t>
      </w:r>
    </w:p>
    <w:p>
      <w:pPr>
        <w:pStyle w:val="Style35"/>
        <w:keepNext w:val="0"/>
        <w:keepLines w:val="0"/>
        <w:widowControl w:val="0"/>
        <w:shd w:val="clear" w:color="auto" w:fill="auto"/>
        <w:bidi w:val="0"/>
        <w:spacing w:before="0" w:after="300" w:line="346" w:lineRule="exact"/>
        <w:ind w:left="0" w:right="0" w:firstLine="0"/>
        <w:jc w:val="left"/>
        <w:sectPr>
          <w:headerReference w:type="default" r:id="rId9"/>
          <w:footerReference w:type="default" r:id="rId10"/>
          <w:footnotePr>
            <w:pos w:val="pageBottom"/>
            <w:numFmt w:val="decimal"/>
            <w:numRestart w:val="continuous"/>
          </w:footnotePr>
          <w:pgSz w:w="16840" w:h="11900" w:orient="landscape"/>
          <w:pgMar w:top="1100" w:right="1312" w:bottom="1157" w:left="1422" w:header="0" w:footer="3" w:gutter="0"/>
          <w:cols w:space="720"/>
          <w:noEndnote/>
          <w:rtlGutter w:val="0"/>
          <w:docGrid w:linePitch="360"/>
        </w:sectPr>
      </w:pPr>
      <w:r>
        <w:rPr>
          <w:color w:val="000000"/>
          <w:spacing w:val="0"/>
          <w:w w:val="100"/>
          <w:position w:val="0"/>
        </w:rPr>
        <w:t xml:space="preserve">报告期内取得和处置子公司的情况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5"/>
        <w:keepNext/>
        <w:keepLines/>
        <w:widowControl w:val="0"/>
        <w:shd w:val="clear" w:color="auto" w:fill="auto"/>
        <w:bidi w:val="0"/>
        <w:spacing w:before="400" w:after="460" w:line="240" w:lineRule="auto"/>
        <w:ind w:left="0" w:right="0" w:firstLine="0"/>
        <w:jc w:val="left"/>
      </w:pPr>
      <w:bookmarkStart w:id="142" w:name="bookmark142"/>
      <w:bookmarkStart w:id="143" w:name="bookmark143"/>
      <w:bookmarkStart w:id="144" w:name="bookmark144"/>
      <w:bookmarkStart w:id="145" w:name="bookmark145"/>
      <w:r>
        <w:rPr>
          <w:color w:val="000000"/>
          <w:spacing w:val="0"/>
          <w:w w:val="100"/>
          <w:position w:val="0"/>
        </w:rPr>
        <w:t>二</w:t>
      </w:r>
      <w:bookmarkEnd w:id="144"/>
      <w:r>
        <w:rPr>
          <w:color w:val="000000"/>
          <w:spacing w:val="0"/>
          <w:w w:val="100"/>
          <w:position w:val="0"/>
        </w:rPr>
        <w:t>、公司未来发展的展望</w:t>
      </w:r>
      <w:bookmarkEnd w:id="142"/>
      <w:bookmarkEnd w:id="143"/>
      <w:bookmarkEnd w:id="145"/>
    </w:p>
    <w:p>
      <w:pPr>
        <w:pStyle w:val="Style38"/>
        <w:keepNext/>
        <w:keepLines/>
        <w:widowControl w:val="0"/>
        <w:shd w:val="clear" w:color="auto" w:fill="auto"/>
        <w:bidi w:val="0"/>
        <w:spacing w:before="0" w:after="0" w:line="240" w:lineRule="auto"/>
        <w:ind w:left="0" w:right="0"/>
        <w:jc w:val="both"/>
      </w:pPr>
      <w:bookmarkStart w:id="146" w:name="bookmark146"/>
      <w:bookmarkStart w:id="147" w:name="bookmark147"/>
      <w:bookmarkStart w:id="148" w:name="bookmark148"/>
      <w:bookmarkStart w:id="149" w:name="bookmark149"/>
      <w:r>
        <w:rPr>
          <w:color w:val="000000"/>
          <w:spacing w:val="0"/>
          <w:w w:val="100"/>
          <w:position w:val="0"/>
        </w:rPr>
        <w:t>（</w:t>
      </w:r>
      <w:bookmarkEnd w:id="148"/>
      <w:r>
        <w:rPr>
          <w:color w:val="000000"/>
          <w:spacing w:val="0"/>
          <w:w w:val="100"/>
          <w:position w:val="0"/>
        </w:rPr>
        <w:t>一）行业发展趋势</w:t>
      </w:r>
      <w:bookmarkEnd w:id="146"/>
      <w:bookmarkEnd w:id="147"/>
      <w:bookmarkEnd w:id="149"/>
    </w:p>
    <w:p>
      <w:pPr>
        <w:pStyle w:val="Style38"/>
        <w:keepNext/>
        <w:keepLines/>
        <w:widowControl w:val="0"/>
        <w:shd w:val="clear" w:color="auto" w:fill="auto"/>
        <w:tabs>
          <w:tab w:pos="748" w:val="left"/>
        </w:tabs>
        <w:bidi w:val="0"/>
        <w:spacing w:before="0" w:after="0" w:line="468" w:lineRule="exact"/>
        <w:ind w:left="0" w:right="0"/>
        <w:jc w:val="both"/>
      </w:pPr>
      <w:bookmarkStart w:id="146" w:name="bookmark146"/>
      <w:bookmarkStart w:id="147" w:name="bookmark147"/>
      <w:bookmarkStart w:id="150" w:name="bookmark150"/>
      <w:bookmarkStart w:id="151" w:name="bookmark151"/>
      <w:r>
        <w:rPr>
          <w:rFonts w:ascii="Times New Roman" w:eastAsia="Times New Roman" w:hAnsi="Times New Roman" w:cs="Times New Roman"/>
          <w:color w:val="000000"/>
          <w:spacing w:val="0"/>
          <w:w w:val="100"/>
          <w:position w:val="0"/>
        </w:rPr>
        <w:t>1</w:t>
      </w:r>
      <w:bookmarkEnd w:id="150"/>
      <w:r>
        <w:rPr>
          <w:color w:val="000000"/>
          <w:spacing w:val="0"/>
          <w:w w:val="100"/>
          <w:position w:val="0"/>
        </w:rPr>
        <w:t>、</w:t>
        <w:tab/>
        <w:t>国家政策推动及信息安全事件驱动是行业长期发展的重要动力</w:t>
      </w:r>
      <w:bookmarkEnd w:id="146"/>
      <w:bookmarkEnd w:id="147"/>
      <w:bookmarkEnd w:id="151"/>
    </w:p>
    <w:p>
      <w:pPr>
        <w:pStyle w:val="Style3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政策方面，信息安全上升至国家战略层面，行业将注入持续的政策推动力。</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日，十八届 三中全会提出设立国家安全委员会，而</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日召开的国家安全委员会第一次会议指出要构建政治 安全、国土安全、军事安全、经济安全、文化安全、社会安全、科技安全、信息安全、生态安全、资源安 全、核安全等于一体的国家安全体系，进一步明确了将信息安全提升至国家战略的层面；</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 中央网络安全和信息化领导小组成立；</w:t>
      </w:r>
      <w:r>
        <w:rPr>
          <w:rFonts w:ascii="Times New Roman" w:eastAsia="Times New Roman" w:hAnsi="Times New Roman" w:cs="Times New Roman"/>
          <w:color w:val="000000"/>
          <w:spacing w:val="0"/>
          <w:w w:val="100"/>
          <w:position w:val="0"/>
        </w:rPr>
        <w:t>2013</w:t>
      </w:r>
      <w:r>
        <w:rPr>
          <w:color w:val="000000"/>
          <w:spacing w:val="0"/>
          <w:w w:val="100"/>
          <w:position w:val="0"/>
        </w:rPr>
        <w:t>年，发改委针对金融、云计算与大数据、信息系统保密管理、 工业控制等领域面临的信息安全实际需要，组织了国家信息安全专项；工信部工作会议在部署</w:t>
      </w:r>
      <w:r>
        <w:rPr>
          <w:rFonts w:ascii="Times New Roman" w:eastAsia="Times New Roman" w:hAnsi="Times New Roman" w:cs="Times New Roman"/>
          <w:color w:val="000000"/>
          <w:spacing w:val="0"/>
          <w:w w:val="100"/>
          <w:position w:val="0"/>
        </w:rPr>
        <w:t>2014</w:t>
      </w:r>
      <w:r>
        <w:rPr>
          <w:color w:val="000000"/>
          <w:spacing w:val="0"/>
          <w:w w:val="100"/>
          <w:position w:val="0"/>
        </w:rPr>
        <w:t>年重点 工作时表示，将推进网络与信息安全保障体系建设，改进互联网行业管理，完成重大活动通信、无线电和 网络信息安全保障任务；全国信息安全标准化技术委员会也表示将制定工业控制系统等领域的信息安全标 准。一系列政策导向显示，国家对信息安全问题越发重视，政策扶持逐步落实到操作层面，可以预见未来 与信息安全相关的政策及组织管理架构将更加明确具体，各类政府管理机构及产业联盟将不断推动行业的 标准化进程，从而引导国内信息安全行业更加健康、有序、快速地发展。</w:t>
      </w:r>
    </w:p>
    <w:p>
      <w:pPr>
        <w:pStyle w:val="Style3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信息安全事件方面，从个人到企业再国家层面的各类事件频频发生，客观上促进了行业的发展步伐。 斯诺登引爆的“棱镜门”事件像一枚重磅爆炸，对国内外信息安全的格局产生了深远影响。除了 “棱镜门” 事件，</w:t>
      </w:r>
      <w:r>
        <w:rPr>
          <w:rFonts w:ascii="Times New Roman" w:eastAsia="Times New Roman" w:hAnsi="Times New Roman" w:cs="Times New Roman"/>
          <w:color w:val="000000"/>
          <w:spacing w:val="0"/>
          <w:w w:val="100"/>
          <w:position w:val="0"/>
        </w:rPr>
        <w:t>2013</w:t>
      </w:r>
      <w:r>
        <w:rPr>
          <w:color w:val="000000"/>
          <w:spacing w:val="0"/>
          <w:w w:val="100"/>
          <w:position w:val="0"/>
        </w:rPr>
        <w:t>年爆出的客户转账信息泄露、酒店开房记录泄露、航空公司乘客信息泄露及各类电脑与手机安 全漏洞等信息安全事件也产生了重大影响。网络世界的攻防博弈在持续上演着，可以预见，未来仍将出现 大大小小的各种信息安全事件，而每一次事件的出现，都会提醒着用户要尽快采取网络安全措施，建立安 全管理及防护体系，这在客观上给行业提供了持续的推动力。</w:t>
      </w:r>
    </w:p>
    <w:p>
      <w:pPr>
        <w:pStyle w:val="Style38"/>
        <w:keepNext/>
        <w:keepLines/>
        <w:widowControl w:val="0"/>
        <w:shd w:val="clear" w:color="auto" w:fill="auto"/>
        <w:tabs>
          <w:tab w:pos="758" w:val="left"/>
        </w:tabs>
        <w:bidi w:val="0"/>
        <w:spacing w:before="0" w:after="0" w:line="468" w:lineRule="exact"/>
        <w:ind w:left="0" w:right="0"/>
        <w:jc w:val="left"/>
      </w:pPr>
      <w:bookmarkStart w:id="152" w:name="bookmark152"/>
      <w:bookmarkStart w:id="153" w:name="bookmark153"/>
      <w:bookmarkStart w:id="154" w:name="bookmark154"/>
      <w:bookmarkStart w:id="155" w:name="bookmark155"/>
      <w:r>
        <w:rPr>
          <w:rFonts w:ascii="Times New Roman" w:eastAsia="Times New Roman" w:hAnsi="Times New Roman" w:cs="Times New Roman"/>
          <w:color w:val="000000"/>
          <w:spacing w:val="0"/>
          <w:w w:val="100"/>
          <w:position w:val="0"/>
        </w:rPr>
        <w:t>2</w:t>
      </w:r>
      <w:bookmarkEnd w:id="154"/>
      <w:r>
        <w:rPr>
          <w:color w:val="000000"/>
          <w:spacing w:val="0"/>
          <w:w w:val="100"/>
          <w:position w:val="0"/>
        </w:rPr>
        <w:t>、</w:t>
        <w:tab/>
        <w:t>各领域信息化进程的不断推进及技术创新和变革有望推动信息安全内生需求的爆发。</w:t>
      </w:r>
      <w:bookmarkEnd w:id="152"/>
      <w:bookmarkEnd w:id="153"/>
      <w:bookmarkEnd w:id="155"/>
    </w:p>
    <w:p>
      <w:pPr>
        <w:pStyle w:val="Style3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在信息化进程方面，</w:t>
      </w:r>
      <w:r>
        <w:rPr>
          <w:rFonts w:ascii="Times New Roman" w:eastAsia="Times New Roman" w:hAnsi="Times New Roman" w:cs="Times New Roman"/>
          <w:color w:val="000000"/>
          <w:spacing w:val="0"/>
          <w:w w:val="100"/>
          <w:position w:val="0"/>
        </w:rPr>
        <w:t>2013</w:t>
      </w:r>
      <w:r>
        <w:rPr>
          <w:color w:val="000000"/>
          <w:spacing w:val="0"/>
          <w:w w:val="100"/>
          <w:position w:val="0"/>
        </w:rPr>
        <w:t>年，“智慧城市”建设热潮开始掀起，涵盖了智能政务、智能建筑、智能交 通、智慧医疗、智慧教育等多个领域，据统计，“十二五”期间各地智慧城市建设将带来</w:t>
      </w:r>
      <w:r>
        <w:rPr>
          <w:rFonts w:ascii="Times New Roman" w:eastAsia="Times New Roman" w:hAnsi="Times New Roman" w:cs="Times New Roman"/>
          <w:color w:val="000000"/>
          <w:spacing w:val="0"/>
          <w:w w:val="100"/>
          <w:position w:val="0"/>
        </w:rPr>
        <w:t>2</w:t>
      </w:r>
      <w:r>
        <w:rPr>
          <w:color w:val="000000"/>
          <w:spacing w:val="0"/>
          <w:w w:val="100"/>
          <w:position w:val="0"/>
        </w:rPr>
        <w:t>万亿的产业机会。 智慧城市建设过程中，政府部门及各行业客户越来越深刻地感受到，信息化所到之地，信息安全都是必不 可少的考虑因素，这大大开拓了行业的市场空间。具体而言，政府、军队、电信、银行、能源等仍然是信 息安全企业关注的重点行业，教育、交通、证券、制造等新兴市场需求强劲，为信息安全市场注入了新的 活力。无论是大型企业、一线市场，还是中小型企业及二、三线城市，信息安全市场都呈现出蓬勃的生命 力。</w:t>
      </w:r>
    </w:p>
    <w:p>
      <w:pPr>
        <w:pStyle w:val="Style35"/>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 xml:space="preserve">在新兴技术方面，云计算、大数据、物联网、移动互联网、网络虚拟化等新技术、新应用和新模式的 </w:t>
      </w:r>
      <w:r>
        <w:rPr>
          <w:color w:val="000000"/>
          <w:spacing w:val="0"/>
          <w:w w:val="100"/>
          <w:position w:val="0"/>
        </w:rPr>
        <w:t>出现，网络环境变得更加复杂，这对信息安全提出了新的要求，同时也带来了新的机遇。根据上述新兴技 术的发展进程，可以预见，创新性的安全运维服务或云安全服务、大数据安全管理、移动安全管理等将成 为新的行业增长点，</w:t>
      </w:r>
      <w:r>
        <w:rPr>
          <w:rFonts w:ascii="Times New Roman" w:eastAsia="Times New Roman" w:hAnsi="Times New Roman" w:cs="Times New Roman"/>
          <w:color w:val="000000"/>
          <w:spacing w:val="0"/>
          <w:w w:val="100"/>
          <w:position w:val="0"/>
        </w:rPr>
        <w:t>Web</w:t>
      </w:r>
      <w:r>
        <w:rPr>
          <w:color w:val="000000"/>
          <w:spacing w:val="0"/>
          <w:w w:val="100"/>
          <w:position w:val="0"/>
        </w:rPr>
        <w:t>及应用安全类、合规和安全管理类产品的市场份额将会逐步增大。而在产品结构 方面，各类信息安全产品日益丰富，边界安全、内外网信息交换安全等领域全面发展，另外除防病毒、防 火墙、</w:t>
      </w:r>
      <w:r>
        <w:rPr>
          <w:rFonts w:ascii="Times New Roman" w:eastAsia="Times New Roman" w:hAnsi="Times New Roman" w:cs="Times New Roman"/>
          <w:color w:val="000000"/>
          <w:spacing w:val="0"/>
          <w:w w:val="100"/>
          <w:position w:val="0"/>
        </w:rPr>
        <w:t>IDS</w:t>
      </w:r>
      <w:r>
        <w:rPr>
          <w:color w:val="000000"/>
          <w:spacing w:val="0"/>
          <w:w w:val="100"/>
          <w:position w:val="0"/>
        </w:rPr>
        <w:t>三大传统安全产品外，技术性能更先进的产品和服务如</w:t>
      </w:r>
      <w:r>
        <w:rPr>
          <w:rFonts w:ascii="Times New Roman" w:eastAsia="Times New Roman" w:hAnsi="Times New Roman" w:cs="Times New Roman"/>
          <w:color w:val="000000"/>
          <w:spacing w:val="0"/>
          <w:w w:val="100"/>
          <w:position w:val="0"/>
        </w:rPr>
        <w:t>UTM</w:t>
      </w:r>
      <w:r>
        <w:rPr>
          <w:color w:val="000000"/>
          <w:spacing w:val="0"/>
          <w:w w:val="100"/>
          <w:position w:val="0"/>
        </w:rPr>
        <w:t>、</w:t>
      </w:r>
      <w:r>
        <w:rPr>
          <w:rFonts w:ascii="Times New Roman" w:eastAsia="Times New Roman" w:hAnsi="Times New Roman" w:cs="Times New Roman"/>
          <w:color w:val="000000"/>
          <w:spacing w:val="0"/>
          <w:w w:val="100"/>
          <w:position w:val="0"/>
        </w:rPr>
        <w:t>IPS</w:t>
      </w:r>
      <w:r>
        <w:rPr>
          <w:color w:val="000000"/>
          <w:spacing w:val="0"/>
          <w:w w:val="100"/>
          <w:position w:val="0"/>
        </w:rPr>
        <w:t>、</w:t>
      </w:r>
      <w:r>
        <w:rPr>
          <w:color w:val="000000"/>
          <w:spacing w:val="0"/>
          <w:w w:val="100"/>
          <w:position w:val="0"/>
        </w:rPr>
        <w:t>身份认证、安全审计、</w:t>
      </w:r>
      <w:r>
        <w:rPr>
          <w:rFonts w:ascii="Times New Roman" w:eastAsia="Times New Roman" w:hAnsi="Times New Roman" w:cs="Times New Roman"/>
          <w:color w:val="000000"/>
          <w:spacing w:val="0"/>
          <w:w w:val="100"/>
          <w:position w:val="0"/>
        </w:rPr>
        <w:t>SOC</w:t>
      </w:r>
      <w:r>
        <w:rPr>
          <w:color w:val="000000"/>
          <w:spacing w:val="0"/>
          <w:w w:val="100"/>
          <w:position w:val="0"/>
        </w:rPr>
        <w:t xml:space="preserve">、 </w:t>
      </w:r>
      <w:r>
        <w:rPr>
          <w:rFonts w:ascii="Times New Roman" w:eastAsia="Times New Roman" w:hAnsi="Times New Roman" w:cs="Times New Roman"/>
          <w:color w:val="000000"/>
          <w:spacing w:val="0"/>
          <w:w w:val="100"/>
          <w:position w:val="0"/>
        </w:rPr>
        <w:t>SSL VPN</w:t>
      </w:r>
      <w:r>
        <w:rPr>
          <w:color w:val="000000"/>
          <w:spacing w:val="0"/>
          <w:w w:val="100"/>
          <w:position w:val="0"/>
        </w:rPr>
        <w:t>、</w:t>
      </w:r>
      <w:r>
        <w:rPr>
          <w:color w:val="000000"/>
          <w:spacing w:val="0"/>
          <w:w w:val="100"/>
          <w:position w:val="0"/>
        </w:rPr>
        <w:t>信息加密、专业安全服务等正在逐步打开市场，成为重要的信息安全需求品。</w:t>
      </w:r>
    </w:p>
    <w:p>
      <w:pPr>
        <w:pStyle w:val="Style38"/>
        <w:keepNext/>
        <w:keepLines/>
        <w:widowControl w:val="0"/>
        <w:shd w:val="clear" w:color="auto" w:fill="auto"/>
        <w:bidi w:val="0"/>
        <w:spacing w:before="0" w:after="0"/>
        <w:ind w:left="0" w:right="0"/>
        <w:jc w:val="left"/>
      </w:pPr>
      <w:bookmarkStart w:id="156" w:name="bookmark156"/>
      <w:bookmarkStart w:id="157" w:name="bookmark157"/>
      <w:bookmarkStart w:id="158" w:name="bookmark158"/>
      <w:bookmarkStart w:id="159" w:name="bookmark159"/>
      <w:r>
        <w:rPr>
          <w:rFonts w:ascii="Times New Roman" w:eastAsia="Times New Roman" w:hAnsi="Times New Roman" w:cs="Times New Roman"/>
          <w:color w:val="000000"/>
          <w:spacing w:val="0"/>
          <w:w w:val="100"/>
          <w:position w:val="0"/>
        </w:rPr>
        <w:t>3</w:t>
      </w:r>
      <w:bookmarkEnd w:id="158"/>
      <w:r>
        <w:rPr>
          <w:color w:val="000000"/>
          <w:spacing w:val="0"/>
          <w:w w:val="100"/>
          <w:position w:val="0"/>
        </w:rPr>
        <w:t>、国内外信息安全产业差距不断缩小，产业并购将成为行业格局重构的重要因素。</w:t>
      </w:r>
      <w:bookmarkEnd w:id="156"/>
      <w:bookmarkEnd w:id="157"/>
      <w:bookmarkEnd w:id="159"/>
    </w:p>
    <w:p>
      <w:pPr>
        <w:pStyle w:val="Style3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受“棱镜门”等事件的冲击，在国家政策的导向下，政府、电信、金融、电力等多个重点行业将逐渐 转向采用国内自主可控的信息安全技术和产品，这对国内信息安全企业而言无疑是个好消息。不过客观地 说，也要看到国内外</w:t>
      </w:r>
      <w:r>
        <w:rPr>
          <w:rFonts w:ascii="Times New Roman" w:eastAsia="Times New Roman" w:hAnsi="Times New Roman" w:cs="Times New Roman"/>
          <w:color w:val="000000"/>
          <w:spacing w:val="0"/>
          <w:w w:val="100"/>
          <w:position w:val="0"/>
        </w:rPr>
        <w:t>IT</w:t>
      </w:r>
      <w:r>
        <w:rPr>
          <w:color w:val="000000"/>
          <w:spacing w:val="0"/>
          <w:w w:val="100"/>
          <w:position w:val="0"/>
        </w:rPr>
        <w:t>厂商在技术上的差距，特别是许多底层的</w:t>
      </w:r>
      <w:r>
        <w:rPr>
          <w:rFonts w:ascii="Times New Roman" w:eastAsia="Times New Roman" w:hAnsi="Times New Roman" w:cs="Times New Roman"/>
          <w:color w:val="000000"/>
          <w:spacing w:val="0"/>
          <w:w w:val="100"/>
          <w:position w:val="0"/>
        </w:rPr>
        <w:t>IT</w:t>
      </w:r>
      <w:r>
        <w:rPr>
          <w:color w:val="000000"/>
          <w:spacing w:val="0"/>
          <w:w w:val="100"/>
          <w:position w:val="0"/>
        </w:rPr>
        <w:t>设备仍是国外厂商在主导，但就信息安 全产品而言，国内外厂商的技术差距正在不断缩小，特别是在传统产品领域的性能上二者已相当接近，在 大部分领域已有能力完全替代国外产品。</w:t>
      </w:r>
    </w:p>
    <w:p>
      <w:pPr>
        <w:pStyle w:val="Style3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而在国内的产业格局方面，由于国内区域经济发展不平衡及信息化程度不一致等特点，信息安全行业 的销售区域性及季节性等因素可能会在较长的时期内持续存在。从产业发展趋势来看，产业并购是安全企 业快速发展壮大的必由之路，因为无论从技术积累还是渠道拓展的层面来看，都是需要相当多时间和资金 投入的，因而对上市公司而言，资本市场的平台为其进行并购发展提供了便利，未来这种并购事件将会使 行业的格局得到打破和重构。</w:t>
      </w:r>
    </w:p>
    <w:p>
      <w:pPr>
        <w:pStyle w:val="Style38"/>
        <w:keepNext/>
        <w:keepLines/>
        <w:widowControl w:val="0"/>
        <w:shd w:val="clear" w:color="auto" w:fill="auto"/>
        <w:bidi w:val="0"/>
        <w:spacing w:before="0" w:after="60" w:line="468" w:lineRule="exact"/>
        <w:ind w:left="0" w:right="0"/>
        <w:jc w:val="both"/>
      </w:pPr>
      <w:bookmarkStart w:id="160" w:name="bookmark160"/>
      <w:bookmarkStart w:id="161" w:name="bookmark161"/>
      <w:bookmarkStart w:id="162" w:name="bookmark162"/>
      <w:bookmarkStart w:id="163" w:name="bookmark163"/>
      <w:r>
        <w:rPr>
          <w:color w:val="000000"/>
          <w:spacing w:val="0"/>
          <w:w w:val="100"/>
          <w:position w:val="0"/>
        </w:rPr>
        <w:t>（</w:t>
      </w:r>
      <w:bookmarkEnd w:id="162"/>
      <w:r>
        <w:rPr>
          <w:color w:val="000000"/>
          <w:spacing w:val="0"/>
          <w:w w:val="100"/>
          <w:position w:val="0"/>
        </w:rPr>
        <w:t>二）竞争格局</w:t>
      </w:r>
      <w:bookmarkEnd w:id="160"/>
      <w:bookmarkEnd w:id="161"/>
      <w:bookmarkEnd w:id="163"/>
    </w:p>
    <w:p>
      <w:pPr>
        <w:pStyle w:val="Style35"/>
        <w:keepNext w:val="0"/>
        <w:keepLines w:val="0"/>
        <w:widowControl w:val="0"/>
        <w:shd w:val="clear" w:color="auto" w:fill="auto"/>
        <w:bidi w:val="0"/>
        <w:spacing w:before="0" w:after="0" w:line="402" w:lineRule="exact"/>
        <w:ind w:left="0" w:right="0" w:firstLine="440"/>
        <w:jc w:val="both"/>
      </w:pPr>
      <w:r>
        <w:rPr>
          <w:color w:val="000000"/>
          <w:spacing w:val="0"/>
          <w:w w:val="100"/>
          <w:position w:val="0"/>
        </w:rPr>
        <w:t>从多家行业研究机构的预测数据来看，国内信息安全的产业规模在未来三年将实现从</w:t>
      </w:r>
      <w:r>
        <w:rPr>
          <w:color w:val="000000"/>
          <w:spacing w:val="0"/>
          <w:w w:val="100"/>
          <w:position w:val="0"/>
        </w:rPr>
        <w:t>200</w:t>
      </w:r>
      <w:r>
        <w:rPr>
          <w:color w:val="000000"/>
          <w:spacing w:val="0"/>
          <w:w w:val="100"/>
          <w:position w:val="0"/>
        </w:rPr>
        <w:t>亿到</w:t>
      </w:r>
      <w:r>
        <w:rPr>
          <w:color w:val="000000"/>
          <w:spacing w:val="0"/>
          <w:w w:val="100"/>
          <w:position w:val="0"/>
        </w:rPr>
        <w:t>300</w:t>
      </w:r>
      <w:r>
        <w:rPr>
          <w:color w:val="000000"/>
          <w:spacing w:val="0"/>
          <w:w w:val="100"/>
          <w:position w:val="0"/>
        </w:rPr>
        <w:t>亿 的飞跃，如果考虑到以解决方案的形式进入各行业客户，前景可能更加广阔。就目前国内的信息安全产业 格局而言，一方面业内厂商数量众多，大量专注各细分领域的中小型安全企业仍在不断涌现，另一方面， 在国家政策及产业内自身发展需求的推动下，未来信息安全产业规模化及集中化的程度将会不断提高。</w:t>
      </w:r>
    </w:p>
    <w:p>
      <w:pPr>
        <w:pStyle w:val="Style3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专业程度决定了信息安全行业集中度低，细分领域多，除了众多的中小安全厂商及传统的防病毒厂商 外，目前国内信息安全市场主要由三大部分厂商占据。一是国内的专业信息安全厂商，如启明星辰、绿盟 科技、蓝盾股份、天融信、任子行、美亚柏科、北信源、山石网科等；二是国内较大型的系统集成商及综 合</w:t>
      </w:r>
      <w:r>
        <w:rPr>
          <w:color w:val="000000"/>
          <w:spacing w:val="0"/>
          <w:w w:val="100"/>
          <w:position w:val="0"/>
        </w:rPr>
        <w:t>IT</w:t>
      </w:r>
      <w:r>
        <w:rPr>
          <w:color w:val="000000"/>
          <w:spacing w:val="0"/>
          <w:w w:val="100"/>
          <w:position w:val="0"/>
        </w:rPr>
        <w:t>设备及服务提供商，如华为、太极股份、东软集团等；三是国外的综合</w:t>
      </w:r>
      <w:r>
        <w:rPr>
          <w:color w:val="000000"/>
          <w:spacing w:val="0"/>
          <w:w w:val="100"/>
          <w:position w:val="0"/>
        </w:rPr>
        <w:t>IT</w:t>
      </w:r>
      <w:r>
        <w:rPr>
          <w:color w:val="000000"/>
          <w:spacing w:val="0"/>
          <w:w w:val="100"/>
          <w:position w:val="0"/>
        </w:rPr>
        <w:t>设备厂商及安全厂商，如思 科、</w:t>
      </w:r>
      <w:r>
        <w:rPr>
          <w:color w:val="000000"/>
          <w:spacing w:val="0"/>
          <w:w w:val="100"/>
          <w:position w:val="0"/>
        </w:rPr>
        <w:t>IBM</w:t>
      </w:r>
      <w:r>
        <w:rPr>
          <w:color w:val="000000"/>
          <w:spacing w:val="0"/>
          <w:w w:val="100"/>
          <w:position w:val="0"/>
        </w:rPr>
        <w:t>、</w:t>
      </w:r>
      <w:r>
        <w:rPr>
          <w:color w:val="000000"/>
          <w:spacing w:val="0"/>
          <w:w w:val="100"/>
          <w:position w:val="0"/>
        </w:rPr>
        <w:t>赛门铁克、</w:t>
      </w:r>
      <w:r>
        <w:rPr>
          <w:color w:val="000000"/>
          <w:spacing w:val="0"/>
          <w:w w:val="100"/>
          <w:position w:val="0"/>
        </w:rPr>
        <w:t>Juniper</w:t>
      </w:r>
      <w:r>
        <w:rPr>
          <w:color w:val="000000"/>
          <w:spacing w:val="0"/>
          <w:w w:val="100"/>
          <w:position w:val="0"/>
        </w:rPr>
        <w:t>、</w:t>
      </w:r>
      <w:r>
        <w:rPr>
          <w:color w:val="000000"/>
          <w:spacing w:val="0"/>
          <w:w w:val="100"/>
          <w:position w:val="0"/>
        </w:rPr>
        <w:t>Checkpoint</w:t>
      </w:r>
      <w:r>
        <w:rPr>
          <w:color w:val="000000"/>
          <w:spacing w:val="0"/>
          <w:w w:val="100"/>
          <w:position w:val="0"/>
        </w:rPr>
        <w:t>等。上述各类厂商无论从产品、渠道以及行业应用等方面都有 较为明显的区别。而在安全技术成为</w:t>
      </w:r>
      <w:r>
        <w:rPr>
          <w:color w:val="000000"/>
          <w:spacing w:val="0"/>
          <w:w w:val="100"/>
          <w:position w:val="0"/>
        </w:rPr>
        <w:t>IT</w:t>
      </w:r>
      <w:r>
        <w:rPr>
          <w:color w:val="000000"/>
          <w:spacing w:val="0"/>
          <w:w w:val="100"/>
          <w:position w:val="0"/>
        </w:rPr>
        <w:t>基础架构核心的行业趋势下，拥有较强技术实力的国内专业安全厂 商将成为市场上最有力的争夺者之一。</w:t>
      </w:r>
    </w:p>
    <w:p>
      <w:pPr>
        <w:pStyle w:val="Style35"/>
        <w:keepNext w:val="0"/>
        <w:keepLines w:val="0"/>
        <w:widowControl w:val="0"/>
        <w:shd w:val="clear" w:color="auto" w:fill="auto"/>
        <w:bidi w:val="0"/>
        <w:spacing w:before="0" w:after="240" w:line="469" w:lineRule="exact"/>
        <w:ind w:left="0" w:right="0" w:firstLine="440"/>
        <w:jc w:val="both"/>
      </w:pPr>
      <w:r>
        <w:rPr>
          <w:color w:val="000000"/>
          <w:spacing w:val="0"/>
          <w:w w:val="100"/>
          <w:position w:val="0"/>
        </w:rPr>
        <w:t xml:space="preserve">面对国内激烈的竞争形势，公司进行了明确的战略定位，以一站式安全解决方案的形式切入到各个领 </w:t>
      </w:r>
      <w:r>
        <w:rPr>
          <w:color w:val="000000"/>
          <w:spacing w:val="0"/>
          <w:w w:val="100"/>
          <w:position w:val="0"/>
        </w:rPr>
        <w:t>域，另外从产品研发及营销布局等方面都在不断提升自身实力，使公司的竞争中具备了一定优势：</w:t>
      </w:r>
    </w:p>
    <w:p>
      <w:pPr>
        <w:pStyle w:val="Style38"/>
        <w:keepNext/>
        <w:keepLines/>
        <w:widowControl w:val="0"/>
        <w:shd w:val="clear" w:color="auto" w:fill="auto"/>
        <w:tabs>
          <w:tab w:pos="752" w:val="left"/>
        </w:tabs>
        <w:bidi w:val="0"/>
        <w:spacing w:before="0" w:after="0"/>
        <w:ind w:left="0" w:right="0"/>
        <w:jc w:val="both"/>
      </w:pPr>
      <w:bookmarkStart w:id="164" w:name="bookmark164"/>
      <w:bookmarkStart w:id="165" w:name="bookmark165"/>
      <w:bookmarkStart w:id="166" w:name="bookmark166"/>
      <w:bookmarkStart w:id="167" w:name="bookmark167"/>
      <w:r>
        <w:rPr>
          <w:rFonts w:ascii="Times New Roman" w:eastAsia="Times New Roman" w:hAnsi="Times New Roman" w:cs="Times New Roman"/>
          <w:color w:val="000000"/>
          <w:spacing w:val="0"/>
          <w:w w:val="100"/>
          <w:position w:val="0"/>
        </w:rPr>
        <w:t>1</w:t>
      </w:r>
      <w:bookmarkEnd w:id="166"/>
      <w:r>
        <w:rPr>
          <w:color w:val="000000"/>
          <w:spacing w:val="0"/>
          <w:w w:val="100"/>
          <w:position w:val="0"/>
        </w:rPr>
        <w:t>、</w:t>
        <w:tab/>
        <w:t>解决方案丰富，客户资源稳定</w:t>
      </w:r>
      <w:bookmarkEnd w:id="164"/>
      <w:bookmarkEnd w:id="165"/>
      <w:bookmarkEnd w:id="167"/>
    </w:p>
    <w:p>
      <w:pPr>
        <w:pStyle w:val="Style35"/>
        <w:keepNext w:val="0"/>
        <w:keepLines w:val="0"/>
        <w:widowControl w:val="0"/>
        <w:shd w:val="clear" w:color="auto" w:fill="auto"/>
        <w:bidi w:val="0"/>
        <w:spacing w:before="0" w:after="240" w:line="468" w:lineRule="exact"/>
        <w:ind w:left="0" w:right="0" w:firstLine="440"/>
        <w:jc w:val="both"/>
      </w:pPr>
      <w:r>
        <w:rPr>
          <w:color w:val="000000"/>
          <w:spacing w:val="0"/>
          <w:w w:val="100"/>
          <w:position w:val="0"/>
        </w:rPr>
        <w:t>目前客户需求逐渐从单一安全产品转身一站式的解决方案，随着公司技术实力和产品性能的提升，公 司的整体解决方案能力逐渐增强，已为政府、教育、金融、电力、医疗等十多个行业客户提供了信息安全 整体解决方案，积累了丰富的案例经验，而承接过大体量或高端客户项目且案例丰富的厂商在招投标中占 据天然优势。而从客户需求的角度看，随着各领域对信息安全需要的提高，一方面各领域会出现很多的新 增需求，同时老客户也存在着更新、升级的需求，客户在信息安全系统建设及升级过程中会对安全产品、 安全集成及安全服务产生交叉消费和重复消费，形成信息安全领域的持续性投入。公司丰富的案例经验与 客户资源相得益彰，为公司业务扩张及持续盈利提供了重要保障。</w:t>
      </w:r>
    </w:p>
    <w:p>
      <w:pPr>
        <w:pStyle w:val="Style38"/>
        <w:keepNext/>
        <w:keepLines/>
        <w:widowControl w:val="0"/>
        <w:shd w:val="clear" w:color="auto" w:fill="auto"/>
        <w:tabs>
          <w:tab w:pos="758" w:val="left"/>
        </w:tabs>
        <w:bidi w:val="0"/>
        <w:spacing w:before="0" w:after="0"/>
        <w:ind w:left="0" w:right="0"/>
        <w:jc w:val="both"/>
      </w:pPr>
      <w:bookmarkStart w:id="168" w:name="bookmark168"/>
      <w:bookmarkStart w:id="169" w:name="bookmark169"/>
      <w:bookmarkStart w:id="170" w:name="bookmark170"/>
      <w:bookmarkStart w:id="171" w:name="bookmark171"/>
      <w:r>
        <w:rPr>
          <w:rFonts w:ascii="Times New Roman" w:eastAsia="Times New Roman" w:hAnsi="Times New Roman" w:cs="Times New Roman"/>
          <w:color w:val="000000"/>
          <w:spacing w:val="0"/>
          <w:w w:val="100"/>
          <w:position w:val="0"/>
        </w:rPr>
        <w:t>2</w:t>
      </w:r>
      <w:bookmarkEnd w:id="170"/>
      <w:r>
        <w:rPr>
          <w:color w:val="000000"/>
          <w:spacing w:val="0"/>
          <w:w w:val="100"/>
          <w:position w:val="0"/>
        </w:rPr>
        <w:t>、</w:t>
        <w:tab/>
        <w:t>产品线丰富，资质齐全</w:t>
      </w:r>
      <w:bookmarkEnd w:id="168"/>
      <w:bookmarkEnd w:id="169"/>
      <w:bookmarkEnd w:id="171"/>
    </w:p>
    <w:p>
      <w:pPr>
        <w:pStyle w:val="Style35"/>
        <w:keepNext w:val="0"/>
        <w:keepLines w:val="0"/>
        <w:widowControl w:val="0"/>
        <w:shd w:val="clear" w:color="auto" w:fill="auto"/>
        <w:bidi w:val="0"/>
        <w:spacing w:before="0" w:after="240" w:line="468" w:lineRule="exact"/>
        <w:ind w:left="0" w:right="0" w:firstLine="440"/>
        <w:jc w:val="both"/>
      </w:pPr>
      <w:r>
        <w:rPr>
          <w:color w:val="000000"/>
          <w:spacing w:val="0"/>
          <w:w w:val="100"/>
          <w:position w:val="0"/>
        </w:rPr>
        <w:t>公司拥有业内较为齐全的产品线，涵盖了边界安全、安全审计、安全管理、应用安全、终端安全等全 面的产品类别，既能满足客户单方面的信息安全产品需求，也能更好地为其提供整体解决方案，同时也有 足够的实力为客户提供定制化的产品和方案。公司也凭借完善的产品线及丰富的案例经验，成为业内资质 最齐全的厂商之一，截至</w:t>
      </w:r>
      <w:r>
        <w:rPr>
          <w:rFonts w:ascii="Times New Roman" w:eastAsia="Times New Roman" w:hAnsi="Times New Roman" w:cs="Times New Roman"/>
          <w:color w:val="000000"/>
          <w:spacing w:val="0"/>
          <w:w w:val="100"/>
          <w:position w:val="0"/>
        </w:rPr>
        <w:t>2013</w:t>
      </w:r>
      <w:r>
        <w:rPr>
          <w:color w:val="000000"/>
          <w:spacing w:val="0"/>
          <w:w w:val="100"/>
          <w:position w:val="0"/>
        </w:rPr>
        <w:t>年底已拥有军队网络采购信息发布资格认证、涉密信息系统产品检测证书</w:t>
      </w:r>
      <w:r>
        <w:rPr>
          <w:rFonts w:ascii="Times New Roman" w:eastAsia="Times New Roman" w:hAnsi="Times New Roman" w:cs="Times New Roman"/>
          <w:color w:val="000000"/>
          <w:spacing w:val="0"/>
          <w:w w:val="100"/>
          <w:position w:val="0"/>
        </w:rPr>
        <w:t xml:space="preserve">10 </w:t>
      </w:r>
      <w:r>
        <w:rPr>
          <w:color w:val="000000"/>
          <w:spacing w:val="0"/>
          <w:w w:val="100"/>
          <w:position w:val="0"/>
        </w:rPr>
        <w:t>项、军用信息安全产品认证证书</w:t>
      </w:r>
      <w:r>
        <w:rPr>
          <w:rFonts w:ascii="Times New Roman" w:eastAsia="Times New Roman" w:hAnsi="Times New Roman" w:cs="Times New Roman"/>
          <w:color w:val="000000"/>
          <w:spacing w:val="0"/>
          <w:w w:val="100"/>
          <w:position w:val="0"/>
        </w:rPr>
        <w:t>4</w:t>
      </w:r>
      <w:r>
        <w:rPr>
          <w:color w:val="000000"/>
          <w:spacing w:val="0"/>
          <w:w w:val="100"/>
          <w:position w:val="0"/>
        </w:rPr>
        <w:t>项、产品销售许可证</w:t>
      </w:r>
      <w:r>
        <w:rPr>
          <w:rFonts w:ascii="Times New Roman" w:eastAsia="Times New Roman" w:hAnsi="Times New Roman" w:cs="Times New Roman"/>
          <w:color w:val="000000"/>
          <w:spacing w:val="0"/>
          <w:w w:val="100"/>
          <w:position w:val="0"/>
        </w:rPr>
        <w:t>26</w:t>
      </w:r>
      <w:r>
        <w:rPr>
          <w:color w:val="000000"/>
          <w:spacing w:val="0"/>
          <w:w w:val="100"/>
          <w:position w:val="0"/>
        </w:rPr>
        <w:t>项、中国信息安全认证中心产品认证证书</w:t>
      </w:r>
      <w:r>
        <w:rPr>
          <w:rFonts w:ascii="Times New Roman" w:eastAsia="Times New Roman" w:hAnsi="Times New Roman" w:cs="Times New Roman"/>
          <w:color w:val="000000"/>
          <w:spacing w:val="0"/>
          <w:w w:val="100"/>
          <w:position w:val="0"/>
        </w:rPr>
        <w:t xml:space="preserve">13 </w:t>
      </w:r>
      <w:r>
        <w:rPr>
          <w:color w:val="000000"/>
          <w:spacing w:val="0"/>
          <w:w w:val="100"/>
          <w:position w:val="0"/>
        </w:rPr>
        <w:t>项、广州市自主创新产品证书</w:t>
      </w:r>
      <w:r>
        <w:rPr>
          <w:rFonts w:ascii="Times New Roman" w:eastAsia="Times New Roman" w:hAnsi="Times New Roman" w:cs="Times New Roman"/>
          <w:color w:val="000000"/>
          <w:spacing w:val="0"/>
          <w:w w:val="100"/>
          <w:position w:val="0"/>
        </w:rPr>
        <w:t>13</w:t>
      </w:r>
      <w:r>
        <w:rPr>
          <w:color w:val="000000"/>
          <w:spacing w:val="0"/>
          <w:w w:val="100"/>
          <w:position w:val="0"/>
        </w:rPr>
        <w:t>项，并取得了计算机信息系统安全服务一级资质证书、计算机信息系统 集成一级资质证书、涉密计算机信息系统集成乙级证书、信息安全应急处理服务一级资质证书、信息安全 风险评估服务资质等业务资质，公司的六类产品获得了</w:t>
      </w:r>
      <w:r>
        <w:rPr>
          <w:rFonts w:ascii="Times New Roman" w:eastAsia="Times New Roman" w:hAnsi="Times New Roman" w:cs="Times New Roman"/>
          <w:color w:val="000000"/>
          <w:spacing w:val="0"/>
          <w:w w:val="100"/>
          <w:position w:val="0"/>
        </w:rPr>
        <w:t>IPv6</w:t>
      </w:r>
      <w:r>
        <w:rPr>
          <w:color w:val="000000"/>
          <w:spacing w:val="0"/>
          <w:w w:val="100"/>
          <w:position w:val="0"/>
        </w:rPr>
        <w:t>金牌认证，防火墙、入侵检测等产品获得了国 际通用标准认证</w:t>
      </w:r>
      <w:r>
        <w:rPr>
          <w:color w:val="000000"/>
          <w:spacing w:val="0"/>
          <w:w w:val="100"/>
          <w:position w:val="0"/>
        </w:rPr>
        <w:t>（</w:t>
      </w:r>
      <w:r>
        <w:rPr>
          <w:rFonts w:ascii="Times New Roman" w:eastAsia="Times New Roman" w:hAnsi="Times New Roman" w:cs="Times New Roman"/>
          <w:color w:val="000000"/>
          <w:spacing w:val="0"/>
          <w:w w:val="100"/>
          <w:position w:val="0"/>
        </w:rPr>
        <w:t>CC</w:t>
      </w:r>
      <w:r>
        <w:rPr>
          <w:color w:val="000000"/>
          <w:spacing w:val="0"/>
          <w:w w:val="100"/>
          <w:position w:val="0"/>
        </w:rPr>
        <w:t>）</w:t>
      </w:r>
      <w:r>
        <w:rPr>
          <w:color w:val="000000"/>
          <w:spacing w:val="0"/>
          <w:w w:val="100"/>
          <w:position w:val="0"/>
        </w:rPr>
        <w:t>制定的</w:t>
      </w:r>
      <w:r>
        <w:rPr>
          <w:rFonts w:ascii="Times New Roman" w:eastAsia="Times New Roman" w:hAnsi="Times New Roman" w:cs="Times New Roman"/>
          <w:color w:val="000000"/>
          <w:spacing w:val="0"/>
          <w:w w:val="100"/>
          <w:position w:val="0"/>
        </w:rPr>
        <w:t>EAL3</w:t>
      </w:r>
      <w:r>
        <w:rPr>
          <w:color w:val="000000"/>
          <w:spacing w:val="0"/>
          <w:w w:val="100"/>
          <w:position w:val="0"/>
        </w:rPr>
        <w:t>级认证，基本获得了包括信息安全产品、信息安全集成及信息安全服 务在内的所有业务类别的较高级别资质。</w:t>
      </w:r>
    </w:p>
    <w:p>
      <w:pPr>
        <w:pStyle w:val="Style38"/>
        <w:keepNext/>
        <w:keepLines/>
        <w:widowControl w:val="0"/>
        <w:shd w:val="clear" w:color="auto" w:fill="auto"/>
        <w:bidi w:val="0"/>
        <w:spacing w:before="0" w:after="0"/>
        <w:ind w:left="0" w:right="0"/>
        <w:jc w:val="both"/>
      </w:pPr>
      <w:bookmarkStart w:id="172" w:name="bookmark172"/>
      <w:bookmarkStart w:id="173" w:name="bookmark173"/>
      <w:bookmarkStart w:id="174" w:name="bookmark174"/>
      <w:bookmarkStart w:id="175" w:name="bookmark175"/>
      <w:r>
        <w:rPr>
          <w:rFonts w:ascii="Times New Roman" w:eastAsia="Times New Roman" w:hAnsi="Times New Roman" w:cs="Times New Roman"/>
          <w:color w:val="000000"/>
          <w:spacing w:val="0"/>
          <w:w w:val="100"/>
          <w:position w:val="0"/>
        </w:rPr>
        <w:t>3</w:t>
      </w:r>
      <w:bookmarkEnd w:id="174"/>
      <w:r>
        <w:rPr>
          <w:color w:val="000000"/>
          <w:spacing w:val="0"/>
          <w:w w:val="100"/>
          <w:position w:val="0"/>
        </w:rPr>
        <w:t>、技术实力领先，综合服务突出</w:t>
      </w:r>
      <w:bookmarkEnd w:id="172"/>
      <w:bookmarkEnd w:id="173"/>
      <w:bookmarkEnd w:id="175"/>
    </w:p>
    <w:p>
      <w:pPr>
        <w:pStyle w:val="Style3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公司产品线及解决方案的丰富，源自公司在信息安全领域拥有十多年的技术积累，能针对客户提出的 不同需求研发出定制化的产品及方案。同时针对各种新兴技术，公司的技术研发理念及水平都走在业内前 沿，以保证公司的产品在各个行业领域、各个需求阶段、各个网络层级、各种技术构架之下都适用，特别 是“动立方”产品理念的提出，为行业进入“智慧安全”时代做出了表率。在客户开放及维护过程中，公 司逐步形成了涵盖安全产品、安全集成、安全运营及安全服务的完整业务体系，各业务模块相互促进、共 同发展，形成了较强的综合服务能力。</w:t>
      </w:r>
    </w:p>
    <w:p>
      <w:pPr>
        <w:pStyle w:val="Style38"/>
        <w:keepNext/>
        <w:keepLines/>
        <w:widowControl w:val="0"/>
        <w:shd w:val="clear" w:color="auto" w:fill="auto"/>
        <w:bidi w:val="0"/>
        <w:spacing w:before="0" w:after="0" w:line="468" w:lineRule="exact"/>
        <w:ind w:left="0" w:right="0"/>
        <w:jc w:val="both"/>
      </w:pPr>
      <w:bookmarkStart w:id="176" w:name="bookmark176"/>
      <w:bookmarkStart w:id="177" w:name="bookmark177"/>
      <w:bookmarkStart w:id="178" w:name="bookmark178"/>
      <w:bookmarkStart w:id="179" w:name="bookmark179"/>
      <w:r>
        <w:rPr>
          <w:color w:val="000000"/>
          <w:spacing w:val="0"/>
          <w:w w:val="100"/>
          <w:position w:val="0"/>
        </w:rPr>
        <w:t>（</w:t>
      </w:r>
      <w:bookmarkEnd w:id="178"/>
      <w:r>
        <w:rPr>
          <w:color w:val="000000"/>
          <w:spacing w:val="0"/>
          <w:w w:val="100"/>
          <w:position w:val="0"/>
        </w:rPr>
        <w:t>三）公司未来发展规划及</w:t>
      </w:r>
      <w:r>
        <w:rPr>
          <w:rFonts w:ascii="Times New Roman" w:eastAsia="Times New Roman" w:hAnsi="Times New Roman" w:cs="Times New Roman"/>
          <w:color w:val="000000"/>
          <w:spacing w:val="0"/>
          <w:w w:val="100"/>
          <w:position w:val="0"/>
        </w:rPr>
        <w:t>2014</w:t>
      </w:r>
      <w:r>
        <w:rPr>
          <w:color w:val="000000"/>
          <w:spacing w:val="0"/>
          <w:w w:val="100"/>
          <w:position w:val="0"/>
        </w:rPr>
        <w:t>年主要工作计划</w:t>
      </w:r>
      <w:bookmarkEnd w:id="176"/>
      <w:bookmarkEnd w:id="177"/>
      <w:bookmarkEnd w:id="179"/>
    </w:p>
    <w:p>
      <w:pPr>
        <w:pStyle w:val="Style3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公司以“让你的安全更智慧”为企业发展理念，以“打造国际一流的信息安全企业”为战略远景，坚 持走安全产品、安全集成、安全运营、安全服务“四位一体”的经营模式，力争成为新网络时代全方位的 </w:t>
      </w:r>
      <w:r>
        <w:rPr>
          <w:color w:val="000000"/>
          <w:spacing w:val="0"/>
          <w:w w:val="100"/>
          <w:position w:val="0"/>
        </w:rPr>
        <w:t>信息安全服务和运营提供商，在我国信息安全建设的重要时期作出贡献。</w:t>
      </w:r>
    </w:p>
    <w:p>
      <w:pPr>
        <w:pStyle w:val="Style35"/>
        <w:keepNext w:val="0"/>
        <w:keepLines w:val="0"/>
        <w:widowControl w:val="0"/>
        <w:shd w:val="clear" w:color="auto" w:fill="auto"/>
        <w:bidi w:val="0"/>
        <w:spacing w:before="0" w:after="220" w:line="472" w:lineRule="exact"/>
        <w:ind w:left="0" w:right="0" w:firstLine="460"/>
        <w:jc w:val="both"/>
      </w:pPr>
      <w:r>
        <w:rPr>
          <w:color w:val="000000"/>
          <w:spacing w:val="0"/>
          <w:w w:val="100"/>
          <w:position w:val="0"/>
        </w:rPr>
        <w:t>未来公司将继续保持核心技术的研发和创新力度，建立云计算安全、大数据安全、移动安全等一系列 综合安全运营平台，对重点行业和区域进行持续渗透，进一步利用资本市场的平台进行产业扩张，不断加 强人力资源管理及内控控制管理，使公司的业务规模、盈利能力、品牌知名度都得以提升。</w:t>
      </w:r>
    </w:p>
    <w:p>
      <w:pPr>
        <w:pStyle w:val="Style35"/>
        <w:keepNext w:val="0"/>
        <w:keepLines w:val="0"/>
        <w:widowControl w:val="0"/>
        <w:shd w:val="clear" w:color="auto" w:fill="auto"/>
        <w:bidi w:val="0"/>
        <w:spacing w:before="0" w:after="0" w:line="492" w:lineRule="auto"/>
        <w:ind w:left="0" w:right="0" w:firstLine="440"/>
        <w:jc w:val="both"/>
      </w:pPr>
      <w:r>
        <w:rPr>
          <w:rFonts w:ascii="Times New Roman" w:eastAsia="Times New Roman" w:hAnsi="Times New Roman" w:cs="Times New Roman"/>
          <w:color w:val="000000"/>
          <w:spacing w:val="0"/>
          <w:w w:val="100"/>
          <w:position w:val="0"/>
        </w:rPr>
        <w:t>2014</w:t>
      </w:r>
      <w:r>
        <w:rPr>
          <w:color w:val="000000"/>
          <w:spacing w:val="0"/>
          <w:w w:val="100"/>
          <w:position w:val="0"/>
        </w:rPr>
        <w:t>年度经营计划：</w:t>
      </w:r>
    </w:p>
    <w:p>
      <w:pPr>
        <w:pStyle w:val="Style38"/>
        <w:keepNext/>
        <w:keepLines/>
        <w:widowControl w:val="0"/>
        <w:shd w:val="clear" w:color="auto" w:fill="auto"/>
        <w:tabs>
          <w:tab w:pos="756" w:val="left"/>
        </w:tabs>
        <w:bidi w:val="0"/>
        <w:spacing w:before="0" w:after="0" w:line="492" w:lineRule="auto"/>
        <w:ind w:left="0" w:right="0"/>
        <w:jc w:val="both"/>
      </w:pPr>
      <w:bookmarkStart w:id="180" w:name="bookmark180"/>
      <w:bookmarkStart w:id="181" w:name="bookmark181"/>
      <w:bookmarkStart w:id="182" w:name="bookmark182"/>
      <w:bookmarkStart w:id="183" w:name="bookmark183"/>
      <w:r>
        <w:rPr>
          <w:rFonts w:ascii="Times New Roman" w:eastAsia="Times New Roman" w:hAnsi="Times New Roman" w:cs="Times New Roman"/>
          <w:color w:val="000000"/>
          <w:spacing w:val="0"/>
          <w:w w:val="100"/>
          <w:position w:val="0"/>
        </w:rPr>
        <w:t>1</w:t>
      </w:r>
      <w:bookmarkEnd w:id="182"/>
      <w:r>
        <w:rPr>
          <w:color w:val="000000"/>
          <w:spacing w:val="0"/>
          <w:w w:val="100"/>
          <w:position w:val="0"/>
        </w:rPr>
        <w:t>、</w:t>
        <w:tab/>
        <w:t>公司管理计划</w:t>
      </w:r>
      <w:bookmarkEnd w:id="180"/>
      <w:bookmarkEnd w:id="181"/>
      <w:bookmarkEnd w:id="183"/>
    </w:p>
    <w:p>
      <w:pPr>
        <w:pStyle w:val="Style35"/>
        <w:keepNext w:val="0"/>
        <w:keepLines w:val="0"/>
        <w:widowControl w:val="0"/>
        <w:shd w:val="clear" w:color="auto" w:fill="auto"/>
        <w:bidi w:val="0"/>
        <w:spacing w:before="0" w:after="0" w:line="472" w:lineRule="exact"/>
        <w:ind w:left="0" w:right="0" w:firstLine="460"/>
        <w:jc w:val="both"/>
      </w:pPr>
      <w:r>
        <w:rPr>
          <w:rFonts w:ascii="Times New Roman" w:eastAsia="Times New Roman" w:hAnsi="Times New Roman" w:cs="Times New Roman"/>
          <w:color w:val="000000"/>
          <w:spacing w:val="0"/>
          <w:w w:val="100"/>
          <w:position w:val="0"/>
        </w:rPr>
        <w:t>2014</w:t>
      </w:r>
      <w:r>
        <w:rPr>
          <w:color w:val="000000"/>
          <w:spacing w:val="0"/>
          <w:w w:val="100"/>
          <w:position w:val="0"/>
        </w:rPr>
        <w:t>年，公司将对公司管理结构继续进行优化调整和精细化管理，建立售前、售后、研发、产品之间 纵向细分的管理机制，使公司内部管理达到效率最大化。</w:t>
      </w:r>
    </w:p>
    <w:p>
      <w:pPr>
        <w:pStyle w:val="Style35"/>
        <w:keepNext w:val="0"/>
        <w:keepLines w:val="0"/>
        <w:widowControl w:val="0"/>
        <w:shd w:val="clear" w:color="auto" w:fill="auto"/>
        <w:bidi w:val="0"/>
        <w:spacing w:before="0" w:after="0" w:line="472" w:lineRule="exact"/>
        <w:ind w:left="0" w:right="0" w:firstLine="460"/>
        <w:jc w:val="both"/>
      </w:pPr>
      <w:r>
        <w:rPr>
          <w:color w:val="000000"/>
          <w:spacing w:val="0"/>
          <w:w w:val="100"/>
          <w:position w:val="0"/>
        </w:rPr>
        <w:t>在人力资源管理上，公司将根据实际业务需要，保持员工团队的稳步增长，建立更加合理的激励机制 及考核、淘汰机制，以达到人力资源效益最大化。</w:t>
      </w:r>
    </w:p>
    <w:p>
      <w:pPr>
        <w:pStyle w:val="Style35"/>
        <w:keepNext w:val="0"/>
        <w:keepLines w:val="0"/>
        <w:widowControl w:val="0"/>
        <w:shd w:val="clear" w:color="auto" w:fill="auto"/>
        <w:bidi w:val="0"/>
        <w:spacing w:before="0" w:after="0" w:line="468" w:lineRule="exact"/>
        <w:ind w:left="0" w:right="0" w:firstLine="460"/>
        <w:jc w:val="both"/>
      </w:pPr>
      <w:r>
        <w:rPr>
          <w:color w:val="000000"/>
          <w:spacing w:val="0"/>
          <w:w w:val="100"/>
          <w:position w:val="0"/>
        </w:rPr>
        <w:t>在子公司的管理上，母公司作为战略管理核心并提供技术支持，将进一步明确各个子公司的业务定位。 其中蓝盾技术主要作为项目承接主体，未来作为业务拓展的中坚力量；蓝盾乐庚继续专注于应急联动领域, 深化在政府应急、公共安防、化工等行业领域的拓展，作为切入智慧城市建设的其中一个分支；蓝盾移动 则专注于移动互联网应用及其安全领域，今年主要进行战略及业务铺垫、技术及产品积累，同时也使公司 从企业级用户为主逐渐向个人用户拓展；蓝盾学院则负责安全服务及相关培训的职能，对公司和社会而言 都是后备人才提供的基地，同时对公司的产品发布会及研讨会等活动提供支持。公司将进一步完善子公司 的管理机制，支持子公司共享公司资源，实现管理流程有效衔接，建立健全对子公司的绩效考核机制，提 高整体运营效率，实现快速成长。</w:t>
      </w:r>
    </w:p>
    <w:p>
      <w:pPr>
        <w:pStyle w:val="Style35"/>
        <w:keepNext w:val="0"/>
        <w:keepLines w:val="0"/>
        <w:widowControl w:val="0"/>
        <w:shd w:val="clear" w:color="auto" w:fill="auto"/>
        <w:bidi w:val="0"/>
        <w:spacing w:before="0" w:after="220" w:line="470" w:lineRule="exact"/>
        <w:ind w:left="0" w:right="0" w:firstLine="460"/>
        <w:jc w:val="both"/>
      </w:pPr>
      <w:r>
        <w:rPr>
          <w:color w:val="000000"/>
          <w:spacing w:val="0"/>
          <w:w w:val="100"/>
          <w:position w:val="0"/>
        </w:rPr>
        <w:t>在内部控制管理上，公司将根据最新的监管要求，建立和优化内控机制，加强费用管理、产品质量管 理等工作，为公司的持续健康发展打好基础。</w:t>
      </w:r>
    </w:p>
    <w:p>
      <w:pPr>
        <w:pStyle w:val="Style38"/>
        <w:keepNext/>
        <w:keepLines/>
        <w:widowControl w:val="0"/>
        <w:shd w:val="clear" w:color="auto" w:fill="auto"/>
        <w:tabs>
          <w:tab w:pos="786" w:val="left"/>
        </w:tabs>
        <w:bidi w:val="0"/>
        <w:spacing w:before="0" w:after="0" w:line="492" w:lineRule="auto"/>
        <w:ind w:left="0" w:right="0" w:firstLine="460"/>
        <w:jc w:val="both"/>
      </w:pPr>
      <w:bookmarkStart w:id="184" w:name="bookmark184"/>
      <w:bookmarkStart w:id="185" w:name="bookmark185"/>
      <w:bookmarkStart w:id="186" w:name="bookmark186"/>
      <w:bookmarkStart w:id="187" w:name="bookmark187"/>
      <w:r>
        <w:rPr>
          <w:rFonts w:ascii="Times New Roman" w:eastAsia="Times New Roman" w:hAnsi="Times New Roman" w:cs="Times New Roman"/>
          <w:color w:val="000000"/>
          <w:spacing w:val="0"/>
          <w:w w:val="100"/>
          <w:position w:val="0"/>
        </w:rPr>
        <w:t>2</w:t>
      </w:r>
      <w:bookmarkEnd w:id="186"/>
      <w:r>
        <w:rPr>
          <w:color w:val="000000"/>
          <w:spacing w:val="0"/>
          <w:w w:val="100"/>
          <w:position w:val="0"/>
        </w:rPr>
        <w:t>、</w:t>
        <w:tab/>
        <w:t>研究开发计划</w:t>
      </w:r>
      <w:bookmarkEnd w:id="184"/>
      <w:bookmarkEnd w:id="185"/>
      <w:bookmarkEnd w:id="187"/>
    </w:p>
    <w:p>
      <w:pPr>
        <w:pStyle w:val="Style35"/>
        <w:keepNext w:val="0"/>
        <w:keepLines w:val="0"/>
        <w:widowControl w:val="0"/>
        <w:shd w:val="clear" w:color="auto" w:fill="auto"/>
        <w:bidi w:val="0"/>
        <w:spacing w:before="0" w:after="0" w:line="470" w:lineRule="exact"/>
        <w:ind w:left="0" w:right="0" w:firstLine="460"/>
        <w:jc w:val="both"/>
      </w:pPr>
      <w:r>
        <w:rPr>
          <w:rFonts w:ascii="Times New Roman" w:eastAsia="Times New Roman" w:hAnsi="Times New Roman" w:cs="Times New Roman"/>
          <w:color w:val="000000"/>
          <w:spacing w:val="0"/>
          <w:w w:val="100"/>
          <w:position w:val="0"/>
        </w:rPr>
        <w:t>2014</w:t>
      </w:r>
      <w:r>
        <w:rPr>
          <w:color w:val="000000"/>
          <w:spacing w:val="0"/>
          <w:w w:val="100"/>
          <w:position w:val="0"/>
        </w:rPr>
        <w:t>年，公司将保持较大的研发投入力度，产品及技术研发工作将更加注重对用户需求的快速响应， 对公司各条产品线的产品功能进行优化升级。边界安全方面，计划开发、销售高性能防火墙及高性能</w:t>
      </w:r>
      <w:r>
        <w:rPr>
          <w:rFonts w:ascii="Times New Roman" w:eastAsia="Times New Roman" w:hAnsi="Times New Roman" w:cs="Times New Roman"/>
          <w:color w:val="000000"/>
          <w:spacing w:val="0"/>
          <w:w w:val="100"/>
          <w:position w:val="0"/>
        </w:rPr>
        <w:t>IDS</w:t>
      </w:r>
      <w:r>
        <w:rPr>
          <w:color w:val="000000"/>
          <w:spacing w:val="0"/>
          <w:w w:val="100"/>
          <w:position w:val="0"/>
        </w:rPr>
        <w:t xml:space="preserve">； </w:t>
      </w:r>
      <w:r>
        <w:rPr>
          <w:color w:val="000000"/>
          <w:spacing w:val="0"/>
          <w:w w:val="100"/>
          <w:position w:val="0"/>
        </w:rPr>
        <w:t>安全审计方面，加强数据库安全审计的研发及提升自动监控功能；安全管理方面，对现有的</w:t>
      </w:r>
      <w:r>
        <w:rPr>
          <w:rFonts w:ascii="Times New Roman" w:eastAsia="Times New Roman" w:hAnsi="Times New Roman" w:cs="Times New Roman"/>
          <w:color w:val="000000"/>
          <w:spacing w:val="0"/>
          <w:w w:val="100"/>
          <w:position w:val="0"/>
        </w:rPr>
        <w:t>SOC</w:t>
      </w:r>
      <w:r>
        <w:rPr>
          <w:color w:val="000000"/>
          <w:spacing w:val="0"/>
          <w:w w:val="100"/>
          <w:position w:val="0"/>
        </w:rPr>
        <w:t>、</w:t>
      </w:r>
      <w:r>
        <w:rPr>
          <w:color w:val="000000"/>
          <w:spacing w:val="0"/>
          <w:w w:val="100"/>
          <w:position w:val="0"/>
        </w:rPr>
        <w:t>业务监 控系统、内网安全保密及审计系统等产品进行新功能开发，并争取将相关系统平台化；应用安全方面，计 划开发并推出</w:t>
      </w:r>
      <w:r>
        <w:rPr>
          <w:rFonts w:ascii="Times New Roman" w:eastAsia="Times New Roman" w:hAnsi="Times New Roman" w:cs="Times New Roman"/>
          <w:color w:val="000000"/>
          <w:spacing w:val="0"/>
          <w:w w:val="100"/>
          <w:position w:val="0"/>
        </w:rPr>
        <w:t>Web</w:t>
      </w:r>
      <w:r>
        <w:rPr>
          <w:color w:val="000000"/>
          <w:spacing w:val="0"/>
          <w:w w:val="100"/>
          <w:position w:val="0"/>
        </w:rPr>
        <w:t>应用防火墙，现有产品从部署到应用方面加入虚拟化的技术元素；移动终端安全方面， 针对个人用户的各类智能移动终端安全问题，计划开发、探索相关安全软件产品，对各类移动互联网应用、 移动支付、个人信息等进行系统的安全防护，并以安全运营的方式逐步打造一个综合的移动安全平台。</w:t>
      </w:r>
    </w:p>
    <w:p>
      <w:pPr>
        <w:pStyle w:val="Style3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而在前沿技术产品的研发创新上，公司将延续</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年的研发思路，将云计算安全、大数据安全、移动 </w:t>
      </w:r>
      <w:r>
        <w:rPr>
          <w:color w:val="000000"/>
          <w:spacing w:val="0"/>
          <w:w w:val="100"/>
          <w:position w:val="0"/>
        </w:rPr>
        <w:t>互联网安全、虚拟化安全等新技术领域作为研发重点，进一步提升公司的技术领先优势，为今后的持续发 展做好技术基础。</w:t>
      </w:r>
    </w:p>
    <w:p>
      <w:pPr>
        <w:pStyle w:val="Style38"/>
        <w:keepNext/>
        <w:keepLines/>
        <w:widowControl w:val="0"/>
        <w:shd w:val="clear" w:color="auto" w:fill="auto"/>
        <w:tabs>
          <w:tab w:pos="933" w:val="left"/>
        </w:tabs>
        <w:bidi w:val="0"/>
        <w:spacing w:before="0" w:after="0" w:line="470" w:lineRule="exact"/>
        <w:ind w:left="0" w:right="0"/>
        <w:jc w:val="both"/>
      </w:pPr>
      <w:bookmarkStart w:id="188" w:name="bookmark188"/>
      <w:bookmarkStart w:id="189" w:name="bookmark189"/>
      <w:bookmarkStart w:id="190" w:name="bookmark190"/>
      <w:bookmarkStart w:id="191" w:name="bookmark191"/>
      <w:r>
        <w:rPr>
          <w:color w:val="000000"/>
          <w:spacing w:val="0"/>
          <w:w w:val="100"/>
          <w:position w:val="0"/>
        </w:rPr>
        <w:t>（</w:t>
      </w:r>
      <w:bookmarkEnd w:id="190"/>
      <w:r>
        <w:rPr>
          <w:rFonts w:ascii="Times New Roman" w:eastAsia="Times New Roman" w:hAnsi="Times New Roman" w:cs="Times New Roman"/>
          <w:color w:val="000000"/>
          <w:spacing w:val="0"/>
          <w:w w:val="100"/>
          <w:position w:val="0"/>
        </w:rPr>
        <w:t>3</w:t>
      </w:r>
      <w:r>
        <w:rPr>
          <w:color w:val="000000"/>
          <w:spacing w:val="0"/>
          <w:w w:val="100"/>
          <w:position w:val="0"/>
        </w:rPr>
        <w:t>）</w:t>
        <w:tab/>
        <w:t>营销管理计划</w:t>
      </w:r>
      <w:bookmarkEnd w:id="188"/>
      <w:bookmarkEnd w:id="189"/>
      <w:bookmarkEnd w:id="191"/>
    </w:p>
    <w:p>
      <w:pPr>
        <w:pStyle w:val="Style35"/>
        <w:keepNext w:val="0"/>
        <w:keepLines w:val="0"/>
        <w:widowControl w:val="0"/>
        <w:shd w:val="clear" w:color="auto" w:fill="auto"/>
        <w:bidi w:val="0"/>
        <w:spacing w:before="0" w:after="0" w:line="470" w:lineRule="exact"/>
        <w:ind w:left="0" w:right="0" w:firstLine="440"/>
        <w:jc w:val="both"/>
      </w:pPr>
      <w:r>
        <w:rPr>
          <w:rFonts w:ascii="Times New Roman" w:eastAsia="Times New Roman" w:hAnsi="Times New Roman" w:cs="Times New Roman"/>
          <w:color w:val="000000"/>
          <w:spacing w:val="0"/>
          <w:w w:val="100"/>
          <w:position w:val="0"/>
        </w:rPr>
        <w:t>2014</w:t>
      </w:r>
      <w:r>
        <w:rPr>
          <w:color w:val="000000"/>
          <w:spacing w:val="0"/>
          <w:w w:val="100"/>
          <w:position w:val="0"/>
        </w:rPr>
        <w:t>年，公司将根据实际业务情况完善和优化全国营销网络，对业务需求大、业务拓展顺利的区域给 予重点支持，对业绩需求不明显同时拓展难度大的区域则考虑调整合并分支机构，使资源投入与业务回报 一致，在有效提升业务规模的同时，也可适当降低营业成本，同时会建立更先进、合理的考核管理制度， 保持公司营销团队的活力。</w:t>
      </w:r>
    </w:p>
    <w:p>
      <w:pPr>
        <w:pStyle w:val="Style3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在具体行业方面，继续集中在政府、教育、金融、医疗、电力、电信等信息安全需求大投入大的领域, 加强原有客户及新客户的业务渗透，同时针对个人及新行业领域的安全需求进行充分调研评估，以行业化 营销方式为主，渠道销售为辅，以保证自身业务规模及盈利水平平稳增长。</w:t>
      </w:r>
    </w:p>
    <w:p>
      <w:pPr>
        <w:pStyle w:val="Style38"/>
        <w:keepNext/>
        <w:keepLines/>
        <w:widowControl w:val="0"/>
        <w:shd w:val="clear" w:color="auto" w:fill="auto"/>
        <w:tabs>
          <w:tab w:pos="933" w:val="left"/>
        </w:tabs>
        <w:bidi w:val="0"/>
        <w:spacing w:before="0" w:after="100" w:line="470" w:lineRule="exact"/>
        <w:ind w:left="0" w:right="0"/>
        <w:jc w:val="both"/>
      </w:pPr>
      <w:bookmarkStart w:id="192" w:name="bookmark192"/>
      <w:bookmarkStart w:id="193" w:name="bookmark193"/>
      <w:bookmarkStart w:id="194" w:name="bookmark194"/>
      <w:bookmarkStart w:id="195" w:name="bookmark195"/>
      <w:r>
        <w:rPr>
          <w:color w:val="000000"/>
          <w:spacing w:val="0"/>
          <w:w w:val="100"/>
          <w:position w:val="0"/>
        </w:rPr>
        <w:t>（</w:t>
      </w:r>
      <w:bookmarkEnd w:id="194"/>
      <w:r>
        <w:rPr>
          <w:rFonts w:ascii="Times New Roman" w:eastAsia="Times New Roman" w:hAnsi="Times New Roman" w:cs="Times New Roman"/>
          <w:color w:val="000000"/>
          <w:spacing w:val="0"/>
          <w:w w:val="100"/>
          <w:position w:val="0"/>
        </w:rPr>
        <w:t>4</w:t>
      </w:r>
      <w:r>
        <w:rPr>
          <w:color w:val="000000"/>
          <w:spacing w:val="0"/>
          <w:w w:val="100"/>
          <w:position w:val="0"/>
        </w:rPr>
        <w:t>）</w:t>
        <w:tab/>
        <w:t>投资并购计划</w:t>
      </w:r>
      <w:bookmarkEnd w:id="192"/>
      <w:bookmarkEnd w:id="193"/>
      <w:bookmarkEnd w:id="195"/>
    </w:p>
    <w:p>
      <w:pPr>
        <w:pStyle w:val="Style35"/>
        <w:keepNext w:val="0"/>
        <w:keepLines w:val="0"/>
        <w:widowControl w:val="0"/>
        <w:shd w:val="clear" w:color="auto" w:fill="auto"/>
        <w:bidi w:val="0"/>
        <w:spacing w:before="0" w:after="760" w:line="404" w:lineRule="exact"/>
        <w:ind w:left="0" w:right="0" w:firstLine="440"/>
        <w:jc w:val="both"/>
      </w:pPr>
      <w:r>
        <w:rPr>
          <w:rFonts w:ascii="Times New Roman" w:eastAsia="Times New Roman" w:hAnsi="Times New Roman" w:cs="Times New Roman"/>
          <w:color w:val="000000"/>
          <w:spacing w:val="0"/>
          <w:w w:val="100"/>
          <w:position w:val="0"/>
        </w:rPr>
        <w:t>2014</w:t>
      </w:r>
      <w:r>
        <w:rPr>
          <w:color w:val="000000"/>
          <w:spacing w:val="0"/>
          <w:w w:val="100"/>
          <w:position w:val="0"/>
        </w:rPr>
        <w:t>年，公司进一步明确产业并购作为公司的长期发展战略之一，继续推进积极稳健的并购策略，深 入研究、跟踪业内企业的并购案例及后续整合，利用好公司储备的优秀标的企业，围绕公司主营业务及相 关领域，评估、筛选与公司能形成良好互补的企业，适时进行产业整合，使公司在技术及渠道等方面都能 得到较快发展，综合竞争力及品牌知名度得到较大提升。与此同时，公司也将考虑以战略联盟、技术合作、 业务合作等方式与业内优秀企业共同进步。</w:t>
      </w:r>
    </w:p>
    <w:p>
      <w:pPr>
        <w:pStyle w:val="Style25"/>
        <w:keepNext/>
        <w:keepLines/>
        <w:widowControl w:val="0"/>
        <w:shd w:val="clear" w:color="auto" w:fill="auto"/>
        <w:tabs>
          <w:tab w:pos="522" w:val="left"/>
        </w:tabs>
        <w:bidi w:val="0"/>
        <w:spacing w:before="0" w:after="100" w:line="240" w:lineRule="auto"/>
        <w:ind w:left="0" w:right="0" w:firstLine="0"/>
        <w:jc w:val="left"/>
      </w:pPr>
      <w:bookmarkStart w:id="196" w:name="bookmark196"/>
      <w:bookmarkStart w:id="197" w:name="bookmark197"/>
      <w:bookmarkStart w:id="198" w:name="bookmark198"/>
      <w:bookmarkStart w:id="199" w:name="bookmark199"/>
      <w:r>
        <w:rPr>
          <w:color w:val="000000"/>
          <w:spacing w:val="0"/>
          <w:w w:val="100"/>
          <w:position w:val="0"/>
        </w:rPr>
        <w:t>三</w:t>
      </w:r>
      <w:bookmarkEnd w:id="198"/>
      <w:r>
        <w:rPr>
          <w:color w:val="000000"/>
          <w:spacing w:val="0"/>
          <w:w w:val="100"/>
          <w:position w:val="0"/>
        </w:rPr>
        <w:t>、</w:t>
        <w:tab/>
        <w:t>董事会、监事会对会计师事务所本报告期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196"/>
      <w:bookmarkEnd w:id="197"/>
      <w:bookmarkEnd w:id="199"/>
    </w:p>
    <w:p>
      <w:pPr>
        <w:pStyle w:val="Style35"/>
        <w:keepNext w:val="0"/>
        <w:keepLines w:val="0"/>
        <w:widowControl w:val="0"/>
        <w:shd w:val="clear" w:color="auto" w:fill="auto"/>
        <w:bidi w:val="0"/>
        <w:spacing w:before="0" w:after="360" w:line="470" w:lineRule="exact"/>
        <w:ind w:left="0" w:right="0" w:firstLine="0"/>
        <w:jc w:val="left"/>
      </w:pPr>
      <w:r>
        <w:rPr>
          <w:color w:val="000000"/>
          <w:spacing w:val="0"/>
          <w:w w:val="100"/>
          <w:position w:val="0"/>
        </w:rPr>
        <w:t>不适用。</w:t>
      </w:r>
    </w:p>
    <w:p>
      <w:pPr>
        <w:pStyle w:val="Style25"/>
        <w:keepNext/>
        <w:keepLines/>
        <w:widowControl w:val="0"/>
        <w:shd w:val="clear" w:color="auto" w:fill="auto"/>
        <w:tabs>
          <w:tab w:pos="522" w:val="left"/>
        </w:tabs>
        <w:bidi w:val="0"/>
        <w:spacing w:before="0" w:after="100" w:line="240" w:lineRule="auto"/>
        <w:ind w:left="0" w:right="0" w:firstLine="0"/>
        <w:jc w:val="left"/>
      </w:pPr>
      <w:bookmarkStart w:id="200" w:name="bookmark200"/>
      <w:bookmarkStart w:id="201" w:name="bookmark201"/>
      <w:bookmarkStart w:id="202" w:name="bookmark202"/>
      <w:bookmarkStart w:id="203" w:name="bookmark203"/>
      <w:r>
        <w:rPr>
          <w:color w:val="000000"/>
          <w:spacing w:val="0"/>
          <w:w w:val="100"/>
          <w:position w:val="0"/>
        </w:rPr>
        <w:t>四</w:t>
      </w:r>
      <w:bookmarkEnd w:id="202"/>
      <w:r>
        <w:rPr>
          <w:color w:val="000000"/>
          <w:spacing w:val="0"/>
          <w:w w:val="100"/>
          <w:position w:val="0"/>
        </w:rPr>
        <w:t>、</w:t>
        <w:tab/>
        <w:t>董事会关于报告期会计政策、会计估计变更或重要前期差错更正的说明</w:t>
      </w:r>
      <w:bookmarkEnd w:id="200"/>
      <w:bookmarkEnd w:id="201"/>
      <w:bookmarkEnd w:id="203"/>
    </w:p>
    <w:p>
      <w:pPr>
        <w:pStyle w:val="Style35"/>
        <w:keepNext w:val="0"/>
        <w:keepLines w:val="0"/>
        <w:widowControl w:val="0"/>
        <w:shd w:val="clear" w:color="auto" w:fill="auto"/>
        <w:bidi w:val="0"/>
        <w:spacing w:before="0" w:after="360" w:line="470" w:lineRule="exact"/>
        <w:ind w:left="0" w:right="0" w:firstLine="0"/>
        <w:jc w:val="left"/>
      </w:pPr>
      <w:r>
        <w:rPr>
          <w:color w:val="000000"/>
          <w:spacing w:val="0"/>
          <w:w w:val="100"/>
          <w:position w:val="0"/>
        </w:rPr>
        <w:t>不适用。</w:t>
      </w:r>
    </w:p>
    <w:p>
      <w:pPr>
        <w:pStyle w:val="Style25"/>
        <w:keepNext/>
        <w:keepLines/>
        <w:widowControl w:val="0"/>
        <w:shd w:val="clear" w:color="auto" w:fill="auto"/>
        <w:tabs>
          <w:tab w:pos="522" w:val="left"/>
        </w:tabs>
        <w:bidi w:val="0"/>
        <w:spacing w:before="0" w:after="360" w:line="240" w:lineRule="auto"/>
        <w:ind w:left="0" w:right="0" w:firstLine="0"/>
        <w:jc w:val="left"/>
      </w:pPr>
      <w:bookmarkStart w:id="204" w:name="bookmark204"/>
      <w:bookmarkStart w:id="205" w:name="bookmark205"/>
      <w:bookmarkStart w:id="206" w:name="bookmark206"/>
      <w:bookmarkStart w:id="207" w:name="bookmark207"/>
      <w:r>
        <w:rPr>
          <w:color w:val="000000"/>
          <w:spacing w:val="0"/>
          <w:w w:val="100"/>
          <w:position w:val="0"/>
        </w:rPr>
        <w:t>五</w:t>
      </w:r>
      <w:bookmarkEnd w:id="206"/>
      <w:r>
        <w:rPr>
          <w:color w:val="000000"/>
          <w:spacing w:val="0"/>
          <w:w w:val="100"/>
          <w:position w:val="0"/>
        </w:rPr>
        <w:t>、</w:t>
        <w:tab/>
        <w:t>公司利润分配及分红派息情况</w:t>
      </w:r>
      <w:bookmarkEnd w:id="204"/>
      <w:bookmarkEnd w:id="205"/>
      <w:bookmarkEnd w:id="207"/>
    </w:p>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报告期内利润分配政策特别是现金分红政策的制定、执行或调整情况</w:t>
      </w:r>
    </w:p>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q</w:t>
      </w:r>
      <w:r>
        <w:rPr>
          <w:color w:val="000000"/>
          <w:spacing w:val="0"/>
          <w:w w:val="100"/>
          <w:position w:val="0"/>
        </w:rPr>
        <w:t>是</w:t>
      </w:r>
      <w:r>
        <w:rPr>
          <w:color w:val="000000"/>
          <w:spacing w:val="0"/>
          <w:w w:val="100"/>
          <w:position w:val="0"/>
        </w:rPr>
        <w:t>口</w:t>
      </w:r>
      <w:r>
        <w:rPr>
          <w:color w:val="000000"/>
          <w:spacing w:val="0"/>
          <w:w w:val="100"/>
          <w:position w:val="0"/>
        </w:rPr>
        <w:t>否</w:t>
      </w:r>
      <w:r>
        <w:rPr>
          <w:color w:val="000000"/>
          <w:spacing w:val="0"/>
          <w:w w:val="100"/>
          <w:position w:val="0"/>
        </w:rPr>
        <w:t>口</w:t>
      </w:r>
      <w:r>
        <w:rPr>
          <w:color w:val="000000"/>
          <w:spacing w:val="0"/>
          <w:w w:val="100"/>
          <w:position w:val="0"/>
        </w:rPr>
        <w:t>不适用</w:t>
      </w:r>
    </w:p>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公司报告期利润分配预案及资本公积金转增股本预案符合公司章程等的相关规定。</w:t>
      </w:r>
    </w:p>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本年度利润分配及资本公积金转增股本预案</w:t>
      </w:r>
    </w:p>
    <w:tbl>
      <w:tblPr>
        <w:tblOverlap w:val="never"/>
        <w:jc w:val="center"/>
        <w:tblLayout w:type="fixed"/>
      </w:tblPr>
      <w:tblGrid>
        <w:gridCol w:w="3725"/>
        <w:gridCol w:w="5861"/>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股送红股数（股）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股派息数（元）（含税）</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r>
    </w:tbl>
    <w:p>
      <w:pPr>
        <w:spacing w:lineRule="exact" w:line="1"/>
        <w:rPr>
          <w:sz w:val="2"/>
          <w:szCs w:val="2"/>
        </w:rPr>
      </w:pPr>
      <w:r>
        <w:br w:type="page"/>
      </w:r>
    </w:p>
    <w:tbl>
      <w:tblPr>
        <w:tblOverlap w:val="never"/>
        <w:jc w:val="center"/>
        <w:tblLayout w:type="fixed"/>
      </w:tblPr>
      <w:tblGrid>
        <w:gridCol w:w="3725"/>
        <w:gridCol w:w="5861"/>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股转增数（股）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分配预案的股本基数（股）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196,000,000.00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现金分红总额（元）（含税）</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2,940,000.00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可分配利润（元）</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153,078,290.14</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现金分红占利润分配总额的比例（%）</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gridSpan w:val="2"/>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现金分红政策：</w:t>
            </w:r>
          </w:p>
        </w:tc>
      </w:tr>
      <w:tr>
        <w:trPr>
          <w:trHeight w:val="403" w:hRule="exact"/>
        </w:trPr>
        <w:tc>
          <w:tcPr>
            <w:gridSpan w:val="2"/>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r>
      <w:tr>
        <w:trPr>
          <w:trHeight w:val="403" w:hRule="exact"/>
        </w:trPr>
        <w:tc>
          <w:tcPr>
            <w:gridSpan w:val="2"/>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利润分配或资本公积金转增预案的详细情况说明</w:t>
            </w:r>
          </w:p>
        </w:tc>
      </w:tr>
      <w:tr>
        <w:trPr>
          <w:trHeight w:val="725" w:hRule="exact"/>
        </w:trPr>
        <w:tc>
          <w:tcPr>
            <w:gridSpan w:val="2"/>
            <w:tcBorders>
              <w:top w:val="single" w:sz="4"/>
              <w:left w:val="single" w:sz="4"/>
              <w:bottom w:val="single" w:sz="4"/>
              <w:right w:val="single" w:sz="4"/>
            </w:tcBorders>
            <w:shd w:val="clear" w:color="auto" w:fill="CCE8CF"/>
            <w:vAlign w:val="center"/>
          </w:tcPr>
          <w:p>
            <w:pPr>
              <w:pStyle w:val="Style8"/>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根据当期经营情况和后期发展过程中的资金需求计划，公司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年利润分配预案为：以截止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日公司总 股本</w:t>
            </w:r>
            <w:r>
              <w:rPr>
                <w:rFonts w:ascii="Times New Roman" w:eastAsia="Times New Roman" w:hAnsi="Times New Roman" w:cs="Times New Roman"/>
                <w:color w:val="000000"/>
                <w:spacing w:val="0"/>
                <w:w w:val="100"/>
                <w:position w:val="0"/>
                <w:sz w:val="18"/>
                <w:szCs w:val="18"/>
              </w:rPr>
              <w:t>196,000,000</w:t>
            </w:r>
            <w:r>
              <w:rPr>
                <w:color w:val="000000"/>
                <w:spacing w:val="0"/>
                <w:w w:val="100"/>
                <w:position w:val="0"/>
                <w:sz w:val="17"/>
                <w:szCs w:val="17"/>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股派发现金红利</w:t>
            </w:r>
            <w:r>
              <w:rPr>
                <w:rFonts w:ascii="Times New Roman" w:eastAsia="Times New Roman" w:hAnsi="Times New Roman" w:cs="Times New Roman"/>
                <w:color w:val="000000"/>
                <w:spacing w:val="0"/>
                <w:w w:val="100"/>
                <w:position w:val="0"/>
                <w:sz w:val="18"/>
                <w:szCs w:val="18"/>
              </w:rPr>
              <w:t>0.15</w:t>
            </w:r>
            <w:r>
              <w:rPr>
                <w:color w:val="000000"/>
                <w:spacing w:val="0"/>
                <w:w w:val="100"/>
                <w:position w:val="0"/>
                <w:sz w:val="17"/>
                <w:szCs w:val="17"/>
              </w:rPr>
              <w:t>元人民币（含税），合计派发现金红利</w:t>
            </w:r>
            <w:r>
              <w:rPr>
                <w:rFonts w:ascii="Times New Roman" w:eastAsia="Times New Roman" w:hAnsi="Times New Roman" w:cs="Times New Roman"/>
                <w:color w:val="000000"/>
                <w:spacing w:val="0"/>
                <w:w w:val="100"/>
                <w:position w:val="0"/>
                <w:sz w:val="18"/>
                <w:szCs w:val="18"/>
              </w:rPr>
              <w:t>2,940,000.00</w:t>
            </w:r>
            <w:r>
              <w:rPr>
                <w:color w:val="000000"/>
                <w:spacing w:val="0"/>
                <w:w w:val="100"/>
                <w:position w:val="0"/>
                <w:sz w:val="17"/>
                <w:szCs w:val="17"/>
              </w:rPr>
              <w:t>元。</w:t>
            </w:r>
          </w:p>
        </w:tc>
      </w:tr>
    </w:tbl>
    <w:p>
      <w:pPr>
        <w:widowControl w:val="0"/>
        <w:spacing w:after="59" w:line="1" w:lineRule="exact"/>
      </w:pPr>
    </w:p>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rPr>
        <w:t>3</w:t>
      </w:r>
      <w:r>
        <w:rPr>
          <w:color w:val="000000"/>
          <w:spacing w:val="0"/>
          <w:w w:val="100"/>
          <w:position w:val="0"/>
        </w:rPr>
        <w:t>年（含报告期）的利润分配方案及资本公积金转增股本方案情况</w:t>
      </w:r>
    </w:p>
    <w:p>
      <w:pPr>
        <w:pStyle w:val="Style35"/>
        <w:keepNext w:val="0"/>
        <w:keepLines w:val="0"/>
        <w:widowControl w:val="0"/>
        <w:shd w:val="clear" w:color="auto" w:fill="auto"/>
        <w:bidi w:val="0"/>
        <w:spacing w:before="0" w:after="60" w:line="240" w:lineRule="auto"/>
        <w:ind w:left="0" w:right="0" w:firstLine="380"/>
        <w:jc w:val="left"/>
      </w:pPr>
      <w:bookmarkStart w:id="208" w:name="bookmark208"/>
      <w:r>
        <w:rPr>
          <w:rFonts w:ascii="Times New Roman" w:eastAsia="Times New Roman" w:hAnsi="Times New Roman" w:cs="Times New Roman"/>
          <w:color w:val="000000"/>
          <w:spacing w:val="0"/>
          <w:w w:val="100"/>
          <w:position w:val="0"/>
        </w:rPr>
        <w:t>1</w:t>
      </w:r>
      <w:bookmarkEnd w:id="208"/>
      <w:r>
        <w:rPr>
          <w:color w:val="000000"/>
          <w:spacing w:val="0"/>
          <w:w w:val="100"/>
          <w:position w:val="0"/>
        </w:rPr>
        <w:t>、</w:t>
      </w:r>
      <w:r>
        <w:rPr>
          <w:rFonts w:ascii="Times New Roman" w:eastAsia="Times New Roman" w:hAnsi="Times New Roman" w:cs="Times New Roman"/>
          <w:color w:val="000000"/>
          <w:spacing w:val="0"/>
          <w:w w:val="100"/>
          <w:position w:val="0"/>
        </w:rPr>
        <w:t>2013</w:t>
      </w:r>
      <w:r>
        <w:rPr>
          <w:color w:val="000000"/>
          <w:spacing w:val="0"/>
          <w:w w:val="100"/>
          <w:position w:val="0"/>
        </w:rPr>
        <w:t>年年度利润分配预案</w:t>
      </w:r>
    </w:p>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以截止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rPr>
        <w:t>196,000,000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0.15</w:t>
      </w:r>
      <w:r>
        <w:rPr>
          <w:color w:val="000000"/>
          <w:spacing w:val="0"/>
          <w:w w:val="100"/>
          <w:position w:val="0"/>
        </w:rPr>
        <w:t xml:space="preserve">元人民 </w:t>
      </w:r>
      <w:r>
        <w:rPr>
          <w:color w:val="000000"/>
          <w:spacing w:val="0"/>
          <w:w w:val="100"/>
          <w:position w:val="0"/>
        </w:rPr>
        <w:t>币（含税），合计派发现金红利</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,940,000.00</w:t>
      </w:r>
      <w:r>
        <w:rPr>
          <w:color w:val="000000"/>
          <w:spacing w:val="0"/>
          <w:w w:val="100"/>
          <w:position w:val="0"/>
        </w:rPr>
        <w:t>元。</w:t>
      </w:r>
    </w:p>
    <w:p>
      <w:pPr>
        <w:pStyle w:val="Style35"/>
        <w:keepNext w:val="0"/>
        <w:keepLines w:val="0"/>
        <w:widowControl w:val="0"/>
        <w:shd w:val="clear" w:color="auto" w:fill="auto"/>
        <w:tabs>
          <w:tab w:pos="753" w:val="left"/>
        </w:tabs>
        <w:bidi w:val="0"/>
        <w:spacing w:before="0" w:after="0" w:line="312" w:lineRule="exact"/>
        <w:ind w:left="0" w:right="0" w:firstLine="380"/>
        <w:jc w:val="left"/>
      </w:pPr>
      <w:bookmarkStart w:id="209" w:name="bookmark209"/>
      <w:r>
        <w:rPr>
          <w:rFonts w:ascii="Times New Roman" w:eastAsia="Times New Roman" w:hAnsi="Times New Roman" w:cs="Times New Roman"/>
          <w:color w:val="000000"/>
          <w:spacing w:val="0"/>
          <w:w w:val="100"/>
          <w:position w:val="0"/>
        </w:rPr>
        <w:t>2</w:t>
      </w:r>
      <w:bookmarkEnd w:id="209"/>
      <w:r>
        <w:rPr>
          <w:color w:val="000000"/>
          <w:spacing w:val="0"/>
          <w:w w:val="100"/>
          <w:position w:val="0"/>
        </w:rPr>
        <w:t>、</w:t>
        <w:tab/>
      </w:r>
      <w:r>
        <w:rPr>
          <w:rFonts w:ascii="Times New Roman" w:eastAsia="Times New Roman" w:hAnsi="Times New Roman" w:cs="Times New Roman"/>
          <w:color w:val="000000"/>
          <w:spacing w:val="0"/>
          <w:w w:val="100"/>
          <w:position w:val="0"/>
        </w:rPr>
        <w:t>2012</w:t>
      </w:r>
      <w:r>
        <w:rPr>
          <w:color w:val="000000"/>
          <w:spacing w:val="0"/>
          <w:w w:val="100"/>
          <w:position w:val="0"/>
        </w:rPr>
        <w:t>年年度利润分配预案</w:t>
      </w:r>
    </w:p>
    <w:p>
      <w:pPr>
        <w:pStyle w:val="Style35"/>
        <w:keepNext w:val="0"/>
        <w:keepLines w:val="0"/>
        <w:widowControl w:val="0"/>
        <w:shd w:val="clear" w:color="auto" w:fill="auto"/>
        <w:bidi w:val="0"/>
        <w:spacing w:before="0" w:after="0" w:line="312" w:lineRule="exact"/>
        <w:ind w:left="0" w:right="0" w:firstLine="420"/>
        <w:jc w:val="left"/>
      </w:pPr>
      <w:r>
        <w:rPr>
          <w:color w:val="000000"/>
          <w:spacing w:val="0"/>
          <w:w w:val="100"/>
          <w:position w:val="0"/>
        </w:rPr>
        <w:t>以截止</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rPr>
        <w:t>98,000,000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0.6</w:t>
      </w:r>
      <w:r>
        <w:rPr>
          <w:color w:val="000000"/>
          <w:spacing w:val="0"/>
          <w:w w:val="100"/>
          <w:position w:val="0"/>
        </w:rPr>
        <w:t>元人 民币（含税），合计派发现金红利</w:t>
      </w:r>
      <w:r>
        <w:rPr>
          <w:rFonts w:ascii="Times New Roman" w:eastAsia="Times New Roman" w:hAnsi="Times New Roman" w:cs="Times New Roman"/>
          <w:color w:val="000000"/>
          <w:spacing w:val="0"/>
          <w:w w:val="100"/>
          <w:position w:val="0"/>
        </w:rPr>
        <w:t>5,880,000.00</w:t>
      </w:r>
      <w:r>
        <w:rPr>
          <w:color w:val="000000"/>
          <w:spacing w:val="0"/>
          <w:w w:val="100"/>
          <w:position w:val="0"/>
        </w:rPr>
        <w:t>元；同时以资本公积向股东每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股，合计转增股 本</w:t>
      </w:r>
      <w:r>
        <w:rPr>
          <w:rFonts w:ascii="Times New Roman" w:eastAsia="Times New Roman" w:hAnsi="Times New Roman" w:cs="Times New Roman"/>
          <w:color w:val="000000"/>
          <w:spacing w:val="0"/>
          <w:w w:val="100"/>
          <w:position w:val="0"/>
        </w:rPr>
        <w:t>98,000,000</w:t>
      </w:r>
      <w:r>
        <w:rPr>
          <w:color w:val="000000"/>
          <w:spacing w:val="0"/>
          <w:w w:val="100"/>
          <w:position w:val="0"/>
        </w:rPr>
        <w:t>股。转增股本后公司总股本变更为</w:t>
      </w:r>
      <w:r>
        <w:rPr>
          <w:rFonts w:ascii="Times New Roman" w:eastAsia="Times New Roman" w:hAnsi="Times New Roman" w:cs="Times New Roman"/>
          <w:color w:val="000000"/>
          <w:spacing w:val="0"/>
          <w:w w:val="100"/>
          <w:position w:val="0"/>
        </w:rPr>
        <w:t>196,000,000</w:t>
      </w:r>
      <w:r>
        <w:rPr>
          <w:color w:val="000000"/>
          <w:spacing w:val="0"/>
          <w:w w:val="100"/>
          <w:position w:val="0"/>
        </w:rPr>
        <w:t>股。</w:t>
      </w:r>
    </w:p>
    <w:p>
      <w:pPr>
        <w:pStyle w:val="Style35"/>
        <w:keepNext w:val="0"/>
        <w:keepLines w:val="0"/>
        <w:widowControl w:val="0"/>
        <w:shd w:val="clear" w:color="auto" w:fill="auto"/>
        <w:tabs>
          <w:tab w:pos="793" w:val="left"/>
        </w:tabs>
        <w:bidi w:val="0"/>
        <w:spacing w:before="0" w:after="60" w:line="312" w:lineRule="exact"/>
        <w:ind w:left="0" w:right="0" w:firstLine="420"/>
        <w:jc w:val="left"/>
      </w:pPr>
      <w:bookmarkStart w:id="210" w:name="bookmark210"/>
      <w:r>
        <w:rPr>
          <w:rFonts w:ascii="Times New Roman" w:eastAsia="Times New Roman" w:hAnsi="Times New Roman" w:cs="Times New Roman"/>
          <w:color w:val="000000"/>
          <w:spacing w:val="0"/>
          <w:w w:val="100"/>
          <w:position w:val="0"/>
        </w:rPr>
        <w:t>3</w:t>
      </w:r>
      <w:bookmarkEnd w:id="210"/>
      <w:r>
        <w:rPr>
          <w:color w:val="000000"/>
          <w:spacing w:val="0"/>
          <w:w w:val="100"/>
          <w:position w:val="0"/>
        </w:rPr>
        <w:t>、</w:t>
        <w:tab/>
      </w:r>
      <w:r>
        <w:rPr>
          <w:rFonts w:ascii="Times New Roman" w:eastAsia="Times New Roman" w:hAnsi="Times New Roman" w:cs="Times New Roman"/>
          <w:color w:val="000000"/>
          <w:spacing w:val="0"/>
          <w:w w:val="100"/>
          <w:position w:val="0"/>
        </w:rPr>
        <w:t>2011</w:t>
      </w:r>
      <w:r>
        <w:rPr>
          <w:color w:val="000000"/>
          <w:spacing w:val="0"/>
          <w:w w:val="100"/>
          <w:position w:val="0"/>
        </w:rPr>
        <w:t>年年度利润分配情况</w:t>
      </w:r>
    </w:p>
    <w:p>
      <w:pPr>
        <w:pStyle w:val="Style35"/>
        <w:keepNext w:val="0"/>
        <w:keepLines w:val="0"/>
        <w:widowControl w:val="0"/>
        <w:shd w:val="clear" w:color="auto" w:fill="auto"/>
        <w:bidi w:val="0"/>
        <w:spacing w:before="0" w:after="360" w:line="307" w:lineRule="exact"/>
        <w:ind w:left="0" w:right="0" w:firstLine="42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0</w:t>
      </w:r>
      <w:r>
        <w:rPr>
          <w:color w:val="000000"/>
          <w:spacing w:val="0"/>
          <w:w w:val="100"/>
          <w:position w:val="0"/>
        </w:rPr>
        <w:t>，公司第五次临时股东大会审议通过了</w:t>
      </w:r>
      <w:r>
        <w:rPr>
          <w:rFonts w:ascii="Times New Roman" w:eastAsia="Times New Roman" w:hAnsi="Times New Roman" w:cs="Times New Roman"/>
          <w:color w:val="000000"/>
          <w:spacing w:val="0"/>
          <w:w w:val="100"/>
          <w:position w:val="0"/>
        </w:rPr>
        <w:t>2011</w:t>
      </w:r>
      <w:r>
        <w:rPr>
          <w:color w:val="000000"/>
          <w:spacing w:val="0"/>
          <w:w w:val="100"/>
          <w:position w:val="0"/>
        </w:rPr>
        <w:t xml:space="preserve">年年度利润分配预案：以公司现有总股本 </w:t>
      </w:r>
      <w:r>
        <w:rPr>
          <w:rFonts w:ascii="Times New Roman" w:eastAsia="Times New Roman" w:hAnsi="Times New Roman" w:cs="Times New Roman"/>
          <w:color w:val="000000"/>
          <w:spacing w:val="0"/>
          <w:w w:val="100"/>
          <w:position w:val="0"/>
        </w:rPr>
        <w:t>9,800</w:t>
      </w:r>
      <w:r>
        <w:rPr>
          <w:color w:val="000000"/>
          <w:spacing w:val="0"/>
          <w:w w:val="100"/>
          <w:position w:val="0"/>
        </w:rPr>
        <w:t>万股为基数，向全体股东每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w:t>
      </w:r>
      <w:r>
        <w:rPr>
          <w:rFonts w:ascii="Times New Roman" w:eastAsia="Times New Roman" w:hAnsi="Times New Roman" w:cs="Times New Roman"/>
          <w:color w:val="000000"/>
          <w:spacing w:val="0"/>
          <w:w w:val="100"/>
          <w:position w:val="0"/>
        </w:rPr>
        <w:t>0.5</w:t>
      </w:r>
      <w:r>
        <w:rPr>
          <w:color w:val="000000"/>
          <w:spacing w:val="0"/>
          <w:w w:val="100"/>
          <w:position w:val="0"/>
        </w:rPr>
        <w:t>元人民币（含税）。</w:t>
      </w:r>
    </w:p>
    <w:p>
      <w:pPr>
        <w:pStyle w:val="Style35"/>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公司近三年现金分红情况表</w:t>
      </w:r>
    </w:p>
    <w:p>
      <w:pPr>
        <w:pStyle w:val="Style31"/>
        <w:keepNext w:val="0"/>
        <w:keepLines w:val="0"/>
        <w:widowControl w:val="0"/>
        <w:shd w:val="clear" w:color="auto" w:fill="auto"/>
        <w:bidi w:val="0"/>
        <w:spacing w:before="0" w:after="0" w:line="240" w:lineRule="auto"/>
        <w:ind w:left="8909"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2400"/>
        <w:gridCol w:w="2390"/>
        <w:gridCol w:w="2395"/>
        <w:gridCol w:w="2400"/>
      </w:tblGrid>
      <w:tr>
        <w:trPr>
          <w:trHeight w:val="1032"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分红年度</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现金分红金额（含税）</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分红年度合并报表中归属于 上市公司普通股股东的净利 润</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占合并报表中归属于上市公 司普通股股东的净利润的比 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2,940,000.00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31,963,282.74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5,880,000.00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58,090,774.13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4,900,000.00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52,320,390.32</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w:t>
            </w:r>
          </w:p>
        </w:tc>
      </w:tr>
    </w:tbl>
    <w:p>
      <w:pPr>
        <w:widowControl w:val="0"/>
        <w:spacing w:after="59" w:line="1" w:lineRule="exact"/>
      </w:pPr>
    </w:p>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公司报告期内盈利且母公司未分配利润为正但未提出现金红利分配预案</w:t>
      </w:r>
    </w:p>
    <w:p>
      <w:pPr>
        <w:pStyle w:val="Style3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5"/>
        <w:keepNext/>
        <w:keepLines/>
        <w:widowControl w:val="0"/>
        <w:shd w:val="clear" w:color="auto" w:fill="auto"/>
        <w:bidi w:val="0"/>
        <w:spacing w:before="0" w:after="440" w:line="240" w:lineRule="auto"/>
        <w:ind w:left="0" w:right="0" w:firstLine="0"/>
        <w:jc w:val="left"/>
      </w:pPr>
      <w:bookmarkStart w:id="211" w:name="bookmark211"/>
      <w:bookmarkStart w:id="212" w:name="bookmark212"/>
      <w:bookmarkStart w:id="213" w:name="bookmark213"/>
      <w:bookmarkStart w:id="214" w:name="bookmark214"/>
      <w:r>
        <w:rPr>
          <w:color w:val="000000"/>
          <w:spacing w:val="0"/>
          <w:w w:val="100"/>
          <w:position w:val="0"/>
        </w:rPr>
        <w:t>六</w:t>
      </w:r>
      <w:bookmarkEnd w:id="213"/>
      <w:r>
        <w:rPr>
          <w:color w:val="000000"/>
          <w:spacing w:val="0"/>
          <w:w w:val="100"/>
          <w:position w:val="0"/>
        </w:rPr>
        <w:t>、内幕信息知情人管理制度的建立和执行情况</w:t>
      </w:r>
      <w:bookmarkEnd w:id="211"/>
      <w:bookmarkEnd w:id="212"/>
      <w:bookmarkEnd w:id="214"/>
    </w:p>
    <w:p>
      <w:pPr>
        <w:pStyle w:val="Style35"/>
        <w:keepNext w:val="0"/>
        <w:keepLines w:val="0"/>
        <w:widowControl w:val="0"/>
        <w:shd w:val="clear" w:color="auto" w:fill="auto"/>
        <w:bidi w:val="0"/>
        <w:spacing w:before="0" w:after="120" w:line="240" w:lineRule="auto"/>
        <w:ind w:left="0" w:right="0" w:firstLine="0"/>
        <w:jc w:val="left"/>
      </w:pPr>
      <w:bookmarkStart w:id="215" w:name="bookmark215"/>
      <w:r>
        <w:rPr>
          <w:color w:val="000000"/>
          <w:spacing w:val="0"/>
          <w:w w:val="100"/>
          <w:position w:val="0"/>
        </w:rPr>
        <w:t>（</w:t>
      </w:r>
      <w:bookmarkEnd w:id="215"/>
      <w:r>
        <w:rPr>
          <w:color w:val="000000"/>
          <w:spacing w:val="0"/>
          <w:w w:val="100"/>
          <w:position w:val="0"/>
        </w:rPr>
        <w:t>一）内幕信息知情人制度建立情况</w:t>
      </w:r>
    </w:p>
    <w:p>
      <w:pPr>
        <w:pStyle w:val="Style35"/>
        <w:keepNext w:val="0"/>
        <w:keepLines w:val="0"/>
        <w:widowControl w:val="0"/>
        <w:shd w:val="clear" w:color="auto" w:fill="auto"/>
        <w:bidi w:val="0"/>
        <w:spacing w:before="0" w:after="160" w:line="240" w:lineRule="auto"/>
        <w:ind w:left="0" w:right="0" w:firstLine="38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日公司第一届董事会第十七次会议审议通过了《关于制定内幕信息知情人登记与外部报送</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管理制度的议案》。该项制度对内幕信息的定义、内幕信息的人员范围、内幕信息登记和报备、内幕信息</w:t>
        <w:br w:type="page"/>
      </w:r>
      <w:r>
        <w:rPr>
          <w:color w:val="000000"/>
          <w:spacing w:val="0"/>
          <w:w w:val="100"/>
          <w:position w:val="0"/>
        </w:rPr>
        <w:t>管理的机构及人员、保密及责任追究等做了详细规定。</w:t>
      </w:r>
    </w:p>
    <w:p>
      <w:pPr>
        <w:pStyle w:val="Style35"/>
        <w:keepNext w:val="0"/>
        <w:keepLines w:val="0"/>
        <w:widowControl w:val="0"/>
        <w:shd w:val="clear" w:color="auto" w:fill="auto"/>
        <w:bidi w:val="0"/>
        <w:spacing w:before="0" w:after="0" w:line="410" w:lineRule="exact"/>
        <w:ind w:left="0" w:right="0" w:firstLine="0"/>
        <w:jc w:val="left"/>
      </w:pPr>
      <w:bookmarkStart w:id="216" w:name="bookmark216"/>
      <w:r>
        <w:rPr>
          <w:color w:val="000000"/>
          <w:spacing w:val="0"/>
          <w:w w:val="100"/>
          <w:position w:val="0"/>
        </w:rPr>
        <w:t>（</w:t>
      </w:r>
      <w:bookmarkEnd w:id="216"/>
      <w:r>
        <w:rPr>
          <w:color w:val="000000"/>
          <w:spacing w:val="0"/>
          <w:w w:val="100"/>
          <w:position w:val="0"/>
        </w:rPr>
        <w:t>二）报告期内内幕信息知情人制度执行情况</w:t>
      </w:r>
    </w:p>
    <w:p>
      <w:pPr>
        <w:pStyle w:val="Style35"/>
        <w:keepNext w:val="0"/>
        <w:keepLines w:val="0"/>
        <w:widowControl w:val="0"/>
        <w:shd w:val="clear" w:color="auto" w:fill="auto"/>
        <w:bidi w:val="0"/>
        <w:spacing w:before="0" w:after="360" w:line="410" w:lineRule="exact"/>
        <w:ind w:left="0" w:right="0" w:firstLine="360"/>
        <w:jc w:val="left"/>
      </w:pPr>
      <w:r>
        <w:rPr>
          <w:color w:val="000000"/>
          <w:spacing w:val="0"/>
          <w:w w:val="100"/>
          <w:position w:val="0"/>
        </w:rPr>
        <w:t>报告期内，公司的内幕信息流转、信息知情人登记管理、重大事项的报告、传递、审核、披露程序均 严格遵守《内幕信息知情人登记与外部报送管理制度》的有关规定；严把内幕信息流转程序，将信息知情 人控制在最小范围内，切实做到内幕信息在披露前各环节所有知情人员如实、完整登记；公司董事会秘书 负责知情人登记信息的核实、报备和建档，确保</w:t>
      </w:r>
      <w:r>
        <w:rPr>
          <w:rFonts w:ascii="Times New Roman" w:eastAsia="Times New Roman" w:hAnsi="Times New Roman" w:cs="Times New Roman"/>
          <w:color w:val="000000"/>
          <w:spacing w:val="0"/>
          <w:w w:val="100"/>
          <w:position w:val="0"/>
        </w:rPr>
        <w:t>“</w:t>
      </w:r>
      <w:r>
        <w:rPr>
          <w:color w:val="000000"/>
          <w:spacing w:val="0"/>
          <w:w w:val="100"/>
          <w:position w:val="0"/>
        </w:rPr>
        <w:t>内幕信息知情人登记表</w:t>
      </w:r>
      <w:r>
        <w:rPr>
          <w:rFonts w:ascii="Times New Roman" w:eastAsia="Times New Roman" w:hAnsi="Times New Roman" w:cs="Times New Roman"/>
          <w:color w:val="000000"/>
          <w:spacing w:val="0"/>
          <w:w w:val="100"/>
          <w:position w:val="0"/>
        </w:rPr>
        <w:t>''</w:t>
      </w:r>
      <w:r>
        <w:rPr>
          <w:color w:val="000000"/>
          <w:spacing w:val="0"/>
          <w:w w:val="100"/>
          <w:position w:val="0"/>
        </w:rPr>
        <w:t>所填报内容的真实、准确、完整。 报告期内，公司内幕信息知情人管理制度执行情况较好，未发生被监管部门的查处和整改的情况。</w:t>
      </w:r>
    </w:p>
    <w:p>
      <w:pPr>
        <w:pStyle w:val="Style25"/>
        <w:keepNext/>
        <w:keepLines/>
        <w:widowControl w:val="0"/>
        <w:shd w:val="clear" w:color="auto" w:fill="auto"/>
        <w:bidi w:val="0"/>
        <w:spacing w:before="0" w:line="240" w:lineRule="auto"/>
        <w:ind w:left="0" w:right="0" w:firstLine="0"/>
        <w:jc w:val="left"/>
      </w:pPr>
      <w:bookmarkStart w:id="217" w:name="bookmark217"/>
      <w:bookmarkStart w:id="218" w:name="bookmark218"/>
      <w:bookmarkStart w:id="219" w:name="bookmark219"/>
      <w:bookmarkStart w:id="220" w:name="bookmark220"/>
      <w:r>
        <w:rPr>
          <w:color w:val="000000"/>
          <w:spacing w:val="0"/>
          <w:w w:val="100"/>
          <w:position w:val="0"/>
        </w:rPr>
        <w:t>七</w:t>
      </w:r>
      <w:bookmarkEnd w:id="219"/>
      <w:r>
        <w:rPr>
          <w:color w:val="000000"/>
          <w:spacing w:val="0"/>
          <w:w w:val="100"/>
          <w:position w:val="0"/>
        </w:rPr>
        <w:t>、报告期内接待调研、沟通、采访等活动登记表</w:t>
      </w:r>
      <w:bookmarkEnd w:id="217"/>
      <w:bookmarkEnd w:id="218"/>
      <w:bookmarkEnd w:id="220"/>
    </w:p>
    <w:tbl>
      <w:tblPr>
        <w:tblOverlap w:val="never"/>
        <w:jc w:val="center"/>
        <w:tblLayout w:type="fixed"/>
      </w:tblPr>
      <w:tblGrid>
        <w:gridCol w:w="1502"/>
        <w:gridCol w:w="1498"/>
        <w:gridCol w:w="1498"/>
        <w:gridCol w:w="1498"/>
        <w:gridCol w:w="1810"/>
        <w:gridCol w:w="2424"/>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接待时间</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接待地点</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接待方式</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接待对象类型</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接待对象</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谈论的主要内容及提供的资料</w:t>
            </w:r>
          </w:p>
        </w:tc>
      </w:tr>
      <w:tr>
        <w:trPr>
          <w:trHeight w:val="1651"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蓝盾股份董事会秘</w:t>
            </w:r>
          </w:p>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书办公室</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中投证券、金鹰基金、 国海创新资本投资管 理公司、国海创新资本 投资管理公司、厦门普 尔投资管理公司</w:t>
            </w:r>
          </w:p>
        </w:tc>
        <w:tc>
          <w:tcPr>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行业发展情况、公司业务的经 营发展情况、市场及销售状况、 产品发展空间、战略发展规划、 蓝盾学院相关问题、公司在医 疗行业的情况</w:t>
            </w:r>
          </w:p>
        </w:tc>
      </w:tr>
      <w:tr>
        <w:trPr>
          <w:trHeight w:val="102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蓝盾股份董事会秘</w:t>
            </w:r>
          </w:p>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书办公室</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诺安基金</w:t>
            </w:r>
          </w:p>
        </w:tc>
        <w:tc>
          <w:tcPr>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公司生产经营情况、业务经营 情况、员工增长情况、战略发 展规划</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蓝盾股份董事会秘</w:t>
            </w:r>
          </w:p>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书办公室</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广发证券、泰康资产</w:t>
            </w:r>
          </w:p>
        </w:tc>
        <w:tc>
          <w:tcPr>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行业发展情况、产品介绍、战 略发展规划</w:t>
            </w:r>
          </w:p>
        </w:tc>
      </w:tr>
      <w:tr>
        <w:trPr>
          <w:trHeight w:val="1334"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蓝盾股份董事会秘</w:t>
            </w:r>
          </w:p>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书办公室</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国海证券、中欧基金</w:t>
            </w:r>
          </w:p>
        </w:tc>
        <w:tc>
          <w:tcPr>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公司市场拓展情况、战略发展 规划、政府换届对公司的影响、 应急业务的发展情况、云安全 运营平台发展情况</w:t>
            </w:r>
          </w:p>
        </w:tc>
      </w:tr>
      <w:tr>
        <w:trPr>
          <w:trHeight w:val="196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蓝盾股份</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楼会 议室</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银河基金、安信基金、 国泰君安证券、国信证 券、华宝证券、银河证 券、天风证券、深圳锦 安财富、深圳金中和投 资</w:t>
            </w:r>
          </w:p>
        </w:tc>
        <w:tc>
          <w:tcPr>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公司战略发展规划、公司业务 的经营发展情况、股权质押情 况</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蓝盾股份董事会秘</w:t>
            </w:r>
          </w:p>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书办公室</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新华基金</w:t>
            </w:r>
          </w:p>
        </w:tc>
        <w:tc>
          <w:tcPr>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公司业务的经营发展情况、公 司的发展趋势、竞争情况</w:t>
            </w:r>
          </w:p>
        </w:tc>
      </w:tr>
      <w:tr>
        <w:trPr>
          <w:trHeight w:val="1339"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日</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蓝盾股份董事会秘</w:t>
            </w:r>
          </w:p>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书办公室</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长城证券、摩根士丹利 华鑫基金</w:t>
            </w:r>
          </w:p>
        </w:tc>
        <w:tc>
          <w:tcPr>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公司业务的经营发展情况、员 工增长情况、公司在教育行业 的情况、公司市场及销售状况、 市场拓展情况</w:t>
            </w:r>
          </w:p>
        </w:tc>
      </w:tr>
      <w:tr>
        <w:trPr>
          <w:trHeight w:val="1037"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w:t>
            </w:r>
          </w:p>
        </w:tc>
        <w:tc>
          <w:tcPr>
            <w:tcBorders>
              <w:top w:val="single" w:sz="4"/>
              <w:left w:val="single" w:sz="4"/>
              <w:bottom w:val="single" w:sz="4"/>
            </w:tcBorders>
            <w:shd w:val="clear" w:color="auto" w:fill="CCE8CF"/>
            <w:vAlign w:val="center"/>
          </w:tcPr>
          <w:p>
            <w:pPr>
              <w:pStyle w:val="Style8"/>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蓝盾股份董事会秘</w:t>
            </w:r>
          </w:p>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书办公室</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实地调研</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bottom w:val="single" w:sz="4"/>
            </w:tcBorders>
            <w:shd w:val="clear" w:color="auto" w:fill="CCE8CF"/>
            <w:vAlign w:val="center"/>
          </w:tcPr>
          <w:p>
            <w:pPr>
              <w:pStyle w:val="Style8"/>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华泰证券、广州金骏投 资控股有限公司</w:t>
            </w:r>
          </w:p>
        </w:tc>
        <w:tc>
          <w:tcPr>
            <w:tcBorders>
              <w:top w:val="single" w:sz="4"/>
              <w:left w:val="single" w:sz="4"/>
              <w:bottom w:val="single" w:sz="4"/>
              <w:right w:val="single" w:sz="4"/>
            </w:tcBorders>
            <w:shd w:val="clear" w:color="auto" w:fill="CCE8CF"/>
            <w:vAlign w:val="center"/>
          </w:tcPr>
          <w:p>
            <w:pPr>
              <w:pStyle w:val="Style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行业发展情况、公司业务的经 营发展情况、市场及销售状况、 市场拓展情况、应急业务介绍</w:t>
            </w:r>
          </w:p>
        </w:tc>
      </w:tr>
    </w:tbl>
    <w:p>
      <w:pPr>
        <w:spacing w:lineRule="exact" w:line="1"/>
        <w:rPr>
          <w:sz w:val="2"/>
          <w:szCs w:val="2"/>
        </w:rPr>
      </w:pPr>
      <w:r>
        <w:br w:type="page"/>
      </w:r>
    </w:p>
    <w:tbl>
      <w:tblPr>
        <w:tblOverlap w:val="never"/>
        <w:jc w:val="center"/>
        <w:tblLayout w:type="fixed"/>
      </w:tblPr>
      <w:tblGrid>
        <w:gridCol w:w="1502"/>
        <w:gridCol w:w="1498"/>
        <w:gridCol w:w="1498"/>
        <w:gridCol w:w="1498"/>
        <w:gridCol w:w="1810"/>
        <w:gridCol w:w="2424"/>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接待时间</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接待地点</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接待方式</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接待对象类型</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接待对象</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谈论的主要内容及提供的资料</w:t>
            </w:r>
          </w:p>
        </w:tc>
      </w:tr>
      <w:tr>
        <w:trPr>
          <w:trHeight w:val="102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蓝盾股份董事会秘</w:t>
            </w:r>
          </w:p>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书办公室</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公司股东：王琳周贵 良</w:t>
            </w:r>
          </w:p>
        </w:tc>
        <w:tc>
          <w:tcPr>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公司产品及业务介绍、公司市 场拓展情况、政府换届对公司 的影响</w:t>
            </w:r>
          </w:p>
        </w:tc>
      </w:tr>
      <w:tr>
        <w:trPr>
          <w:trHeight w:val="1339"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蓝盾股份</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楼会 议室</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金鹰基金、国泰君安证 券、广证恒生证券、银 河证券、广东西域投资 有限公司等</w:t>
            </w:r>
          </w:p>
        </w:tc>
        <w:tc>
          <w:tcPr>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公司市场拓展情况、员工增长 情况、公司经营情况、竞争情 况、应急业务的发展情况</w:t>
            </w:r>
          </w:p>
        </w:tc>
      </w:tr>
      <w:tr>
        <w:trPr>
          <w:trHeight w:val="1339"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蓝盾股份</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楼会 议室</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深圳融捷资产管理有 限公司</w:t>
            </w:r>
          </w:p>
        </w:tc>
        <w:tc>
          <w:tcPr>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行业概况、市场状况、公司业 务的经营发展情况、员工变动 情况、公司在医疗行业的情况、 公司投资并购的情况</w:t>
            </w:r>
          </w:p>
        </w:tc>
      </w:tr>
      <w:tr>
        <w:trPr>
          <w:trHeight w:val="1022"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蓝盾股份董事会秘</w:t>
            </w:r>
          </w:p>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书办公室</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东海证券、广州赢隆投 资、瑞富投资、暨南投 资</w:t>
            </w:r>
          </w:p>
        </w:tc>
        <w:tc>
          <w:tcPr>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公司概况、竞争情况、公司在 医疗行业的情况、股权激励的 情况、应急业务的发展情况</w:t>
            </w:r>
          </w:p>
        </w:tc>
      </w:tr>
      <w:tr>
        <w:trPr>
          <w:trHeight w:val="102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日</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蓝盾股份董事会秘</w:t>
            </w:r>
          </w:p>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书办公室</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华夏基金</w:t>
            </w:r>
          </w:p>
        </w:tc>
        <w:tc>
          <w:tcPr>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公司在教育行业的情况、培训 服务的开展、公司战略发展规 划、股权激励的情况</w:t>
            </w:r>
          </w:p>
        </w:tc>
      </w:tr>
      <w:tr>
        <w:trPr>
          <w:trHeight w:val="1339"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蓝盾股份董事会秘</w:t>
            </w:r>
          </w:p>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书办公室</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民生证券、远策投资、 世泽投资</w:t>
            </w:r>
          </w:p>
        </w:tc>
        <w:tc>
          <w:tcPr>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行业状况、云安全运营平台用 户及推广情况、维护客户资源 的情况、公司发展趋势、投资 并购情况</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蓝盾股份董事会秘</w:t>
            </w:r>
          </w:p>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书办公室</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广发基金</w:t>
            </w:r>
          </w:p>
        </w:tc>
        <w:tc>
          <w:tcPr>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公司的核心技术及主营产品情 况、行业状况、市场状况</w:t>
            </w:r>
          </w:p>
        </w:tc>
      </w:tr>
      <w:tr>
        <w:trPr>
          <w:trHeight w:val="1646"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蓝盾股份董事会秘</w:t>
            </w:r>
          </w:p>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书办公室</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华夏基金、广州世泽投 资、国都证券、长城证 券、安信证券、中投证 券、兴业证券、国泰君 安证券等</w:t>
            </w:r>
          </w:p>
        </w:tc>
        <w:tc>
          <w:tcPr>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309" w:lineRule="exact"/>
              <w:ind w:left="0" w:right="0" w:firstLine="0"/>
              <w:jc w:val="both"/>
              <w:rPr>
                <w:sz w:val="17"/>
                <w:szCs w:val="17"/>
              </w:rPr>
            </w:pPr>
            <w:r>
              <w:rPr>
                <w:color w:val="000000"/>
                <w:spacing w:val="0"/>
                <w:w w:val="100"/>
                <w:position w:val="0"/>
                <w:sz w:val="17"/>
                <w:szCs w:val="17"/>
              </w:rPr>
              <w:t>财务相关问题、政府换届对公 司的影响、行业发展情况、云 安全运营平台用户及推广情 况、应急业务的发展情况</w:t>
            </w:r>
          </w:p>
        </w:tc>
      </w:tr>
      <w:tr>
        <w:trPr>
          <w:trHeight w:val="1651"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日</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蓝盾股份董事会秘</w:t>
            </w:r>
          </w:p>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书办公室</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万联证券、中山证券、 国金证券、财通证券、 华商基金、深圳中证投 资资讯、泽熙投资、通 用投资、恒泰融安投资</w:t>
            </w:r>
          </w:p>
        </w:tc>
        <w:tc>
          <w:tcPr>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公司的核心技术及主营产品情 况、业务发展的情况、行业的 发展情况</w:t>
            </w:r>
          </w:p>
        </w:tc>
      </w:tr>
      <w:tr>
        <w:trPr>
          <w:trHeight w:val="1339"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日</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蓝盾股份董事会秘</w:t>
            </w:r>
          </w:p>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书办公室</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新华基金</w:t>
            </w:r>
          </w:p>
        </w:tc>
        <w:tc>
          <w:tcPr>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十八届三中全会对行业及公司 的影响、公司业务的发展情况、 战略发展规划、云防线的发展 情况</w:t>
            </w:r>
          </w:p>
        </w:tc>
      </w:tr>
      <w:tr>
        <w:trPr>
          <w:trHeight w:val="725"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日</w:t>
            </w:r>
          </w:p>
        </w:tc>
        <w:tc>
          <w:tcPr>
            <w:tcBorders>
              <w:top w:val="single" w:sz="4"/>
              <w:left w:val="single" w:sz="4"/>
              <w:bottom w:val="single" w:sz="4"/>
            </w:tcBorders>
            <w:shd w:val="clear" w:color="auto" w:fill="CCE8CF"/>
            <w:vAlign w:val="center"/>
          </w:tcPr>
          <w:p>
            <w:pPr>
              <w:pStyle w:val="Style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蓝盾股份董事会秘</w:t>
            </w:r>
          </w:p>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书办公室</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实地调研</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bottom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泽熙投资</w:t>
            </w:r>
          </w:p>
        </w:tc>
        <w:tc>
          <w:tcPr>
            <w:tcBorders>
              <w:top w:val="single" w:sz="4"/>
              <w:left w:val="single" w:sz="4"/>
              <w:bottom w:val="single" w:sz="4"/>
              <w:right w:val="single" w:sz="4"/>
            </w:tcBorders>
            <w:shd w:val="clear" w:color="auto" w:fill="CCE8CF"/>
            <w:vAlign w:val="center"/>
          </w:tcPr>
          <w:p>
            <w:pPr>
              <w:pStyle w:val="Style8"/>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公司业务的发展情况、公司的 发展趋势</w:t>
            </w:r>
          </w:p>
        </w:tc>
      </w:tr>
    </w:tbl>
    <w:p>
      <w:pPr>
        <w:spacing w:lineRule="exact" w:line="1"/>
        <w:rPr>
          <w:sz w:val="2"/>
          <w:szCs w:val="2"/>
        </w:rPr>
      </w:pPr>
      <w:r>
        <w:br w:type="page"/>
      </w:r>
    </w:p>
    <w:tbl>
      <w:tblPr>
        <w:tblOverlap w:val="never"/>
        <w:jc w:val="center"/>
        <w:tblLayout w:type="fixed"/>
      </w:tblPr>
      <w:tblGrid>
        <w:gridCol w:w="1502"/>
        <w:gridCol w:w="1498"/>
        <w:gridCol w:w="1498"/>
        <w:gridCol w:w="1498"/>
        <w:gridCol w:w="1810"/>
        <w:gridCol w:w="2424"/>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接待时间</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接待地点</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接待方式</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接待对象类型</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接待对象</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谈论的主要内容及提供的资料</w:t>
            </w:r>
          </w:p>
        </w:tc>
      </w:tr>
      <w:tr>
        <w:trPr>
          <w:trHeight w:val="102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蓝盾股份董事会秘</w:t>
            </w:r>
          </w:p>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书办公室</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广东智圣投资、兴业证 券</w:t>
            </w:r>
          </w:p>
        </w:tc>
        <w:tc>
          <w:tcPr>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财务相关问题、十八届三中全 会对公司的影响、公司投资并 购情况、战略发展规划</w:t>
            </w:r>
          </w:p>
        </w:tc>
      </w:tr>
      <w:tr>
        <w:trPr>
          <w:trHeight w:val="102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蓝盾股份董事会秘</w:t>
            </w:r>
          </w:p>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书办公室</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兴业证券、广发基金</w:t>
            </w:r>
          </w:p>
        </w:tc>
        <w:tc>
          <w:tcPr>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十八届三中全会对公司的影 响、公司竞争情况、战略发展 规划、维护客户资源的情况</w:t>
            </w:r>
          </w:p>
        </w:tc>
      </w:tr>
      <w:tr>
        <w:trPr>
          <w:trHeight w:val="102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蓝盾股份董事会秘</w:t>
            </w:r>
          </w:p>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书办公室</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华商基金</w:t>
            </w:r>
          </w:p>
        </w:tc>
        <w:tc>
          <w:tcPr>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公司业务发展的情况、在教育 行业的情况、公司的核心技术 及主营产品情况</w:t>
            </w:r>
          </w:p>
        </w:tc>
      </w:tr>
      <w:tr>
        <w:trPr>
          <w:trHeight w:val="1349"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日</w:t>
            </w:r>
          </w:p>
        </w:tc>
        <w:tc>
          <w:tcPr>
            <w:tcBorders>
              <w:top w:val="single" w:sz="4"/>
              <w:left w:val="single" w:sz="4"/>
              <w:bottom w:val="single" w:sz="4"/>
            </w:tcBorders>
            <w:shd w:val="clear" w:color="auto" w:fill="CCE8CF"/>
            <w:vAlign w:val="center"/>
          </w:tcPr>
          <w:p>
            <w:pPr>
              <w:pStyle w:val="Style8"/>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蓝盾股份董事会秘</w:t>
            </w:r>
          </w:p>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书办公室</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实地调研</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bottom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中天证券</w:t>
            </w:r>
          </w:p>
        </w:tc>
        <w:tc>
          <w:tcPr>
            <w:tcBorders>
              <w:top w:val="single" w:sz="4"/>
              <w:left w:val="single" w:sz="4"/>
              <w:bottom w:val="single" w:sz="4"/>
              <w:right w:val="single" w:sz="4"/>
            </w:tcBorders>
            <w:shd w:val="clear" w:color="auto" w:fill="CCE8CF"/>
            <w:vAlign w:val="center"/>
          </w:tcPr>
          <w:p>
            <w:pPr>
              <w:pStyle w:val="Style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公司投资并购情况、发展趋势、 十八届三中全会对公司的影 响、公司的核心技术及主营产 品情况</w:t>
            </w:r>
          </w:p>
        </w:tc>
      </w:tr>
    </w:tbl>
    <w:p>
      <w:pPr>
        <w:sectPr>
          <w:headerReference w:type="default" r:id="rId11"/>
          <w:footerReference w:type="default" r:id="rId12"/>
          <w:footnotePr>
            <w:pos w:val="pageBottom"/>
            <w:numFmt w:val="decimal"/>
            <w:numRestart w:val="continuous"/>
          </w:footnotePr>
          <w:pgSz w:w="11900" w:h="16840"/>
          <w:pgMar w:top="1326" w:right="683" w:bottom="1456" w:left="979" w:header="0" w:footer="3" w:gutter="0"/>
          <w:cols w:space="720"/>
          <w:noEndnote/>
          <w:rtlGutter w:val="0"/>
          <w:docGrid w:linePitch="360"/>
        </w:sectPr>
      </w:pPr>
    </w:p>
    <w:p>
      <w:pPr>
        <w:pStyle w:val="Style12"/>
        <w:keepNext/>
        <w:keepLines/>
        <w:widowControl w:val="0"/>
        <w:shd w:val="clear" w:color="auto" w:fill="auto"/>
        <w:bidi w:val="0"/>
        <w:spacing w:before="0" w:after="560" w:line="240" w:lineRule="auto"/>
        <w:ind w:left="0" w:right="0" w:firstLine="0"/>
        <w:jc w:val="center"/>
      </w:pPr>
      <w:bookmarkStart w:id="221" w:name="bookmark221"/>
      <w:bookmarkStart w:id="222" w:name="bookmark222"/>
      <w:bookmarkStart w:id="223" w:name="bookmark223"/>
      <w:r>
        <w:rPr>
          <w:color w:val="000000"/>
          <w:spacing w:val="0"/>
          <w:w w:val="100"/>
          <w:position w:val="0"/>
        </w:rPr>
        <w:t>第五节重要事项</w:t>
      </w:r>
      <w:bookmarkEnd w:id="221"/>
      <w:bookmarkEnd w:id="222"/>
      <w:bookmarkEnd w:id="223"/>
    </w:p>
    <w:p>
      <w:pPr>
        <w:pStyle w:val="Style25"/>
        <w:keepNext/>
        <w:keepLines/>
        <w:widowControl w:val="0"/>
        <w:shd w:val="clear" w:color="auto" w:fill="auto"/>
        <w:tabs>
          <w:tab w:pos="517" w:val="left"/>
        </w:tabs>
        <w:bidi w:val="0"/>
        <w:spacing w:before="0" w:after="360" w:line="240" w:lineRule="auto"/>
        <w:ind w:left="0" w:right="0" w:firstLine="0"/>
        <w:jc w:val="left"/>
      </w:pPr>
      <w:bookmarkStart w:id="224" w:name="bookmark224"/>
      <w:bookmarkStart w:id="225" w:name="bookmark225"/>
      <w:bookmarkStart w:id="226" w:name="bookmark226"/>
      <w:bookmarkStart w:id="227" w:name="bookmark227"/>
      <w:r>
        <w:rPr>
          <w:color w:val="000000"/>
          <w:spacing w:val="0"/>
          <w:w w:val="100"/>
          <w:position w:val="0"/>
        </w:rPr>
        <w:t>一</w:t>
      </w:r>
      <w:bookmarkEnd w:id="226"/>
      <w:r>
        <w:rPr>
          <w:color w:val="000000"/>
          <w:spacing w:val="0"/>
          <w:w w:val="100"/>
          <w:position w:val="0"/>
        </w:rPr>
        <w:t>、</w:t>
        <w:tab/>
        <w:t>重大诉讼仲裁事项</w:t>
      </w:r>
      <w:bookmarkEnd w:id="224"/>
      <w:bookmarkEnd w:id="225"/>
      <w:bookmarkEnd w:id="227"/>
    </w:p>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本年度公司未发生诉讼、仲裁事项。</w:t>
      </w:r>
    </w:p>
    <w:p>
      <w:pPr>
        <w:pStyle w:val="Style25"/>
        <w:keepNext/>
        <w:keepLines/>
        <w:widowControl w:val="0"/>
        <w:shd w:val="clear" w:color="auto" w:fill="auto"/>
        <w:tabs>
          <w:tab w:pos="517" w:val="left"/>
        </w:tabs>
        <w:bidi w:val="0"/>
        <w:spacing w:before="0" w:after="360" w:line="240" w:lineRule="auto"/>
        <w:ind w:left="0" w:right="0" w:firstLine="0"/>
        <w:jc w:val="left"/>
      </w:pPr>
      <w:bookmarkStart w:id="228" w:name="bookmark228"/>
      <w:bookmarkStart w:id="229" w:name="bookmark229"/>
      <w:bookmarkStart w:id="230" w:name="bookmark230"/>
      <w:bookmarkStart w:id="231" w:name="bookmark231"/>
      <w:r>
        <w:rPr>
          <w:color w:val="000000"/>
          <w:spacing w:val="0"/>
          <w:w w:val="100"/>
          <w:position w:val="0"/>
        </w:rPr>
        <w:t>二</w:t>
      </w:r>
      <w:bookmarkEnd w:id="230"/>
      <w:r>
        <w:rPr>
          <w:color w:val="000000"/>
          <w:spacing w:val="0"/>
          <w:w w:val="100"/>
          <w:position w:val="0"/>
        </w:rPr>
        <w:t>、</w:t>
        <w:tab/>
        <w:t>重大关联交易</w:t>
      </w:r>
      <w:bookmarkEnd w:id="228"/>
      <w:bookmarkEnd w:id="229"/>
      <w:bookmarkEnd w:id="231"/>
    </w:p>
    <w:p>
      <w:pPr>
        <w:pStyle w:val="Style35"/>
        <w:keepNext w:val="0"/>
        <w:keepLines w:val="0"/>
        <w:widowControl w:val="0"/>
        <w:shd w:val="clear" w:color="auto" w:fill="auto"/>
        <w:tabs>
          <w:tab w:pos="368" w:val="left"/>
        </w:tabs>
        <w:bidi w:val="0"/>
        <w:spacing w:before="0" w:after="360" w:line="240" w:lineRule="auto"/>
        <w:ind w:left="0" w:right="0" w:firstLine="0"/>
        <w:jc w:val="left"/>
      </w:pPr>
      <w:bookmarkStart w:id="232" w:name="bookmark232"/>
      <w:r>
        <w:rPr>
          <w:rFonts w:ascii="Times New Roman" w:eastAsia="Times New Roman" w:hAnsi="Times New Roman" w:cs="Times New Roman"/>
          <w:b/>
          <w:bCs/>
          <w:color w:val="000000"/>
          <w:spacing w:val="0"/>
          <w:w w:val="100"/>
          <w:position w:val="0"/>
        </w:rPr>
        <w:t>1</w:t>
      </w:r>
      <w:bookmarkEnd w:id="232"/>
      <w:r>
        <w:rPr>
          <w:b/>
          <w:bCs/>
          <w:color w:val="000000"/>
          <w:spacing w:val="0"/>
          <w:w w:val="100"/>
          <w:position w:val="0"/>
        </w:rPr>
        <w:t>、</w:t>
        <w:tab/>
        <w:t>与日常经营相关的关联交易</w:t>
      </w:r>
    </w:p>
    <w:p>
      <w:pPr>
        <w:pStyle w:val="Style3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5"/>
        <w:keepNext w:val="0"/>
        <w:keepLines w:val="0"/>
        <w:widowControl w:val="0"/>
        <w:shd w:val="clear" w:color="auto" w:fill="auto"/>
        <w:tabs>
          <w:tab w:pos="378" w:val="left"/>
        </w:tabs>
        <w:bidi w:val="0"/>
        <w:spacing w:before="0" w:after="360" w:line="240" w:lineRule="auto"/>
        <w:ind w:left="0" w:right="0" w:firstLine="0"/>
        <w:jc w:val="left"/>
      </w:pPr>
      <w:bookmarkStart w:id="233" w:name="bookmark233"/>
      <w:r>
        <w:rPr>
          <w:rFonts w:ascii="Times New Roman" w:eastAsia="Times New Roman" w:hAnsi="Times New Roman" w:cs="Times New Roman"/>
          <w:b/>
          <w:bCs/>
          <w:color w:val="000000"/>
          <w:spacing w:val="0"/>
          <w:w w:val="100"/>
          <w:position w:val="0"/>
        </w:rPr>
        <w:t>2</w:t>
      </w:r>
      <w:bookmarkEnd w:id="233"/>
      <w:r>
        <w:rPr>
          <w:b/>
          <w:bCs/>
          <w:color w:val="000000"/>
          <w:spacing w:val="0"/>
          <w:w w:val="100"/>
          <w:position w:val="0"/>
        </w:rPr>
        <w:t>、</w:t>
        <w:tab/>
        <w:t>资产收购、出售发生的关联交易</w:t>
      </w:r>
    </w:p>
    <w:p>
      <w:pPr>
        <w:pStyle w:val="Style3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5"/>
        <w:keepNext w:val="0"/>
        <w:keepLines w:val="0"/>
        <w:widowControl w:val="0"/>
        <w:shd w:val="clear" w:color="auto" w:fill="auto"/>
        <w:tabs>
          <w:tab w:pos="378" w:val="left"/>
        </w:tabs>
        <w:bidi w:val="0"/>
        <w:spacing w:before="0" w:after="360" w:line="240" w:lineRule="auto"/>
        <w:ind w:left="0" w:right="0" w:firstLine="0"/>
        <w:jc w:val="left"/>
      </w:pPr>
      <w:bookmarkStart w:id="234" w:name="bookmark234"/>
      <w:r>
        <w:rPr>
          <w:rFonts w:ascii="Times New Roman" w:eastAsia="Times New Roman" w:hAnsi="Times New Roman" w:cs="Times New Roman"/>
          <w:b/>
          <w:bCs/>
          <w:color w:val="000000"/>
          <w:spacing w:val="0"/>
          <w:w w:val="100"/>
          <w:position w:val="0"/>
        </w:rPr>
        <w:t>3</w:t>
      </w:r>
      <w:bookmarkEnd w:id="234"/>
      <w:r>
        <w:rPr>
          <w:b/>
          <w:bCs/>
          <w:color w:val="000000"/>
          <w:spacing w:val="0"/>
          <w:w w:val="100"/>
          <w:position w:val="0"/>
        </w:rPr>
        <w:t>、</w:t>
        <w:tab/>
        <w:t>共同对外投资的重大关联交易</w:t>
      </w:r>
    </w:p>
    <w:p>
      <w:pPr>
        <w:pStyle w:val="Style3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5"/>
        <w:keepNext w:val="0"/>
        <w:keepLines w:val="0"/>
        <w:widowControl w:val="0"/>
        <w:shd w:val="clear" w:color="auto" w:fill="auto"/>
        <w:tabs>
          <w:tab w:pos="378" w:val="left"/>
        </w:tabs>
        <w:bidi w:val="0"/>
        <w:spacing w:before="0" w:after="360" w:line="240" w:lineRule="auto"/>
        <w:ind w:left="0" w:right="0" w:firstLine="0"/>
        <w:jc w:val="left"/>
      </w:pPr>
      <w:bookmarkStart w:id="235" w:name="bookmark235"/>
      <w:r>
        <w:rPr>
          <w:rFonts w:ascii="Times New Roman" w:eastAsia="Times New Roman" w:hAnsi="Times New Roman" w:cs="Times New Roman"/>
          <w:b/>
          <w:bCs/>
          <w:color w:val="000000"/>
          <w:spacing w:val="0"/>
          <w:w w:val="100"/>
          <w:position w:val="0"/>
        </w:rPr>
        <w:t>4</w:t>
      </w:r>
      <w:bookmarkEnd w:id="235"/>
      <w:r>
        <w:rPr>
          <w:b/>
          <w:bCs/>
          <w:color w:val="000000"/>
          <w:spacing w:val="0"/>
          <w:w w:val="100"/>
          <w:position w:val="0"/>
        </w:rPr>
        <w:t>、</w:t>
        <w:tab/>
        <w:t>关联债权债务往来</w:t>
      </w:r>
    </w:p>
    <w:p>
      <w:pPr>
        <w:pStyle w:val="Style3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5"/>
        <w:keepNext w:val="0"/>
        <w:keepLines w:val="0"/>
        <w:widowControl w:val="0"/>
        <w:shd w:val="clear" w:color="auto" w:fill="auto"/>
        <w:tabs>
          <w:tab w:pos="378" w:val="left"/>
        </w:tabs>
        <w:bidi w:val="0"/>
        <w:spacing w:before="0" w:after="360" w:line="240" w:lineRule="auto"/>
        <w:ind w:left="0" w:right="0" w:firstLine="0"/>
        <w:jc w:val="left"/>
      </w:pPr>
      <w:bookmarkStart w:id="236" w:name="bookmark236"/>
      <w:r>
        <w:rPr>
          <w:rFonts w:ascii="Times New Roman" w:eastAsia="Times New Roman" w:hAnsi="Times New Roman" w:cs="Times New Roman"/>
          <w:b/>
          <w:bCs/>
          <w:color w:val="000000"/>
          <w:spacing w:val="0"/>
          <w:w w:val="100"/>
          <w:position w:val="0"/>
        </w:rPr>
        <w:t>5</w:t>
      </w:r>
      <w:bookmarkEnd w:id="236"/>
      <w:r>
        <w:rPr>
          <w:b/>
          <w:bCs/>
          <w:color w:val="000000"/>
          <w:spacing w:val="0"/>
          <w:w w:val="100"/>
          <w:position w:val="0"/>
        </w:rPr>
        <w:t>、</w:t>
        <w:tab/>
        <w:t>其他重大关联交易</w:t>
      </w:r>
    </w:p>
    <w:p>
      <w:pPr>
        <w:pStyle w:val="Style3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5"/>
        <w:keepNext/>
        <w:keepLines/>
        <w:widowControl w:val="0"/>
        <w:shd w:val="clear" w:color="auto" w:fill="auto"/>
        <w:tabs>
          <w:tab w:pos="522" w:val="left"/>
        </w:tabs>
        <w:bidi w:val="0"/>
        <w:spacing w:before="0" w:after="360" w:line="240" w:lineRule="auto"/>
        <w:ind w:left="0" w:right="0" w:firstLine="0"/>
        <w:jc w:val="left"/>
      </w:pPr>
      <w:bookmarkStart w:id="237" w:name="bookmark237"/>
      <w:bookmarkStart w:id="238" w:name="bookmark238"/>
      <w:bookmarkStart w:id="239" w:name="bookmark239"/>
      <w:bookmarkStart w:id="240" w:name="bookmark240"/>
      <w:r>
        <w:rPr>
          <w:color w:val="000000"/>
          <w:spacing w:val="0"/>
          <w:w w:val="100"/>
          <w:position w:val="0"/>
        </w:rPr>
        <w:t>三</w:t>
      </w:r>
      <w:bookmarkEnd w:id="239"/>
      <w:r>
        <w:rPr>
          <w:color w:val="000000"/>
          <w:spacing w:val="0"/>
          <w:w w:val="100"/>
          <w:position w:val="0"/>
        </w:rPr>
        <w:t>、</w:t>
        <w:tab/>
        <w:t>重大合同及其履行情况</w:t>
      </w:r>
      <w:bookmarkEnd w:id="237"/>
      <w:bookmarkEnd w:id="238"/>
      <w:bookmarkEnd w:id="240"/>
    </w:p>
    <w:p>
      <w:pPr>
        <w:pStyle w:val="Style35"/>
        <w:keepNext w:val="0"/>
        <w:keepLines w:val="0"/>
        <w:widowControl w:val="0"/>
        <w:shd w:val="clear" w:color="auto" w:fill="auto"/>
        <w:tabs>
          <w:tab w:pos="368" w:val="left"/>
        </w:tabs>
        <w:bidi w:val="0"/>
        <w:spacing w:before="0" w:after="360" w:line="240" w:lineRule="auto"/>
        <w:ind w:left="0" w:right="0" w:firstLine="0"/>
        <w:jc w:val="left"/>
      </w:pPr>
      <w:bookmarkStart w:id="241" w:name="bookmark241"/>
      <w:r>
        <w:rPr>
          <w:rFonts w:ascii="Times New Roman" w:eastAsia="Times New Roman" w:hAnsi="Times New Roman" w:cs="Times New Roman"/>
          <w:b/>
          <w:bCs/>
          <w:color w:val="000000"/>
          <w:spacing w:val="0"/>
          <w:w w:val="100"/>
          <w:position w:val="0"/>
        </w:rPr>
        <w:t>1</w:t>
      </w:r>
      <w:bookmarkEnd w:id="241"/>
      <w:r>
        <w:rPr>
          <w:b/>
          <w:bCs/>
          <w:color w:val="000000"/>
          <w:spacing w:val="0"/>
          <w:w w:val="100"/>
          <w:position w:val="0"/>
        </w:rPr>
        <w:t>、</w:t>
        <w:tab/>
        <w:t>托管、承包、租赁事项情况</w:t>
      </w:r>
    </w:p>
    <w:p>
      <w:pPr>
        <w:pStyle w:val="Style3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5"/>
        <w:keepNext w:val="0"/>
        <w:keepLines w:val="0"/>
        <w:widowControl w:val="0"/>
        <w:shd w:val="clear" w:color="auto" w:fill="auto"/>
        <w:tabs>
          <w:tab w:pos="378" w:val="left"/>
        </w:tabs>
        <w:bidi w:val="0"/>
        <w:spacing w:before="0" w:after="360" w:line="240" w:lineRule="auto"/>
        <w:ind w:left="0" w:right="0" w:firstLine="0"/>
        <w:jc w:val="left"/>
      </w:pPr>
      <w:bookmarkStart w:id="242" w:name="bookmark242"/>
      <w:r>
        <w:rPr>
          <w:rFonts w:ascii="Times New Roman" w:eastAsia="Times New Roman" w:hAnsi="Times New Roman" w:cs="Times New Roman"/>
          <w:b/>
          <w:bCs/>
          <w:color w:val="000000"/>
          <w:spacing w:val="0"/>
          <w:w w:val="100"/>
          <w:position w:val="0"/>
        </w:rPr>
        <w:t>2</w:t>
      </w:r>
      <w:bookmarkEnd w:id="242"/>
      <w:r>
        <w:rPr>
          <w:b/>
          <w:bCs/>
          <w:color w:val="000000"/>
          <w:spacing w:val="0"/>
          <w:w w:val="100"/>
          <w:position w:val="0"/>
        </w:rPr>
        <w:t>、</w:t>
        <w:tab/>
        <w:t>担保情况</w:t>
      </w:r>
    </w:p>
    <w:p>
      <w:pPr>
        <w:pStyle w:val="Style3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5"/>
        <w:keepNext w:val="0"/>
        <w:keepLines w:val="0"/>
        <w:widowControl w:val="0"/>
        <w:shd w:val="clear" w:color="auto" w:fill="auto"/>
        <w:tabs>
          <w:tab w:pos="378" w:val="left"/>
        </w:tabs>
        <w:bidi w:val="0"/>
        <w:spacing w:before="0" w:after="360" w:line="240" w:lineRule="auto"/>
        <w:ind w:left="0" w:right="0" w:firstLine="0"/>
        <w:jc w:val="left"/>
      </w:pPr>
      <w:bookmarkStart w:id="243" w:name="bookmark243"/>
      <w:r>
        <w:rPr>
          <w:rFonts w:ascii="Times New Roman" w:eastAsia="Times New Roman" w:hAnsi="Times New Roman" w:cs="Times New Roman"/>
          <w:b/>
          <w:bCs/>
          <w:color w:val="000000"/>
          <w:spacing w:val="0"/>
          <w:w w:val="100"/>
          <w:position w:val="0"/>
        </w:rPr>
        <w:t>3</w:t>
      </w:r>
      <w:bookmarkEnd w:id="243"/>
      <w:r>
        <w:rPr>
          <w:b/>
          <w:bCs/>
          <w:color w:val="000000"/>
          <w:spacing w:val="0"/>
          <w:w w:val="100"/>
          <w:position w:val="0"/>
        </w:rPr>
        <w:t>、</w:t>
        <w:tab/>
        <w:t>其他重大合同</w:t>
      </w:r>
    </w:p>
    <w:p>
      <w:pPr>
        <w:pStyle w:val="Style35"/>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930" w:right="1109" w:bottom="1772" w:left="1104" w:header="0" w:footer="3" w:gutter="0"/>
          <w:cols w:space="720"/>
          <w:noEndnote/>
          <w:rtlGutter w:val="0"/>
          <w:docGrid w:linePitch="360"/>
        </w:sectPr>
      </w:pPr>
      <w:r>
        <w:rPr>
          <w:color w:val="000000"/>
          <w:spacing w:val="0"/>
          <w:w w:val="100"/>
          <w:position w:val="0"/>
        </w:rPr>
        <w:t>无</w:t>
      </w:r>
    </w:p>
    <w:p>
      <w:pPr>
        <w:pStyle w:val="Style25"/>
        <w:keepNext/>
        <w:keepLines/>
        <w:framePr w:w="2429" w:h="293" w:wrap="none" w:hAnchor="page" w:x="1442" w:y="-13"/>
        <w:widowControl w:val="0"/>
        <w:shd w:val="clear" w:color="auto" w:fill="auto"/>
        <w:bidi w:val="0"/>
        <w:spacing w:before="0" w:after="0" w:line="240" w:lineRule="auto"/>
        <w:ind w:left="0" w:right="0" w:firstLine="0"/>
        <w:jc w:val="left"/>
      </w:pPr>
      <w:bookmarkStart w:id="244" w:name="bookmark244"/>
      <w:bookmarkStart w:id="245" w:name="bookmark245"/>
      <w:bookmarkStart w:id="246" w:name="bookmark246"/>
      <w:r>
        <w:rPr>
          <w:color w:val="000000"/>
          <w:spacing w:val="0"/>
          <w:w w:val="100"/>
          <w:position w:val="0"/>
        </w:rPr>
        <w:t>四、承诺事项履行情况</w:t>
      </w:r>
      <w:bookmarkEnd w:id="244"/>
      <w:bookmarkEnd w:id="245"/>
      <w:bookmarkEnd w:id="246"/>
    </w:p>
    <w:p>
      <w:pPr>
        <w:pStyle w:val="Style38"/>
        <w:keepNext/>
        <w:keepLines/>
        <w:framePr w:w="8309" w:h="269" w:wrap="none" w:hAnchor="page" w:x="1427" w:y="626"/>
        <w:widowControl w:val="0"/>
        <w:shd w:val="clear" w:color="auto" w:fill="auto"/>
        <w:bidi w:val="0"/>
        <w:spacing w:before="0" w:after="0" w:line="240" w:lineRule="auto"/>
        <w:ind w:left="0" w:right="0" w:firstLine="0"/>
        <w:jc w:val="left"/>
      </w:pPr>
      <w:bookmarkStart w:id="247" w:name="bookmark247"/>
      <w:bookmarkStart w:id="248" w:name="bookmark248"/>
      <w:bookmarkStart w:id="249" w:name="bookmark249"/>
      <w:r>
        <w:rPr>
          <w:rFonts w:ascii="Times New Roman" w:eastAsia="Times New Roman" w:hAnsi="Times New Roman" w:cs="Times New Roman"/>
          <w:color w:val="000000"/>
          <w:spacing w:val="0"/>
          <w:w w:val="100"/>
          <w:position w:val="0"/>
        </w:rPr>
        <w:t>1</w:t>
      </w:r>
      <w:r>
        <w:rPr>
          <w:color w:val="000000"/>
          <w:spacing w:val="0"/>
          <w:w w:val="100"/>
          <w:position w:val="0"/>
        </w:rPr>
        <w:t>、公司或持股</w:t>
      </w:r>
      <w:r>
        <w:rPr>
          <w:rFonts w:ascii="Times New Roman" w:eastAsia="Times New Roman" w:hAnsi="Times New Roman" w:cs="Times New Roman"/>
          <w:color w:val="000000"/>
          <w:spacing w:val="0"/>
          <w:w w:val="100"/>
          <w:position w:val="0"/>
        </w:rPr>
        <w:t>5%</w:t>
      </w:r>
      <w:r>
        <w:rPr>
          <w:color w:val="000000"/>
          <w:spacing w:val="0"/>
          <w:w w:val="100"/>
          <w:position w:val="0"/>
        </w:rPr>
        <w:t>以上股东在报告期内发生或以前期间发生但持续到报告期内的承诺事项</w:t>
      </w:r>
      <w:bookmarkEnd w:id="247"/>
      <w:bookmarkEnd w:id="248"/>
      <w:bookmarkEnd w:id="249"/>
    </w:p>
    <w:p>
      <w:pPr>
        <w:pStyle w:val="Style27"/>
        <w:keepNext w:val="0"/>
        <w:keepLines w:val="0"/>
        <w:framePr w:w="758" w:h="235" w:wrap="none" w:hAnchor="page" w:x="2661" w:y="1303"/>
        <w:widowControl w:val="0"/>
        <w:pBdr>
          <w:top w:val="single" w:sz="0" w:space="0" w:color="CCE8CF"/>
          <w:left w:val="single" w:sz="0" w:space="0" w:color="CCE8CF"/>
          <w:bottom w:val="single" w:sz="0" w:space="0" w:color="CCE8CF"/>
          <w:right w:val="single" w:sz="0" w:space="0" w:color="CCE8CF"/>
        </w:pBdr>
        <w:shd w:val="clear" w:color="auto" w:fill="CCE8CF"/>
        <w:bidi w:val="0"/>
        <w:spacing w:before="0" w:after="0" w:line="240" w:lineRule="auto"/>
        <w:ind w:left="0" w:right="0" w:firstLine="0"/>
        <w:jc w:val="left"/>
      </w:pPr>
      <w:r>
        <w:rPr>
          <w:color w:val="000000"/>
          <w:spacing w:val="0"/>
          <w:w w:val="100"/>
          <w:position w:val="0"/>
        </w:rPr>
        <w:t>承诺事项</w:t>
      </w:r>
    </w:p>
    <w:p>
      <w:pPr>
        <w:pStyle w:val="Style27"/>
        <w:keepNext w:val="0"/>
        <w:keepLines w:val="0"/>
        <w:framePr w:w="581" w:h="235" w:wrap="none" w:hAnchor="page" w:x="5867" w:y="1303"/>
        <w:widowControl w:val="0"/>
        <w:pBdr>
          <w:top w:val="single" w:sz="0" w:space="0" w:color="CCE8CF"/>
          <w:left w:val="single" w:sz="0" w:space="0" w:color="CCE8CF"/>
          <w:bottom w:val="single" w:sz="0" w:space="0" w:color="CCE8CF"/>
          <w:right w:val="single" w:sz="0" w:space="0" w:color="CCE8CF"/>
        </w:pBdr>
        <w:shd w:val="clear" w:color="auto" w:fill="CCE8CF"/>
        <w:bidi w:val="0"/>
        <w:spacing w:before="0" w:after="0" w:line="240" w:lineRule="auto"/>
        <w:ind w:left="0" w:right="0" w:firstLine="0"/>
        <w:jc w:val="left"/>
      </w:pPr>
      <w:r>
        <w:rPr>
          <w:color w:val="000000"/>
          <w:spacing w:val="0"/>
          <w:w w:val="100"/>
          <w:position w:val="0"/>
        </w:rPr>
        <w:t>承诺方</w:t>
      </w:r>
    </w:p>
    <w:p>
      <w:pPr>
        <w:pStyle w:val="Style27"/>
        <w:keepNext w:val="0"/>
        <w:keepLines w:val="0"/>
        <w:framePr w:w="763" w:h="235" w:wrap="none" w:hAnchor="page" w:x="9357" w:y="1303"/>
        <w:widowControl w:val="0"/>
        <w:pBdr>
          <w:top w:val="single" w:sz="0" w:space="0" w:color="CCE8CF"/>
          <w:left w:val="single" w:sz="0" w:space="0" w:color="CCE8CF"/>
          <w:bottom w:val="single" w:sz="0" w:space="0" w:color="CCE8CF"/>
          <w:right w:val="single" w:sz="0" w:space="0" w:color="CCE8CF"/>
        </w:pBdr>
        <w:shd w:val="clear" w:color="auto" w:fill="CCE8CF"/>
        <w:bidi w:val="0"/>
        <w:spacing w:before="0" w:after="0" w:line="240" w:lineRule="auto"/>
        <w:ind w:left="0" w:right="0" w:firstLine="0"/>
        <w:jc w:val="left"/>
      </w:pPr>
      <w:r>
        <w:rPr>
          <w:color w:val="000000"/>
          <w:spacing w:val="0"/>
          <w:w w:val="100"/>
          <w:position w:val="0"/>
        </w:rPr>
        <w:t>承诺内容</w:t>
      </w:r>
    </w:p>
    <w:p>
      <w:pPr>
        <w:pStyle w:val="Style27"/>
        <w:keepNext w:val="0"/>
        <w:keepLines w:val="0"/>
        <w:framePr w:w="758" w:h="235" w:wrap="none" w:hAnchor="page" w:x="12050" w:y="1303"/>
        <w:widowControl w:val="0"/>
        <w:pBdr>
          <w:top w:val="single" w:sz="0" w:space="0" w:color="CCE8CF"/>
          <w:left w:val="single" w:sz="0" w:space="0" w:color="CCE8CF"/>
          <w:bottom w:val="single" w:sz="0" w:space="0" w:color="CCE8CF"/>
          <w:right w:val="single" w:sz="0" w:space="0" w:color="CCE8CF"/>
        </w:pBdr>
        <w:shd w:val="clear" w:color="auto" w:fill="CCE8CF"/>
        <w:bidi w:val="0"/>
        <w:spacing w:before="0" w:after="0" w:line="240" w:lineRule="auto"/>
        <w:ind w:left="0" w:right="0" w:firstLine="0"/>
        <w:jc w:val="left"/>
      </w:pPr>
      <w:r>
        <w:rPr>
          <w:color w:val="000000"/>
          <w:spacing w:val="0"/>
          <w:w w:val="100"/>
          <w:position w:val="0"/>
        </w:rPr>
        <w:t>承诺时间</w:t>
      </w:r>
    </w:p>
    <w:p>
      <w:pPr>
        <w:pStyle w:val="Style27"/>
        <w:keepNext w:val="0"/>
        <w:keepLines w:val="0"/>
        <w:framePr w:w="758" w:h="235" w:wrap="none" w:hAnchor="page" w:x="13643" w:y="1303"/>
        <w:widowControl w:val="0"/>
        <w:pBdr>
          <w:top w:val="single" w:sz="0" w:space="0" w:color="CCE8CF"/>
          <w:left w:val="single" w:sz="0" w:space="0" w:color="CCE8CF"/>
          <w:bottom w:val="single" w:sz="0" w:space="0" w:color="CCE8CF"/>
          <w:right w:val="single" w:sz="0" w:space="0" w:color="CCE8CF"/>
        </w:pBdr>
        <w:shd w:val="clear" w:color="auto" w:fill="CCE8CF"/>
        <w:bidi w:val="0"/>
        <w:spacing w:before="0" w:after="0" w:line="240" w:lineRule="auto"/>
        <w:ind w:left="0" w:right="0" w:firstLine="0"/>
        <w:jc w:val="right"/>
      </w:pPr>
      <w:r>
        <w:rPr>
          <w:color w:val="000000"/>
          <w:spacing w:val="0"/>
          <w:w w:val="100"/>
          <w:position w:val="0"/>
        </w:rPr>
        <w:t>承诺期限</w:t>
      </w:r>
    </w:p>
    <w:p>
      <w:pPr>
        <w:pStyle w:val="Style27"/>
        <w:keepNext w:val="0"/>
        <w:keepLines w:val="0"/>
        <w:framePr w:w="758" w:h="240" w:wrap="none" w:hAnchor="page" w:x="15237" w:y="1303"/>
        <w:widowControl w:val="0"/>
        <w:pBdr>
          <w:top w:val="single" w:sz="0" w:space="0" w:color="CCE8CF"/>
          <w:left w:val="single" w:sz="0" w:space="0" w:color="CCE8CF"/>
          <w:bottom w:val="single" w:sz="0" w:space="0" w:color="CCE8CF"/>
          <w:right w:val="single" w:sz="0" w:space="0" w:color="CCE8CF"/>
        </w:pBdr>
        <w:shd w:val="clear" w:color="auto" w:fill="CCE8CF"/>
        <w:bidi w:val="0"/>
        <w:spacing w:before="0" w:after="0" w:line="240" w:lineRule="auto"/>
        <w:ind w:left="0" w:right="0" w:firstLine="0"/>
        <w:jc w:val="left"/>
      </w:pPr>
      <w:r>
        <w:rPr>
          <w:color w:val="000000"/>
          <w:spacing w:val="0"/>
          <w:w w:val="100"/>
          <w:position w:val="0"/>
        </w:rPr>
        <w:t>履行情况</w:t>
      </w:r>
    </w:p>
    <w:p>
      <w:pPr>
        <w:pStyle w:val="Style27"/>
        <w:keepNext w:val="0"/>
        <w:keepLines w:val="0"/>
        <w:framePr w:w="1118" w:h="235" w:wrap="none" w:hAnchor="page" w:x="1451" w:y="1706"/>
        <w:widowControl w:val="0"/>
        <w:pBdr>
          <w:top w:val="single" w:sz="0" w:space="0" w:color="CCE8CF"/>
          <w:left w:val="single" w:sz="0" w:space="0" w:color="CCE8CF"/>
          <w:bottom w:val="single" w:sz="0" w:space="0" w:color="CCE8CF"/>
          <w:right w:val="single" w:sz="0" w:space="0" w:color="CCE8CF"/>
        </w:pBdr>
        <w:shd w:val="clear" w:color="auto" w:fill="CCE8CF"/>
        <w:bidi w:val="0"/>
        <w:spacing w:before="0" w:after="0" w:line="240" w:lineRule="auto"/>
        <w:ind w:left="0" w:right="0" w:firstLine="0"/>
        <w:jc w:val="left"/>
      </w:pPr>
      <w:r>
        <w:rPr>
          <w:color w:val="000000"/>
          <w:spacing w:val="0"/>
          <w:w w:val="100"/>
          <w:position w:val="0"/>
        </w:rPr>
        <w:t>股权激励承诺</w:t>
      </w:r>
    </w:p>
    <w:p>
      <w:pPr>
        <w:pStyle w:val="Style27"/>
        <w:keepNext w:val="0"/>
        <w:keepLines w:val="0"/>
        <w:framePr w:w="581" w:h="230" w:wrap="none" w:hAnchor="page" w:x="4643" w:y="1711"/>
        <w:widowControl w:val="0"/>
        <w:pBdr>
          <w:top w:val="single" w:sz="0" w:space="0" w:color="CCE8CF"/>
          <w:left w:val="single" w:sz="0" w:space="0" w:color="CCE8CF"/>
          <w:bottom w:val="single" w:sz="0" w:space="0" w:color="CCE8CF"/>
          <w:right w:val="single" w:sz="0" w:space="0" w:color="CCE8CF"/>
        </w:pBdr>
        <w:shd w:val="clear" w:color="auto" w:fill="CCE8CF"/>
        <w:bidi w:val="0"/>
        <w:spacing w:before="0" w:after="0" w:line="240" w:lineRule="auto"/>
        <w:ind w:left="0" w:right="0" w:firstLine="0"/>
        <w:jc w:val="left"/>
      </w:pPr>
      <w:r>
        <w:rPr>
          <w:color w:val="000000"/>
          <w:spacing w:val="0"/>
          <w:w w:val="100"/>
          <w:position w:val="0"/>
        </w:rPr>
        <w:t>不适用</w:t>
      </w:r>
    </w:p>
    <w:p>
      <w:pPr>
        <w:pStyle w:val="Style27"/>
        <w:keepNext w:val="0"/>
        <w:keepLines w:val="0"/>
        <w:framePr w:w="581" w:h="230" w:wrap="none" w:hAnchor="page" w:x="7687" w:y="1711"/>
        <w:widowControl w:val="0"/>
        <w:pBdr>
          <w:top w:val="single" w:sz="0" w:space="0" w:color="CCE8CF"/>
          <w:left w:val="single" w:sz="0" w:space="0" w:color="CCE8CF"/>
          <w:bottom w:val="single" w:sz="0" w:space="0" w:color="CCE8CF"/>
          <w:right w:val="single" w:sz="0" w:space="0" w:color="CCE8CF"/>
        </w:pBdr>
        <w:shd w:val="clear" w:color="auto" w:fill="CCE8CF"/>
        <w:bidi w:val="0"/>
        <w:spacing w:before="0" w:after="0" w:line="240" w:lineRule="auto"/>
        <w:ind w:left="0" w:right="0" w:firstLine="0"/>
        <w:jc w:val="left"/>
      </w:pPr>
      <w:r>
        <w:rPr>
          <w:color w:val="000000"/>
          <w:spacing w:val="0"/>
          <w:w w:val="100"/>
          <w:position w:val="0"/>
        </w:rPr>
        <w:t>不适用</w:t>
      </w:r>
    </w:p>
    <w:p>
      <w:pPr>
        <w:pStyle w:val="Style27"/>
        <w:keepNext w:val="0"/>
        <w:keepLines w:val="0"/>
        <w:framePr w:w="576" w:h="230" w:wrap="none" w:hAnchor="page" w:x="11800" w:y="1711"/>
        <w:widowControl w:val="0"/>
        <w:pBdr>
          <w:top w:val="single" w:sz="0" w:space="0" w:color="CCE8CF"/>
          <w:left w:val="single" w:sz="0" w:space="0" w:color="CCE8CF"/>
          <w:bottom w:val="single" w:sz="0" w:space="0" w:color="CCE8CF"/>
          <w:right w:val="single" w:sz="0" w:space="0" w:color="CCE8CF"/>
        </w:pBdr>
        <w:shd w:val="clear" w:color="auto" w:fill="CCE8CF"/>
        <w:bidi w:val="0"/>
        <w:spacing w:before="0" w:after="0" w:line="240" w:lineRule="auto"/>
        <w:ind w:left="0" w:right="0" w:firstLine="0"/>
        <w:jc w:val="left"/>
      </w:pPr>
      <w:r>
        <w:rPr>
          <w:color w:val="000000"/>
          <w:spacing w:val="0"/>
          <w:w w:val="100"/>
          <w:position w:val="0"/>
        </w:rPr>
        <w:t>不适用</w:t>
      </w:r>
    </w:p>
    <w:p>
      <w:pPr>
        <w:pStyle w:val="Style27"/>
        <w:keepNext w:val="0"/>
        <w:keepLines w:val="0"/>
        <w:framePr w:w="566" w:h="230" w:wrap="none" w:hAnchor="page" w:x="13077" w:y="1711"/>
        <w:widowControl w:val="0"/>
        <w:pBdr>
          <w:top w:val="single" w:sz="0" w:space="0" w:color="CCE8CF"/>
          <w:left w:val="single" w:sz="0" w:space="0" w:color="CCE8CF"/>
          <w:bottom w:val="single" w:sz="0" w:space="0" w:color="CCE8CF"/>
          <w:right w:val="single" w:sz="0" w:space="0" w:color="CCE8CF"/>
        </w:pBdr>
        <w:shd w:val="clear" w:color="auto" w:fill="CCE8CF"/>
        <w:bidi w:val="0"/>
        <w:spacing w:before="0" w:after="0" w:line="240" w:lineRule="auto"/>
        <w:ind w:left="0" w:right="0" w:firstLine="0"/>
        <w:jc w:val="left"/>
      </w:pPr>
      <w:r>
        <w:rPr>
          <w:color w:val="000000"/>
          <w:spacing w:val="0"/>
          <w:w w:val="100"/>
          <w:position w:val="0"/>
        </w:rPr>
        <w:t>不适用</w:t>
      </w:r>
    </w:p>
    <w:p>
      <w:pPr>
        <w:pStyle w:val="Style27"/>
        <w:keepNext w:val="0"/>
        <w:keepLines w:val="0"/>
        <w:framePr w:w="576" w:h="230" w:wrap="none" w:hAnchor="page" w:x="14992" w:y="1711"/>
        <w:widowControl w:val="0"/>
        <w:pBdr>
          <w:top w:val="single" w:sz="0" w:space="0" w:color="CCE8CF"/>
          <w:left w:val="single" w:sz="0" w:space="0" w:color="CCE8CF"/>
          <w:bottom w:val="single" w:sz="0" w:space="0" w:color="CCE8CF"/>
          <w:right w:val="single" w:sz="0" w:space="0" w:color="CCE8CF"/>
        </w:pBdr>
        <w:shd w:val="clear" w:color="auto" w:fill="CCE8CF"/>
        <w:bidi w:val="0"/>
        <w:spacing w:before="0" w:after="0" w:line="240" w:lineRule="auto"/>
        <w:ind w:left="0" w:right="0" w:firstLine="0"/>
        <w:jc w:val="left"/>
      </w:pPr>
      <w:r>
        <w:rPr>
          <w:color w:val="000000"/>
          <w:spacing w:val="0"/>
          <w:w w:val="100"/>
          <w:position w:val="0"/>
        </w:rPr>
        <w:t>不适用</w:t>
      </w:r>
    </w:p>
    <w:p>
      <w:pPr>
        <w:pStyle w:val="Style27"/>
        <w:keepNext w:val="0"/>
        <w:keepLines w:val="0"/>
        <w:framePr w:w="3101" w:h="634" w:wrap="none" w:hAnchor="page" w:x="1451" w:y="2018"/>
        <w:widowControl w:val="0"/>
        <w:pBdr>
          <w:top w:val="single" w:sz="0" w:space="0" w:color="CCE8CF"/>
          <w:left w:val="single" w:sz="0" w:space="0" w:color="CCE8CF"/>
          <w:bottom w:val="single" w:sz="0" w:space="0" w:color="CCE8CF"/>
          <w:right w:val="single" w:sz="0" w:space="0" w:color="CCE8CF"/>
        </w:pBdr>
        <w:shd w:val="clear" w:color="auto" w:fill="CCE8CF"/>
        <w:bidi w:val="0"/>
        <w:spacing w:before="0" w:after="0" w:line="307" w:lineRule="exact"/>
        <w:ind w:left="0" w:right="0" w:firstLine="0"/>
        <w:jc w:val="left"/>
      </w:pPr>
      <w:r>
        <w:rPr>
          <w:color w:val="000000"/>
          <w:spacing w:val="0"/>
          <w:w w:val="100"/>
          <w:position w:val="0"/>
        </w:rPr>
        <w:t>收购报告书或权益变动报告书中所作承 诺</w:t>
      </w:r>
    </w:p>
    <w:p>
      <w:pPr>
        <w:pStyle w:val="Style27"/>
        <w:keepNext w:val="0"/>
        <w:keepLines w:val="0"/>
        <w:framePr w:w="581" w:h="230" w:wrap="none" w:hAnchor="page" w:x="4643" w:y="2267"/>
        <w:widowControl w:val="0"/>
        <w:pBdr>
          <w:top w:val="single" w:sz="0" w:space="0" w:color="CCE8CF"/>
          <w:left w:val="single" w:sz="0" w:space="0" w:color="CCE8CF"/>
          <w:bottom w:val="single" w:sz="0" w:space="0" w:color="CCE8CF"/>
          <w:right w:val="single" w:sz="0" w:space="0" w:color="CCE8CF"/>
        </w:pBdr>
        <w:shd w:val="clear" w:color="auto" w:fill="CCE8CF"/>
        <w:bidi w:val="0"/>
        <w:spacing w:before="0" w:after="0" w:line="240" w:lineRule="auto"/>
        <w:ind w:left="0" w:right="0" w:firstLine="0"/>
        <w:jc w:val="left"/>
      </w:pPr>
      <w:r>
        <w:rPr>
          <w:color w:val="000000"/>
          <w:spacing w:val="0"/>
          <w:w w:val="100"/>
          <w:position w:val="0"/>
        </w:rPr>
        <w:t>不适用</w:t>
      </w:r>
    </w:p>
    <w:p>
      <w:pPr>
        <w:pStyle w:val="Style27"/>
        <w:keepNext w:val="0"/>
        <w:keepLines w:val="0"/>
        <w:framePr w:w="581" w:h="230" w:wrap="none" w:hAnchor="page" w:x="7687" w:y="2267"/>
        <w:widowControl w:val="0"/>
        <w:pBdr>
          <w:top w:val="single" w:sz="0" w:space="0" w:color="CCE8CF"/>
          <w:left w:val="single" w:sz="0" w:space="0" w:color="CCE8CF"/>
          <w:bottom w:val="single" w:sz="0" w:space="0" w:color="CCE8CF"/>
          <w:right w:val="single" w:sz="0" w:space="0" w:color="CCE8CF"/>
        </w:pBdr>
        <w:shd w:val="clear" w:color="auto" w:fill="CCE8CF"/>
        <w:bidi w:val="0"/>
        <w:spacing w:before="0" w:after="0" w:line="240" w:lineRule="auto"/>
        <w:ind w:left="0" w:right="0" w:firstLine="0"/>
        <w:jc w:val="left"/>
      </w:pPr>
      <w:r>
        <w:rPr>
          <w:color w:val="000000"/>
          <w:spacing w:val="0"/>
          <w:w w:val="100"/>
          <w:position w:val="0"/>
        </w:rPr>
        <w:t>不适用</w:t>
      </w:r>
    </w:p>
    <w:p>
      <w:pPr>
        <w:pStyle w:val="Style27"/>
        <w:keepNext w:val="0"/>
        <w:keepLines w:val="0"/>
        <w:framePr w:w="576" w:h="230" w:wrap="none" w:hAnchor="page" w:x="11800" w:y="2267"/>
        <w:widowControl w:val="0"/>
        <w:pBdr>
          <w:top w:val="single" w:sz="0" w:space="0" w:color="CCE8CF"/>
          <w:left w:val="single" w:sz="0" w:space="0" w:color="CCE8CF"/>
          <w:bottom w:val="single" w:sz="0" w:space="0" w:color="CCE8CF"/>
          <w:right w:val="single" w:sz="0" w:space="0" w:color="CCE8CF"/>
        </w:pBdr>
        <w:shd w:val="clear" w:color="auto" w:fill="CCE8CF"/>
        <w:bidi w:val="0"/>
        <w:spacing w:before="0" w:after="0" w:line="240" w:lineRule="auto"/>
        <w:ind w:left="0" w:right="0" w:firstLine="0"/>
        <w:jc w:val="left"/>
      </w:pPr>
      <w:r>
        <w:rPr>
          <w:color w:val="000000"/>
          <w:spacing w:val="0"/>
          <w:w w:val="100"/>
          <w:position w:val="0"/>
        </w:rPr>
        <w:t>不适用</w:t>
      </w:r>
    </w:p>
    <w:p>
      <w:pPr>
        <w:pStyle w:val="Style27"/>
        <w:keepNext w:val="0"/>
        <w:keepLines w:val="0"/>
        <w:framePr w:w="566" w:h="230" w:wrap="none" w:hAnchor="page" w:x="13077" w:y="2267"/>
        <w:widowControl w:val="0"/>
        <w:pBdr>
          <w:top w:val="single" w:sz="0" w:space="0" w:color="CCE8CF"/>
          <w:left w:val="single" w:sz="0" w:space="0" w:color="CCE8CF"/>
          <w:bottom w:val="single" w:sz="0" w:space="0" w:color="CCE8CF"/>
          <w:right w:val="single" w:sz="0" w:space="0" w:color="CCE8CF"/>
        </w:pBdr>
        <w:shd w:val="clear" w:color="auto" w:fill="CCE8CF"/>
        <w:bidi w:val="0"/>
        <w:spacing w:before="0" w:after="0" w:line="240" w:lineRule="auto"/>
        <w:ind w:left="0" w:right="0" w:firstLine="0"/>
        <w:jc w:val="left"/>
      </w:pPr>
      <w:r>
        <w:rPr>
          <w:color w:val="000000"/>
          <w:spacing w:val="0"/>
          <w:w w:val="100"/>
          <w:position w:val="0"/>
        </w:rPr>
        <w:t>不适用</w:t>
      </w:r>
    </w:p>
    <w:p>
      <w:pPr>
        <w:pStyle w:val="Style27"/>
        <w:keepNext w:val="0"/>
        <w:keepLines w:val="0"/>
        <w:framePr w:w="576" w:h="230" w:wrap="none" w:hAnchor="page" w:x="14992" w:y="2267"/>
        <w:widowControl w:val="0"/>
        <w:pBdr>
          <w:top w:val="single" w:sz="0" w:space="0" w:color="CCE8CF"/>
          <w:left w:val="single" w:sz="0" w:space="0" w:color="CCE8CF"/>
          <w:bottom w:val="single" w:sz="0" w:space="0" w:color="CCE8CF"/>
          <w:right w:val="single" w:sz="0" w:space="0" w:color="CCE8CF"/>
        </w:pBdr>
        <w:shd w:val="clear" w:color="auto" w:fill="CCE8CF"/>
        <w:bidi w:val="0"/>
        <w:spacing w:before="0" w:after="0" w:line="240" w:lineRule="auto"/>
        <w:ind w:left="0" w:right="0" w:firstLine="0"/>
        <w:jc w:val="left"/>
      </w:pPr>
      <w:r>
        <w:rPr>
          <w:color w:val="000000"/>
          <w:spacing w:val="0"/>
          <w:w w:val="100"/>
          <w:position w:val="0"/>
        </w:rPr>
        <w:t>不适用</w:t>
      </w:r>
    </w:p>
    <w:p>
      <w:pPr>
        <w:pStyle w:val="Style27"/>
        <w:keepNext w:val="0"/>
        <w:keepLines w:val="0"/>
        <w:framePr w:w="1656" w:h="230" w:wrap="none" w:hAnchor="page" w:x="1456" w:y="2819"/>
        <w:widowControl w:val="0"/>
        <w:pBdr>
          <w:top w:val="single" w:sz="0" w:space="0" w:color="CCE8CF"/>
          <w:left w:val="single" w:sz="0" w:space="0" w:color="CCE8CF"/>
          <w:bottom w:val="single" w:sz="0" w:space="0" w:color="CCE8CF"/>
          <w:right w:val="single" w:sz="0" w:space="0" w:color="CCE8CF"/>
        </w:pBdr>
        <w:shd w:val="clear" w:color="auto" w:fill="CCE8CF"/>
        <w:bidi w:val="0"/>
        <w:spacing w:before="0" w:after="0" w:line="240" w:lineRule="auto"/>
        <w:ind w:left="0" w:right="0" w:firstLine="0"/>
        <w:jc w:val="left"/>
      </w:pPr>
      <w:r>
        <w:rPr>
          <w:color w:val="000000"/>
          <w:spacing w:val="0"/>
          <w:w w:val="100"/>
          <w:position w:val="0"/>
        </w:rPr>
        <w:t>资产重组时所作承诺</w:t>
      </w:r>
    </w:p>
    <w:p>
      <w:pPr>
        <w:pStyle w:val="Style27"/>
        <w:keepNext w:val="0"/>
        <w:keepLines w:val="0"/>
        <w:framePr w:w="581" w:h="230" w:wrap="none" w:hAnchor="page" w:x="4643" w:y="2824"/>
        <w:widowControl w:val="0"/>
        <w:pBdr>
          <w:top w:val="single" w:sz="0" w:space="0" w:color="CCE8CF"/>
          <w:left w:val="single" w:sz="0" w:space="0" w:color="CCE8CF"/>
          <w:bottom w:val="single" w:sz="0" w:space="0" w:color="CCE8CF"/>
          <w:right w:val="single" w:sz="0" w:space="0" w:color="CCE8CF"/>
        </w:pBdr>
        <w:shd w:val="clear" w:color="auto" w:fill="CCE8CF"/>
        <w:bidi w:val="0"/>
        <w:spacing w:before="0" w:after="0" w:line="240" w:lineRule="auto"/>
        <w:ind w:left="0" w:right="0" w:firstLine="0"/>
        <w:jc w:val="left"/>
      </w:pPr>
      <w:r>
        <w:rPr>
          <w:color w:val="000000"/>
          <w:spacing w:val="0"/>
          <w:w w:val="100"/>
          <w:position w:val="0"/>
        </w:rPr>
        <w:t>不适用</w:t>
      </w:r>
    </w:p>
    <w:p>
      <w:pPr>
        <w:pStyle w:val="Style27"/>
        <w:keepNext w:val="0"/>
        <w:keepLines w:val="0"/>
        <w:framePr w:w="581" w:h="230" w:wrap="none" w:hAnchor="page" w:x="7687" w:y="2824"/>
        <w:widowControl w:val="0"/>
        <w:pBdr>
          <w:top w:val="single" w:sz="0" w:space="0" w:color="CCE8CF"/>
          <w:left w:val="single" w:sz="0" w:space="0" w:color="CCE8CF"/>
          <w:bottom w:val="single" w:sz="0" w:space="0" w:color="CCE8CF"/>
          <w:right w:val="single" w:sz="0" w:space="0" w:color="CCE8CF"/>
        </w:pBdr>
        <w:shd w:val="clear" w:color="auto" w:fill="CCE8CF"/>
        <w:bidi w:val="0"/>
        <w:spacing w:before="0" w:after="0" w:line="240" w:lineRule="auto"/>
        <w:ind w:left="0" w:right="0" w:firstLine="0"/>
        <w:jc w:val="left"/>
      </w:pPr>
      <w:r>
        <w:rPr>
          <w:color w:val="000000"/>
          <w:spacing w:val="0"/>
          <w:w w:val="100"/>
          <w:position w:val="0"/>
        </w:rPr>
        <w:t>不适用</w:t>
      </w:r>
    </w:p>
    <w:p>
      <w:pPr>
        <w:pStyle w:val="Style27"/>
        <w:keepNext w:val="0"/>
        <w:keepLines w:val="0"/>
        <w:framePr w:w="576" w:h="230" w:wrap="none" w:hAnchor="page" w:x="11800" w:y="2824"/>
        <w:widowControl w:val="0"/>
        <w:pBdr>
          <w:top w:val="single" w:sz="0" w:space="0" w:color="CCE8CF"/>
          <w:left w:val="single" w:sz="0" w:space="0" w:color="CCE8CF"/>
          <w:bottom w:val="single" w:sz="0" w:space="0" w:color="CCE8CF"/>
          <w:right w:val="single" w:sz="0" w:space="0" w:color="CCE8CF"/>
        </w:pBdr>
        <w:shd w:val="clear" w:color="auto" w:fill="CCE8CF"/>
        <w:bidi w:val="0"/>
        <w:spacing w:before="0" w:after="0" w:line="240" w:lineRule="auto"/>
        <w:ind w:left="0" w:right="0" w:firstLine="0"/>
        <w:jc w:val="left"/>
      </w:pPr>
      <w:r>
        <w:rPr>
          <w:color w:val="000000"/>
          <w:spacing w:val="0"/>
          <w:w w:val="100"/>
          <w:position w:val="0"/>
        </w:rPr>
        <w:t>不适用</w:t>
      </w:r>
    </w:p>
    <w:p>
      <w:pPr>
        <w:pStyle w:val="Style27"/>
        <w:keepNext w:val="0"/>
        <w:keepLines w:val="0"/>
        <w:framePr w:w="566" w:h="230" w:wrap="none" w:hAnchor="page" w:x="13077" w:y="2824"/>
        <w:widowControl w:val="0"/>
        <w:pBdr>
          <w:top w:val="single" w:sz="0" w:space="0" w:color="CCE8CF"/>
          <w:left w:val="single" w:sz="0" w:space="0" w:color="CCE8CF"/>
          <w:bottom w:val="single" w:sz="0" w:space="0" w:color="CCE8CF"/>
          <w:right w:val="single" w:sz="0" w:space="0" w:color="CCE8CF"/>
        </w:pBdr>
        <w:shd w:val="clear" w:color="auto" w:fill="CCE8CF"/>
        <w:bidi w:val="0"/>
        <w:spacing w:before="0" w:after="0" w:line="240" w:lineRule="auto"/>
        <w:ind w:left="0" w:right="0" w:firstLine="0"/>
        <w:jc w:val="left"/>
      </w:pPr>
      <w:r>
        <w:rPr>
          <w:color w:val="000000"/>
          <w:spacing w:val="0"/>
          <w:w w:val="100"/>
          <w:position w:val="0"/>
        </w:rPr>
        <w:t>不适用</w:t>
      </w:r>
    </w:p>
    <w:p>
      <w:pPr>
        <w:pStyle w:val="Style27"/>
        <w:keepNext w:val="0"/>
        <w:keepLines w:val="0"/>
        <w:framePr w:w="576" w:h="230" w:wrap="none" w:hAnchor="page" w:x="14992" w:y="2824"/>
        <w:widowControl w:val="0"/>
        <w:pBdr>
          <w:top w:val="single" w:sz="0" w:space="0" w:color="CCE8CF"/>
          <w:left w:val="single" w:sz="0" w:space="0" w:color="CCE8CF"/>
          <w:bottom w:val="single" w:sz="0" w:space="0" w:color="CCE8CF"/>
          <w:right w:val="single" w:sz="0" w:space="0" w:color="CCE8CF"/>
        </w:pBdr>
        <w:shd w:val="clear" w:color="auto" w:fill="CCE8CF"/>
        <w:bidi w:val="0"/>
        <w:spacing w:before="0" w:after="0" w:line="240" w:lineRule="auto"/>
        <w:ind w:left="0" w:right="0" w:firstLine="0"/>
        <w:jc w:val="left"/>
      </w:pPr>
      <w:r>
        <w:rPr>
          <w:color w:val="000000"/>
          <w:spacing w:val="0"/>
          <w:w w:val="100"/>
          <w:position w:val="0"/>
        </w:rPr>
        <w:t>不适用</w:t>
      </w:r>
    </w:p>
    <w:p>
      <w:pPr>
        <w:pStyle w:val="Style27"/>
        <w:keepNext w:val="0"/>
        <w:keepLines w:val="0"/>
        <w:framePr w:w="2741" w:h="235" w:wrap="none" w:hAnchor="page" w:x="1451" w:y="6208"/>
        <w:widowControl w:val="0"/>
        <w:pBdr>
          <w:top w:val="single" w:sz="0" w:space="0" w:color="CCE8CF"/>
          <w:left w:val="single" w:sz="0" w:space="0" w:color="CCE8CF"/>
          <w:bottom w:val="single" w:sz="0" w:space="0" w:color="CCE8CF"/>
          <w:right w:val="single" w:sz="0" w:space="0" w:color="CCE8CF"/>
        </w:pBdr>
        <w:shd w:val="clear" w:color="auto" w:fill="CCE8CF"/>
        <w:bidi w:val="0"/>
        <w:spacing w:before="0" w:after="0" w:line="240" w:lineRule="auto"/>
        <w:ind w:left="0" w:right="0" w:firstLine="0"/>
        <w:jc w:val="left"/>
      </w:pPr>
      <w:r>
        <w:rPr>
          <w:color w:val="000000"/>
          <w:spacing w:val="0"/>
          <w:w w:val="100"/>
          <w:position w:val="0"/>
        </w:rPr>
        <w:t>首次公开发行或再融资时所作承诺</w:t>
      </w:r>
    </w:p>
    <w:p>
      <w:pPr>
        <w:pStyle w:val="Style27"/>
        <w:keepNext w:val="0"/>
        <w:keepLines w:val="0"/>
        <w:framePr w:w="3034" w:h="1262" w:wrap="none" w:hAnchor="page" w:x="4643" w:y="5469"/>
        <w:widowControl w:val="0"/>
        <w:pBdr>
          <w:top w:val="single" w:sz="0" w:space="0" w:color="CCE8CF"/>
          <w:left w:val="single" w:sz="0" w:space="0" w:color="CCE8CF"/>
          <w:bottom w:val="single" w:sz="0" w:space="0" w:color="CCE8CF"/>
          <w:right w:val="single" w:sz="0" w:space="0" w:color="CCE8CF"/>
        </w:pBdr>
        <w:shd w:val="clear" w:color="auto" w:fill="CCE8CF"/>
        <w:bidi w:val="0"/>
        <w:spacing w:before="0" w:after="0" w:line="310" w:lineRule="exact"/>
        <w:ind w:left="0" w:right="0" w:firstLine="0"/>
        <w:jc w:val="both"/>
      </w:pPr>
      <w:r>
        <w:rPr>
          <w:color w:val="000000"/>
          <w:spacing w:val="0"/>
          <w:w w:val="100"/>
          <w:position w:val="0"/>
        </w:rPr>
        <w:t>公司控股股东及实际控制人柯宗庆、柯 宗贵兄弟二人、公司股东马美容、黄泽 华、柯瑞强、石河子欣晟以及石河子欣 晟股东柯端霞、柯瑞坤、陈文浩</w:t>
      </w:r>
    </w:p>
    <w:p>
      <w:pPr>
        <w:pStyle w:val="Style27"/>
        <w:keepNext w:val="0"/>
        <w:keepLines w:val="0"/>
        <w:framePr w:w="2376" w:h="235" w:wrap="none" w:hAnchor="page" w:x="4648" w:y="6851"/>
        <w:widowControl w:val="0"/>
        <w:pBdr>
          <w:top w:val="single" w:sz="0" w:space="0" w:color="CCE8CF"/>
          <w:left w:val="single" w:sz="0" w:space="0" w:color="CCE8CF"/>
          <w:bottom w:val="single" w:sz="0" w:space="0" w:color="CCE8CF"/>
          <w:right w:val="single" w:sz="0" w:space="0" w:color="CCE8CF"/>
        </w:pBdr>
        <w:shd w:val="clear" w:color="auto" w:fill="CCE8CF"/>
        <w:bidi w:val="0"/>
        <w:spacing w:before="0" w:after="0" w:line="240" w:lineRule="auto"/>
        <w:ind w:left="0" w:right="0" w:firstLine="0"/>
        <w:jc w:val="left"/>
      </w:pPr>
      <w:r>
        <w:rPr>
          <w:color w:val="000000"/>
          <w:spacing w:val="0"/>
          <w:w w:val="100"/>
          <w:position w:val="0"/>
        </w:rPr>
        <w:t>公司其他股东王廉君、李根森</w:t>
      </w:r>
    </w:p>
    <w:p>
      <w:pPr>
        <w:pStyle w:val="Style27"/>
        <w:keepNext w:val="0"/>
        <w:keepLines w:val="0"/>
        <w:framePr w:w="4099" w:h="2203" w:wrap="none" w:hAnchor="page" w:x="7687" w:y="3127"/>
        <w:widowControl w:val="0"/>
        <w:pBdr>
          <w:top w:val="single" w:sz="0" w:space="0" w:color="CCE8CF"/>
          <w:left w:val="single" w:sz="0" w:space="0" w:color="CCE8CF"/>
          <w:bottom w:val="single" w:sz="0" w:space="0" w:color="CCE8CF"/>
          <w:right w:val="single" w:sz="0" w:space="0" w:color="CCE8CF"/>
        </w:pBdr>
        <w:shd w:val="clear" w:color="auto" w:fill="CCE8CF"/>
        <w:bidi w:val="0"/>
        <w:spacing w:before="0" w:after="0" w:line="312" w:lineRule="exact"/>
        <w:ind w:left="0" w:right="0" w:firstLine="360"/>
        <w:jc w:val="both"/>
      </w:pPr>
      <w:r>
        <w:rPr>
          <w:color w:val="000000"/>
          <w:spacing w:val="0"/>
          <w:w w:val="100"/>
          <w:position w:val="0"/>
        </w:rPr>
        <w:t>公司控股股东及实际控制人柯宗庆、柯宗贵兄弟 二人、公司股东马美容、黄泽华、柯瑞强、石河子欣 晟以及石河子欣晟股东柯端霞、柯瑞坤、陈文浩分别 承诺：自公司首次公开发行的股票在证券交易所上市 之日起三十六个月内，不转让或者委托他人管理其在 公司首次公开发行股票前所直接和间接持有的公司 股份，也不由公司回购其所持有的该等股份。</w:t>
      </w:r>
    </w:p>
    <w:p>
      <w:pPr>
        <w:pStyle w:val="Style27"/>
        <w:keepNext w:val="0"/>
        <w:keepLines w:val="0"/>
        <w:framePr w:w="4099" w:h="1579" w:wrap="none" w:hAnchor="page" w:x="7687" w:y="5349"/>
        <w:widowControl w:val="0"/>
        <w:pBdr>
          <w:top w:val="single" w:sz="0" w:space="0" w:color="CCE8CF"/>
          <w:left w:val="single" w:sz="0" w:space="0" w:color="CCE8CF"/>
          <w:bottom w:val="single" w:sz="0" w:space="0" w:color="CCE8CF"/>
          <w:right w:val="single" w:sz="0" w:space="0" w:color="CCE8CF"/>
        </w:pBdr>
        <w:shd w:val="clear" w:color="auto" w:fill="CCE8CF"/>
        <w:bidi w:val="0"/>
        <w:spacing w:before="0" w:after="0" w:line="312" w:lineRule="exact"/>
        <w:ind w:left="0" w:right="0" w:firstLine="360"/>
        <w:jc w:val="both"/>
      </w:pPr>
      <w:r>
        <w:rPr>
          <w:color w:val="000000"/>
          <w:spacing w:val="0"/>
          <w:w w:val="100"/>
          <w:position w:val="0"/>
        </w:rPr>
        <w:t>公司其他股东王廉君、李根森分别承诺：自公司 首次公开发行的股票在证券交易所上市之日起十二 个月内，不转让或者委托他人管理其在公司首次公开 发行股票前所持有的公司股份,也不由公司回购其所 持有的该等股份。</w:t>
      </w:r>
    </w:p>
    <w:p>
      <w:pPr>
        <w:pStyle w:val="Style50"/>
        <w:keepNext w:val="0"/>
        <w:keepLines w:val="0"/>
        <w:framePr w:w="893" w:h="226" w:wrap="none" w:hAnchor="page" w:x="11978" w:y="6218"/>
        <w:widowControl w:val="0"/>
        <w:pBdr>
          <w:top w:val="single" w:sz="0" w:space="0" w:color="CCE8CF"/>
          <w:left w:val="single" w:sz="0" w:space="0" w:color="CCE8CF"/>
          <w:bottom w:val="single" w:sz="0" w:space="0" w:color="CCE8CF"/>
          <w:right w:val="single" w:sz="0" w:space="0" w:color="CCE8CF"/>
        </w:pBdr>
        <w:shd w:val="clear" w:color="auto" w:fill="CCE8CF"/>
        <w:bidi w:val="0"/>
        <w:spacing w:before="0" w:after="0" w:line="240" w:lineRule="auto"/>
        <w:ind w:left="0" w:right="0" w:firstLine="0"/>
        <w:jc w:val="right"/>
      </w:pPr>
      <w:r>
        <w:rPr>
          <w:color w:val="000000"/>
          <w:spacing w:val="0"/>
          <w:w w:val="100"/>
          <w:position w:val="0"/>
        </w:rPr>
        <w:t>2012-03-15</w:t>
      </w:r>
    </w:p>
    <w:p>
      <w:pPr>
        <w:pStyle w:val="Style27"/>
        <w:keepNext w:val="0"/>
        <w:keepLines w:val="0"/>
        <w:framePr w:w="4099" w:h="2515" w:wrap="none" w:hAnchor="page" w:x="7682" w:y="6952"/>
        <w:widowControl w:val="0"/>
        <w:pBdr>
          <w:top w:val="single" w:sz="0" w:space="0" w:color="CCE8CF"/>
          <w:left w:val="single" w:sz="0" w:space="0" w:color="CCE8CF"/>
          <w:bottom w:val="single" w:sz="0" w:space="0" w:color="CCE8CF"/>
          <w:right w:val="single" w:sz="0" w:space="0" w:color="CCE8CF"/>
        </w:pBdr>
        <w:shd w:val="clear" w:color="auto" w:fill="CCE8CF"/>
        <w:bidi w:val="0"/>
        <w:spacing w:before="0" w:after="0" w:line="311" w:lineRule="exact"/>
        <w:ind w:left="0" w:right="0" w:firstLine="380"/>
        <w:jc w:val="both"/>
      </w:pPr>
      <w:r>
        <w:rPr>
          <w:color w:val="000000"/>
          <w:spacing w:val="0"/>
          <w:w w:val="100"/>
          <w:position w:val="0"/>
        </w:rPr>
        <w:t>上述锁定期满后，担任公司董事、监事及高级管 理人员的股东同时承诺：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、在任职期间内每年转让 的公司股份不超过其所直接和间接持有公司股份总 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；离职后半年内，不转让其所直接和间接 持有的公司股份。</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、在公司公开发行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股并在创业 板上市之日起六个月内申报离职的，自申报离职之日 起十八个月内不转让本人直接持有的公司股份;在公 司公开发行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股并在创业板上市之日起第七个月至</w:t>
      </w:r>
    </w:p>
    <w:p>
      <w:pPr>
        <w:pStyle w:val="Style27"/>
        <w:keepNext w:val="0"/>
        <w:keepLines w:val="0"/>
        <w:framePr w:w="1838" w:h="2203" w:wrap="none" w:hAnchor="page" w:x="13077" w:y="5176"/>
        <w:widowControl w:val="0"/>
        <w:pBdr>
          <w:top w:val="single" w:sz="0" w:space="0" w:color="CCE8CF"/>
          <w:left w:val="single" w:sz="0" w:space="0" w:color="CCE8CF"/>
          <w:bottom w:val="single" w:sz="0" w:space="0" w:color="CCE8CF"/>
          <w:right w:val="single" w:sz="0" w:space="0" w:color="CCE8CF"/>
        </w:pBdr>
        <w:shd w:val="clear" w:color="auto" w:fill="CCE8CF"/>
        <w:bidi w:val="0"/>
        <w:spacing w:before="0" w:after="0" w:line="313" w:lineRule="exact"/>
        <w:ind w:left="0" w:right="0" w:firstLine="0"/>
        <w:jc w:val="both"/>
      </w:pPr>
      <w:r>
        <w:rPr>
          <w:color w:val="000000"/>
          <w:spacing w:val="0"/>
          <w:w w:val="100"/>
          <w:position w:val="0"/>
        </w:rPr>
        <w:t>股份锁定承诺期限：自 公司股票上市之日起三 十六个月内；及自公司 股票上市之日起十二个 月内；</w:t>
      </w:r>
    </w:p>
    <w:p>
      <w:pPr>
        <w:pStyle w:val="Style27"/>
        <w:keepNext w:val="0"/>
        <w:keepLines w:val="0"/>
        <w:framePr w:w="1838" w:h="2203" w:wrap="none" w:hAnchor="page" w:x="13077" w:y="5176"/>
        <w:widowControl w:val="0"/>
        <w:pBdr>
          <w:top w:val="single" w:sz="0" w:space="0" w:color="CCE8CF"/>
          <w:left w:val="single" w:sz="0" w:space="0" w:color="CCE8CF"/>
          <w:bottom w:val="single" w:sz="0" w:space="0" w:color="CCE8CF"/>
          <w:right w:val="single" w:sz="0" w:space="0" w:color="CCE8CF"/>
        </w:pBdr>
        <w:shd w:val="clear" w:color="auto" w:fill="CCE8CF"/>
        <w:bidi w:val="0"/>
        <w:spacing w:before="0" w:after="0" w:line="313" w:lineRule="exact"/>
        <w:ind w:left="0" w:right="0" w:firstLine="0"/>
        <w:jc w:val="both"/>
      </w:pPr>
      <w:r>
        <w:rPr>
          <w:color w:val="000000"/>
          <w:spacing w:val="0"/>
          <w:w w:val="100"/>
          <w:position w:val="0"/>
        </w:rPr>
        <w:t>其他事项的承诺期限： 长期</w:t>
      </w:r>
    </w:p>
    <w:p>
      <w:pPr>
        <w:pStyle w:val="Style27"/>
        <w:keepNext w:val="0"/>
        <w:keepLines w:val="0"/>
        <w:framePr w:w="1253" w:h="955" w:wrap="none" w:hAnchor="page" w:x="14987" w:y="5800"/>
        <w:widowControl w:val="0"/>
        <w:pBdr>
          <w:top w:val="single" w:sz="0" w:space="0" w:color="CCE8CF"/>
          <w:left w:val="single" w:sz="0" w:space="0" w:color="CCE8CF"/>
          <w:bottom w:val="single" w:sz="0" w:space="0" w:color="CCE8CF"/>
          <w:right w:val="single" w:sz="0" w:space="0" w:color="CCE8CF"/>
        </w:pBdr>
        <w:shd w:val="clear" w:color="auto" w:fill="CCE8CF"/>
        <w:bidi w:val="0"/>
        <w:spacing w:before="0" w:after="0" w:line="312" w:lineRule="exact"/>
        <w:ind w:left="0" w:right="0" w:firstLine="0"/>
        <w:jc w:val="left"/>
      </w:pPr>
      <w:r>
        <w:rPr>
          <w:color w:val="000000"/>
          <w:spacing w:val="0"/>
          <w:w w:val="100"/>
          <w:position w:val="0"/>
        </w:rPr>
        <w:t>报告期内，股东 均遵守了所作 出的承诺。</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65" w:line="1" w:lineRule="exact"/>
      </w:pPr>
    </w:p>
    <w:p>
      <w:pPr>
        <w:widowControl w:val="0"/>
        <w:spacing w:line="1" w:lineRule="exact"/>
        <w:sectPr>
          <w:headerReference w:type="default" r:id="rId13"/>
          <w:footerReference w:type="default" r:id="rId14"/>
          <w:footnotePr>
            <w:pos w:val="pageBottom"/>
            <w:numFmt w:val="decimal"/>
            <w:numRestart w:val="continuous"/>
          </w:footnotePr>
          <w:pgSz w:w="16840" w:h="11900" w:orient="landscape"/>
          <w:pgMar w:top="1147" w:right="581" w:bottom="1157" w:left="1426" w:header="0" w:footer="3" w:gutter="0"/>
          <w:cols w:space="720"/>
          <w:noEndnote/>
          <w:rtlGutter w:val="0"/>
          <w:docGrid w:linePitch="360"/>
        </w:sectPr>
      </w:pPr>
    </w:p>
    <w:tbl>
      <w:tblPr>
        <w:tblOverlap w:val="never"/>
        <w:jc w:val="center"/>
        <w:tblLayout w:type="fixed"/>
      </w:tblPr>
      <w:tblGrid>
        <w:gridCol w:w="3202"/>
        <w:gridCol w:w="3043"/>
        <w:gridCol w:w="4114"/>
        <w:gridCol w:w="1277"/>
        <w:gridCol w:w="1915"/>
        <w:gridCol w:w="1277"/>
      </w:tblGrid>
      <w:tr>
        <w:trPr>
          <w:trHeight w:val="437"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承诺事项</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承诺方</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承诺时间</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承诺期限</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履行情况</w:t>
            </w:r>
          </w:p>
        </w:tc>
      </w:tr>
      <w:tr>
        <w:trPr>
          <w:trHeight w:val="644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第十二个月之间申报离职的，自申报离职之日起十二 个月内不转让本人直接持有的公司股份。因公司进行 权益分派等导致直接持有公司股份发生变化的，亦遵 守上述规定。自离职申报之日起六个月内，增持本公 司股份也将予以锁定。</w:t>
            </w:r>
          </w:p>
          <w:p>
            <w:pPr>
              <w:pStyle w:val="Style8"/>
              <w:keepNext w:val="0"/>
              <w:keepLines w:val="0"/>
              <w:widowControl w:val="0"/>
              <w:shd w:val="clear" w:color="auto" w:fill="auto"/>
              <w:bidi w:val="0"/>
              <w:spacing w:before="0" w:after="0" w:line="314" w:lineRule="exact"/>
              <w:ind w:left="0" w:right="0" w:firstLine="380"/>
              <w:jc w:val="both"/>
              <w:rPr>
                <w:sz w:val="17"/>
                <w:szCs w:val="17"/>
              </w:rPr>
            </w:pPr>
            <w:r>
              <w:rPr>
                <w:color w:val="000000"/>
                <w:spacing w:val="0"/>
                <w:w w:val="100"/>
                <w:position w:val="0"/>
                <w:sz w:val="17"/>
                <w:szCs w:val="17"/>
              </w:rPr>
              <w:t>为避免未来可能发生的同业竞争,更好地维护中 小股东的利益，公司控股股东、实际控制人柯宗庆、 柯宗贵二人出具了《避免同业竞争承诺函》。</w:t>
            </w:r>
          </w:p>
          <w:p>
            <w:pPr>
              <w:pStyle w:val="Style8"/>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为减少和规范关联交易，公司控股股东、实际控 制人柯宗庆、柯宗贵出具了《减少和规范关联交易的 承诺函》。</w:t>
            </w:r>
          </w:p>
          <w:p>
            <w:pPr>
              <w:pStyle w:val="Style8"/>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公司股东大会根据章程的规定通过利润分配具 体方案或修改《公司章程》中相关利润分配条款时， 公司控股股东、实际控制人柯宗庆、柯宗贵承诺将表 示同意并投赞成票。</w:t>
            </w:r>
          </w:p>
          <w:p>
            <w:pPr>
              <w:pStyle w:val="Style8"/>
              <w:keepNext w:val="0"/>
              <w:keepLines w:val="0"/>
              <w:widowControl w:val="0"/>
              <w:shd w:val="clear" w:color="auto" w:fill="auto"/>
              <w:bidi w:val="0"/>
              <w:spacing w:before="0" w:after="0" w:line="313" w:lineRule="exact"/>
              <w:ind w:left="0" w:right="0" w:firstLine="380"/>
              <w:jc w:val="both"/>
              <w:rPr>
                <w:sz w:val="17"/>
                <w:szCs w:val="17"/>
              </w:rPr>
            </w:pPr>
            <w:r>
              <w:rPr>
                <w:color w:val="000000"/>
                <w:spacing w:val="0"/>
                <w:w w:val="100"/>
                <w:position w:val="0"/>
                <w:sz w:val="17"/>
                <w:szCs w:val="17"/>
              </w:rPr>
              <w:t>若应广州市有权部门要求或决定,公司需为员工 补缴社会保险和住房公积金，或公司因未为员工缴纳 社会保险和住房公积金而承担任何罚款或损失，公司 控股股东、实际控制人柯宗庆、柯宗贵承诺愿在无需 公司支付对价的情况下连带承担所有经济支出。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right w:val="single" w:sz="4"/>
            </w:tcBorders>
            <w:shd w:val="clear" w:color="auto" w:fill="CCE8C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其他对公司中小股东所作承诺</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不适用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承诺是否及时履行</w:t>
            </w:r>
          </w:p>
        </w:tc>
        <w:tc>
          <w:tcPr>
            <w:gridSpan w:val="5"/>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725"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未完成履行的具体原因及下一步计划</w:t>
            </w:r>
          </w:p>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（如有）</w:t>
            </w:r>
          </w:p>
        </w:tc>
        <w:tc>
          <w:tcPr>
            <w:gridSpan w:val="5"/>
            <w:tcBorders>
              <w:top w:val="single" w:sz="4"/>
              <w:left w:val="single" w:sz="4"/>
              <w:bottom w:val="single" w:sz="4"/>
              <w:righ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sectPr>
          <w:footnotePr>
            <w:pos w:val="pageBottom"/>
            <w:numFmt w:val="decimal"/>
            <w:numRestart w:val="continuous"/>
          </w:footnotePr>
          <w:pgSz w:w="16840" w:h="11900" w:orient="landscape"/>
          <w:pgMar w:top="1100" w:right="581" w:bottom="1157" w:left="1431" w:header="0" w:footer="3" w:gutter="0"/>
          <w:cols w:space="720"/>
          <w:noEndnote/>
          <w:rtlGutter w:val="0"/>
          <w:docGrid w:linePitch="360"/>
        </w:sectPr>
      </w:pPr>
    </w:p>
    <w:p>
      <w:pPr>
        <w:pStyle w:val="Style25"/>
        <w:keepNext/>
        <w:keepLines/>
        <w:widowControl w:val="0"/>
        <w:shd w:val="clear" w:color="auto" w:fill="auto"/>
        <w:bidi w:val="0"/>
        <w:spacing w:before="0" w:after="360" w:line="240" w:lineRule="auto"/>
        <w:ind w:left="0" w:right="0" w:firstLine="0"/>
        <w:jc w:val="left"/>
      </w:pPr>
      <w:bookmarkStart w:id="250" w:name="bookmark250"/>
      <w:bookmarkStart w:id="251" w:name="bookmark251"/>
      <w:bookmarkStart w:id="252" w:name="bookmark252"/>
      <w:bookmarkStart w:id="253" w:name="bookmark253"/>
      <w:r>
        <w:rPr>
          <w:color w:val="000000"/>
          <w:spacing w:val="0"/>
          <w:w w:val="100"/>
          <w:position w:val="0"/>
        </w:rPr>
        <w:t>五</w:t>
      </w:r>
      <w:bookmarkEnd w:id="252"/>
      <w:r>
        <w:rPr>
          <w:color w:val="000000"/>
          <w:spacing w:val="0"/>
          <w:w w:val="100"/>
          <w:position w:val="0"/>
        </w:rPr>
        <w:t>、聘任、解聘会计师事务所情况</w:t>
      </w:r>
      <w:bookmarkEnd w:id="250"/>
      <w:bookmarkEnd w:id="251"/>
      <w:bookmarkEnd w:id="253"/>
    </w:p>
    <w:p>
      <w:pPr>
        <w:pStyle w:val="Style35"/>
        <w:keepNext w:val="0"/>
        <w:keepLines w:val="0"/>
        <w:widowControl w:val="0"/>
        <w:shd w:val="clear" w:color="auto" w:fill="auto"/>
        <w:bidi w:val="0"/>
        <w:spacing w:before="0" w:after="6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3893"/>
        <w:gridCol w:w="5693"/>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境内会计师事务所名称</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大华会计师事务所（特殊普通合伙）</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境内会计师事务所报酬（万元）</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境内会计师事务所审计服务的连续年限</w:t>
            </w:r>
          </w:p>
        </w:tc>
        <w:tc>
          <w:tcPr>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境内会计师事务所注册会计师姓名</w:t>
            </w:r>
          </w:p>
        </w:tc>
        <w:tc>
          <w:tcPr>
            <w:tcBorders>
              <w:top w:val="single" w:sz="4"/>
              <w:left w:val="single" w:sz="4"/>
              <w:bottom w:val="single" w:sz="4"/>
              <w:righ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张晓辉、吴朝辉</w:t>
            </w:r>
          </w:p>
        </w:tc>
      </w:tr>
    </w:tbl>
    <w:p>
      <w:pPr>
        <w:pStyle w:val="Style35"/>
        <w:keepNext w:val="0"/>
        <w:keepLines w:val="0"/>
        <w:widowControl w:val="0"/>
        <w:shd w:val="clear" w:color="auto" w:fill="auto"/>
        <w:bidi w:val="0"/>
        <w:spacing w:before="0" w:after="620" w:line="355" w:lineRule="exact"/>
        <w:ind w:left="0" w:right="0" w:firstLine="0"/>
        <w:jc w:val="left"/>
      </w:pPr>
      <w:r>
        <w:rPr>
          <w:color w:val="000000"/>
          <w:spacing w:val="0"/>
          <w:w w:val="100"/>
          <w:position w:val="0"/>
        </w:rPr>
        <w:t xml:space="preserve">是否改聘会计师事务所 </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q</w:t>
      </w:r>
      <w:r>
        <w:rPr>
          <w:color w:val="000000"/>
          <w:spacing w:val="0"/>
          <w:w w:val="100"/>
          <w:position w:val="0"/>
        </w:rPr>
        <w:t>否</w:t>
      </w:r>
    </w:p>
    <w:p>
      <w:pPr>
        <w:pStyle w:val="Style25"/>
        <w:keepNext/>
        <w:keepLines/>
        <w:widowControl w:val="0"/>
        <w:shd w:val="clear" w:color="auto" w:fill="auto"/>
        <w:tabs>
          <w:tab w:pos="522" w:val="left"/>
        </w:tabs>
        <w:bidi w:val="0"/>
        <w:spacing w:before="0" w:after="360" w:line="326" w:lineRule="exact"/>
        <w:ind w:left="0" w:right="0" w:firstLine="0"/>
        <w:jc w:val="left"/>
      </w:pPr>
      <w:bookmarkStart w:id="254" w:name="bookmark254"/>
      <w:bookmarkStart w:id="255" w:name="bookmark255"/>
      <w:bookmarkStart w:id="256" w:name="bookmark256"/>
      <w:bookmarkStart w:id="257" w:name="bookmark257"/>
      <w:r>
        <w:rPr>
          <w:color w:val="000000"/>
          <w:spacing w:val="0"/>
          <w:w w:val="100"/>
          <w:position w:val="0"/>
        </w:rPr>
        <w:t>六</w:t>
      </w:r>
      <w:bookmarkEnd w:id="256"/>
      <w:r>
        <w:rPr>
          <w:color w:val="000000"/>
          <w:spacing w:val="0"/>
          <w:w w:val="100"/>
          <w:position w:val="0"/>
        </w:rPr>
        <w:t>、</w:t>
        <w:tab/>
        <w:t>上市公司及其董事、监事、高级管理人员、公司股东、实际控制人和收购人处罚及整改 情况</w:t>
      </w:r>
      <w:bookmarkEnd w:id="254"/>
      <w:bookmarkEnd w:id="255"/>
      <w:bookmarkEnd w:id="257"/>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q</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上市公司及其子公司是否被列入环保部门公布的污染严重企业名单</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q</w:t>
      </w:r>
      <w:r>
        <w:rPr>
          <w:color w:val="000000"/>
          <w:spacing w:val="0"/>
          <w:w w:val="100"/>
          <w:position w:val="0"/>
        </w:rPr>
        <w:t>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上市公司及其子公司是否存在其他重大社会安全问题</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q</w:t>
      </w:r>
      <w:r>
        <w:rPr>
          <w:color w:val="000000"/>
          <w:spacing w:val="0"/>
          <w:w w:val="100"/>
          <w:position w:val="0"/>
        </w:rPr>
        <w:t>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报告期内是否被行政处罚</w:t>
      </w:r>
    </w:p>
    <w:p>
      <w:pPr>
        <w:pStyle w:val="Style27"/>
        <w:keepNext w:val="0"/>
        <w:keepLines w:val="0"/>
        <w:widowControl w:val="0"/>
        <w:shd w:val="clear" w:color="auto" w:fill="auto"/>
        <w:bidi w:val="0"/>
        <w:spacing w:before="0" w:after="6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q</w:t>
      </w:r>
      <w:r>
        <w:rPr>
          <w:color w:val="000000"/>
          <w:spacing w:val="0"/>
          <w:w w:val="100"/>
          <w:position w:val="0"/>
        </w:rPr>
        <w:t>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不适用</w:t>
      </w:r>
    </w:p>
    <w:p>
      <w:pPr>
        <w:pStyle w:val="Style25"/>
        <w:keepNext/>
        <w:keepLines/>
        <w:widowControl w:val="0"/>
        <w:shd w:val="clear" w:color="auto" w:fill="auto"/>
        <w:tabs>
          <w:tab w:pos="522" w:val="left"/>
        </w:tabs>
        <w:bidi w:val="0"/>
        <w:spacing w:before="0" w:after="360" w:line="326" w:lineRule="exact"/>
        <w:ind w:left="0" w:right="0" w:firstLine="0"/>
        <w:jc w:val="left"/>
      </w:pPr>
      <w:bookmarkStart w:id="258" w:name="bookmark258"/>
      <w:bookmarkStart w:id="259" w:name="bookmark259"/>
      <w:bookmarkStart w:id="260" w:name="bookmark260"/>
      <w:bookmarkStart w:id="261" w:name="bookmark261"/>
      <w:r>
        <w:rPr>
          <w:color w:val="000000"/>
          <w:spacing w:val="0"/>
          <w:w w:val="100"/>
          <w:position w:val="0"/>
        </w:rPr>
        <w:t>七</w:t>
      </w:r>
      <w:bookmarkEnd w:id="260"/>
      <w:r>
        <w:rPr>
          <w:color w:val="000000"/>
          <w:spacing w:val="0"/>
          <w:w w:val="100"/>
          <w:position w:val="0"/>
        </w:rPr>
        <w:t>、</w:t>
        <w:tab/>
        <w:t>公司股东及其一致行动人在报告期提出或实施股份增持计划的情况</w:t>
      </w:r>
      <w:bookmarkEnd w:id="258"/>
      <w:bookmarkEnd w:id="259"/>
      <w:bookmarkEnd w:id="261"/>
    </w:p>
    <w:p>
      <w:pPr>
        <w:pStyle w:val="Style35"/>
        <w:keepNext w:val="0"/>
        <w:keepLines w:val="0"/>
        <w:widowControl w:val="0"/>
        <w:shd w:val="clear" w:color="auto" w:fill="auto"/>
        <w:bidi w:val="0"/>
        <w:spacing w:before="0" w:after="620" w:line="240" w:lineRule="auto"/>
        <w:ind w:left="0" w:right="0" w:firstLine="0"/>
        <w:jc w:val="left"/>
      </w:pPr>
      <w:r>
        <w:rPr>
          <w:color w:val="000000"/>
          <w:spacing w:val="0"/>
          <w:w w:val="100"/>
          <w:position w:val="0"/>
        </w:rPr>
        <w:t>无</w:t>
      </w:r>
    </w:p>
    <w:p>
      <w:pPr>
        <w:pStyle w:val="Style25"/>
        <w:keepNext/>
        <w:keepLines/>
        <w:widowControl w:val="0"/>
        <w:shd w:val="clear" w:color="auto" w:fill="auto"/>
        <w:tabs>
          <w:tab w:pos="522" w:val="left"/>
        </w:tabs>
        <w:bidi w:val="0"/>
        <w:spacing w:before="0" w:after="360" w:line="326" w:lineRule="exact"/>
        <w:ind w:left="0" w:right="0" w:firstLine="0"/>
        <w:jc w:val="left"/>
      </w:pPr>
      <w:bookmarkStart w:id="262" w:name="bookmark262"/>
      <w:bookmarkStart w:id="263" w:name="bookmark263"/>
      <w:bookmarkStart w:id="264" w:name="bookmark264"/>
      <w:bookmarkStart w:id="265" w:name="bookmark265"/>
      <w:r>
        <w:rPr>
          <w:color w:val="000000"/>
          <w:spacing w:val="0"/>
          <w:w w:val="100"/>
          <w:position w:val="0"/>
        </w:rPr>
        <w:t>八</w:t>
      </w:r>
      <w:bookmarkEnd w:id="264"/>
      <w:r>
        <w:rPr>
          <w:color w:val="000000"/>
          <w:spacing w:val="0"/>
          <w:w w:val="100"/>
          <w:position w:val="0"/>
        </w:rPr>
        <w:t>、</w:t>
        <w:tab/>
        <w:t>董事、监事、高级管理人员、持股</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以上的股东违规买卖公司股票情况</w:t>
      </w:r>
      <w:bookmarkEnd w:id="262"/>
      <w:bookmarkEnd w:id="263"/>
      <w:bookmarkEnd w:id="265"/>
    </w:p>
    <w:p>
      <w:pPr>
        <w:pStyle w:val="Style35"/>
        <w:keepNext w:val="0"/>
        <w:keepLines w:val="0"/>
        <w:widowControl w:val="0"/>
        <w:shd w:val="clear" w:color="auto" w:fill="auto"/>
        <w:bidi w:val="0"/>
        <w:spacing w:before="0" w:after="620" w:line="240" w:lineRule="auto"/>
        <w:ind w:left="0" w:right="0" w:firstLine="0"/>
        <w:jc w:val="left"/>
      </w:pPr>
      <w:r>
        <w:rPr>
          <w:color w:val="000000"/>
          <w:spacing w:val="0"/>
          <w:w w:val="100"/>
          <w:position w:val="0"/>
        </w:rPr>
        <w:t>无</w:t>
      </w:r>
    </w:p>
    <w:p>
      <w:pPr>
        <w:pStyle w:val="Style25"/>
        <w:keepNext/>
        <w:keepLines/>
        <w:widowControl w:val="0"/>
        <w:shd w:val="clear" w:color="auto" w:fill="auto"/>
        <w:tabs>
          <w:tab w:pos="522" w:val="left"/>
        </w:tabs>
        <w:bidi w:val="0"/>
        <w:spacing w:before="0" w:after="360" w:line="326" w:lineRule="exact"/>
        <w:ind w:left="0" w:right="0" w:firstLine="0"/>
        <w:jc w:val="left"/>
      </w:pPr>
      <w:bookmarkStart w:id="266" w:name="bookmark266"/>
      <w:bookmarkStart w:id="267" w:name="bookmark267"/>
      <w:bookmarkStart w:id="268" w:name="bookmark268"/>
      <w:bookmarkStart w:id="269" w:name="bookmark269"/>
      <w:r>
        <w:rPr>
          <w:color w:val="000000"/>
          <w:spacing w:val="0"/>
          <w:w w:val="100"/>
          <w:position w:val="0"/>
        </w:rPr>
        <w:t>九</w:t>
      </w:r>
      <w:bookmarkEnd w:id="268"/>
      <w:r>
        <w:rPr>
          <w:color w:val="000000"/>
          <w:spacing w:val="0"/>
          <w:w w:val="100"/>
          <w:position w:val="0"/>
        </w:rPr>
        <w:t>、</w:t>
        <w:tab/>
        <w:t>违规对外担保情况</w:t>
      </w:r>
      <w:bookmarkEnd w:id="266"/>
      <w:bookmarkEnd w:id="267"/>
      <w:bookmarkEnd w:id="269"/>
    </w:p>
    <w:p>
      <w:pPr>
        <w:pStyle w:val="Style35"/>
        <w:keepNext w:val="0"/>
        <w:keepLines w:val="0"/>
        <w:widowControl w:val="0"/>
        <w:shd w:val="clear" w:color="auto" w:fill="auto"/>
        <w:bidi w:val="0"/>
        <w:spacing w:before="0" w:after="62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after="360" w:line="326" w:lineRule="exact"/>
        <w:ind w:left="0" w:right="0" w:firstLine="0"/>
        <w:jc w:val="left"/>
      </w:pPr>
      <w:bookmarkStart w:id="270" w:name="bookmark270"/>
      <w:bookmarkStart w:id="271" w:name="bookmark271"/>
      <w:bookmarkStart w:id="272" w:name="bookmark272"/>
      <w:r>
        <w:rPr>
          <w:color w:val="000000"/>
          <w:spacing w:val="0"/>
          <w:w w:val="100"/>
          <w:position w:val="0"/>
        </w:rPr>
        <w:t>十、年度报告披露后面临暂停上市和终止上市情况</w:t>
      </w:r>
      <w:bookmarkEnd w:id="270"/>
      <w:bookmarkEnd w:id="271"/>
      <w:bookmarkEnd w:id="272"/>
    </w:p>
    <w:p>
      <w:pPr>
        <w:pStyle w:val="Style3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after="360" w:line="240" w:lineRule="auto"/>
        <w:ind w:left="0" w:right="0" w:firstLine="0"/>
        <w:jc w:val="left"/>
      </w:pPr>
      <w:bookmarkStart w:id="273" w:name="bookmark273"/>
      <w:bookmarkStart w:id="274" w:name="bookmark274"/>
      <w:bookmarkStart w:id="275" w:name="bookmark275"/>
      <w:r>
        <w:rPr>
          <w:color w:val="000000"/>
          <w:spacing w:val="0"/>
          <w:w w:val="100"/>
          <w:position w:val="0"/>
        </w:rPr>
        <w:t>十一、其他重大事项的说明</w:t>
      </w:r>
      <w:bookmarkEnd w:id="273"/>
      <w:bookmarkEnd w:id="274"/>
      <w:bookmarkEnd w:id="275"/>
    </w:p>
    <w:p>
      <w:pPr>
        <w:pStyle w:val="Style35"/>
        <w:keepNext w:val="0"/>
        <w:keepLines w:val="0"/>
        <w:widowControl w:val="0"/>
        <w:shd w:val="clear" w:color="auto" w:fill="auto"/>
        <w:bidi w:val="0"/>
        <w:spacing w:before="0" w:after="66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after="360" w:line="240" w:lineRule="auto"/>
        <w:ind w:left="0" w:right="0" w:firstLine="0"/>
        <w:jc w:val="left"/>
      </w:pPr>
      <w:bookmarkStart w:id="276" w:name="bookmark276"/>
      <w:bookmarkStart w:id="277" w:name="bookmark277"/>
      <w:bookmarkStart w:id="278" w:name="bookmark278"/>
      <w:r>
        <w:rPr>
          <w:color w:val="000000"/>
          <w:spacing w:val="0"/>
          <w:w w:val="100"/>
          <w:position w:val="0"/>
        </w:rPr>
        <w:t>十二、控股子公司重要事项</w:t>
      </w:r>
      <w:bookmarkEnd w:id="276"/>
      <w:bookmarkEnd w:id="277"/>
      <w:bookmarkEnd w:id="278"/>
    </w:p>
    <w:p>
      <w:pPr>
        <w:pStyle w:val="Style35"/>
        <w:keepNext w:val="0"/>
        <w:keepLines w:val="0"/>
        <w:widowControl w:val="0"/>
        <w:shd w:val="clear" w:color="auto" w:fill="auto"/>
        <w:bidi w:val="0"/>
        <w:spacing w:before="0" w:after="520" w:line="240" w:lineRule="auto"/>
        <w:ind w:left="0" w:right="0" w:firstLine="0"/>
        <w:jc w:val="left"/>
        <w:sectPr>
          <w:headerReference w:type="default" r:id="rId15"/>
          <w:footerReference w:type="default" r:id="rId16"/>
          <w:footnotePr>
            <w:pos w:val="pageBottom"/>
            <w:numFmt w:val="decimal"/>
            <w:numRestart w:val="continuous"/>
          </w:footnotePr>
          <w:pgSz w:w="11900" w:h="16840"/>
          <w:pgMar w:top="1455" w:right="813" w:bottom="1978" w:left="1007" w:header="0" w:footer="3" w:gutter="0"/>
          <w:cols w:space="720"/>
          <w:noEndnote/>
          <w:rtlGutter w:val="0"/>
          <w:docGrid w:linePitch="360"/>
        </w:sectPr>
      </w:pPr>
      <w:r>
        <w:rPr>
          <w:color w:val="000000"/>
          <w:spacing w:val="0"/>
          <w:w w:val="100"/>
          <w:position w:val="0"/>
        </w:rPr>
        <w:t>无</w:t>
      </w:r>
    </w:p>
    <w:p>
      <w:pPr>
        <w:pStyle w:val="Style12"/>
        <w:keepNext/>
        <w:keepLines/>
        <w:widowControl w:val="0"/>
        <w:shd w:val="clear" w:color="auto" w:fill="auto"/>
        <w:bidi w:val="0"/>
        <w:spacing w:before="780" w:after="540" w:line="240" w:lineRule="auto"/>
        <w:ind w:left="0" w:right="0" w:firstLine="0"/>
        <w:jc w:val="center"/>
      </w:pPr>
      <w:bookmarkStart w:id="279" w:name="bookmark279"/>
      <w:bookmarkStart w:id="280" w:name="bookmark280"/>
      <w:bookmarkStart w:id="281" w:name="bookmark281"/>
      <w:r>
        <w:rPr>
          <w:color w:val="000000"/>
          <w:spacing w:val="0"/>
          <w:w w:val="100"/>
          <w:position w:val="0"/>
        </w:rPr>
        <w:t>第六节股份变动及股东情况</w:t>
      </w:r>
      <w:bookmarkEnd w:id="279"/>
      <w:bookmarkEnd w:id="280"/>
      <w:bookmarkEnd w:id="281"/>
    </w:p>
    <w:p>
      <w:pPr>
        <w:pStyle w:val="Style25"/>
        <w:keepNext/>
        <w:keepLines/>
        <w:widowControl w:val="0"/>
        <w:shd w:val="clear" w:color="auto" w:fill="auto"/>
        <w:bidi w:val="0"/>
        <w:spacing w:before="0" w:after="360" w:line="240" w:lineRule="auto"/>
        <w:ind w:left="0" w:right="0" w:firstLine="0"/>
        <w:jc w:val="left"/>
      </w:pPr>
      <w:bookmarkStart w:id="282" w:name="bookmark282"/>
      <w:bookmarkStart w:id="283" w:name="bookmark283"/>
      <w:bookmarkStart w:id="284" w:name="bookmark284"/>
      <w:bookmarkStart w:id="285" w:name="bookmark285"/>
      <w:r>
        <w:rPr>
          <w:color w:val="000000"/>
          <w:spacing w:val="0"/>
          <w:w w:val="100"/>
          <w:position w:val="0"/>
        </w:rPr>
        <w:t>一</w:t>
      </w:r>
      <w:bookmarkEnd w:id="284"/>
      <w:r>
        <w:rPr>
          <w:color w:val="000000"/>
          <w:spacing w:val="0"/>
          <w:w w:val="100"/>
          <w:position w:val="0"/>
        </w:rPr>
        <w:t>、股份变动情况</w:t>
      </w:r>
      <w:bookmarkEnd w:id="282"/>
      <w:bookmarkEnd w:id="283"/>
      <w:bookmarkEnd w:id="285"/>
    </w:p>
    <w:p>
      <w:pPr>
        <w:pStyle w:val="Style38"/>
        <w:keepNext/>
        <w:keepLines/>
        <w:widowControl w:val="0"/>
        <w:shd w:val="clear" w:color="auto" w:fill="auto"/>
        <w:bidi w:val="0"/>
        <w:spacing w:before="0" w:after="360" w:line="240" w:lineRule="auto"/>
        <w:ind w:left="0" w:right="0" w:firstLine="0"/>
        <w:jc w:val="left"/>
      </w:pPr>
      <w:bookmarkStart w:id="286" w:name="bookmark286"/>
      <w:bookmarkStart w:id="287" w:name="bookmark287"/>
      <w:bookmarkStart w:id="288" w:name="bookmark288"/>
      <w:bookmarkStart w:id="289" w:name="bookmark289"/>
      <w:r>
        <w:rPr>
          <w:rFonts w:ascii="Times New Roman" w:eastAsia="Times New Roman" w:hAnsi="Times New Roman" w:cs="Times New Roman"/>
          <w:color w:val="000000"/>
          <w:spacing w:val="0"/>
          <w:w w:val="100"/>
          <w:position w:val="0"/>
        </w:rPr>
        <w:t>1</w:t>
      </w:r>
      <w:bookmarkEnd w:id="288"/>
      <w:r>
        <w:rPr>
          <w:color w:val="000000"/>
          <w:spacing w:val="0"/>
          <w:w w:val="100"/>
          <w:position w:val="0"/>
        </w:rPr>
        <w:t>、股份变动情况</w:t>
      </w:r>
      <w:bookmarkEnd w:id="286"/>
      <w:bookmarkEnd w:id="287"/>
      <w:bookmarkEnd w:id="289"/>
    </w:p>
    <w:p>
      <w:pPr>
        <w:pStyle w:val="Style31"/>
        <w:keepNext w:val="0"/>
        <w:keepLines w:val="0"/>
        <w:widowControl w:val="0"/>
        <w:shd w:val="clear" w:color="auto" w:fill="auto"/>
        <w:bidi w:val="0"/>
        <w:spacing w:before="0" w:after="0" w:line="240" w:lineRule="auto"/>
        <w:ind w:left="8909" w:right="0" w:firstLine="0"/>
        <w:jc w:val="left"/>
        <w:rPr>
          <w:sz w:val="17"/>
          <w:szCs w:val="17"/>
        </w:rPr>
      </w:pPr>
      <w:r>
        <w:rPr>
          <w:color w:val="000000"/>
          <w:spacing w:val="0"/>
          <w:w w:val="100"/>
          <w:position w:val="0"/>
          <w:sz w:val="17"/>
          <w:szCs w:val="17"/>
        </w:rPr>
        <w:t>单位：股</w:t>
      </w:r>
    </w:p>
    <w:tbl>
      <w:tblPr>
        <w:tblOverlap w:val="never"/>
        <w:jc w:val="center"/>
        <w:tblLayout w:type="fixed"/>
      </w:tblPr>
      <w:tblGrid>
        <w:gridCol w:w="2040"/>
        <w:gridCol w:w="946"/>
        <w:gridCol w:w="845"/>
        <w:gridCol w:w="845"/>
        <w:gridCol w:w="576"/>
        <w:gridCol w:w="1018"/>
        <w:gridCol w:w="989"/>
        <w:gridCol w:w="994"/>
        <w:gridCol w:w="994"/>
        <w:gridCol w:w="821"/>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本次变动前</w:t>
            </w:r>
          </w:p>
        </w:tc>
        <w:tc>
          <w:tcPr>
            <w:gridSpan w:val="5"/>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本次变动增减（</w:t>
            </w:r>
            <w:r>
              <w:rPr>
                <w:color w:val="000000"/>
                <w:spacing w:val="0"/>
                <w:w w:val="100"/>
                <w:position w:val="0"/>
                <w:sz w:val="17"/>
                <w:szCs w:val="17"/>
              </w:rPr>
              <w:t>+,一）</w:t>
            </w:r>
          </w:p>
        </w:tc>
        <w:tc>
          <w:tcPr>
            <w:gridSpan w:val="2"/>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本次变动后</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送股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公积金转股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300" w:firstLine="0"/>
              <w:jc w:val="right"/>
              <w:rPr>
                <w:sz w:val="17"/>
                <w:szCs w:val="17"/>
              </w:rPr>
            </w:pPr>
            <w:r>
              <w:rPr>
                <w:color w:val="000000"/>
                <w:spacing w:val="0"/>
                <w:w w:val="100"/>
                <w:position w:val="0"/>
                <w:sz w:val="17"/>
                <w:szCs w:val="17"/>
              </w:rPr>
              <w:t>小计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300" w:firstLine="0"/>
              <w:jc w:val="right"/>
              <w:rPr>
                <w:sz w:val="17"/>
                <w:szCs w:val="17"/>
              </w:rPr>
            </w:pPr>
            <w:r>
              <w:rPr>
                <w:color w:val="000000"/>
                <w:spacing w:val="0"/>
                <w:w w:val="100"/>
                <w:position w:val="0"/>
                <w:sz w:val="17"/>
                <w:szCs w:val="17"/>
              </w:rPr>
              <w:t>数量</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一、有限售条件股份</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73,500,000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42,445,950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-31,054,050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11,391,900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84,891,900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43.31%</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、其他内资持股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73,500,000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42,445,950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-31,054,050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11,391,900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84,891,900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43.31%</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其中：境内法人持股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23,450,000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23.93%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-21,500,000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-19,550,000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境内自然人持股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50,050,000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51.07%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40,495,950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-9,554,050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30,941,900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80,991,900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41.32%</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二、无限售条件股份</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24,500,000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55,554,050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31,054,050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86,608,100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111,108,100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56.69%</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、人民币普通股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24,500,000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55,554,050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31,054,050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86,608,100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111,108,100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56.69%</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三、股份总数</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98,000,000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98,000,000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98,000,000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196,000,000</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bl>
    <w:p>
      <w:pPr>
        <w:pStyle w:val="Style35"/>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股份变动的原因 </w:t>
      </w: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5"/>
        <w:keepNext w:val="0"/>
        <w:keepLines w:val="0"/>
        <w:widowControl w:val="0"/>
        <w:shd w:val="clear" w:color="auto" w:fill="auto"/>
        <w:bidi w:val="0"/>
        <w:spacing w:before="0" w:after="400" w:line="307" w:lineRule="exact"/>
        <w:ind w:left="0" w:right="0" w:firstLine="420"/>
        <w:jc w:val="left"/>
      </w:pPr>
      <w:r>
        <w:rPr>
          <w:color w:val="000000"/>
          <w:spacing w:val="0"/>
          <w:w w:val="100"/>
          <w:position w:val="0"/>
        </w:rPr>
        <w:t>公司股份变动主要是由于报告期实施</w:t>
      </w:r>
      <w:r>
        <w:rPr>
          <w:color w:val="000000"/>
          <w:spacing w:val="0"/>
          <w:w w:val="100"/>
          <w:position w:val="0"/>
        </w:rPr>
        <w:t>2012</w:t>
      </w:r>
      <w:r>
        <w:rPr>
          <w:color w:val="000000"/>
          <w:spacing w:val="0"/>
          <w:w w:val="100"/>
          <w:position w:val="0"/>
        </w:rPr>
        <w:t>年年度权益分派方案，以资本公积金向全体股东每</w:t>
      </w:r>
      <w:r>
        <w:rPr>
          <w:color w:val="000000"/>
          <w:spacing w:val="0"/>
          <w:w w:val="100"/>
          <w:position w:val="0"/>
        </w:rPr>
        <w:t>10</w:t>
      </w:r>
      <w:r>
        <w:rPr>
          <w:color w:val="000000"/>
          <w:spacing w:val="0"/>
          <w:w w:val="100"/>
          <w:position w:val="0"/>
        </w:rPr>
        <w:t>股转 增</w:t>
      </w:r>
      <w:r>
        <w:rPr>
          <w:color w:val="000000"/>
          <w:spacing w:val="0"/>
          <w:w w:val="100"/>
          <w:position w:val="0"/>
        </w:rPr>
        <w:t>10</w:t>
      </w:r>
      <w:r>
        <w:rPr>
          <w:color w:val="000000"/>
          <w:spacing w:val="0"/>
          <w:w w:val="100"/>
          <w:position w:val="0"/>
        </w:rPr>
        <w:t>股及公司部分股东持有的股份因限售期满转为无限售条件的股份所致。</w:t>
      </w:r>
    </w:p>
    <w:p>
      <w:pPr>
        <w:pStyle w:val="Style35"/>
        <w:keepNext w:val="0"/>
        <w:keepLines w:val="0"/>
        <w:widowControl w:val="0"/>
        <w:shd w:val="clear" w:color="auto" w:fill="auto"/>
        <w:bidi w:val="0"/>
        <w:spacing w:before="0" w:after="100" w:line="314" w:lineRule="exact"/>
        <w:ind w:left="0" w:right="0" w:firstLine="0"/>
        <w:jc w:val="left"/>
      </w:pPr>
      <w:r>
        <w:rPr>
          <w:color w:val="000000"/>
          <w:spacing w:val="0"/>
          <w:w w:val="100"/>
          <w:position w:val="0"/>
        </w:rPr>
        <w:t>股份变动的批准情况</w:t>
      </w:r>
    </w:p>
    <w:p>
      <w:pPr>
        <w:pStyle w:val="Style35"/>
        <w:keepNext w:val="0"/>
        <w:keepLines w:val="0"/>
        <w:widowControl w:val="0"/>
        <w:shd w:val="clear" w:color="auto" w:fill="auto"/>
        <w:bidi w:val="0"/>
        <w:spacing w:before="0" w:after="0" w:line="329"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35"/>
        <w:keepNext w:val="0"/>
        <w:keepLines w:val="0"/>
        <w:widowControl w:val="0"/>
        <w:shd w:val="clear" w:color="auto" w:fill="auto"/>
        <w:bidi w:val="0"/>
        <w:spacing w:before="0" w:after="100" w:line="314" w:lineRule="exact"/>
        <w:ind w:left="0" w:right="0" w:firstLine="0"/>
        <w:jc w:val="left"/>
      </w:pPr>
      <w:r>
        <w:rPr>
          <w:color w:val="000000"/>
          <w:spacing w:val="0"/>
          <w:w w:val="100"/>
          <w:position w:val="0"/>
        </w:rPr>
        <w:t>股份变动的过户情况</w:t>
      </w:r>
    </w:p>
    <w:p>
      <w:pPr>
        <w:pStyle w:val="Style35"/>
        <w:keepNext w:val="0"/>
        <w:keepLines w:val="0"/>
        <w:widowControl w:val="0"/>
        <w:shd w:val="clear" w:color="auto" w:fill="auto"/>
        <w:bidi w:val="0"/>
        <w:spacing w:before="0" w:after="280" w:line="329"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5"/>
        <w:keepNext w:val="0"/>
        <w:keepLines w:val="0"/>
        <w:widowControl w:val="0"/>
        <w:shd w:val="clear" w:color="auto" w:fill="auto"/>
        <w:bidi w:val="0"/>
        <w:spacing w:before="0" w:after="100" w:line="312" w:lineRule="exact"/>
        <w:ind w:left="0" w:right="0" w:firstLine="0"/>
        <w:jc w:val="left"/>
      </w:pPr>
      <w:r>
        <w:rPr>
          <w:color w:val="000000"/>
          <w:spacing w:val="0"/>
          <w:w w:val="100"/>
          <w:position w:val="0"/>
        </w:rPr>
        <w:t>股份变动对最近一年和最近一期基本每股收益和稀释每股收益、归属于公司普通股股东的每股净资产等财 务指标的影响</w:t>
      </w:r>
    </w:p>
    <w:p>
      <w:pPr>
        <w:pStyle w:val="Style35"/>
        <w:keepNext w:val="0"/>
        <w:keepLines w:val="0"/>
        <w:widowControl w:val="0"/>
        <w:shd w:val="clear" w:color="auto" w:fill="auto"/>
        <w:bidi w:val="0"/>
        <w:spacing w:before="0" w:after="0" w:line="329" w:lineRule="auto"/>
        <w:ind w:left="0" w:right="0" w:firstLine="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5"/>
        <w:keepNext w:val="0"/>
        <w:keepLines w:val="0"/>
        <w:widowControl w:val="0"/>
        <w:shd w:val="clear" w:color="auto" w:fill="auto"/>
        <w:bidi w:val="0"/>
        <w:spacing w:before="0" w:after="100" w:line="317" w:lineRule="exact"/>
        <w:ind w:left="0" w:right="0" w:firstLine="420"/>
        <w:jc w:val="left"/>
      </w:pPr>
      <w:r>
        <w:rPr>
          <w:color w:val="000000"/>
          <w:spacing w:val="0"/>
          <w:w w:val="100"/>
          <w:position w:val="0"/>
        </w:rPr>
        <w:t xml:space="preserve">报告期内，公司实施了 </w:t>
      </w:r>
      <w:r>
        <w:rPr>
          <w:color w:val="000000"/>
          <w:spacing w:val="0"/>
          <w:w w:val="100"/>
          <w:position w:val="0"/>
        </w:rPr>
        <w:t>2012</w:t>
      </w:r>
      <w:r>
        <w:rPr>
          <w:color w:val="000000"/>
          <w:spacing w:val="0"/>
          <w:w w:val="100"/>
          <w:position w:val="0"/>
        </w:rPr>
        <w:t>年度利润分配方案，以资本公积金向全体股东每</w:t>
      </w:r>
      <w:r>
        <w:rPr>
          <w:color w:val="000000"/>
          <w:spacing w:val="0"/>
          <w:w w:val="100"/>
          <w:position w:val="0"/>
        </w:rPr>
        <w:t>10</w:t>
      </w:r>
      <w:r>
        <w:rPr>
          <w:color w:val="000000"/>
          <w:spacing w:val="0"/>
          <w:w w:val="100"/>
          <w:position w:val="0"/>
        </w:rPr>
        <w:t>股转增</w:t>
      </w:r>
      <w:r>
        <w:rPr>
          <w:color w:val="000000"/>
          <w:spacing w:val="0"/>
          <w:w w:val="100"/>
          <w:position w:val="0"/>
        </w:rPr>
        <w:t>10</w:t>
      </w:r>
      <w:r>
        <w:rPr>
          <w:color w:val="000000"/>
          <w:spacing w:val="0"/>
          <w:w w:val="100"/>
          <w:position w:val="0"/>
        </w:rPr>
        <w:t>股，公司 股本由</w:t>
      </w:r>
      <w:r>
        <w:rPr>
          <w:color w:val="000000"/>
          <w:spacing w:val="0"/>
          <w:w w:val="100"/>
          <w:position w:val="0"/>
        </w:rPr>
        <w:t>9800</w:t>
      </w:r>
      <w:r>
        <w:rPr>
          <w:color w:val="000000"/>
          <w:spacing w:val="0"/>
          <w:w w:val="100"/>
          <w:position w:val="0"/>
        </w:rPr>
        <w:t>万股增至</w:t>
      </w:r>
      <w:r>
        <w:rPr>
          <w:color w:val="000000"/>
          <w:spacing w:val="0"/>
          <w:w w:val="100"/>
          <w:position w:val="0"/>
        </w:rPr>
        <w:t>19600</w:t>
      </w:r>
      <w:r>
        <w:rPr>
          <w:color w:val="000000"/>
          <w:spacing w:val="0"/>
          <w:w w:val="100"/>
          <w:position w:val="0"/>
        </w:rPr>
        <w:t>万股。本次股份变动，对公司最近一年和最近一期基本收益和稀释每股收益、 归属于公司普通股股东的每股净资产等财务指标的影响如下：</w:t>
      </w:r>
    </w:p>
    <w:tbl>
      <w:tblPr>
        <w:tblOverlap w:val="never"/>
        <w:jc w:val="left"/>
        <w:tblLayout w:type="fixed"/>
      </w:tblPr>
      <w:tblGrid>
        <w:gridCol w:w="3413"/>
        <w:gridCol w:w="1733"/>
        <w:gridCol w:w="1738"/>
        <w:gridCol w:w="1747"/>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财务指标</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本年比上年增减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归属于上市公司股东的每股净资产（元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3.4738</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6.6815</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-48.01%</w:t>
            </w:r>
          </w:p>
        </w:tc>
      </w:tr>
    </w:tbl>
    <w:p>
      <w:pPr>
        <w:spacing w:lineRule="exact" w:line="1"/>
        <w:rPr>
          <w:sz w:val="2"/>
          <w:szCs w:val="2"/>
        </w:rPr>
      </w:pPr>
      <w:r>
        <w:br w:type="page"/>
      </w:r>
    </w:p>
    <w:p>
      <w:pPr>
        <w:pStyle w:val="Style27"/>
        <w:keepNext w:val="0"/>
        <w:keepLines w:val="0"/>
        <w:widowControl w:val="0"/>
        <w:shd w:val="clear" w:color="auto" w:fill="auto"/>
        <w:bidi w:val="0"/>
        <w:spacing w:before="0" w:after="0" w:line="725" w:lineRule="exact"/>
        <w:ind w:left="0" w:right="0" w:firstLine="380"/>
        <w:jc w:val="left"/>
      </w:pPr>
      <w:r>
        <w:rPr>
          <w:color w:val="000000"/>
          <w:spacing w:val="0"/>
          <w:w w:val="100"/>
          <w:position w:val="0"/>
          <w:shd w:val="clear" w:color="auto" w:fill="FFFFFF"/>
        </w:rPr>
        <w:t>注：</w:t>
      </w:r>
      <w:r>
        <w:rPr>
          <w:rFonts w:ascii="Times New Roman" w:eastAsia="Times New Roman" w:hAnsi="Times New Roman" w:cs="Times New Roman"/>
          <w:color w:val="000000"/>
          <w:spacing w:val="0"/>
          <w:w w:val="100"/>
          <w:position w:val="0"/>
          <w:sz w:val="18"/>
          <w:szCs w:val="18"/>
          <w:shd w:val="clear" w:color="auto" w:fill="FFFFFF"/>
        </w:rPr>
        <w:t>2012</w:t>
      </w:r>
      <w:r>
        <w:rPr>
          <w:color w:val="000000"/>
          <w:spacing w:val="0"/>
          <w:w w:val="100"/>
          <w:position w:val="0"/>
          <w:shd w:val="clear" w:color="auto" w:fill="FFFFFF"/>
        </w:rPr>
        <w:t>年每股收益的计算根据本年资本公积转增后的股本进行了追溯调整，原每股收益为</w:t>
      </w:r>
      <w:r>
        <w:rPr>
          <w:rFonts w:ascii="Times New Roman" w:eastAsia="Times New Roman" w:hAnsi="Times New Roman" w:cs="Times New Roman"/>
          <w:color w:val="000000"/>
          <w:spacing w:val="0"/>
          <w:w w:val="100"/>
          <w:position w:val="0"/>
          <w:sz w:val="18"/>
          <w:szCs w:val="18"/>
          <w:shd w:val="clear" w:color="auto" w:fill="FFFFFF"/>
        </w:rPr>
        <w:t>0.63</w:t>
      </w:r>
      <w:r>
        <w:rPr>
          <w:color w:val="000000"/>
          <w:spacing w:val="0"/>
          <w:w w:val="100"/>
          <w:position w:val="0"/>
          <w:shd w:val="clear" w:color="auto" w:fill="FFFFFF"/>
        </w:rPr>
        <w:t>元</w:t>
      </w:r>
      <w:r>
        <w:rPr>
          <w:rFonts w:ascii="Times New Roman" w:eastAsia="Times New Roman" w:hAnsi="Times New Roman" w:cs="Times New Roman"/>
          <w:color w:val="000000"/>
          <w:spacing w:val="0"/>
          <w:w w:val="100"/>
          <w:position w:val="0"/>
          <w:sz w:val="18"/>
          <w:szCs w:val="18"/>
          <w:shd w:val="clear" w:color="auto" w:fill="FFFFFF"/>
        </w:rPr>
        <w:t>/</w:t>
      </w:r>
      <w:r>
        <w:rPr>
          <w:color w:val="000000"/>
          <w:spacing w:val="0"/>
          <w:w w:val="100"/>
          <w:position w:val="0"/>
          <w:shd w:val="clear" w:color="auto" w:fill="FFFFFF"/>
        </w:rPr>
        <w:t>股。</w:t>
      </w:r>
    </w:p>
    <w:p>
      <w:pPr>
        <w:pStyle w:val="Style35"/>
        <w:keepNext w:val="0"/>
        <w:keepLines w:val="0"/>
        <w:widowControl w:val="0"/>
        <w:shd w:val="clear" w:color="auto" w:fill="auto"/>
        <w:bidi w:val="0"/>
        <w:spacing w:before="0" w:after="120" w:line="725" w:lineRule="exact"/>
        <w:ind w:left="0" w:right="0" w:firstLine="0"/>
        <w:jc w:val="left"/>
      </w:pPr>
      <w:r>
        <w:rPr>
          <w:color w:val="000000"/>
          <w:spacing w:val="0"/>
          <w:w w:val="100"/>
          <w:position w:val="0"/>
        </w:rPr>
        <w:t>公司认为必要或证券监管机构要求披露的其他内容</w:t>
      </w:r>
    </w:p>
    <w:p>
      <w:pPr>
        <w:pStyle w:val="Style3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8"/>
        <w:keepNext/>
        <w:keepLines/>
        <w:widowControl w:val="0"/>
        <w:shd w:val="clear" w:color="auto" w:fill="auto"/>
        <w:bidi w:val="0"/>
        <w:spacing w:before="0" w:after="360" w:line="240" w:lineRule="auto"/>
        <w:ind w:left="0" w:right="0" w:firstLine="0"/>
        <w:jc w:val="left"/>
      </w:pPr>
      <w:bookmarkStart w:id="290" w:name="bookmark290"/>
      <w:bookmarkStart w:id="291" w:name="bookmark291"/>
      <w:bookmarkStart w:id="292" w:name="bookmark292"/>
      <w:bookmarkStart w:id="293" w:name="bookmark293"/>
      <w:r>
        <w:rPr>
          <w:rFonts w:ascii="Times New Roman" w:eastAsia="Times New Roman" w:hAnsi="Times New Roman" w:cs="Times New Roman"/>
          <w:color w:val="000000"/>
          <w:spacing w:val="0"/>
          <w:w w:val="100"/>
          <w:position w:val="0"/>
        </w:rPr>
        <w:t>2</w:t>
      </w:r>
      <w:bookmarkEnd w:id="292"/>
      <w:r>
        <w:rPr>
          <w:color w:val="000000"/>
          <w:spacing w:val="0"/>
          <w:w w:val="100"/>
          <w:position w:val="0"/>
        </w:rPr>
        <w:t>、限售股份变动情况</w:t>
      </w:r>
      <w:bookmarkEnd w:id="290"/>
      <w:bookmarkEnd w:id="291"/>
      <w:bookmarkEnd w:id="293"/>
    </w:p>
    <w:p>
      <w:pPr>
        <w:pStyle w:val="Style31"/>
        <w:keepNext w:val="0"/>
        <w:keepLines w:val="0"/>
        <w:widowControl w:val="0"/>
        <w:shd w:val="clear" w:color="auto" w:fill="auto"/>
        <w:bidi w:val="0"/>
        <w:spacing w:before="0" w:after="0" w:line="240" w:lineRule="auto"/>
        <w:ind w:left="8909" w:right="0" w:firstLine="0"/>
        <w:jc w:val="left"/>
        <w:rPr>
          <w:sz w:val="17"/>
          <w:szCs w:val="17"/>
        </w:rPr>
      </w:pPr>
      <w:r>
        <w:rPr>
          <w:color w:val="000000"/>
          <w:spacing w:val="0"/>
          <w:w w:val="100"/>
          <w:position w:val="0"/>
          <w:sz w:val="17"/>
          <w:szCs w:val="17"/>
        </w:rPr>
        <w:t>单位：股</w:t>
      </w:r>
    </w:p>
    <w:tbl>
      <w:tblPr>
        <w:tblOverlap w:val="never"/>
        <w:jc w:val="center"/>
        <w:tblLayout w:type="fixed"/>
      </w:tblPr>
      <w:tblGrid>
        <w:gridCol w:w="1378"/>
        <w:gridCol w:w="1368"/>
        <w:gridCol w:w="1368"/>
        <w:gridCol w:w="1363"/>
        <w:gridCol w:w="1368"/>
        <w:gridCol w:w="1368"/>
        <w:gridCol w:w="1445"/>
      </w:tblGrid>
      <w:tr>
        <w:trPr>
          <w:trHeight w:val="72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股东名称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期初限售股数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本期解除限售股 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本期增加限售股 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期末限售股数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限售原因</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解除限售日期</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柯宗庆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18,690,700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18,690,700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37,381,400</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首发承诺</w:t>
            </w:r>
          </w:p>
        </w:tc>
        <w:tc>
          <w:tcPr>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柯宗贵</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18,690,700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18,690,700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37,381,400</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首发承诺</w:t>
            </w:r>
          </w:p>
        </w:tc>
        <w:tc>
          <w:tcPr>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r>
      <w:tr>
        <w:trPr>
          <w:trHeight w:val="710"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深圳市博益投资 发展有限公司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首发承诺</w:t>
            </w:r>
          </w:p>
        </w:tc>
        <w:tc>
          <w:tcPr>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张征</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首发承诺</w:t>
            </w:r>
          </w:p>
        </w:tc>
        <w:tc>
          <w:tcPr>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r>
      <w:tr>
        <w:trPr>
          <w:trHeight w:val="715"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深圳市宝德投资 控股有限公司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首发承诺</w:t>
            </w:r>
          </w:p>
        </w:tc>
        <w:tc>
          <w:tcPr>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r>
      <w:tr>
        <w:trPr>
          <w:trHeight w:val="1027"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华软创业投资无 锡合伙企业（有 限合伙）</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首发承诺</w:t>
            </w:r>
          </w:p>
        </w:tc>
        <w:tc>
          <w:tcPr>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r>
      <w:tr>
        <w:trPr>
          <w:trHeight w:val="710"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深圳瑞华信投资 有限责任公司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首发承诺</w:t>
            </w:r>
          </w:p>
        </w:tc>
        <w:tc>
          <w:tcPr>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马美容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1,950,000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3,900,000</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首发承诺</w:t>
            </w:r>
          </w:p>
        </w:tc>
        <w:tc>
          <w:tcPr>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r>
      <w:tr>
        <w:trPr>
          <w:trHeight w:val="715"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石河子欣晟股权 投资有限公司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1,950,000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3,900,000</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首发承诺</w:t>
            </w:r>
          </w:p>
        </w:tc>
        <w:tc>
          <w:tcPr>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谭云亮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首发承诺</w:t>
            </w:r>
          </w:p>
        </w:tc>
        <w:tc>
          <w:tcPr>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r>
      <w:tr>
        <w:trPr>
          <w:trHeight w:val="710"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王廉君</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首发承诺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高管锁 定</w:t>
            </w:r>
          </w:p>
        </w:tc>
        <w:tc>
          <w:tcPr>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每年按持股总数</w:t>
            </w:r>
          </w:p>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的</w:t>
            </w:r>
            <w:r>
              <w:rPr>
                <w:rFonts w:ascii="Times New Roman" w:eastAsia="Times New Roman" w:hAnsi="Times New Roman" w:cs="Times New Roman"/>
                <w:color w:val="000000"/>
                <w:spacing w:val="0"/>
                <w:w w:val="100"/>
                <w:position w:val="0"/>
                <w:sz w:val="18"/>
                <w:szCs w:val="18"/>
              </w:rPr>
              <w:t>75%</w:t>
            </w:r>
            <w:r>
              <w:rPr>
                <w:color w:val="000000"/>
                <w:spacing w:val="0"/>
                <w:w w:val="100"/>
                <w:position w:val="0"/>
                <w:sz w:val="17"/>
                <w:szCs w:val="17"/>
              </w:rPr>
              <w:t>锁定</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罗伟广</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首发承诺</w:t>
            </w:r>
          </w:p>
        </w:tc>
        <w:tc>
          <w:tcPr>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柯瑞强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192,400</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首发承诺</w:t>
            </w:r>
          </w:p>
        </w:tc>
        <w:tc>
          <w:tcPr>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r>
      <w:tr>
        <w:trPr>
          <w:trHeight w:val="715"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李根森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34,050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144,300</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首发承诺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离职锁 定</w:t>
            </w:r>
          </w:p>
        </w:tc>
        <w:tc>
          <w:tcPr>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日</w:t>
            </w:r>
          </w:p>
        </w:tc>
      </w:tr>
      <w:tr>
        <w:trPr>
          <w:trHeight w:val="398"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黄泽华</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192,400</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首发承诺</w:t>
            </w:r>
          </w:p>
        </w:tc>
        <w:tc>
          <w:tcPr>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73,500,000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31,364,050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42,121,900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84,891,900</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240" w:line="307" w:lineRule="exact"/>
        <w:ind w:left="0" w:right="0" w:firstLine="0"/>
        <w:jc w:val="left"/>
      </w:pPr>
      <w:r>
        <w:rPr>
          <w:color w:val="000000"/>
          <w:spacing w:val="0"/>
          <w:w w:val="100"/>
          <w:position w:val="0"/>
        </w:rPr>
        <w:t>注：公司股东广州欣晟投资咨询有限公司于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日取得石河子工商行政管理局批准，公司名称正式变更为：石河 子欣晟股权投资有限公司。本期增加限售股数是由于报告期实施</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年年度权益分派方案，以资本公积金向全体股东每</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股所致。</w:t>
      </w:r>
    </w:p>
    <w:p>
      <w:pPr>
        <w:pStyle w:val="Style25"/>
        <w:keepNext/>
        <w:keepLines/>
        <w:widowControl w:val="0"/>
        <w:shd w:val="clear" w:color="auto" w:fill="auto"/>
        <w:tabs>
          <w:tab w:pos="517" w:val="left"/>
        </w:tabs>
        <w:bidi w:val="0"/>
        <w:spacing w:before="0" w:after="300" w:line="240" w:lineRule="auto"/>
        <w:ind w:left="0" w:right="0" w:firstLine="0"/>
        <w:jc w:val="left"/>
      </w:pPr>
      <w:bookmarkStart w:id="294" w:name="bookmark294"/>
      <w:bookmarkStart w:id="295" w:name="bookmark295"/>
      <w:bookmarkStart w:id="296" w:name="bookmark296"/>
      <w:bookmarkStart w:id="297" w:name="bookmark297"/>
      <w:r>
        <w:rPr>
          <w:color w:val="000000"/>
          <w:spacing w:val="0"/>
          <w:w w:val="100"/>
          <w:position w:val="0"/>
        </w:rPr>
        <w:t>二</w:t>
      </w:r>
      <w:bookmarkEnd w:id="296"/>
      <w:r>
        <w:rPr>
          <w:color w:val="000000"/>
          <w:spacing w:val="0"/>
          <w:w w:val="100"/>
          <w:position w:val="0"/>
        </w:rPr>
        <w:t>、</w:t>
        <w:tab/>
        <w:t>证券发行与上市情况</w:t>
      </w:r>
      <w:bookmarkEnd w:id="294"/>
      <w:bookmarkEnd w:id="295"/>
      <w:bookmarkEnd w:id="297"/>
    </w:p>
    <w:p>
      <w:pPr>
        <w:pStyle w:val="Style38"/>
        <w:keepNext/>
        <w:keepLines/>
        <w:widowControl w:val="0"/>
        <w:shd w:val="clear" w:color="auto" w:fill="auto"/>
        <w:tabs>
          <w:tab w:pos="368" w:val="left"/>
        </w:tabs>
        <w:bidi w:val="0"/>
        <w:spacing w:before="0" w:after="360" w:line="312" w:lineRule="exact"/>
        <w:ind w:left="0" w:right="0" w:firstLine="0"/>
        <w:jc w:val="left"/>
      </w:pPr>
      <w:bookmarkStart w:id="298" w:name="bookmark298"/>
      <w:bookmarkStart w:id="299" w:name="bookmark299"/>
      <w:bookmarkStart w:id="300" w:name="bookmark300"/>
      <w:bookmarkStart w:id="301" w:name="bookmark301"/>
      <w:r>
        <w:rPr>
          <w:rFonts w:ascii="Times New Roman" w:eastAsia="Times New Roman" w:hAnsi="Times New Roman" w:cs="Times New Roman"/>
          <w:color w:val="000000"/>
          <w:spacing w:val="0"/>
          <w:w w:val="100"/>
          <w:position w:val="0"/>
        </w:rPr>
        <w:t>1</w:t>
      </w:r>
      <w:bookmarkEnd w:id="300"/>
      <w:r>
        <w:rPr>
          <w:color w:val="000000"/>
          <w:spacing w:val="0"/>
          <w:w w:val="100"/>
          <w:position w:val="0"/>
        </w:rPr>
        <w:t>、</w:t>
        <w:tab/>
        <w:t>报告期内证券发行情况</w:t>
      </w:r>
      <w:bookmarkEnd w:id="298"/>
      <w:bookmarkEnd w:id="299"/>
      <w:bookmarkEnd w:id="301"/>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38"/>
        <w:keepNext/>
        <w:keepLines/>
        <w:widowControl w:val="0"/>
        <w:shd w:val="clear" w:color="auto" w:fill="auto"/>
        <w:tabs>
          <w:tab w:pos="378" w:val="left"/>
        </w:tabs>
        <w:bidi w:val="0"/>
        <w:spacing w:before="0" w:after="300" w:line="312" w:lineRule="exact"/>
        <w:ind w:left="0" w:right="0" w:firstLine="0"/>
        <w:jc w:val="left"/>
      </w:pPr>
      <w:bookmarkStart w:id="302" w:name="bookmark302"/>
      <w:bookmarkStart w:id="303" w:name="bookmark303"/>
      <w:bookmarkStart w:id="304" w:name="bookmark304"/>
      <w:bookmarkStart w:id="305" w:name="bookmark305"/>
      <w:r>
        <w:rPr>
          <w:rFonts w:ascii="Times New Roman" w:eastAsia="Times New Roman" w:hAnsi="Times New Roman" w:cs="Times New Roman"/>
          <w:color w:val="000000"/>
          <w:spacing w:val="0"/>
          <w:w w:val="100"/>
          <w:position w:val="0"/>
        </w:rPr>
        <w:t>2</w:t>
      </w:r>
      <w:bookmarkEnd w:id="304"/>
      <w:r>
        <w:rPr>
          <w:color w:val="000000"/>
          <w:spacing w:val="0"/>
          <w:w w:val="100"/>
          <w:position w:val="0"/>
        </w:rPr>
        <w:t>、</w:t>
        <w:tab/>
        <w:t>公司股份总数及股东结构的变动、公司资产和负债结构的变动情况说明</w:t>
      </w:r>
      <w:bookmarkEnd w:id="302"/>
      <w:bookmarkEnd w:id="303"/>
      <w:bookmarkEnd w:id="305"/>
    </w:p>
    <w:p>
      <w:pPr>
        <w:pStyle w:val="Style35"/>
        <w:keepNext w:val="0"/>
        <w:keepLines w:val="0"/>
        <w:widowControl w:val="0"/>
        <w:shd w:val="clear" w:color="auto" w:fill="auto"/>
        <w:bidi w:val="0"/>
        <w:spacing w:before="0" w:after="360" w:line="312" w:lineRule="exact"/>
        <w:ind w:left="0" w:right="0" w:firstLine="440"/>
        <w:jc w:val="left"/>
      </w:pPr>
      <w:r>
        <w:rPr>
          <w:color w:val="000000"/>
          <w:spacing w:val="0"/>
          <w:w w:val="100"/>
          <w:position w:val="0"/>
        </w:rPr>
        <w:t>公司股份总数变动是由于报告期实施</w:t>
      </w:r>
      <w:r>
        <w:rPr>
          <w:rFonts w:ascii="Times New Roman" w:eastAsia="Times New Roman" w:hAnsi="Times New Roman" w:cs="Times New Roman"/>
          <w:color w:val="000000"/>
          <w:spacing w:val="0"/>
          <w:w w:val="100"/>
          <w:position w:val="0"/>
        </w:rPr>
        <w:t>2012</w:t>
      </w:r>
      <w:r>
        <w:rPr>
          <w:color w:val="000000"/>
          <w:spacing w:val="0"/>
          <w:w w:val="100"/>
          <w:position w:val="0"/>
        </w:rPr>
        <w:t>年年度权益分派方案，以资本公积金向全体股东每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 xml:space="preserve">股转增 </w:t>
      </w:r>
      <w:r>
        <w:rPr>
          <w:rFonts w:ascii="Times New Roman" w:eastAsia="Times New Roman" w:hAnsi="Times New Roman" w:cs="Times New Roman"/>
          <w:color w:val="000000"/>
          <w:spacing w:val="0"/>
          <w:w w:val="100"/>
          <w:position w:val="0"/>
        </w:rPr>
        <w:t>10</w:t>
      </w:r>
      <w:r>
        <w:rPr>
          <w:color w:val="000000"/>
          <w:spacing w:val="0"/>
          <w:w w:val="100"/>
          <w:position w:val="0"/>
        </w:rPr>
        <w:t>股所致。股东结构变动主要是公司部分股东持有的股份因限售期满转为无限售条件的股份。</w:t>
      </w:r>
    </w:p>
    <w:p>
      <w:pPr>
        <w:pStyle w:val="Style25"/>
        <w:keepNext/>
        <w:keepLines/>
        <w:widowControl w:val="0"/>
        <w:shd w:val="clear" w:color="auto" w:fill="auto"/>
        <w:tabs>
          <w:tab w:pos="522" w:val="left"/>
        </w:tabs>
        <w:bidi w:val="0"/>
        <w:spacing w:before="0" w:after="300" w:line="240" w:lineRule="auto"/>
        <w:ind w:left="0" w:right="0" w:firstLine="0"/>
        <w:jc w:val="left"/>
      </w:pPr>
      <w:bookmarkStart w:id="306" w:name="bookmark306"/>
      <w:bookmarkStart w:id="307" w:name="bookmark307"/>
      <w:bookmarkStart w:id="308" w:name="bookmark308"/>
      <w:bookmarkStart w:id="309" w:name="bookmark309"/>
      <w:r>
        <w:rPr>
          <w:color w:val="000000"/>
          <w:spacing w:val="0"/>
          <w:w w:val="100"/>
          <w:position w:val="0"/>
        </w:rPr>
        <w:t>三</w:t>
      </w:r>
      <w:bookmarkEnd w:id="308"/>
      <w:r>
        <w:rPr>
          <w:color w:val="000000"/>
          <w:spacing w:val="0"/>
          <w:w w:val="100"/>
          <w:position w:val="0"/>
        </w:rPr>
        <w:t>、</w:t>
        <w:tab/>
        <w:t>股东和实际控制人情况</w:t>
      </w:r>
      <w:bookmarkEnd w:id="306"/>
      <w:bookmarkEnd w:id="307"/>
      <w:bookmarkEnd w:id="309"/>
    </w:p>
    <w:p>
      <w:pPr>
        <w:pStyle w:val="Style38"/>
        <w:keepNext/>
        <w:keepLines/>
        <w:widowControl w:val="0"/>
        <w:shd w:val="clear" w:color="auto" w:fill="auto"/>
        <w:bidi w:val="0"/>
        <w:spacing w:before="0" w:after="360" w:line="312" w:lineRule="exact"/>
        <w:ind w:left="0" w:right="0" w:firstLine="0"/>
        <w:jc w:val="left"/>
      </w:pPr>
      <w:bookmarkStart w:id="310" w:name="bookmark310"/>
      <w:bookmarkStart w:id="311" w:name="bookmark311"/>
      <w:bookmarkStart w:id="312" w:name="bookmark312"/>
      <w:bookmarkStart w:id="313" w:name="bookmark313"/>
      <w:r>
        <w:rPr>
          <w:rFonts w:ascii="Times New Roman" w:eastAsia="Times New Roman" w:hAnsi="Times New Roman" w:cs="Times New Roman"/>
          <w:color w:val="000000"/>
          <w:spacing w:val="0"/>
          <w:w w:val="100"/>
          <w:position w:val="0"/>
        </w:rPr>
        <w:t>1</w:t>
      </w:r>
      <w:bookmarkEnd w:id="312"/>
      <w:r>
        <w:rPr>
          <w:color w:val="000000"/>
          <w:spacing w:val="0"/>
          <w:w w:val="100"/>
          <w:position w:val="0"/>
        </w:rPr>
        <w:t>、公司股东数量及持股情况</w:t>
      </w:r>
      <w:bookmarkEnd w:id="310"/>
      <w:bookmarkEnd w:id="311"/>
      <w:bookmarkEnd w:id="313"/>
    </w:p>
    <w:p>
      <w:pPr>
        <w:pStyle w:val="Style3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单位：股</w:t>
      </w:r>
    </w:p>
    <w:tbl>
      <w:tblPr>
        <w:tblOverlap w:val="never"/>
        <w:jc w:val="center"/>
        <w:tblLayout w:type="fixed"/>
      </w:tblPr>
      <w:tblGrid>
        <w:gridCol w:w="1709"/>
        <w:gridCol w:w="1368"/>
        <w:gridCol w:w="864"/>
        <w:gridCol w:w="946"/>
        <w:gridCol w:w="1075"/>
        <w:gridCol w:w="1046"/>
        <w:gridCol w:w="989"/>
        <w:gridCol w:w="802"/>
        <w:gridCol w:w="1142"/>
      </w:tblGrid>
      <w:tr>
        <w:trPr>
          <w:trHeight w:val="408" w:hRule="exact"/>
        </w:trPr>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报告期末股东总数</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19,715</w:t>
            </w:r>
          </w:p>
        </w:tc>
        <w:tc>
          <w:tcPr>
            <w:gridSpan w:val="4"/>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年度报告披露日前第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个交易日末股东总数</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19,238</w:t>
            </w:r>
          </w:p>
        </w:tc>
      </w:tr>
      <w:tr>
        <w:trPr>
          <w:trHeight w:val="398" w:hRule="exact"/>
        </w:trPr>
        <w:tc>
          <w:tcPr>
            <w:gridSpan w:val="9"/>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以上的股东持股情况</w:t>
            </w:r>
          </w:p>
        </w:tc>
      </w:tr>
      <w:tr>
        <w:trPr>
          <w:trHeight w:val="403"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股东名称</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股东性质</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持股比例</w:t>
            </w:r>
          </w:p>
          <w:p>
            <w:pPr>
              <w:pStyle w:val="Style8"/>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报告期末 持股数量</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报告期内增 减变动情况</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持有有限售 条件的股份 数量</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持有无限售 条件的股份 数量</w:t>
            </w:r>
          </w:p>
        </w:tc>
        <w:tc>
          <w:tcPr>
            <w:gridSpan w:val="2"/>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质押或冻结情况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股份状态</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数量</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柯宗庆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19.07%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37,381,400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18,690,700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37,381,400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质押</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14,376,000</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柯宗贵</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19.07%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37,381,400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18,690,700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37,381,400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质押</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21,876,000</w:t>
            </w:r>
          </w:p>
        </w:tc>
      </w:tr>
      <w:tr>
        <w:trPr>
          <w:trHeight w:val="71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深圳市博益投资发展 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境内非国有法人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9.32%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18,258,000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18,258,000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质押</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18,240,000</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华泰证券股份有限公 司约定购回专用账户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3.95%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7,742,000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7,742,000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马美容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1.99%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质押</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3,900,000</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石河子欣晟股权投资 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境内非国有法人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1.99%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质押</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3,900,000</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王廉君</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深圳瑞华信投资有限 责任公司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境内非国有法人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2,184,600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2,184,600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中国建设银行一华商 价值共享灵活配置混 合型发起式证券投资 基金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0.95%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1,867,443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1,867,443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1,867,443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中国民生银行股份有 限公司一华商领先企 业混合型证券投资基 金</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0.85%</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1,671,737</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1,671,737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1,671,737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77"/>
        <w:gridCol w:w="4920"/>
        <w:gridCol w:w="802"/>
        <w:gridCol w:w="1142"/>
      </w:tblGrid>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战略投资者或一般法人因配售新股成 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名股东的情况</w:t>
            </w:r>
          </w:p>
        </w:tc>
        <w:tc>
          <w:tcPr>
            <w:gridSpan w:val="3"/>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上述股东关联关系或一致行动的说明</w:t>
            </w:r>
          </w:p>
        </w:tc>
        <w:tc>
          <w:tcPr>
            <w:gridSpan w:val="3"/>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柯宗庆和柯宗贵为兄弟，马美容是公司股东柯宗庆、柯宗贵的兄弟的配偶。</w:t>
            </w:r>
          </w:p>
        </w:tc>
      </w:tr>
      <w:tr>
        <w:trPr>
          <w:trHeight w:val="403" w:hRule="exact"/>
        </w:trPr>
        <w:tc>
          <w:tcPr>
            <w:gridSpan w:val="4"/>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名无限售条件股东持股情况</w:t>
            </w:r>
          </w:p>
        </w:tc>
      </w:tr>
      <w:tr>
        <w:trPr>
          <w:trHeight w:val="403"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股东名称</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报告期末持有无限售条件股份数量</w:t>
            </w:r>
          </w:p>
        </w:tc>
        <w:tc>
          <w:tcPr>
            <w:gridSpan w:val="2"/>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股份种类</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股份种类</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数量</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深圳市博益投资发展有限公司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18,258,000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人民币普 通股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18,258,000</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华泰证券股份有限公司约定购回专用 账户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4160" w:right="0" w:firstLine="0"/>
              <w:jc w:val="left"/>
              <w:rPr>
                <w:sz w:val="18"/>
                <w:szCs w:val="18"/>
              </w:rPr>
            </w:pPr>
            <w:r>
              <w:rPr>
                <w:rFonts w:ascii="Times New Roman" w:eastAsia="Times New Roman" w:hAnsi="Times New Roman" w:cs="Times New Roman"/>
                <w:color w:val="000000"/>
                <w:spacing w:val="0"/>
                <w:w w:val="100"/>
                <w:position w:val="0"/>
                <w:sz w:val="18"/>
                <w:szCs w:val="18"/>
              </w:rPr>
              <w:t>7,742,000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人民币普 通股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7,742,000</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深圳瑞华信投资有限责任公司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4160" w:right="0" w:firstLine="0"/>
              <w:jc w:val="left"/>
              <w:rPr>
                <w:sz w:val="18"/>
                <w:szCs w:val="18"/>
              </w:rPr>
            </w:pPr>
            <w:r>
              <w:rPr>
                <w:rFonts w:ascii="Times New Roman" w:eastAsia="Times New Roman" w:hAnsi="Times New Roman" w:cs="Times New Roman"/>
                <w:color w:val="000000"/>
                <w:spacing w:val="0"/>
                <w:w w:val="100"/>
                <w:position w:val="0"/>
                <w:sz w:val="18"/>
                <w:szCs w:val="18"/>
              </w:rPr>
              <w:t>2,184,600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人民币普 通股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2,184,600</w:t>
            </w:r>
          </w:p>
        </w:tc>
      </w:tr>
      <w:tr>
        <w:trPr>
          <w:trHeight w:val="71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中国建设银行一华商价值共享灵活配 置混合型发起式证券投资基金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4160" w:right="0" w:firstLine="0"/>
              <w:jc w:val="left"/>
              <w:rPr>
                <w:sz w:val="18"/>
                <w:szCs w:val="18"/>
              </w:rPr>
            </w:pPr>
            <w:r>
              <w:rPr>
                <w:rFonts w:ascii="Times New Roman" w:eastAsia="Times New Roman" w:hAnsi="Times New Roman" w:cs="Times New Roman"/>
                <w:color w:val="000000"/>
                <w:spacing w:val="0"/>
                <w:w w:val="100"/>
                <w:position w:val="0"/>
                <w:sz w:val="18"/>
                <w:szCs w:val="18"/>
              </w:rPr>
              <w:t>1,867,443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人民币普 通股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1,867,443</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中国民生银行股份有限公司一华商领</w:t>
            </w:r>
          </w:p>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先企业混合型证券投资基金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4160" w:right="0" w:firstLine="0"/>
              <w:jc w:val="left"/>
              <w:rPr>
                <w:sz w:val="18"/>
                <w:szCs w:val="18"/>
              </w:rPr>
            </w:pPr>
            <w:r>
              <w:rPr>
                <w:rFonts w:ascii="Times New Roman" w:eastAsia="Times New Roman" w:hAnsi="Times New Roman" w:cs="Times New Roman"/>
                <w:color w:val="000000"/>
                <w:spacing w:val="0"/>
                <w:w w:val="100"/>
                <w:position w:val="0"/>
                <w:sz w:val="18"/>
                <w:szCs w:val="18"/>
              </w:rPr>
              <w:t>1,671,737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人民币普 通股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1,671,737</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中国民生银行一华商策略精选灵活配 置混合型证券投资基金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4160" w:right="0" w:firstLine="0"/>
              <w:jc w:val="left"/>
              <w:rPr>
                <w:sz w:val="18"/>
                <w:szCs w:val="18"/>
              </w:rPr>
            </w:pPr>
            <w:r>
              <w:rPr>
                <w:rFonts w:ascii="Times New Roman" w:eastAsia="Times New Roman" w:hAnsi="Times New Roman" w:cs="Times New Roman"/>
                <w:color w:val="000000"/>
                <w:spacing w:val="0"/>
                <w:w w:val="100"/>
                <w:position w:val="0"/>
                <w:sz w:val="18"/>
                <w:szCs w:val="18"/>
              </w:rPr>
              <w:t>1,663,170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人民币普 通股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1,663,170</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陈正忠</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4160" w:right="0" w:firstLine="0"/>
              <w:jc w:val="left"/>
              <w:rPr>
                <w:sz w:val="18"/>
                <w:szCs w:val="18"/>
              </w:rPr>
            </w:pPr>
            <w:r>
              <w:rPr>
                <w:rFonts w:ascii="Times New Roman" w:eastAsia="Times New Roman" w:hAnsi="Times New Roman" w:cs="Times New Roman"/>
                <w:color w:val="000000"/>
                <w:spacing w:val="0"/>
                <w:w w:val="100"/>
                <w:position w:val="0"/>
                <w:sz w:val="18"/>
                <w:szCs w:val="18"/>
              </w:rPr>
              <w:t>1,659,422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人民币普 通股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1,659,422</w:t>
            </w:r>
          </w:p>
        </w:tc>
      </w:tr>
      <w:tr>
        <w:trPr>
          <w:trHeight w:val="71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昆仑信托有限责任公司一昆仑十号证 券投资集合资金信托</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4160" w:right="0" w:firstLine="0"/>
              <w:jc w:val="left"/>
              <w:rPr>
                <w:sz w:val="18"/>
                <w:szCs w:val="18"/>
              </w:rPr>
            </w:pPr>
            <w:r>
              <w:rPr>
                <w:rFonts w:ascii="Times New Roman" w:eastAsia="Times New Roman" w:hAnsi="Times New Roman" w:cs="Times New Roman"/>
                <w:color w:val="000000"/>
                <w:spacing w:val="0"/>
                <w:w w:val="100"/>
                <w:position w:val="0"/>
                <w:sz w:val="18"/>
                <w:szCs w:val="18"/>
              </w:rPr>
              <w:t>1,506,199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人民币普 通股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1,506,199</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11" w:lineRule="exact"/>
              <w:ind w:left="0" w:right="0" w:firstLine="0"/>
              <w:jc w:val="left"/>
              <w:rPr>
                <w:sz w:val="17"/>
                <w:szCs w:val="17"/>
              </w:rPr>
            </w:pPr>
            <w:r>
              <w:rPr>
                <w:color w:val="000000"/>
                <w:spacing w:val="0"/>
                <w:w w:val="100"/>
                <w:position w:val="0"/>
                <w:sz w:val="17"/>
                <w:szCs w:val="17"/>
              </w:rPr>
              <w:t>昆仑信托有限责任公司一慧普永信二 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4160" w:right="0" w:firstLine="0"/>
              <w:jc w:val="left"/>
              <w:rPr>
                <w:sz w:val="18"/>
                <w:szCs w:val="18"/>
              </w:rPr>
            </w:pPr>
            <w:r>
              <w:rPr>
                <w:rFonts w:ascii="Times New Roman" w:eastAsia="Times New Roman" w:hAnsi="Times New Roman" w:cs="Times New Roman"/>
                <w:color w:val="000000"/>
                <w:spacing w:val="0"/>
                <w:w w:val="100"/>
                <w:position w:val="0"/>
                <w:sz w:val="18"/>
                <w:szCs w:val="18"/>
              </w:rPr>
              <w:t>1,417,020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人民币普 通股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1,417,020</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昆仑信托有限责任公司一昆仑九号证 券投资集合资金信托</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4160" w:right="0" w:firstLine="0"/>
              <w:jc w:val="left"/>
              <w:rPr>
                <w:sz w:val="18"/>
                <w:szCs w:val="18"/>
              </w:rPr>
            </w:pPr>
            <w:r>
              <w:rPr>
                <w:rFonts w:ascii="Times New Roman" w:eastAsia="Times New Roman" w:hAnsi="Times New Roman" w:cs="Times New Roman"/>
                <w:color w:val="000000"/>
                <w:spacing w:val="0"/>
                <w:w w:val="100"/>
                <w:position w:val="0"/>
                <w:sz w:val="18"/>
                <w:szCs w:val="18"/>
              </w:rPr>
              <w:t>1,300,000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人民币普 通股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1,300,000</w:t>
            </w:r>
          </w:p>
        </w:tc>
      </w:tr>
      <w:tr>
        <w:trPr>
          <w:trHeight w:val="1027"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名无限售流通股股东之间，以及 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名无限售流通股股东和前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名股 东之间关联关系或一致行动的说明</w:t>
            </w:r>
          </w:p>
        </w:tc>
        <w:tc>
          <w:tcPr>
            <w:gridSpan w:val="3"/>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725"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参与融资融券业务股东情况说明（如 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p>
        </w:tc>
        <w:tc>
          <w:tcPr>
            <w:gridSpan w:val="3"/>
            <w:tcBorders>
              <w:top w:val="single" w:sz="4"/>
              <w:left w:val="single" w:sz="4"/>
              <w:bottom w:val="single" w:sz="4"/>
              <w:right w:val="single" w:sz="4"/>
            </w:tcBorders>
            <w:shd w:val="clear" w:color="auto" w:fill="CCE8CF"/>
            <w:vAlign w:val="center"/>
          </w:tcPr>
          <w:p>
            <w:pPr>
              <w:pStyle w:val="Style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公司股东陈正忠除通过普通证券账户持有</w:t>
            </w:r>
            <w:r>
              <w:rPr>
                <w:rFonts w:ascii="Times New Roman" w:eastAsia="Times New Roman" w:hAnsi="Times New Roman" w:cs="Times New Roman"/>
                <w:color w:val="000000"/>
                <w:spacing w:val="0"/>
                <w:w w:val="100"/>
                <w:position w:val="0"/>
                <w:sz w:val="18"/>
                <w:szCs w:val="18"/>
              </w:rPr>
              <w:t>68,000</w:t>
            </w:r>
            <w:r>
              <w:rPr>
                <w:color w:val="000000"/>
                <w:spacing w:val="0"/>
                <w:w w:val="100"/>
                <w:position w:val="0"/>
                <w:sz w:val="17"/>
                <w:szCs w:val="17"/>
              </w:rPr>
              <w:t>股外，还通过申银万国证券股份有限公 司客户信用交易担保证券账户持有</w:t>
            </w:r>
            <w:r>
              <w:rPr>
                <w:rFonts w:ascii="Times New Roman" w:eastAsia="Times New Roman" w:hAnsi="Times New Roman" w:cs="Times New Roman"/>
                <w:color w:val="000000"/>
                <w:spacing w:val="0"/>
                <w:w w:val="100"/>
                <w:position w:val="0"/>
                <w:sz w:val="18"/>
                <w:szCs w:val="18"/>
              </w:rPr>
              <w:t>1,591,422</w:t>
            </w:r>
            <w:r>
              <w:rPr>
                <w:color w:val="000000"/>
                <w:spacing w:val="0"/>
                <w:w w:val="100"/>
                <w:position w:val="0"/>
                <w:sz w:val="17"/>
                <w:szCs w:val="17"/>
              </w:rPr>
              <w:t>股，实际合计持有</w:t>
            </w:r>
            <w:r>
              <w:rPr>
                <w:rFonts w:ascii="Times New Roman" w:eastAsia="Times New Roman" w:hAnsi="Times New Roman" w:cs="Times New Roman"/>
                <w:color w:val="000000"/>
                <w:spacing w:val="0"/>
                <w:w w:val="100"/>
                <w:position w:val="0"/>
                <w:sz w:val="18"/>
                <w:szCs w:val="18"/>
              </w:rPr>
              <w:t>1,659,422</w:t>
            </w:r>
            <w:r>
              <w:rPr>
                <w:color w:val="000000"/>
                <w:spacing w:val="0"/>
                <w:w w:val="100"/>
                <w:position w:val="0"/>
                <w:sz w:val="17"/>
                <w:szCs w:val="17"/>
              </w:rPr>
              <w:t>股。</w:t>
            </w:r>
          </w:p>
        </w:tc>
      </w:tr>
    </w:tbl>
    <w:p>
      <w:pPr>
        <w:pStyle w:val="Style35"/>
        <w:keepNext w:val="0"/>
        <w:keepLines w:val="0"/>
        <w:widowControl w:val="0"/>
        <w:shd w:val="clear" w:color="auto" w:fill="auto"/>
        <w:bidi w:val="0"/>
        <w:spacing w:before="0" w:after="0" w:line="442" w:lineRule="exact"/>
        <w:ind w:left="0" w:right="0" w:firstLine="0"/>
        <w:jc w:val="left"/>
      </w:pPr>
      <w:r>
        <w:rPr>
          <w:color w:val="000000"/>
          <w:spacing w:val="0"/>
          <w:w w:val="100"/>
          <w:position w:val="0"/>
        </w:rPr>
        <w:t xml:space="preserve">公司股东在报告期内是否进行约定购回交易 </w:t>
      </w:r>
      <w:r>
        <w:rPr>
          <w:rFonts w:ascii="Times New Roman" w:eastAsia="Times New Roman" w:hAnsi="Times New Roman" w:cs="Times New Roman"/>
          <w:color w:val="000000"/>
          <w:spacing w:val="0"/>
          <w:w w:val="100"/>
          <w:position w:val="0"/>
        </w:rPr>
        <w:t>q</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35"/>
        <w:keepNext w:val="0"/>
        <w:keepLines w:val="0"/>
        <w:widowControl w:val="0"/>
        <w:shd w:val="clear" w:color="auto" w:fill="auto"/>
        <w:bidi w:val="0"/>
        <w:spacing w:before="0" w:after="0" w:line="408" w:lineRule="exact"/>
        <w:ind w:left="0" w:right="0" w:firstLine="0"/>
        <w:jc w:val="left"/>
      </w:pPr>
      <w:bookmarkStart w:id="314" w:name="bookmark314"/>
      <w:r>
        <w:rPr>
          <w:rFonts w:ascii="Times New Roman" w:eastAsia="Times New Roman" w:hAnsi="Times New Roman" w:cs="Times New Roman"/>
          <w:color w:val="000000"/>
          <w:spacing w:val="0"/>
          <w:w w:val="100"/>
          <w:position w:val="0"/>
          <w:sz w:val="18"/>
          <w:szCs w:val="18"/>
        </w:rPr>
        <w:t>1</w:t>
      </w:r>
      <w:bookmarkEnd w:id="314"/>
      <w:r>
        <w:rPr>
          <w:color w:val="000000"/>
          <w:spacing w:val="0"/>
          <w:w w:val="100"/>
          <w:position w:val="0"/>
          <w:sz w:val="17"/>
          <w:szCs w:val="17"/>
        </w:rPr>
        <w:t xml:space="preserve">、 </w:t>
      </w:r>
      <w:r>
        <w:rPr>
          <w:color w:val="000000"/>
          <w:spacing w:val="0"/>
          <w:w w:val="100"/>
          <w:position w:val="0"/>
        </w:rPr>
        <w:t>公司股东：深圳瑞华信投资有限责任公司在报告期将其持有的本公司无限售条件流通股</w:t>
      </w:r>
      <w:r>
        <w:rPr>
          <w:rFonts w:ascii="Times New Roman" w:eastAsia="Times New Roman" w:hAnsi="Times New Roman" w:cs="Times New Roman"/>
          <w:color w:val="000000"/>
          <w:spacing w:val="0"/>
          <w:w w:val="100"/>
          <w:position w:val="0"/>
        </w:rPr>
        <w:t>200</w:t>
      </w:r>
      <w:r>
        <w:rPr>
          <w:color w:val="000000"/>
          <w:spacing w:val="0"/>
          <w:w w:val="100"/>
          <w:position w:val="0"/>
        </w:rPr>
        <w:t>万股（占公 司总股本的</w:t>
      </w:r>
      <w:r>
        <w:rPr>
          <w:rFonts w:ascii="Times New Roman" w:eastAsia="Times New Roman" w:hAnsi="Times New Roman" w:cs="Times New Roman"/>
          <w:color w:val="000000"/>
          <w:spacing w:val="0"/>
          <w:w w:val="100"/>
          <w:position w:val="0"/>
        </w:rPr>
        <w:t>1.02%</w:t>
      </w:r>
      <w:r>
        <w:rPr>
          <w:color w:val="000000"/>
          <w:spacing w:val="0"/>
          <w:w w:val="100"/>
          <w:position w:val="0"/>
        </w:rPr>
        <w:t>）进行约定购回式证券交易，参与交易的证券公司为：宏源证券股份有限公司。截至报 告期末，深圳瑞华信投资有限责任公司已将股份购回。</w:t>
      </w:r>
    </w:p>
    <w:p>
      <w:pPr>
        <w:pStyle w:val="Style35"/>
        <w:keepNext w:val="0"/>
        <w:keepLines w:val="0"/>
        <w:widowControl w:val="0"/>
        <w:shd w:val="clear" w:color="auto" w:fill="auto"/>
        <w:tabs>
          <w:tab w:pos="365" w:val="left"/>
        </w:tabs>
        <w:bidi w:val="0"/>
        <w:spacing w:before="0" w:after="240" w:line="408" w:lineRule="exact"/>
        <w:ind w:left="0" w:right="0" w:firstLine="0"/>
        <w:jc w:val="left"/>
      </w:pPr>
      <w:bookmarkStart w:id="315" w:name="bookmark315"/>
      <w:r>
        <w:rPr>
          <w:rFonts w:ascii="Times New Roman" w:eastAsia="Times New Roman" w:hAnsi="Times New Roman" w:cs="Times New Roman"/>
          <w:color w:val="000000"/>
          <w:spacing w:val="0"/>
          <w:w w:val="100"/>
          <w:position w:val="0"/>
        </w:rPr>
        <w:t>2</w:t>
      </w:r>
      <w:bookmarkEnd w:id="315"/>
      <w:r>
        <w:rPr>
          <w:color w:val="000000"/>
          <w:spacing w:val="0"/>
          <w:w w:val="100"/>
          <w:position w:val="0"/>
        </w:rPr>
        <w:t>、</w:t>
        <w:tab/>
        <w:t>公司股东：深圳市博益投资发展有限公司在报告期将其持有的本公司无限售条件流通股</w:t>
      </w:r>
      <w:r>
        <w:rPr>
          <w:rFonts w:ascii="Times New Roman" w:eastAsia="Times New Roman" w:hAnsi="Times New Roman" w:cs="Times New Roman"/>
          <w:color w:val="000000"/>
          <w:spacing w:val="0"/>
          <w:w w:val="100"/>
          <w:position w:val="0"/>
        </w:rPr>
        <w:t>774.</w:t>
      </w:r>
      <w:r>
        <w:rPr>
          <w:rFonts w:ascii="Times New Roman" w:eastAsia="Times New Roman" w:hAnsi="Times New Roman" w:cs="Times New Roman"/>
          <w:color w:val="000000"/>
          <w:spacing w:val="0"/>
          <w:w w:val="100"/>
          <w:position w:val="0"/>
        </w:rPr>
        <w:t>2</w:t>
      </w:r>
      <w:r>
        <w:rPr>
          <w:color w:val="000000"/>
          <w:spacing w:val="0"/>
          <w:w w:val="100"/>
          <w:position w:val="0"/>
        </w:rPr>
        <w:t>万股（占</w:t>
        <w:br w:type="page"/>
      </w:r>
      <w:r>
        <w:rPr>
          <w:color w:val="000000"/>
          <w:spacing w:val="0"/>
          <w:w w:val="100"/>
          <w:position w:val="0"/>
        </w:rPr>
        <w:t>公司总股本的</w:t>
      </w:r>
      <w:r>
        <w:rPr>
          <w:rFonts w:ascii="Times New Roman" w:eastAsia="Times New Roman" w:hAnsi="Times New Roman" w:cs="Times New Roman"/>
          <w:color w:val="000000"/>
          <w:spacing w:val="0"/>
          <w:w w:val="100"/>
          <w:position w:val="0"/>
        </w:rPr>
        <w:t>3.95%</w:t>
      </w:r>
      <w:r>
        <w:rPr>
          <w:color w:val="000000"/>
          <w:spacing w:val="0"/>
          <w:w w:val="100"/>
          <w:position w:val="0"/>
        </w:rPr>
        <w:t>）进行约定购回式证券交易，参与交易的证券公司为：华泰证券股份有限公司。本次 交易之后，深圳市博益投资发展有限公司的股份数由</w:t>
      </w:r>
      <w:r>
        <w:rPr>
          <w:rFonts w:ascii="Times New Roman" w:eastAsia="Times New Roman" w:hAnsi="Times New Roman" w:cs="Times New Roman"/>
          <w:color w:val="000000"/>
          <w:spacing w:val="0"/>
          <w:w w:val="100"/>
          <w:position w:val="0"/>
        </w:rPr>
        <w:t>2600</w:t>
      </w:r>
      <w:r>
        <w:rPr>
          <w:color w:val="000000"/>
          <w:spacing w:val="0"/>
          <w:w w:val="100"/>
          <w:position w:val="0"/>
        </w:rPr>
        <w:t>万股降至</w:t>
      </w:r>
      <w:r>
        <w:rPr>
          <w:rFonts w:ascii="Times New Roman" w:eastAsia="Times New Roman" w:hAnsi="Times New Roman" w:cs="Times New Roman"/>
          <w:color w:val="000000"/>
          <w:spacing w:val="0"/>
          <w:w w:val="100"/>
          <w:position w:val="0"/>
        </w:rPr>
        <w:t>1825.8</w:t>
      </w:r>
      <w:r>
        <w:rPr>
          <w:color w:val="000000"/>
          <w:spacing w:val="0"/>
          <w:w w:val="100"/>
          <w:position w:val="0"/>
        </w:rPr>
        <w:t>万股。</w:t>
      </w:r>
    </w:p>
    <w:p>
      <w:pPr>
        <w:pStyle w:val="Style38"/>
        <w:keepNext/>
        <w:keepLines/>
        <w:widowControl w:val="0"/>
        <w:shd w:val="clear" w:color="auto" w:fill="auto"/>
        <w:bidi w:val="0"/>
        <w:spacing w:before="0" w:after="380" w:line="398" w:lineRule="exact"/>
        <w:ind w:left="0" w:right="0" w:firstLine="0"/>
        <w:jc w:val="left"/>
      </w:pPr>
      <w:bookmarkStart w:id="316" w:name="bookmark316"/>
      <w:bookmarkStart w:id="317" w:name="bookmark317"/>
      <w:bookmarkStart w:id="318" w:name="bookmark318"/>
      <w:bookmarkStart w:id="319" w:name="bookmark319"/>
      <w:r>
        <w:rPr>
          <w:rFonts w:ascii="Times New Roman" w:eastAsia="Times New Roman" w:hAnsi="Times New Roman" w:cs="Times New Roman"/>
          <w:color w:val="000000"/>
          <w:spacing w:val="0"/>
          <w:w w:val="100"/>
          <w:position w:val="0"/>
        </w:rPr>
        <w:t>2</w:t>
      </w:r>
      <w:bookmarkEnd w:id="318"/>
      <w:r>
        <w:rPr>
          <w:color w:val="000000"/>
          <w:spacing w:val="0"/>
          <w:w w:val="100"/>
          <w:position w:val="0"/>
        </w:rPr>
        <w:t>、公司控股股东情况</w:t>
      </w:r>
      <w:bookmarkEnd w:id="316"/>
      <w:bookmarkEnd w:id="317"/>
      <w:bookmarkEnd w:id="319"/>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自然人</w:t>
      </w:r>
    </w:p>
    <w:tbl>
      <w:tblPr>
        <w:tblOverlap w:val="never"/>
        <w:jc w:val="center"/>
        <w:tblLayout w:type="fixed"/>
      </w:tblPr>
      <w:tblGrid>
        <w:gridCol w:w="3346"/>
        <w:gridCol w:w="2054"/>
        <w:gridCol w:w="4186"/>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控股股东姓名</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国籍</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是否取得其他国家或地区居留权</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柯宗庆</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柯宗贵</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年内的职业及职务</w:t>
            </w:r>
          </w:p>
        </w:tc>
        <w:tc>
          <w:tcPr>
            <w:gridSpan w:val="2"/>
            <w:tcBorders>
              <w:top w:val="single" w:sz="4"/>
              <w:left w:val="single" w:sz="4"/>
              <w:bottom w:val="single" w:sz="4"/>
              <w:right w:val="single" w:sz="4"/>
            </w:tcBorders>
            <w:shd w:val="clear" w:color="auto" w:fill="CCE8CF"/>
            <w:vAlign w:val="center"/>
          </w:tcPr>
          <w:p>
            <w:pPr>
              <w:pStyle w:val="Style8"/>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柯宗庆</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sz w:val="17"/>
                <w:szCs w:val="17"/>
              </w:rPr>
              <w:t>年至今任本公司董事长。柯宗贵</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sz w:val="17"/>
                <w:szCs w:val="17"/>
              </w:rPr>
              <w:t>年至今任本公司副董事长兼 总经理。</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bidi w:val="0"/>
        <w:spacing w:before="0" w:after="380" w:line="240" w:lineRule="auto"/>
        <w:ind w:left="0" w:right="0" w:firstLine="0"/>
        <w:jc w:val="left"/>
      </w:pPr>
      <w:bookmarkStart w:id="320" w:name="bookmark320"/>
      <w:bookmarkStart w:id="321" w:name="bookmark321"/>
      <w:bookmarkStart w:id="322" w:name="bookmark322"/>
      <w:bookmarkStart w:id="323" w:name="bookmark323"/>
      <w:r>
        <w:rPr>
          <w:rFonts w:ascii="Times New Roman" w:eastAsia="Times New Roman" w:hAnsi="Times New Roman" w:cs="Times New Roman"/>
          <w:color w:val="000000"/>
          <w:spacing w:val="0"/>
          <w:w w:val="100"/>
          <w:position w:val="0"/>
        </w:rPr>
        <w:t>3</w:t>
      </w:r>
      <w:bookmarkEnd w:id="322"/>
      <w:r>
        <w:rPr>
          <w:color w:val="000000"/>
          <w:spacing w:val="0"/>
          <w:w w:val="100"/>
          <w:position w:val="0"/>
        </w:rPr>
        <w:t>、公司实际控制人情况</w:t>
      </w:r>
      <w:bookmarkEnd w:id="320"/>
      <w:bookmarkEnd w:id="321"/>
      <w:bookmarkEnd w:id="323"/>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自然人</w:t>
      </w:r>
    </w:p>
    <w:tbl>
      <w:tblPr>
        <w:tblOverlap w:val="never"/>
        <w:jc w:val="center"/>
        <w:tblLayout w:type="fixed"/>
      </w:tblPr>
      <w:tblGrid>
        <w:gridCol w:w="3230"/>
        <w:gridCol w:w="2227"/>
        <w:gridCol w:w="4128"/>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实际控制人姓名</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国籍</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是否取得其他国家或地区居留权</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柯宗庆</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柯宗贵</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年内的职业及职务</w:t>
            </w:r>
          </w:p>
        </w:tc>
        <w:tc>
          <w:tcPr>
            <w:gridSpan w:val="2"/>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柯宗庆</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sz w:val="17"/>
                <w:szCs w:val="17"/>
              </w:rPr>
              <w:t>年至今任本公司董事长。柯宗贵</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sz w:val="17"/>
                <w:szCs w:val="17"/>
              </w:rPr>
              <w:t>年至今任本公司副董事长兼 总经理。</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年曾控股的境内外上市公司情况</w:t>
            </w:r>
          </w:p>
        </w:tc>
        <w:tc>
          <w:tcPr>
            <w:gridSpan w:val="2"/>
            <w:tcBorders>
              <w:top w:val="single" w:sz="4"/>
              <w:left w:val="single" w:sz="4"/>
              <w:bottom w:val="single" w:sz="4"/>
              <w:righ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968240" cy="1572895"/>
            <wp:docPr id="30" name="Picutre 30"/>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7"/>
                    <a:stretch/>
                  </pic:blipFill>
                  <pic:spPr>
                    <a:xfrm>
                      <a:ext cx="4968240" cy="1572895"/>
                    </a:xfrm>
                    <a:prstGeom prst="rect"/>
                  </pic:spPr>
                </pic:pic>
              </a:graphicData>
            </a:graphic>
          </wp:inline>
        </w:drawing>
      </w:r>
    </w:p>
    <w:p>
      <w:pPr>
        <w:widowControl w:val="0"/>
        <w:spacing w:after="239" w:line="1" w:lineRule="exact"/>
      </w:pPr>
    </w:p>
    <w:p>
      <w:pPr>
        <w:pStyle w:val="Style59"/>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rPr>
        <w:t>实际控制人通过信托或其他资产管理方式控制公司</w:t>
      </w:r>
    </w:p>
    <w:p>
      <w:pPr>
        <w:pStyle w:val="Style27"/>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8"/>
        <w:keepNext/>
        <w:keepLines/>
        <w:widowControl w:val="0"/>
        <w:shd w:val="clear" w:color="auto" w:fill="auto"/>
        <w:tabs>
          <w:tab w:pos="938" w:val="left"/>
        </w:tabs>
        <w:bidi w:val="0"/>
        <w:spacing w:before="0" w:after="380" w:line="240" w:lineRule="auto"/>
        <w:ind w:left="0" w:right="0" w:firstLine="560"/>
        <w:jc w:val="left"/>
      </w:pPr>
      <w:bookmarkStart w:id="324" w:name="bookmark324"/>
      <w:bookmarkStart w:id="325" w:name="bookmark325"/>
      <w:bookmarkStart w:id="326" w:name="bookmark326"/>
      <w:bookmarkStart w:id="327" w:name="bookmark327"/>
      <w:r>
        <w:rPr>
          <w:rFonts w:ascii="Times New Roman" w:eastAsia="Times New Roman" w:hAnsi="Times New Roman" w:cs="Times New Roman"/>
          <w:color w:val="000000"/>
          <w:spacing w:val="0"/>
          <w:w w:val="100"/>
          <w:position w:val="0"/>
        </w:rPr>
        <w:t>4</w:t>
      </w:r>
      <w:bookmarkEnd w:id="326"/>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324"/>
      <w:bookmarkEnd w:id="325"/>
      <w:bookmarkEnd w:id="327"/>
    </w:p>
    <w:p>
      <w:pPr>
        <w:pStyle w:val="Style27"/>
        <w:keepNext w:val="0"/>
        <w:keepLines w:val="0"/>
        <w:widowControl w:val="0"/>
        <w:shd w:val="clear" w:color="auto" w:fill="auto"/>
        <w:bidi w:val="0"/>
        <w:spacing w:before="0" w:after="380" w:line="240" w:lineRule="auto"/>
        <w:ind w:left="0" w:right="0" w:firstLine="560"/>
        <w:jc w:val="left"/>
      </w:pPr>
      <w:r>
        <w:rPr>
          <w:color w:val="000000"/>
          <w:spacing w:val="0"/>
          <w:w w:val="100"/>
          <w:position w:val="0"/>
        </w:rPr>
        <w:t>无</w:t>
      </w:r>
    </w:p>
    <w:p>
      <w:pPr>
        <w:pStyle w:val="Style38"/>
        <w:keepNext/>
        <w:keepLines/>
        <w:widowControl w:val="0"/>
        <w:shd w:val="clear" w:color="auto" w:fill="auto"/>
        <w:tabs>
          <w:tab w:pos="938" w:val="left"/>
        </w:tabs>
        <w:bidi w:val="0"/>
        <w:spacing w:before="0" w:after="320" w:line="240" w:lineRule="auto"/>
        <w:ind w:left="0" w:right="0" w:firstLine="560"/>
        <w:jc w:val="left"/>
      </w:pPr>
      <w:bookmarkStart w:id="328" w:name="bookmark328"/>
      <w:bookmarkStart w:id="329" w:name="bookmark329"/>
      <w:bookmarkStart w:id="330" w:name="bookmark330"/>
      <w:bookmarkStart w:id="331" w:name="bookmark331"/>
      <w:r>
        <w:rPr>
          <w:rFonts w:ascii="Times New Roman" w:eastAsia="Times New Roman" w:hAnsi="Times New Roman" w:cs="Times New Roman"/>
          <w:color w:val="000000"/>
          <w:spacing w:val="0"/>
          <w:w w:val="100"/>
          <w:position w:val="0"/>
        </w:rPr>
        <w:t>5</w:t>
      </w:r>
      <w:bookmarkEnd w:id="330"/>
      <w:r>
        <w:rPr>
          <w:color w:val="000000"/>
          <w:spacing w:val="0"/>
          <w:w w:val="100"/>
          <w:position w:val="0"/>
        </w:rPr>
        <w:t>、</w:t>
        <w:tab/>
        <w:t>前</w:t>
      </w:r>
      <w:r>
        <w:rPr>
          <w:rFonts w:ascii="Times New Roman" w:eastAsia="Times New Roman" w:hAnsi="Times New Roman" w:cs="Times New Roman"/>
          <w:color w:val="000000"/>
          <w:spacing w:val="0"/>
          <w:w w:val="100"/>
          <w:position w:val="0"/>
        </w:rPr>
        <w:t>10</w:t>
      </w:r>
      <w:r>
        <w:rPr>
          <w:color w:val="000000"/>
          <w:spacing w:val="0"/>
          <w:w w:val="100"/>
          <w:position w:val="0"/>
        </w:rPr>
        <w:t>名限售条件股东持股数量及限售条件</w:t>
      </w:r>
      <w:bookmarkEnd w:id="328"/>
      <w:bookmarkEnd w:id="329"/>
      <w:bookmarkEnd w:id="331"/>
    </w:p>
    <w:tbl>
      <w:tblPr>
        <w:tblOverlap w:val="never"/>
        <w:jc w:val="center"/>
        <w:tblLayout w:type="fixed"/>
      </w:tblPr>
      <w:tblGrid>
        <w:gridCol w:w="1925"/>
        <w:gridCol w:w="1910"/>
        <w:gridCol w:w="1915"/>
        <w:gridCol w:w="1915"/>
        <w:gridCol w:w="1925"/>
      </w:tblGrid>
      <w:tr>
        <w:trPr>
          <w:trHeight w:val="72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限售条件股东名称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持有的限售条件股份数</w:t>
            </w:r>
          </w:p>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量（股）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可上市交易时间</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新增可上市交易股份数</w:t>
            </w:r>
          </w:p>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量（股）</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限售条件</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柯宗庆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37,381,400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首发承诺</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柯宗贵</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37,381,400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首发承诺</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马美容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3,900,000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首发承诺</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石河子欣晟股权投资有 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3,900,000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首发承诺</w:t>
            </w:r>
          </w:p>
        </w:tc>
      </w:tr>
      <w:tr>
        <w:trPr>
          <w:trHeight w:val="71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王廉君</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1,800,000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每年按持股总数的</w:t>
            </w:r>
            <w:r>
              <w:rPr>
                <w:rFonts w:ascii="Times New Roman" w:eastAsia="Times New Roman" w:hAnsi="Times New Roman" w:cs="Times New Roman"/>
                <w:color w:val="000000"/>
                <w:spacing w:val="0"/>
                <w:w w:val="100"/>
                <w:position w:val="0"/>
                <w:sz w:val="18"/>
                <w:szCs w:val="18"/>
              </w:rPr>
              <w:t>25%</w:t>
            </w:r>
          </w:p>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解锁</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高管锁定</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柯瑞强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192,400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首发承诺</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黄泽华</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192,400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首发承诺</w:t>
            </w:r>
          </w:p>
        </w:tc>
      </w:tr>
      <w:tr>
        <w:trPr>
          <w:trHeight w:val="41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李根森</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144,300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34,050</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离职锁定</w:t>
            </w:r>
          </w:p>
        </w:tc>
      </w:tr>
    </w:tbl>
    <w:p>
      <w:pPr>
        <w:spacing w:lineRule="exact" w:line="1"/>
        <w:rPr>
          <w:sz w:val="2"/>
          <w:szCs w:val="2"/>
        </w:rPr>
      </w:pPr>
      <w:r>
        <w:br w:type="page"/>
      </w:r>
    </w:p>
    <w:p>
      <w:pPr>
        <w:pStyle w:val="Style12"/>
        <w:keepNext/>
        <w:keepLines/>
        <w:widowControl w:val="0"/>
        <w:shd w:val="clear" w:color="auto" w:fill="auto"/>
        <w:bidi w:val="0"/>
        <w:spacing w:before="0" w:after="460" w:line="240" w:lineRule="auto"/>
        <w:ind w:left="0" w:right="0" w:firstLine="0"/>
        <w:jc w:val="center"/>
      </w:pPr>
      <w:bookmarkStart w:id="332" w:name="bookmark332"/>
      <w:bookmarkStart w:id="333" w:name="bookmark333"/>
      <w:bookmarkStart w:id="334" w:name="bookmark334"/>
      <w:r>
        <w:rPr>
          <w:color w:val="000000"/>
          <w:spacing w:val="0"/>
          <w:w w:val="100"/>
          <w:position w:val="0"/>
        </w:rPr>
        <w:t>第七节董事、监事、高级管理人员和员工情况</w:t>
      </w:r>
      <w:bookmarkEnd w:id="332"/>
      <w:bookmarkEnd w:id="333"/>
      <w:bookmarkEnd w:id="334"/>
    </w:p>
    <w:p>
      <w:pPr>
        <w:pStyle w:val="Style25"/>
        <w:keepNext/>
        <w:keepLines/>
        <w:widowControl w:val="0"/>
        <w:shd w:val="clear" w:color="auto" w:fill="auto"/>
        <w:bidi w:val="0"/>
        <w:spacing w:before="0" w:after="380" w:line="240" w:lineRule="auto"/>
        <w:ind w:left="0" w:right="0" w:firstLine="580"/>
        <w:jc w:val="left"/>
      </w:pPr>
      <w:bookmarkStart w:id="335" w:name="bookmark335"/>
      <w:bookmarkStart w:id="336" w:name="bookmark336"/>
      <w:bookmarkStart w:id="337" w:name="bookmark337"/>
      <w:bookmarkStart w:id="338" w:name="bookmark338"/>
      <w:r>
        <w:rPr>
          <w:color w:val="000000"/>
          <w:spacing w:val="0"/>
          <w:w w:val="100"/>
          <w:position w:val="0"/>
        </w:rPr>
        <w:t>一</w:t>
      </w:r>
      <w:bookmarkEnd w:id="337"/>
      <w:r>
        <w:rPr>
          <w:color w:val="000000"/>
          <w:spacing w:val="0"/>
          <w:w w:val="100"/>
          <w:position w:val="0"/>
        </w:rPr>
        <w:t>、董事、监事和高级管理人员持股变动</w:t>
      </w:r>
      <w:bookmarkEnd w:id="335"/>
      <w:bookmarkEnd w:id="336"/>
      <w:bookmarkEnd w:id="338"/>
    </w:p>
    <w:p>
      <w:pPr>
        <w:pStyle w:val="Style38"/>
        <w:keepNext/>
        <w:keepLines/>
        <w:widowControl w:val="0"/>
        <w:shd w:val="clear" w:color="auto" w:fill="auto"/>
        <w:bidi w:val="0"/>
        <w:spacing w:before="0" w:after="300" w:line="240" w:lineRule="auto"/>
        <w:ind w:left="0" w:right="0" w:firstLine="580"/>
        <w:jc w:val="left"/>
      </w:pPr>
      <w:bookmarkStart w:id="339" w:name="bookmark339"/>
      <w:bookmarkStart w:id="340" w:name="bookmark340"/>
      <w:bookmarkStart w:id="341" w:name="bookmark341"/>
      <w:bookmarkStart w:id="342" w:name="bookmark342"/>
      <w:r>
        <w:rPr>
          <w:rFonts w:ascii="Times New Roman" w:eastAsia="Times New Roman" w:hAnsi="Times New Roman" w:cs="Times New Roman"/>
          <w:color w:val="000000"/>
          <w:spacing w:val="0"/>
          <w:w w:val="100"/>
          <w:position w:val="0"/>
        </w:rPr>
        <w:t>1</w:t>
      </w:r>
      <w:bookmarkEnd w:id="341"/>
      <w:r>
        <w:rPr>
          <w:color w:val="000000"/>
          <w:spacing w:val="0"/>
          <w:w w:val="100"/>
          <w:position w:val="0"/>
        </w:rPr>
        <w:t>、持股情况</w:t>
      </w:r>
      <w:bookmarkEnd w:id="339"/>
      <w:bookmarkEnd w:id="340"/>
      <w:bookmarkEnd w:id="342"/>
    </w:p>
    <w:tbl>
      <w:tblPr>
        <w:tblOverlap w:val="never"/>
        <w:jc w:val="center"/>
        <w:tblLayout w:type="fixed"/>
      </w:tblPr>
      <w:tblGrid>
        <w:gridCol w:w="682"/>
        <w:gridCol w:w="984"/>
        <w:gridCol w:w="682"/>
        <w:gridCol w:w="682"/>
        <w:gridCol w:w="682"/>
        <w:gridCol w:w="989"/>
        <w:gridCol w:w="989"/>
        <w:gridCol w:w="686"/>
        <w:gridCol w:w="874"/>
        <w:gridCol w:w="686"/>
        <w:gridCol w:w="682"/>
        <w:gridCol w:w="686"/>
        <w:gridCol w:w="682"/>
        <w:gridCol w:w="816"/>
      </w:tblGrid>
      <w:tr>
        <w:trPr>
          <w:trHeight w:val="228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姓名</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职务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性别</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年龄</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任职状 态</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期初持股数</w:t>
            </w:r>
          </w:p>
          <w:p>
            <w:pPr>
              <w:pStyle w:val="Style8"/>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本期增持股 份数量（股）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本期减 持股份 数量 （股）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期末持股 数（股）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期初持 有的股 权激励 获授予 限制性 股票数 量（股）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本期获 授予的 股权激 励限制 性股票 数量 （股）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1" w:lineRule="exact"/>
              <w:ind w:left="0" w:right="0" w:firstLine="0"/>
              <w:jc w:val="center"/>
              <w:rPr>
                <w:sz w:val="17"/>
                <w:szCs w:val="17"/>
              </w:rPr>
            </w:pPr>
            <w:r>
              <w:rPr>
                <w:color w:val="000000"/>
                <w:spacing w:val="0"/>
                <w:w w:val="100"/>
                <w:position w:val="0"/>
                <w:sz w:val="17"/>
                <w:szCs w:val="17"/>
              </w:rPr>
              <w:t>本期被 注销的 股权激 励限制 性股票 数量 （股）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right"/>
              <w:rPr>
                <w:sz w:val="17"/>
                <w:szCs w:val="17"/>
              </w:rPr>
            </w:pPr>
            <w:r>
              <w:rPr>
                <w:color w:val="000000"/>
                <w:spacing w:val="0"/>
                <w:w w:val="100"/>
                <w:position w:val="0"/>
                <w:sz w:val="17"/>
                <w:szCs w:val="17"/>
              </w:rPr>
              <w:t>期末持</w:t>
            </w:r>
          </w:p>
          <w:p>
            <w:pPr>
              <w:pStyle w:val="Style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有的股 权激励 获授予 限制性 股票数 量（股）</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增减变动</w:t>
            </w:r>
          </w:p>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原因</w:t>
            </w:r>
          </w:p>
        </w:tc>
      </w:tr>
      <w:tr>
        <w:trPr>
          <w:trHeight w:val="715"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柯宗庆</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18,690,700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18,690,700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37,381,400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资本公积 转增股本</w:t>
            </w:r>
          </w:p>
        </w:tc>
      </w:tr>
      <w:tr>
        <w:trPr>
          <w:trHeight w:val="710"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柯宗贵</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副董事长、 总经理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18,690,700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18,690,700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37,381,400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资本公积 转增股本</w:t>
            </w:r>
          </w:p>
        </w:tc>
      </w:tr>
      <w:tr>
        <w:trPr>
          <w:trHeight w:val="715"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王廉君</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1,200,000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资本公积 转增股本</w:t>
            </w:r>
          </w:p>
        </w:tc>
      </w:tr>
      <w:tr>
        <w:trPr>
          <w:trHeight w:val="1027"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李根森</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董事、副总</w:t>
            </w:r>
          </w:p>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96,200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82,150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34,050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144,300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资本公积 转增股 本、减持</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贺小勇</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top"/>
          </w:tcPr>
          <w:p>
            <w:pPr>
              <w:widowControl w:val="0"/>
              <w:rPr>
                <w:sz w:val="10"/>
                <w:szCs w:val="10"/>
              </w:rPr>
            </w:pPr>
          </w:p>
        </w:tc>
      </w:tr>
      <w:tr>
        <w:trPr>
          <w:trHeight w:val="398"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王丹舟</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top"/>
          </w:tcPr>
          <w:p>
            <w:pPr>
              <w:widowControl w:val="0"/>
              <w:rPr>
                <w:sz w:val="10"/>
                <w:szCs w:val="10"/>
              </w:rPr>
            </w:pP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徐超汉</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top"/>
          </w:tcPr>
          <w:p>
            <w:pPr>
              <w:widowControl w:val="0"/>
              <w:rPr>
                <w:sz w:val="10"/>
                <w:szCs w:val="10"/>
              </w:rPr>
            </w:pPr>
          </w:p>
        </w:tc>
      </w:tr>
      <w:tr>
        <w:trPr>
          <w:trHeight w:val="715"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黄泽华</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董事、副总</w:t>
            </w:r>
          </w:p>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96,200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192,400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资本公积 转增股本</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刘天卓</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top"/>
          </w:tcPr>
          <w:p>
            <w:pPr>
              <w:widowControl w:val="0"/>
              <w:rPr>
                <w:sz w:val="10"/>
                <w:szCs w:val="10"/>
              </w:rPr>
            </w:pPr>
          </w:p>
        </w:tc>
      </w:tr>
      <w:tr>
        <w:trPr>
          <w:trHeight w:val="398"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冯明强</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top"/>
          </w:tcPr>
          <w:p>
            <w:pPr>
              <w:widowControl w:val="0"/>
              <w:rPr>
                <w:sz w:val="10"/>
                <w:szCs w:val="10"/>
              </w:rPr>
            </w:pP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陈文浩</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top"/>
          </w:tcPr>
          <w:p>
            <w:pPr>
              <w:widowControl w:val="0"/>
              <w:rPr>
                <w:sz w:val="10"/>
                <w:szCs w:val="10"/>
              </w:rPr>
            </w:pP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詹桂彬</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top"/>
          </w:tcPr>
          <w:p>
            <w:pPr>
              <w:widowControl w:val="0"/>
              <w:rPr>
                <w:sz w:val="10"/>
                <w:szCs w:val="10"/>
              </w:rPr>
            </w:pP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谭晓燕</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top"/>
          </w:tcPr>
          <w:p>
            <w:pPr>
              <w:widowControl w:val="0"/>
              <w:rPr>
                <w:sz w:val="10"/>
                <w:szCs w:val="10"/>
              </w:rPr>
            </w:pPr>
          </w:p>
        </w:tc>
      </w:tr>
      <w:tr>
        <w:trPr>
          <w:trHeight w:val="398"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韩炜</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top"/>
          </w:tcPr>
          <w:p>
            <w:pPr>
              <w:widowControl w:val="0"/>
              <w:rPr>
                <w:sz w:val="10"/>
                <w:szCs w:val="10"/>
              </w:rPr>
            </w:pP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魏树华</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top"/>
          </w:tcPr>
          <w:p>
            <w:pPr>
              <w:widowControl w:val="0"/>
              <w:rPr>
                <w:sz w:val="10"/>
                <w:szCs w:val="10"/>
              </w:rPr>
            </w:pPr>
          </w:p>
        </w:tc>
      </w:tr>
      <w:tr>
        <w:trPr>
          <w:trHeight w:val="715"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李德桂</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副总经理、 董事会秘书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38,773,800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38,759,750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34,050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77,499,500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8"/>
        <w:keepNext/>
        <w:keepLines/>
        <w:widowControl w:val="0"/>
        <w:shd w:val="clear" w:color="auto" w:fill="auto"/>
        <w:bidi w:val="0"/>
        <w:spacing w:before="0" w:after="260" w:line="361" w:lineRule="exact"/>
        <w:ind w:left="0" w:right="0" w:firstLine="580"/>
        <w:jc w:val="both"/>
      </w:pPr>
      <w:bookmarkStart w:id="343" w:name="bookmark343"/>
      <w:bookmarkStart w:id="344" w:name="bookmark344"/>
      <w:bookmarkStart w:id="345" w:name="bookmark345"/>
      <w:bookmarkStart w:id="346" w:name="bookmark346"/>
      <w:r>
        <w:rPr>
          <w:rFonts w:ascii="Times New Roman" w:eastAsia="Times New Roman" w:hAnsi="Times New Roman" w:cs="Times New Roman"/>
          <w:color w:val="000000"/>
          <w:spacing w:val="0"/>
          <w:w w:val="100"/>
          <w:position w:val="0"/>
        </w:rPr>
        <w:t>2</w:t>
      </w:r>
      <w:bookmarkEnd w:id="345"/>
      <w:r>
        <w:rPr>
          <w:color w:val="000000"/>
          <w:spacing w:val="0"/>
          <w:w w:val="100"/>
          <w:position w:val="0"/>
        </w:rPr>
        <w:t>、持有股票期权情况</w:t>
      </w:r>
      <w:bookmarkEnd w:id="343"/>
      <w:bookmarkEnd w:id="344"/>
      <w:bookmarkEnd w:id="346"/>
    </w:p>
    <w:p>
      <w:pPr>
        <w:pStyle w:val="Style35"/>
        <w:keepNext w:val="0"/>
        <w:keepLines w:val="0"/>
        <w:widowControl w:val="0"/>
        <w:shd w:val="clear" w:color="auto" w:fill="auto"/>
        <w:bidi w:val="0"/>
        <w:spacing w:before="0" w:after="360" w:line="361" w:lineRule="exact"/>
        <w:ind w:left="0" w:right="0" w:firstLine="580"/>
        <w:jc w:val="both"/>
      </w:pPr>
      <w:r>
        <w:rPr>
          <w:color w:val="000000"/>
          <w:spacing w:val="0"/>
          <w:w w:val="100"/>
          <w:position w:val="0"/>
        </w:rPr>
        <w:t>无</w:t>
      </w:r>
    </w:p>
    <w:p>
      <w:pPr>
        <w:pStyle w:val="Style25"/>
        <w:keepNext/>
        <w:keepLines/>
        <w:widowControl w:val="0"/>
        <w:shd w:val="clear" w:color="auto" w:fill="auto"/>
        <w:bidi w:val="0"/>
        <w:spacing w:before="0" w:after="260" w:line="240" w:lineRule="auto"/>
        <w:ind w:left="0" w:right="0" w:firstLine="580"/>
        <w:jc w:val="both"/>
      </w:pPr>
      <w:bookmarkStart w:id="347" w:name="bookmark347"/>
      <w:bookmarkStart w:id="348" w:name="bookmark348"/>
      <w:bookmarkStart w:id="349" w:name="bookmark349"/>
      <w:bookmarkStart w:id="350" w:name="bookmark350"/>
      <w:r>
        <w:rPr>
          <w:color w:val="000000"/>
          <w:spacing w:val="0"/>
          <w:w w:val="100"/>
          <w:position w:val="0"/>
        </w:rPr>
        <w:t>二</w:t>
      </w:r>
      <w:bookmarkEnd w:id="349"/>
      <w:r>
        <w:rPr>
          <w:color w:val="000000"/>
          <w:spacing w:val="0"/>
          <w:w w:val="100"/>
          <w:position w:val="0"/>
        </w:rPr>
        <w:t>、任职情况</w:t>
      </w:r>
      <w:bookmarkEnd w:id="347"/>
      <w:bookmarkEnd w:id="348"/>
      <w:bookmarkEnd w:id="350"/>
    </w:p>
    <w:p>
      <w:pPr>
        <w:pStyle w:val="Style35"/>
        <w:keepNext w:val="0"/>
        <w:keepLines w:val="0"/>
        <w:widowControl w:val="0"/>
        <w:shd w:val="clear" w:color="auto" w:fill="auto"/>
        <w:bidi w:val="0"/>
        <w:spacing w:before="0" w:after="60" w:line="361" w:lineRule="exact"/>
        <w:ind w:left="0" w:right="0" w:firstLine="580"/>
        <w:jc w:val="both"/>
      </w:pPr>
      <w:r>
        <w:rPr>
          <w:color w:val="000000"/>
          <w:spacing w:val="0"/>
          <w:w w:val="100"/>
          <w:position w:val="0"/>
        </w:rPr>
        <w:t>公司现任董事、监事、高级管理人员最近</w:t>
      </w:r>
      <w:r>
        <w:rPr>
          <w:rFonts w:ascii="Times New Roman" w:eastAsia="Times New Roman" w:hAnsi="Times New Roman" w:cs="Times New Roman"/>
          <w:color w:val="000000"/>
          <w:spacing w:val="0"/>
          <w:w w:val="100"/>
          <w:position w:val="0"/>
        </w:rPr>
        <w:t>5</w:t>
      </w:r>
      <w:r>
        <w:rPr>
          <w:color w:val="000000"/>
          <w:spacing w:val="0"/>
          <w:w w:val="100"/>
          <w:position w:val="0"/>
        </w:rPr>
        <w:t>年的主要工作经历</w:t>
      </w:r>
    </w:p>
    <w:p>
      <w:pPr>
        <w:pStyle w:val="Style38"/>
        <w:keepNext/>
        <w:keepLines/>
        <w:widowControl w:val="0"/>
        <w:shd w:val="clear" w:color="auto" w:fill="auto"/>
        <w:tabs>
          <w:tab w:pos="929" w:val="left"/>
        </w:tabs>
        <w:bidi w:val="0"/>
        <w:spacing w:before="0" w:after="0" w:line="361" w:lineRule="exact"/>
        <w:ind w:left="0" w:right="0" w:firstLine="580"/>
        <w:jc w:val="both"/>
      </w:pPr>
      <w:bookmarkStart w:id="351" w:name="bookmark351"/>
      <w:bookmarkStart w:id="352" w:name="bookmark352"/>
      <w:bookmarkStart w:id="353" w:name="bookmark353"/>
      <w:bookmarkStart w:id="354" w:name="bookmark354"/>
      <w:r>
        <w:rPr>
          <w:rFonts w:ascii="Times New Roman" w:eastAsia="Times New Roman" w:hAnsi="Times New Roman" w:cs="Times New Roman"/>
          <w:color w:val="000000"/>
          <w:spacing w:val="0"/>
          <w:w w:val="100"/>
          <w:position w:val="0"/>
        </w:rPr>
        <w:t>1</w:t>
      </w:r>
      <w:bookmarkEnd w:id="353"/>
      <w:r>
        <w:rPr>
          <w:color w:val="000000"/>
          <w:spacing w:val="0"/>
          <w:w w:val="100"/>
          <w:position w:val="0"/>
        </w:rPr>
        <w:t>、</w:t>
        <w:tab/>
        <w:t>董事</w:t>
      </w:r>
      <w:bookmarkEnd w:id="351"/>
      <w:bookmarkEnd w:id="352"/>
      <w:bookmarkEnd w:id="354"/>
    </w:p>
    <w:p>
      <w:pPr>
        <w:pStyle w:val="Style35"/>
        <w:keepNext w:val="0"/>
        <w:keepLines w:val="0"/>
        <w:widowControl w:val="0"/>
        <w:shd w:val="clear" w:color="auto" w:fill="auto"/>
        <w:bidi w:val="0"/>
        <w:spacing w:before="0" w:after="0" w:line="361" w:lineRule="exact"/>
        <w:ind w:left="0" w:right="0" w:firstLine="1000"/>
        <w:jc w:val="left"/>
      </w:pPr>
      <w:r>
        <w:rPr>
          <w:color w:val="000000"/>
          <w:spacing w:val="0"/>
          <w:w w:val="100"/>
          <w:position w:val="0"/>
        </w:rPr>
        <w:t>公司董事会由</w:t>
      </w:r>
      <w:r>
        <w:rPr>
          <w:rFonts w:ascii="Times New Roman" w:eastAsia="Times New Roman" w:hAnsi="Times New Roman" w:cs="Times New Roman"/>
          <w:color w:val="000000"/>
          <w:spacing w:val="0"/>
          <w:w w:val="100"/>
          <w:position w:val="0"/>
        </w:rPr>
        <w:t>9</w:t>
      </w:r>
      <w:r>
        <w:rPr>
          <w:color w:val="000000"/>
          <w:spacing w:val="0"/>
          <w:w w:val="100"/>
          <w:position w:val="0"/>
        </w:rPr>
        <w:t>名董事组成，其中独立董事</w:t>
      </w:r>
      <w:r>
        <w:rPr>
          <w:rFonts w:ascii="Times New Roman" w:eastAsia="Times New Roman" w:hAnsi="Times New Roman" w:cs="Times New Roman"/>
          <w:color w:val="000000"/>
          <w:spacing w:val="0"/>
          <w:w w:val="100"/>
          <w:position w:val="0"/>
        </w:rPr>
        <w:t>3</w:t>
      </w:r>
      <w:r>
        <w:rPr>
          <w:color w:val="000000"/>
          <w:spacing w:val="0"/>
          <w:w w:val="100"/>
          <w:position w:val="0"/>
        </w:rPr>
        <w:t>名。</w:t>
      </w:r>
    </w:p>
    <w:p>
      <w:pPr>
        <w:pStyle w:val="Style35"/>
        <w:keepNext w:val="0"/>
        <w:keepLines w:val="0"/>
        <w:widowControl w:val="0"/>
        <w:shd w:val="clear" w:color="auto" w:fill="auto"/>
        <w:bidi w:val="0"/>
        <w:spacing w:before="0" w:after="0" w:line="361" w:lineRule="exact"/>
        <w:ind w:left="0" w:right="0" w:firstLine="1000"/>
        <w:jc w:val="left"/>
      </w:pPr>
      <w:r>
        <w:rPr>
          <w:color w:val="000000"/>
          <w:spacing w:val="0"/>
          <w:w w:val="100"/>
          <w:position w:val="0"/>
        </w:rPr>
        <w:t>柯宗庆：详见</w:t>
      </w:r>
      <w:r>
        <w:rPr>
          <w:rFonts w:ascii="Times New Roman" w:eastAsia="Times New Roman" w:hAnsi="Times New Roman" w:cs="Times New Roman"/>
          <w:color w:val="000000"/>
          <w:spacing w:val="0"/>
          <w:w w:val="100"/>
          <w:position w:val="0"/>
        </w:rPr>
        <w:t>“</w:t>
      </w:r>
      <w:r>
        <w:rPr>
          <w:color w:val="000000"/>
          <w:spacing w:val="0"/>
          <w:w w:val="100"/>
          <w:position w:val="0"/>
        </w:rPr>
        <w:t>第六节三、</w:t>
      </w:r>
      <w:r>
        <w:rPr>
          <w:rFonts w:ascii="Times New Roman" w:eastAsia="Times New Roman" w:hAnsi="Times New Roman" w:cs="Times New Roman"/>
          <w:color w:val="000000"/>
          <w:spacing w:val="0"/>
          <w:w w:val="100"/>
          <w:position w:val="0"/>
        </w:rPr>
        <w:t>2</w:t>
      </w:r>
      <w:r>
        <w:rPr>
          <w:color w:val="000000"/>
          <w:spacing w:val="0"/>
          <w:w w:val="100"/>
          <w:position w:val="0"/>
        </w:rPr>
        <w:t>、公司控股股东情况</w:t>
      </w:r>
    </w:p>
    <w:p>
      <w:pPr>
        <w:pStyle w:val="Style35"/>
        <w:keepNext w:val="0"/>
        <w:keepLines w:val="0"/>
        <w:widowControl w:val="0"/>
        <w:shd w:val="clear" w:color="auto" w:fill="auto"/>
        <w:bidi w:val="0"/>
        <w:spacing w:before="0" w:after="0" w:line="361" w:lineRule="exact"/>
        <w:ind w:left="0" w:right="0" w:firstLine="1000"/>
        <w:jc w:val="left"/>
      </w:pPr>
      <w:r>
        <w:rPr>
          <w:color w:val="000000"/>
          <w:spacing w:val="0"/>
          <w:w w:val="100"/>
          <w:position w:val="0"/>
        </w:rPr>
        <w:t>柯宗贵：详见</w:t>
      </w:r>
      <w:r>
        <w:rPr>
          <w:rFonts w:ascii="Times New Roman" w:eastAsia="Times New Roman" w:hAnsi="Times New Roman" w:cs="Times New Roman"/>
          <w:color w:val="000000"/>
          <w:spacing w:val="0"/>
          <w:w w:val="100"/>
          <w:position w:val="0"/>
        </w:rPr>
        <w:t>“</w:t>
      </w:r>
      <w:r>
        <w:rPr>
          <w:color w:val="000000"/>
          <w:spacing w:val="0"/>
          <w:w w:val="100"/>
          <w:position w:val="0"/>
        </w:rPr>
        <w:t>第六节三、</w:t>
      </w:r>
      <w:r>
        <w:rPr>
          <w:rFonts w:ascii="Times New Roman" w:eastAsia="Times New Roman" w:hAnsi="Times New Roman" w:cs="Times New Roman"/>
          <w:color w:val="000000"/>
          <w:spacing w:val="0"/>
          <w:w w:val="100"/>
          <w:position w:val="0"/>
        </w:rPr>
        <w:t>2</w:t>
      </w:r>
      <w:r>
        <w:rPr>
          <w:color w:val="000000"/>
          <w:spacing w:val="0"/>
          <w:w w:val="100"/>
          <w:position w:val="0"/>
        </w:rPr>
        <w:t>、公司控股股东情况</w:t>
      </w:r>
    </w:p>
    <w:p>
      <w:pPr>
        <w:pStyle w:val="Style35"/>
        <w:keepNext w:val="0"/>
        <w:keepLines w:val="0"/>
        <w:widowControl w:val="0"/>
        <w:shd w:val="clear" w:color="auto" w:fill="auto"/>
        <w:bidi w:val="0"/>
        <w:spacing w:before="0" w:after="0" w:line="361" w:lineRule="exact"/>
        <w:ind w:left="580" w:right="0" w:firstLine="420"/>
        <w:jc w:val="both"/>
      </w:pPr>
      <w:r>
        <w:rPr>
          <w:color w:val="000000"/>
          <w:spacing w:val="0"/>
          <w:w w:val="100"/>
          <w:position w:val="0"/>
        </w:rPr>
        <w:t>王廉君：男，</w:t>
      </w:r>
      <w:r>
        <w:rPr>
          <w:rFonts w:ascii="Times New Roman" w:eastAsia="Times New Roman" w:hAnsi="Times New Roman" w:cs="Times New Roman"/>
          <w:color w:val="000000"/>
          <w:spacing w:val="0"/>
          <w:w w:val="100"/>
          <w:position w:val="0"/>
        </w:rPr>
        <w:t>1963</w:t>
      </w:r>
      <w:r>
        <w:rPr>
          <w:color w:val="000000"/>
          <w:spacing w:val="0"/>
          <w:w w:val="100"/>
          <w:position w:val="0"/>
        </w:rPr>
        <w:t>年出生，中国国籍，无境外永久居留权，</w:t>
      </w:r>
      <w:r>
        <w:rPr>
          <w:rFonts w:ascii="Times New Roman" w:eastAsia="Times New Roman" w:hAnsi="Times New Roman" w:cs="Times New Roman"/>
          <w:color w:val="000000"/>
          <w:spacing w:val="0"/>
          <w:w w:val="100"/>
          <w:position w:val="0"/>
        </w:rPr>
        <w:t>1985</w:t>
      </w:r>
      <w:r>
        <w:rPr>
          <w:color w:val="000000"/>
          <w:spacing w:val="0"/>
          <w:w w:val="100"/>
          <w:position w:val="0"/>
        </w:rPr>
        <w:t>年毕业于吉林大学，获经济学学士学 位。</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月，任职康美药业股份有限公司监事长；</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月至今，任深圳市博益投资发 展有限公司董事长；</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月，任广东天海威数码技术有限公司董事；</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月至今，任 广州普邦园林股份有限公司监事；</w:t>
      </w:r>
      <w:r>
        <w:rPr>
          <w:rFonts w:ascii="Times New Roman" w:eastAsia="Times New Roman" w:hAnsi="Times New Roman" w:cs="Times New Roman"/>
          <w:color w:val="000000"/>
          <w:spacing w:val="0"/>
          <w:w w:val="100"/>
          <w:position w:val="0"/>
        </w:rPr>
        <w:t>2009</w:t>
      </w:r>
      <w:r>
        <w:rPr>
          <w:color w:val="000000"/>
          <w:spacing w:val="0"/>
          <w:w w:val="100"/>
          <w:position w:val="0"/>
        </w:rPr>
        <w:t>年至今任蓝盾信息安全技术股份有限公司董事。</w:t>
      </w:r>
    </w:p>
    <w:p>
      <w:pPr>
        <w:pStyle w:val="Style35"/>
        <w:keepNext w:val="0"/>
        <w:keepLines w:val="0"/>
        <w:widowControl w:val="0"/>
        <w:shd w:val="clear" w:color="auto" w:fill="auto"/>
        <w:bidi w:val="0"/>
        <w:spacing w:before="0" w:after="0" w:line="361" w:lineRule="exact"/>
        <w:ind w:left="580" w:right="0" w:firstLine="420"/>
        <w:jc w:val="both"/>
      </w:pPr>
      <w:r>
        <w:rPr>
          <w:color w:val="000000"/>
          <w:spacing w:val="0"/>
          <w:w w:val="100"/>
          <w:position w:val="0"/>
        </w:rPr>
        <w:t>黄泽华：男，</w:t>
      </w:r>
      <w:r>
        <w:rPr>
          <w:rFonts w:ascii="Times New Roman" w:eastAsia="Times New Roman" w:hAnsi="Times New Roman" w:cs="Times New Roman"/>
          <w:color w:val="000000"/>
          <w:spacing w:val="0"/>
          <w:w w:val="100"/>
          <w:position w:val="0"/>
        </w:rPr>
        <w:t>1969</w:t>
      </w:r>
      <w:r>
        <w:rPr>
          <w:color w:val="000000"/>
          <w:spacing w:val="0"/>
          <w:w w:val="100"/>
          <w:position w:val="0"/>
        </w:rPr>
        <w:t>年出生，中国国籍，无境外永久居留权。</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月一</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月，任广东天海威 数码技术有限公司营销部副总经理；</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月任蓝盾信息安全技术股份有限公司监事会主 席；</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月至今任蓝盾信息安全技术股份有限公司董事、副总经理。</w:t>
      </w:r>
    </w:p>
    <w:p>
      <w:pPr>
        <w:pStyle w:val="Style35"/>
        <w:keepNext w:val="0"/>
        <w:keepLines w:val="0"/>
        <w:widowControl w:val="0"/>
        <w:shd w:val="clear" w:color="auto" w:fill="auto"/>
        <w:bidi w:val="0"/>
        <w:spacing w:before="0" w:after="0" w:line="361" w:lineRule="exact"/>
        <w:ind w:left="580" w:right="0" w:firstLine="420"/>
        <w:jc w:val="both"/>
      </w:pPr>
      <w:r>
        <w:rPr>
          <w:color w:val="000000"/>
          <w:spacing w:val="0"/>
          <w:w w:val="100"/>
          <w:position w:val="0"/>
        </w:rPr>
        <w:t>刘天卓：女，</w:t>
      </w:r>
      <w:r>
        <w:rPr>
          <w:rFonts w:ascii="Times New Roman" w:eastAsia="Times New Roman" w:hAnsi="Times New Roman" w:cs="Times New Roman"/>
          <w:color w:val="000000"/>
          <w:spacing w:val="0"/>
          <w:w w:val="100"/>
          <w:position w:val="0"/>
        </w:rPr>
        <w:t>1963</w:t>
      </w:r>
      <w:r>
        <w:rPr>
          <w:color w:val="000000"/>
          <w:spacing w:val="0"/>
          <w:w w:val="100"/>
          <w:position w:val="0"/>
        </w:rPr>
        <w:t>年出生，中国国籍，无境外永久居留权，</w:t>
      </w:r>
      <w:r>
        <w:rPr>
          <w:rFonts w:ascii="Times New Roman" w:eastAsia="Times New Roman" w:hAnsi="Times New Roman" w:cs="Times New Roman"/>
          <w:color w:val="000000"/>
          <w:spacing w:val="0"/>
          <w:w w:val="100"/>
          <w:position w:val="0"/>
        </w:rPr>
        <w:t>1984</w:t>
      </w:r>
      <w:r>
        <w:rPr>
          <w:color w:val="000000"/>
          <w:spacing w:val="0"/>
          <w:w w:val="100"/>
          <w:position w:val="0"/>
        </w:rPr>
        <w:t>年毕业于北京大学第二分校计算机软 件专业，获学士学位，高级工程师。</w:t>
      </w:r>
      <w:r>
        <w:rPr>
          <w:rFonts w:ascii="Times New Roman" w:eastAsia="Times New Roman" w:hAnsi="Times New Roman" w:cs="Times New Roman"/>
          <w:color w:val="000000"/>
          <w:spacing w:val="0"/>
          <w:w w:val="100"/>
          <w:position w:val="0"/>
        </w:rPr>
        <w:t>2003</w:t>
      </w:r>
      <w:r>
        <w:rPr>
          <w:color w:val="000000"/>
          <w:spacing w:val="0"/>
          <w:w w:val="100"/>
          <w:position w:val="0"/>
        </w:rPr>
        <w:t>年至</w:t>
      </w:r>
      <w:r>
        <w:rPr>
          <w:rFonts w:ascii="Times New Roman" w:eastAsia="Times New Roman" w:hAnsi="Times New Roman" w:cs="Times New Roman"/>
          <w:color w:val="000000"/>
          <w:spacing w:val="0"/>
          <w:w w:val="100"/>
          <w:position w:val="0"/>
        </w:rPr>
        <w:t>2010</w:t>
      </w:r>
      <w:r>
        <w:rPr>
          <w:color w:val="000000"/>
          <w:spacing w:val="0"/>
          <w:w w:val="100"/>
          <w:position w:val="0"/>
        </w:rPr>
        <w:t>年任职中国软件与技术服务股份有限公司，先后担任副 总经理、副总工程师；</w:t>
      </w:r>
      <w:r>
        <w:rPr>
          <w:rFonts w:ascii="Times New Roman" w:eastAsia="Times New Roman" w:hAnsi="Times New Roman" w:cs="Times New Roman"/>
          <w:color w:val="000000"/>
          <w:spacing w:val="0"/>
          <w:w w:val="100"/>
          <w:position w:val="0"/>
        </w:rPr>
        <w:t>2010</w:t>
      </w:r>
      <w:r>
        <w:rPr>
          <w:color w:val="000000"/>
          <w:spacing w:val="0"/>
          <w:w w:val="100"/>
          <w:position w:val="0"/>
        </w:rPr>
        <w:t>年至今任职中国软件与技术服务股份有限公司研究院，担任院长助理。目前是 北京爱创科技股份有限公司董事，华软创业投资基金投资顾问，中国电子学会高级会员，中国医药信息学 会理事，中国计算机学会高级会员。</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月至今任蓝盾信息安全技术股份有限公司董事。</w:t>
      </w:r>
    </w:p>
    <w:p>
      <w:pPr>
        <w:pStyle w:val="Style35"/>
        <w:keepNext w:val="0"/>
        <w:keepLines w:val="0"/>
        <w:widowControl w:val="0"/>
        <w:shd w:val="clear" w:color="auto" w:fill="auto"/>
        <w:bidi w:val="0"/>
        <w:spacing w:before="0" w:after="0" w:line="361" w:lineRule="exact"/>
        <w:ind w:left="580" w:right="0" w:firstLine="420"/>
        <w:jc w:val="both"/>
      </w:pPr>
      <w:r>
        <w:rPr>
          <w:color w:val="000000"/>
          <w:spacing w:val="0"/>
          <w:w w:val="100"/>
          <w:position w:val="0"/>
        </w:rPr>
        <w:t>贺小勇：男，</w:t>
      </w:r>
      <w:r>
        <w:rPr>
          <w:rFonts w:ascii="Times New Roman" w:eastAsia="Times New Roman" w:hAnsi="Times New Roman" w:cs="Times New Roman"/>
          <w:color w:val="000000"/>
          <w:spacing w:val="0"/>
          <w:w w:val="100"/>
          <w:position w:val="0"/>
        </w:rPr>
        <w:t>1972</w:t>
      </w:r>
      <w:r>
        <w:rPr>
          <w:color w:val="000000"/>
          <w:spacing w:val="0"/>
          <w:w w:val="100"/>
          <w:position w:val="0"/>
        </w:rPr>
        <w:t>年出生，中国国籍，无境外永久居留权，华东政法大学图书馆馆长、国际经济法教 授，博士生导师，法学博士，兼职律师，中国国际经济法学会常务理事。</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月至今任江苏通达动力 科技股份有限公司独立董事，</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月至今任珠海格力电器股份有限公司独立董事，</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月至今任蓝 盾信息安全技术股份有限公司独立董事。</w:t>
      </w:r>
    </w:p>
    <w:p>
      <w:pPr>
        <w:pStyle w:val="Style35"/>
        <w:keepNext w:val="0"/>
        <w:keepLines w:val="0"/>
        <w:widowControl w:val="0"/>
        <w:shd w:val="clear" w:color="auto" w:fill="auto"/>
        <w:bidi w:val="0"/>
        <w:spacing w:before="0" w:after="0" w:line="361" w:lineRule="exact"/>
        <w:ind w:left="580" w:right="0" w:firstLine="420"/>
        <w:jc w:val="both"/>
      </w:pPr>
      <w:r>
        <w:rPr>
          <w:color w:val="000000"/>
          <w:spacing w:val="0"/>
          <w:w w:val="100"/>
          <w:position w:val="0"/>
        </w:rPr>
        <w:t>王丹舟：女，</w:t>
      </w:r>
      <w:r>
        <w:rPr>
          <w:rFonts w:ascii="Times New Roman" w:eastAsia="Times New Roman" w:hAnsi="Times New Roman" w:cs="Times New Roman"/>
          <w:color w:val="000000"/>
          <w:spacing w:val="0"/>
          <w:w w:val="100"/>
          <w:position w:val="0"/>
        </w:rPr>
        <w:t>1964</w:t>
      </w:r>
      <w:r>
        <w:rPr>
          <w:color w:val="000000"/>
          <w:spacing w:val="0"/>
          <w:w w:val="100"/>
          <w:position w:val="0"/>
        </w:rPr>
        <w:t>年出生，中国国籍，无境外永久居留权。西南财经大学财务管理博士。</w:t>
      </w:r>
      <w:r>
        <w:rPr>
          <w:rFonts w:ascii="Times New Roman" w:eastAsia="Times New Roman" w:hAnsi="Times New Roman" w:cs="Times New Roman"/>
          <w:color w:val="000000"/>
          <w:spacing w:val="0"/>
          <w:w w:val="100"/>
          <w:position w:val="0"/>
        </w:rPr>
        <w:t>1986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 至今在暨南大学会计系工作，副教授。</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月至今任中山达华智能科技股份有限公司独立董事，</w:t>
      </w:r>
      <w:r>
        <w:rPr>
          <w:rFonts w:ascii="Times New Roman" w:eastAsia="Times New Roman" w:hAnsi="Times New Roman" w:cs="Times New Roman"/>
          <w:color w:val="000000"/>
          <w:spacing w:val="0"/>
          <w:w w:val="100"/>
          <w:position w:val="0"/>
        </w:rPr>
        <w:t xml:space="preserve">2009 </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月至今任蓝盾信息安全技术股份有限公司独立董事。</w:t>
      </w:r>
    </w:p>
    <w:p>
      <w:pPr>
        <w:pStyle w:val="Style35"/>
        <w:keepNext w:val="0"/>
        <w:keepLines w:val="0"/>
        <w:widowControl w:val="0"/>
        <w:shd w:val="clear" w:color="auto" w:fill="auto"/>
        <w:bidi w:val="0"/>
        <w:spacing w:before="0" w:after="0" w:line="361" w:lineRule="exact"/>
        <w:ind w:left="580" w:right="0" w:firstLine="420"/>
        <w:jc w:val="both"/>
      </w:pPr>
      <w:r>
        <w:rPr>
          <w:color w:val="000000"/>
          <w:spacing w:val="0"/>
          <w:w w:val="100"/>
          <w:position w:val="0"/>
        </w:rPr>
        <w:t>徐超汉：男，</w:t>
      </w:r>
      <w:r>
        <w:rPr>
          <w:rFonts w:ascii="Times New Roman" w:eastAsia="Times New Roman" w:hAnsi="Times New Roman" w:cs="Times New Roman"/>
          <w:color w:val="000000"/>
          <w:spacing w:val="0"/>
          <w:w w:val="100"/>
          <w:position w:val="0"/>
        </w:rPr>
        <w:t>1941</w:t>
      </w:r>
      <w:r>
        <w:rPr>
          <w:color w:val="000000"/>
          <w:spacing w:val="0"/>
          <w:w w:val="100"/>
          <w:position w:val="0"/>
        </w:rPr>
        <w:t>年出生，中国国籍，无境外永久居留权，著名信息安全专家。</w:t>
      </w:r>
      <w:r>
        <w:rPr>
          <w:rFonts w:ascii="Times New Roman" w:eastAsia="Times New Roman" w:hAnsi="Times New Roman" w:cs="Times New Roman"/>
          <w:color w:val="000000"/>
          <w:spacing w:val="0"/>
          <w:w w:val="100"/>
          <w:position w:val="0"/>
        </w:rPr>
        <w:t>1965</w:t>
      </w:r>
      <w:r>
        <w:rPr>
          <w:color w:val="000000"/>
          <w:spacing w:val="0"/>
          <w:w w:val="100"/>
          <w:position w:val="0"/>
        </w:rPr>
        <w:t>年毕业于上海复 旦大学。</w:t>
      </w:r>
      <w:r>
        <w:rPr>
          <w:rFonts w:ascii="Times New Roman" w:eastAsia="Times New Roman" w:hAnsi="Times New Roman" w:cs="Times New Roman"/>
          <w:color w:val="000000"/>
          <w:spacing w:val="0"/>
          <w:w w:val="100"/>
          <w:position w:val="0"/>
        </w:rPr>
        <w:t>1997</w:t>
      </w:r>
      <w:r>
        <w:rPr>
          <w:color w:val="000000"/>
          <w:spacing w:val="0"/>
          <w:w w:val="100"/>
          <w:position w:val="0"/>
        </w:rPr>
        <w:t>年至今任暨南大学信息技术应用研究所教授；历任</w:t>
      </w:r>
      <w:r>
        <w:rPr>
          <w:rFonts w:ascii="Times New Roman" w:eastAsia="Times New Roman" w:hAnsi="Times New Roman" w:cs="Times New Roman"/>
          <w:color w:val="000000"/>
          <w:spacing w:val="0"/>
          <w:w w:val="100"/>
          <w:position w:val="0"/>
        </w:rPr>
        <w:t>IBM</w:t>
      </w:r>
      <w:r>
        <w:rPr>
          <w:color w:val="000000"/>
          <w:spacing w:val="0"/>
          <w:w w:val="100"/>
          <w:position w:val="0"/>
        </w:rPr>
        <w:t xml:space="preserve">中国用户协会副理事长、广东省计算 机协会副理事长、广州智能化小区评审委员会副组长、软件工程国家工程研究中心网络安全分中心主任； </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月至今任蓝盾信息安全技术股份有限公司独立董事。</w:t>
      </w:r>
    </w:p>
    <w:p>
      <w:pPr>
        <w:pStyle w:val="Style35"/>
        <w:keepNext w:val="0"/>
        <w:keepLines w:val="0"/>
        <w:widowControl w:val="0"/>
        <w:shd w:val="clear" w:color="auto" w:fill="auto"/>
        <w:bidi w:val="0"/>
        <w:spacing w:before="0" w:after="120" w:line="361" w:lineRule="exact"/>
        <w:ind w:left="580" w:right="0" w:firstLine="420"/>
        <w:jc w:val="both"/>
      </w:pPr>
      <w:r>
        <w:rPr>
          <w:color w:val="000000"/>
          <w:spacing w:val="0"/>
          <w:w w:val="100"/>
          <w:position w:val="0"/>
        </w:rPr>
        <w:t>另外，公司原董事李根森先生因个人原因于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日申请辞去其所担任的公司董事、副总经理 及董事会各专门委员会职务。报告期内，根据相关规定，在新的董事就任前，李根森先生继续履行了相关 董事职务。</w:t>
      </w:r>
    </w:p>
    <w:p>
      <w:pPr>
        <w:pStyle w:val="Style38"/>
        <w:keepNext/>
        <w:keepLines/>
        <w:widowControl w:val="0"/>
        <w:shd w:val="clear" w:color="auto" w:fill="auto"/>
        <w:tabs>
          <w:tab w:pos="939" w:val="left"/>
        </w:tabs>
        <w:bidi w:val="0"/>
        <w:spacing w:before="0" w:after="0" w:line="361" w:lineRule="exact"/>
        <w:ind w:left="0" w:right="0" w:firstLine="580"/>
        <w:jc w:val="both"/>
      </w:pPr>
      <w:bookmarkStart w:id="355" w:name="bookmark355"/>
      <w:bookmarkStart w:id="356" w:name="bookmark356"/>
      <w:bookmarkStart w:id="357" w:name="bookmark357"/>
      <w:bookmarkStart w:id="358" w:name="bookmark358"/>
      <w:r>
        <w:rPr>
          <w:rFonts w:ascii="Times New Roman" w:eastAsia="Times New Roman" w:hAnsi="Times New Roman" w:cs="Times New Roman"/>
          <w:color w:val="000000"/>
          <w:spacing w:val="0"/>
          <w:w w:val="100"/>
          <w:position w:val="0"/>
        </w:rPr>
        <w:t>2</w:t>
      </w:r>
      <w:bookmarkEnd w:id="357"/>
      <w:r>
        <w:rPr>
          <w:color w:val="000000"/>
          <w:spacing w:val="0"/>
          <w:w w:val="100"/>
          <w:position w:val="0"/>
        </w:rPr>
        <w:t>、</w:t>
        <w:tab/>
        <w:t>监事</w:t>
      </w:r>
      <w:bookmarkEnd w:id="355"/>
      <w:bookmarkEnd w:id="356"/>
      <w:bookmarkEnd w:id="358"/>
    </w:p>
    <w:p>
      <w:pPr>
        <w:pStyle w:val="Style35"/>
        <w:keepNext w:val="0"/>
        <w:keepLines w:val="0"/>
        <w:widowControl w:val="0"/>
        <w:shd w:val="clear" w:color="auto" w:fill="auto"/>
        <w:bidi w:val="0"/>
        <w:spacing w:before="0" w:after="0" w:line="361" w:lineRule="exact"/>
        <w:ind w:left="0" w:right="0" w:firstLine="1000"/>
        <w:jc w:val="both"/>
      </w:pPr>
      <w:r>
        <w:rPr>
          <w:color w:val="000000"/>
          <w:spacing w:val="0"/>
          <w:w w:val="100"/>
          <w:position w:val="0"/>
        </w:rPr>
        <w:t>陈文浩：男，</w:t>
      </w:r>
      <w:r>
        <w:rPr>
          <w:rFonts w:ascii="Times New Roman" w:eastAsia="Times New Roman" w:hAnsi="Times New Roman" w:cs="Times New Roman"/>
          <w:color w:val="000000"/>
          <w:spacing w:val="0"/>
          <w:w w:val="100"/>
          <w:position w:val="0"/>
        </w:rPr>
        <w:t>1971</w:t>
      </w:r>
      <w:r>
        <w:rPr>
          <w:color w:val="000000"/>
          <w:spacing w:val="0"/>
          <w:w w:val="100"/>
          <w:position w:val="0"/>
        </w:rPr>
        <w:t>年出生，中国国籍，无境外永久居留权。</w:t>
      </w:r>
      <w:r>
        <w:rPr>
          <w:rFonts w:ascii="Times New Roman" w:eastAsia="Times New Roman" w:hAnsi="Times New Roman" w:cs="Times New Roman"/>
          <w:color w:val="000000"/>
          <w:spacing w:val="0"/>
          <w:w w:val="100"/>
          <w:position w:val="0"/>
        </w:rPr>
        <w:t>1994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 xml:space="preserve">月毕业于广州通信学院；曾任广 </w:t>
      </w:r>
      <w:r>
        <w:rPr>
          <w:color w:val="000000"/>
          <w:spacing w:val="0"/>
          <w:w w:val="100"/>
          <w:position w:val="0"/>
        </w:rPr>
        <w:t>东水晶球技术发展有限公司工程师、广东天海威数码技术有限公司开发部副总经理；</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月任蓝盾信息安全技术股份有限公司监事；</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月至今任蓝盾信息安全技术股份有限公司监事会主席。</w:t>
      </w:r>
    </w:p>
    <w:p>
      <w:pPr>
        <w:pStyle w:val="Style35"/>
        <w:keepNext w:val="0"/>
        <w:keepLines w:val="0"/>
        <w:widowControl w:val="0"/>
        <w:shd w:val="clear" w:color="auto" w:fill="auto"/>
        <w:bidi w:val="0"/>
        <w:spacing w:before="0" w:after="0" w:line="363" w:lineRule="exact"/>
        <w:ind w:left="540" w:right="0" w:firstLine="460"/>
        <w:jc w:val="both"/>
      </w:pPr>
      <w:r>
        <w:rPr>
          <w:color w:val="000000"/>
          <w:spacing w:val="0"/>
          <w:w w:val="100"/>
          <w:position w:val="0"/>
        </w:rPr>
        <w:t>冯明强：男，</w:t>
      </w:r>
      <w:r>
        <w:rPr>
          <w:rFonts w:ascii="Times New Roman" w:eastAsia="Times New Roman" w:hAnsi="Times New Roman" w:cs="Times New Roman"/>
          <w:color w:val="000000"/>
          <w:spacing w:val="0"/>
          <w:w w:val="100"/>
          <w:position w:val="0"/>
        </w:rPr>
        <w:t>1971</w:t>
      </w:r>
      <w:r>
        <w:rPr>
          <w:color w:val="000000"/>
          <w:spacing w:val="0"/>
          <w:w w:val="100"/>
          <w:position w:val="0"/>
        </w:rPr>
        <w:t>年出生，中国国籍，无境外永久居留权。</w:t>
      </w:r>
      <w:r>
        <w:rPr>
          <w:rFonts w:ascii="Times New Roman" w:eastAsia="Times New Roman" w:hAnsi="Times New Roman" w:cs="Times New Roman"/>
          <w:color w:val="000000"/>
          <w:spacing w:val="0"/>
          <w:w w:val="100"/>
          <w:position w:val="0"/>
        </w:rPr>
        <w:t>1992</w:t>
      </w:r>
      <w:r>
        <w:rPr>
          <w:color w:val="000000"/>
          <w:spacing w:val="0"/>
          <w:w w:val="100"/>
          <w:position w:val="0"/>
        </w:rPr>
        <w:t>年毕业于四川技术学院电子信息工程 系，获学士学位。曾任四川成都新兴集团技术部经理、广东水晶球技术发展有限公司技术人员、广东天海 威数码技术有限公司工程师；</w:t>
      </w:r>
      <w:r>
        <w:rPr>
          <w:rFonts w:ascii="Times New Roman" w:eastAsia="Times New Roman" w:hAnsi="Times New Roman" w:cs="Times New Roman"/>
          <w:color w:val="000000"/>
          <w:spacing w:val="0"/>
          <w:w w:val="100"/>
          <w:position w:val="0"/>
        </w:rPr>
        <w:t>2009</w:t>
      </w:r>
      <w:r>
        <w:rPr>
          <w:color w:val="000000"/>
          <w:spacing w:val="0"/>
          <w:w w:val="100"/>
          <w:position w:val="0"/>
        </w:rPr>
        <w:t>年至今任蓝盾信息安全技术股份有限公司生产部主管；</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月任蓝 盾信息安全技术股份有限公司监事。</w:t>
      </w:r>
    </w:p>
    <w:p>
      <w:pPr>
        <w:pStyle w:val="Style35"/>
        <w:keepNext w:val="0"/>
        <w:keepLines w:val="0"/>
        <w:widowControl w:val="0"/>
        <w:shd w:val="clear" w:color="auto" w:fill="auto"/>
        <w:bidi w:val="0"/>
        <w:spacing w:before="0" w:after="240" w:line="363" w:lineRule="exact"/>
        <w:ind w:left="540" w:right="0" w:firstLine="460"/>
        <w:jc w:val="both"/>
      </w:pPr>
      <w:r>
        <w:rPr>
          <w:color w:val="000000"/>
          <w:spacing w:val="0"/>
          <w:w w:val="100"/>
          <w:position w:val="0"/>
        </w:rPr>
        <w:t>詹桂彬：男，</w:t>
      </w:r>
      <w:r>
        <w:rPr>
          <w:rFonts w:ascii="Times New Roman" w:eastAsia="Times New Roman" w:hAnsi="Times New Roman" w:cs="Times New Roman"/>
          <w:color w:val="000000"/>
          <w:spacing w:val="0"/>
          <w:w w:val="100"/>
          <w:position w:val="0"/>
        </w:rPr>
        <w:t>1977</w:t>
      </w:r>
      <w:r>
        <w:rPr>
          <w:color w:val="000000"/>
          <w:spacing w:val="0"/>
          <w:w w:val="100"/>
          <w:position w:val="0"/>
        </w:rPr>
        <w:t>年出生，中国国籍，无境外永久居留权。曾任广东水晶球技术发展有限公司技术主 管及经理、广东天海威数码技术有限公司项目经理，新产品部经理与采购部经理，</w:t>
      </w:r>
      <w:r>
        <w:rPr>
          <w:rFonts w:ascii="Times New Roman" w:eastAsia="Times New Roman" w:hAnsi="Times New Roman" w:cs="Times New Roman"/>
          <w:color w:val="000000"/>
          <w:spacing w:val="0"/>
          <w:w w:val="100"/>
          <w:position w:val="0"/>
        </w:rPr>
        <w:t>2009</w:t>
      </w:r>
      <w:r>
        <w:rPr>
          <w:color w:val="000000"/>
          <w:spacing w:val="0"/>
          <w:w w:val="100"/>
          <w:position w:val="0"/>
        </w:rPr>
        <w:t>年至今任蓝盾信息 安全技术股份有限公司职工代表监事。</w:t>
      </w:r>
    </w:p>
    <w:p>
      <w:pPr>
        <w:pStyle w:val="Style38"/>
        <w:keepNext/>
        <w:keepLines/>
        <w:widowControl w:val="0"/>
        <w:shd w:val="clear" w:color="auto" w:fill="auto"/>
        <w:bidi w:val="0"/>
        <w:spacing w:before="0" w:after="0" w:line="379" w:lineRule="auto"/>
        <w:ind w:left="0" w:right="0" w:firstLine="540"/>
        <w:jc w:val="both"/>
      </w:pPr>
      <w:bookmarkStart w:id="359" w:name="bookmark359"/>
      <w:bookmarkStart w:id="360" w:name="bookmark360"/>
      <w:bookmarkStart w:id="361" w:name="bookmark361"/>
      <w:bookmarkStart w:id="362" w:name="bookmark362"/>
      <w:r>
        <w:rPr>
          <w:rFonts w:ascii="Times New Roman" w:eastAsia="Times New Roman" w:hAnsi="Times New Roman" w:cs="Times New Roman"/>
          <w:color w:val="000000"/>
          <w:spacing w:val="0"/>
          <w:w w:val="100"/>
          <w:position w:val="0"/>
        </w:rPr>
        <w:t>3</w:t>
      </w:r>
      <w:bookmarkEnd w:id="361"/>
      <w:r>
        <w:rPr>
          <w:color w:val="000000"/>
          <w:spacing w:val="0"/>
          <w:w w:val="100"/>
          <w:position w:val="0"/>
        </w:rPr>
        <w:t>、高级管理人员</w:t>
      </w:r>
      <w:bookmarkEnd w:id="359"/>
      <w:bookmarkEnd w:id="360"/>
      <w:bookmarkEnd w:id="362"/>
    </w:p>
    <w:p>
      <w:pPr>
        <w:pStyle w:val="Style35"/>
        <w:keepNext w:val="0"/>
        <w:keepLines w:val="0"/>
        <w:widowControl w:val="0"/>
        <w:shd w:val="clear" w:color="auto" w:fill="auto"/>
        <w:bidi w:val="0"/>
        <w:spacing w:before="0" w:after="0" w:line="363" w:lineRule="exact"/>
        <w:ind w:left="540" w:right="0" w:firstLine="460"/>
        <w:jc w:val="both"/>
      </w:pPr>
      <w:r>
        <w:rPr>
          <w:color w:val="000000"/>
          <w:spacing w:val="0"/>
          <w:w w:val="100"/>
          <w:position w:val="0"/>
        </w:rPr>
        <w:t>谭晓燕：女，</w:t>
      </w:r>
      <w:r>
        <w:rPr>
          <w:rFonts w:ascii="Times New Roman" w:eastAsia="Times New Roman" w:hAnsi="Times New Roman" w:cs="Times New Roman"/>
          <w:color w:val="000000"/>
          <w:spacing w:val="0"/>
          <w:w w:val="100"/>
          <w:position w:val="0"/>
        </w:rPr>
        <w:t>1975</w:t>
      </w:r>
      <w:r>
        <w:rPr>
          <w:color w:val="000000"/>
          <w:spacing w:val="0"/>
          <w:w w:val="100"/>
          <w:position w:val="0"/>
        </w:rPr>
        <w:t>年出生，中国国籍，无境外永久居留权。</w:t>
      </w:r>
      <w:r>
        <w:rPr>
          <w:rFonts w:ascii="Times New Roman" w:eastAsia="Times New Roman" w:hAnsi="Times New Roman" w:cs="Times New Roman"/>
          <w:color w:val="000000"/>
          <w:spacing w:val="0"/>
          <w:w w:val="100"/>
          <w:position w:val="0"/>
        </w:rPr>
        <w:t>1998</w:t>
      </w:r>
      <w:r>
        <w:rPr>
          <w:color w:val="000000"/>
          <w:spacing w:val="0"/>
          <w:w w:val="100"/>
          <w:position w:val="0"/>
        </w:rPr>
        <w:t>年毕业于暨南大学会计系，获学士学 位；</w:t>
      </w:r>
      <w:r>
        <w:rPr>
          <w:rFonts w:ascii="Times New Roman" w:eastAsia="Times New Roman" w:hAnsi="Times New Roman" w:cs="Times New Roman"/>
          <w:color w:val="000000"/>
          <w:spacing w:val="0"/>
          <w:w w:val="100"/>
          <w:position w:val="0"/>
        </w:rPr>
        <w:t>2002</w:t>
      </w:r>
      <w:r>
        <w:rPr>
          <w:color w:val="000000"/>
          <w:spacing w:val="0"/>
          <w:w w:val="100"/>
          <w:position w:val="0"/>
        </w:rPr>
        <w:t>年毕业于英国赫尔大学商学院，获工商管理硕士学位。</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月，为澳门科技大学 基金会属下医疗机构提供财务管理服务及优化动作建议；</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月，在广东天海威数码技术 有限公司任职；</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月任蓝盾信息安全技术股份有限公司董事会秘书；</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月至今任 蓝盾信息安全技术股份有限公司副总经理。</w:t>
      </w:r>
    </w:p>
    <w:p>
      <w:pPr>
        <w:pStyle w:val="Style35"/>
        <w:keepNext w:val="0"/>
        <w:keepLines w:val="0"/>
        <w:widowControl w:val="0"/>
        <w:shd w:val="clear" w:color="auto" w:fill="auto"/>
        <w:bidi w:val="0"/>
        <w:spacing w:before="0" w:after="0" w:line="363" w:lineRule="exact"/>
        <w:ind w:left="540" w:right="0" w:firstLine="460"/>
        <w:jc w:val="both"/>
      </w:pPr>
      <w:r>
        <w:rPr>
          <w:color w:val="000000"/>
          <w:spacing w:val="0"/>
          <w:w w:val="100"/>
          <w:position w:val="0"/>
        </w:rPr>
        <w:t>李德桂：男，</w:t>
      </w:r>
      <w:r>
        <w:rPr>
          <w:rFonts w:ascii="Times New Roman" w:eastAsia="Times New Roman" w:hAnsi="Times New Roman" w:cs="Times New Roman"/>
          <w:color w:val="000000"/>
          <w:spacing w:val="0"/>
          <w:w w:val="100"/>
          <w:position w:val="0"/>
        </w:rPr>
        <w:t>1976</w:t>
      </w:r>
      <w:r>
        <w:rPr>
          <w:color w:val="000000"/>
          <w:spacing w:val="0"/>
          <w:w w:val="100"/>
          <w:position w:val="0"/>
        </w:rPr>
        <w:t>年出生，中国国籍，无境外永久居留权。</w:t>
      </w:r>
      <w:r>
        <w:rPr>
          <w:rFonts w:ascii="Times New Roman" w:eastAsia="Times New Roman" w:hAnsi="Times New Roman" w:cs="Times New Roman"/>
          <w:color w:val="000000"/>
          <w:spacing w:val="0"/>
          <w:w w:val="100"/>
          <w:position w:val="0"/>
        </w:rPr>
        <w:t>2000</w:t>
      </w:r>
      <w:r>
        <w:rPr>
          <w:color w:val="000000"/>
          <w:spacing w:val="0"/>
          <w:w w:val="100"/>
          <w:position w:val="0"/>
        </w:rPr>
        <w:t>年毕业于中山大学计算机科学系计算 机软件专业，获学士学位，高级程序员。</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月，任职深圳市立友科技有限公司高级技 术经理；</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月，任北京金泉时代投资管理有限公司交易部经理；</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月至今任蓝盾 信息安全技术股份有限公司董事会秘书、副总经理。</w:t>
      </w:r>
    </w:p>
    <w:p>
      <w:pPr>
        <w:pStyle w:val="Style35"/>
        <w:keepNext w:val="0"/>
        <w:keepLines w:val="0"/>
        <w:widowControl w:val="0"/>
        <w:shd w:val="clear" w:color="auto" w:fill="auto"/>
        <w:bidi w:val="0"/>
        <w:spacing w:before="0" w:after="0" w:line="363" w:lineRule="exact"/>
        <w:ind w:left="540" w:right="0" w:firstLine="460"/>
        <w:jc w:val="both"/>
      </w:pPr>
      <w:r>
        <w:rPr>
          <w:color w:val="000000"/>
          <w:spacing w:val="0"/>
          <w:w w:val="100"/>
          <w:position w:val="0"/>
        </w:rPr>
        <w:t>韩炜：女，</w:t>
      </w:r>
      <w:r>
        <w:rPr>
          <w:rFonts w:ascii="Times New Roman" w:eastAsia="Times New Roman" w:hAnsi="Times New Roman" w:cs="Times New Roman"/>
          <w:color w:val="000000"/>
          <w:spacing w:val="0"/>
          <w:w w:val="100"/>
          <w:position w:val="0"/>
        </w:rPr>
        <w:t>1976</w:t>
      </w:r>
      <w:r>
        <w:rPr>
          <w:color w:val="000000"/>
          <w:spacing w:val="0"/>
          <w:w w:val="100"/>
          <w:position w:val="0"/>
        </w:rPr>
        <w:t>年出生，中国国籍，无境外永久居留权。</w:t>
      </w:r>
      <w:r>
        <w:rPr>
          <w:rFonts w:ascii="Times New Roman" w:eastAsia="Times New Roman" w:hAnsi="Times New Roman" w:cs="Times New Roman"/>
          <w:color w:val="000000"/>
          <w:spacing w:val="0"/>
          <w:w w:val="100"/>
          <w:position w:val="0"/>
        </w:rPr>
        <w:t>2006</w:t>
      </w:r>
      <w:r>
        <w:rPr>
          <w:color w:val="000000"/>
          <w:spacing w:val="0"/>
          <w:w w:val="100"/>
          <w:position w:val="0"/>
        </w:rPr>
        <w:t>年毕业于石家庄陆军学院法律系，获学 士学位，注册信息安全专业人员。曾任职于石家庄市邮政局，河北电信公司，广东电信实业公司，安盟（中 国）信息安全有限公司，广东天海威数码技术有限公司，</w:t>
      </w:r>
      <w:r>
        <w:rPr>
          <w:rFonts w:ascii="Times New Roman" w:eastAsia="Times New Roman" w:hAnsi="Times New Roman" w:cs="Times New Roman"/>
          <w:color w:val="000000"/>
          <w:spacing w:val="0"/>
          <w:w w:val="100"/>
          <w:position w:val="0"/>
        </w:rPr>
        <w:t>2009</w:t>
      </w:r>
      <w:r>
        <w:rPr>
          <w:color w:val="000000"/>
          <w:spacing w:val="0"/>
          <w:w w:val="100"/>
          <w:position w:val="0"/>
        </w:rPr>
        <w:t>年至今在蓝盾信息安全技术股份有限公司任 市场总监兼培训中心主任，</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月至今任蓝盾信息安全技术股份有限公司副总经理，</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 任广东省蓝盾职业培训学院院长。</w:t>
      </w:r>
    </w:p>
    <w:p>
      <w:pPr>
        <w:pStyle w:val="Style35"/>
        <w:keepNext w:val="0"/>
        <w:keepLines w:val="0"/>
        <w:widowControl w:val="0"/>
        <w:shd w:val="clear" w:color="auto" w:fill="auto"/>
        <w:bidi w:val="0"/>
        <w:spacing w:before="0" w:after="440" w:line="360" w:lineRule="exact"/>
        <w:ind w:left="540" w:right="0" w:firstLine="380"/>
        <w:jc w:val="both"/>
      </w:pPr>
      <w:r>
        <w:rPr>
          <w:color w:val="000000"/>
          <w:spacing w:val="0"/>
          <w:w w:val="100"/>
          <w:position w:val="0"/>
        </w:rPr>
        <w:t>魏树华：男，</w:t>
      </w:r>
      <w:r>
        <w:rPr>
          <w:rFonts w:ascii="Times New Roman" w:eastAsia="Times New Roman" w:hAnsi="Times New Roman" w:cs="Times New Roman"/>
          <w:color w:val="000000"/>
          <w:spacing w:val="0"/>
          <w:w w:val="100"/>
          <w:position w:val="0"/>
        </w:rPr>
        <w:t>1972</w:t>
      </w:r>
      <w:r>
        <w:rPr>
          <w:color w:val="000000"/>
          <w:spacing w:val="0"/>
          <w:w w:val="100"/>
          <w:position w:val="0"/>
        </w:rPr>
        <w:t>年出生，中国国籍，无境外永久居留权，高级会计师，中国注册会计师；注册税务 师，</w:t>
      </w:r>
      <w:r>
        <w:rPr>
          <w:rFonts w:ascii="Times New Roman" w:eastAsia="Times New Roman" w:hAnsi="Times New Roman" w:cs="Times New Roman"/>
          <w:color w:val="000000"/>
          <w:spacing w:val="0"/>
          <w:w w:val="100"/>
          <w:position w:val="0"/>
        </w:rPr>
        <w:t>2005</w:t>
      </w:r>
      <w:r>
        <w:rPr>
          <w:color w:val="000000"/>
          <w:spacing w:val="0"/>
          <w:w w:val="100"/>
          <w:position w:val="0"/>
        </w:rPr>
        <w:t>毕业于暨南大学会计专业，</w:t>
      </w:r>
      <w:r>
        <w:rPr>
          <w:rFonts w:ascii="Times New Roman" w:eastAsia="Times New Roman" w:hAnsi="Times New Roman" w:cs="Times New Roman"/>
          <w:color w:val="000000"/>
          <w:spacing w:val="0"/>
          <w:w w:val="100"/>
          <w:position w:val="0"/>
        </w:rPr>
        <w:t>2010</w:t>
      </w:r>
      <w:r>
        <w:rPr>
          <w:color w:val="000000"/>
          <w:spacing w:val="0"/>
          <w:w w:val="100"/>
          <w:position w:val="0"/>
        </w:rPr>
        <w:t>年获中山大学</w:t>
      </w:r>
      <w:r>
        <w:rPr>
          <w:rFonts w:ascii="Times New Roman" w:eastAsia="Times New Roman" w:hAnsi="Times New Roman" w:cs="Times New Roman"/>
          <w:color w:val="000000"/>
          <w:spacing w:val="0"/>
          <w:w w:val="100"/>
          <w:position w:val="0"/>
        </w:rPr>
        <w:t>MPACC</w:t>
      </w:r>
      <w:r>
        <w:rPr>
          <w:color w:val="000000"/>
          <w:spacing w:val="0"/>
          <w:w w:val="100"/>
          <w:position w:val="0"/>
        </w:rPr>
        <w:t>会计硕士学位；</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月一</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 任广州杰赛科技股份有限公司财务部总经理助理；</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月，任广东天海威数码技术有限 公司财务总监；</w:t>
      </w:r>
      <w:r>
        <w:rPr>
          <w:rFonts w:ascii="Times New Roman" w:eastAsia="Times New Roman" w:hAnsi="Times New Roman" w:cs="Times New Roman"/>
          <w:color w:val="000000"/>
          <w:spacing w:val="0"/>
          <w:w w:val="100"/>
          <w:position w:val="0"/>
        </w:rPr>
        <w:t>2009</w:t>
      </w:r>
      <w:r>
        <w:rPr>
          <w:color w:val="000000"/>
          <w:spacing w:val="0"/>
          <w:w w:val="100"/>
          <w:position w:val="0"/>
        </w:rPr>
        <w:t>年至今，任蓝盾信息安全技术股份有限公司财务总监。</w:t>
      </w: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在股东单位任职情况</w:t>
      </w:r>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10"/>
        <w:gridCol w:w="2909"/>
        <w:gridCol w:w="1066"/>
        <w:gridCol w:w="1488"/>
        <w:gridCol w:w="1330"/>
        <w:gridCol w:w="1598"/>
      </w:tblGrid>
      <w:tr>
        <w:trPr>
          <w:trHeight w:val="442"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任职人员姓名</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股东单位名称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在股东单位</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任期起始日期</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任期终止日期</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在股东单位是否领</w:t>
            </w:r>
          </w:p>
        </w:tc>
      </w:tr>
      <w:tr>
        <w:trPr>
          <w:trHeight w:val="27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担任的职务</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right w:val="single" w:sz="4"/>
            </w:tcBorders>
            <w:shd w:val="clear" w:color="auto" w:fill="D3D3D3"/>
            <w:vAlign w:val="top"/>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取报酬津贴</w:t>
            </w:r>
          </w:p>
        </w:tc>
      </w:tr>
      <w:tr>
        <w:trPr>
          <w:trHeight w:val="413" w:hRule="exact"/>
        </w:trPr>
        <w:tc>
          <w:tcPr>
            <w:tcBorders>
              <w:top w:val="single" w:sz="4"/>
              <w:left w:val="single" w:sz="4"/>
              <w:bottom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王廉君</w:t>
            </w:r>
          </w:p>
        </w:tc>
        <w:tc>
          <w:tcPr>
            <w:tcBorders>
              <w:top w:val="single" w:sz="4"/>
              <w:left w:val="single" w:sz="4"/>
              <w:bottom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深圳市博益投资发展有限公司</w:t>
            </w:r>
          </w:p>
        </w:tc>
        <w:tc>
          <w:tcPr>
            <w:tcBorders>
              <w:top w:val="single" w:sz="4"/>
              <w:left w:val="single" w:sz="4"/>
              <w:bottom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董事长</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至今</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bl>
    <w:p>
      <w:pPr>
        <w:widowControl w:val="0"/>
        <w:spacing w:after="439" w:line="1" w:lineRule="exact"/>
      </w:pPr>
    </w:p>
    <w:p>
      <w:pPr>
        <w:pStyle w:val="Style35"/>
        <w:keepNext w:val="0"/>
        <w:keepLines w:val="0"/>
        <w:widowControl w:val="0"/>
        <w:shd w:val="clear" w:color="auto" w:fill="auto"/>
        <w:bidi w:val="0"/>
        <w:spacing w:before="0" w:after="100" w:line="240" w:lineRule="auto"/>
        <w:ind w:left="0" w:right="0" w:firstLine="540"/>
        <w:jc w:val="both"/>
      </w:pPr>
      <w:r>
        <w:rPr>
          <w:color w:val="000000"/>
          <w:spacing w:val="0"/>
          <w:w w:val="100"/>
          <w:position w:val="0"/>
        </w:rPr>
        <w:t>在其他单位任职情况</w:t>
      </w:r>
    </w:p>
    <w:p>
      <w:pPr>
        <w:pStyle w:val="Style35"/>
        <w:keepNext w:val="0"/>
        <w:keepLines w:val="0"/>
        <w:widowControl w:val="0"/>
        <w:shd w:val="clear" w:color="auto" w:fill="auto"/>
        <w:bidi w:val="0"/>
        <w:spacing w:before="0" w:after="340" w:line="240" w:lineRule="auto"/>
        <w:ind w:left="0" w:right="0" w:firstLine="540"/>
        <w:jc w:val="both"/>
      </w:pPr>
      <w:r>
        <w:rPr>
          <w:rFonts w:ascii="Times New Roman" w:eastAsia="Times New Roman" w:hAnsi="Times New Roman" w:cs="Times New Roman"/>
          <w:color w:val="000000"/>
          <w:spacing w:val="0"/>
          <w:w w:val="100"/>
          <w:position w:val="0"/>
        </w:rPr>
        <w:t>4</w:t>
      </w:r>
      <w:r>
        <w:rPr>
          <w:color w:val="000000"/>
          <w:spacing w:val="0"/>
          <w:w w:val="100"/>
          <w:position w:val="0"/>
        </w:rPr>
        <w:t>适用</w:t>
      </w:r>
      <w:r>
        <w:rPr>
          <w:color w:val="000000"/>
          <w:spacing w:val="0"/>
          <w:w w:val="100"/>
          <w:position w:val="0"/>
        </w:rPr>
        <w:t>口</w:t>
      </w:r>
      <w:r>
        <w:rPr>
          <w:color w:val="000000"/>
          <w:spacing w:val="0"/>
          <w:w w:val="100"/>
          <w:position w:val="0"/>
        </w:rPr>
        <w:t>不适用</w:t>
      </w:r>
      <w:r>
        <w:br w:type="page"/>
      </w:r>
    </w:p>
    <w:tbl>
      <w:tblPr>
        <w:tblOverlap w:val="never"/>
        <w:jc w:val="center"/>
        <w:tblLayout w:type="fixed"/>
      </w:tblPr>
      <w:tblGrid>
        <w:gridCol w:w="1210"/>
        <w:gridCol w:w="3053"/>
        <w:gridCol w:w="1061"/>
        <w:gridCol w:w="1493"/>
        <w:gridCol w:w="1325"/>
        <w:gridCol w:w="1522"/>
      </w:tblGrid>
      <w:tr>
        <w:trPr>
          <w:trHeight w:val="442"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任职人员姓名</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其他单位名称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在其他单位</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任期起始日期</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任期终止日期</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在其他单位是否领</w:t>
            </w:r>
          </w:p>
        </w:tc>
      </w:tr>
      <w:tr>
        <w:trPr>
          <w:trHeight w:val="27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担任的职务</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right w:val="single" w:sz="4"/>
            </w:tcBorders>
            <w:shd w:val="clear" w:color="auto" w:fill="D3D3D3"/>
            <w:vAlign w:val="top"/>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取报酬津贴</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王廉君</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广州普邦园林股份有限公司</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至今</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刘天卓</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北京爱创科技股份有限公司</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至今</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贺小勇</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江苏通达动力科技股份有限公司</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至今</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是</w:t>
            </w:r>
          </w:p>
        </w:tc>
      </w:tr>
      <w:tr>
        <w:trPr>
          <w:trHeight w:val="398"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贺小勇</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珠海格力电器股份有限公司</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至今</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是</w:t>
            </w:r>
          </w:p>
        </w:tc>
      </w:tr>
      <w:tr>
        <w:trPr>
          <w:trHeight w:val="413" w:hRule="exact"/>
        </w:trPr>
        <w:tc>
          <w:tcPr>
            <w:tcBorders>
              <w:top w:val="single" w:sz="4"/>
              <w:left w:val="single" w:sz="4"/>
              <w:bottom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王丹舟</w:t>
            </w:r>
          </w:p>
        </w:tc>
        <w:tc>
          <w:tcPr>
            <w:tcBorders>
              <w:top w:val="single" w:sz="4"/>
              <w:left w:val="single" w:sz="4"/>
              <w:bottom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中山达华智能科技股份有限公司</w:t>
            </w:r>
          </w:p>
        </w:tc>
        <w:tc>
          <w:tcPr>
            <w:tcBorders>
              <w:top w:val="single" w:sz="4"/>
              <w:left w:val="single" w:sz="4"/>
              <w:bottom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独立董事</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至今</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是</w:t>
            </w:r>
          </w:p>
        </w:tc>
      </w:tr>
    </w:tbl>
    <w:p>
      <w:pPr>
        <w:widowControl w:val="0"/>
        <w:spacing w:after="319" w:line="1" w:lineRule="exact"/>
      </w:pPr>
    </w:p>
    <w:p>
      <w:pPr>
        <w:pStyle w:val="Style25"/>
        <w:keepNext/>
        <w:keepLines/>
        <w:widowControl w:val="0"/>
        <w:shd w:val="clear" w:color="auto" w:fill="auto"/>
        <w:bidi w:val="0"/>
        <w:spacing w:before="0" w:line="240" w:lineRule="auto"/>
        <w:ind w:left="0" w:right="0" w:firstLine="560"/>
        <w:jc w:val="left"/>
      </w:pPr>
      <w:bookmarkStart w:id="363" w:name="bookmark363"/>
      <w:bookmarkStart w:id="364" w:name="bookmark364"/>
      <w:bookmarkStart w:id="365" w:name="bookmark365"/>
      <w:bookmarkStart w:id="366" w:name="bookmark366"/>
      <w:r>
        <w:rPr>
          <w:color w:val="000000"/>
          <w:spacing w:val="0"/>
          <w:w w:val="100"/>
          <w:position w:val="0"/>
        </w:rPr>
        <w:t>三</w:t>
      </w:r>
      <w:bookmarkEnd w:id="365"/>
      <w:r>
        <w:rPr>
          <w:color w:val="000000"/>
          <w:spacing w:val="0"/>
          <w:w w:val="100"/>
          <w:position w:val="0"/>
        </w:rPr>
        <w:t>、董事、监事、高级管理人员报酬情况</w:t>
      </w:r>
      <w:bookmarkEnd w:id="363"/>
      <w:bookmarkEnd w:id="364"/>
      <w:bookmarkEnd w:id="366"/>
    </w:p>
    <w:tbl>
      <w:tblPr>
        <w:tblOverlap w:val="never"/>
        <w:jc w:val="center"/>
        <w:tblLayout w:type="fixed"/>
      </w:tblPr>
      <w:tblGrid>
        <w:gridCol w:w="3605"/>
        <w:gridCol w:w="5981"/>
      </w:tblGrid>
      <w:tr>
        <w:trPr>
          <w:trHeight w:val="1339"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董事、监事、高级管理人员报酬的决策程序</w:t>
            </w:r>
          </w:p>
        </w:tc>
        <w:tc>
          <w:tcPr>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公司薪酬与考核委员会根据董事及高级管理人员岗位的主要范围、职责、重 要性以及其他相关企业相关岗位的薪酬水平制定薪酬计划或方案；其提出的 公司董事的薪酬计划，报经董事会同意后，提交股东大会审议通过后实施； 公司高级管理人员的薪酬分配方案须报董事会审议批准。</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董事、监事、高级管理人员报酬确定依据</w:t>
            </w:r>
          </w:p>
        </w:tc>
        <w:tc>
          <w:tcPr>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董事及高级管理人员岗位的主要范围、职责、重要性以及其他相关企业相关 岗位的薪酬水平</w:t>
            </w:r>
          </w:p>
        </w:tc>
      </w:tr>
      <w:tr>
        <w:trPr>
          <w:trHeight w:val="725"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董事、监事和高级管理人员报酬的实际支付情 况</w:t>
            </w:r>
          </w:p>
        </w:tc>
        <w:tc>
          <w:tcPr>
            <w:tcBorders>
              <w:top w:val="single" w:sz="4"/>
              <w:left w:val="single" w:sz="4"/>
              <w:bottom w:val="single" w:sz="4"/>
              <w:right w:val="single" w:sz="4"/>
            </w:tcBorders>
            <w:shd w:val="clear" w:color="auto" w:fill="CCE8CF"/>
            <w:vAlign w:val="center"/>
          </w:tcPr>
          <w:p>
            <w:pPr>
              <w:pStyle w:val="Style8"/>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根据相关决策程序审议通过后的薪酬方案进行支付，并按照税法规定代扣代 缴个人所得税。</w:t>
            </w:r>
          </w:p>
        </w:tc>
      </w:tr>
    </w:tbl>
    <w:p>
      <w:pPr>
        <w:widowControl w:val="0"/>
        <w:spacing w:after="419" w:line="1" w:lineRule="exact"/>
      </w:pPr>
    </w:p>
    <w:p>
      <w:pPr>
        <w:pStyle w:val="Style35"/>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公司报告期内董事、监事和高级管理人员报酬情况</w:t>
      </w:r>
    </w:p>
    <w:p>
      <w:pPr>
        <w:pStyle w:val="Style3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单位：万元</w:t>
      </w:r>
    </w:p>
    <w:tbl>
      <w:tblPr>
        <w:tblOverlap w:val="never"/>
        <w:jc w:val="center"/>
        <w:tblLayout w:type="fixed"/>
      </w:tblPr>
      <w:tblGrid>
        <w:gridCol w:w="1205"/>
        <w:gridCol w:w="1195"/>
        <w:gridCol w:w="1195"/>
        <w:gridCol w:w="1195"/>
        <w:gridCol w:w="1200"/>
        <w:gridCol w:w="1195"/>
        <w:gridCol w:w="1195"/>
        <w:gridCol w:w="1205"/>
      </w:tblGrid>
      <w:tr>
        <w:trPr>
          <w:trHeight w:val="72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姓名</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职务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性别</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400" w:firstLine="0"/>
              <w:jc w:val="right"/>
              <w:rPr>
                <w:sz w:val="17"/>
                <w:szCs w:val="17"/>
              </w:rPr>
            </w:pPr>
            <w:r>
              <w:rPr>
                <w:color w:val="000000"/>
                <w:spacing w:val="0"/>
                <w:w w:val="100"/>
                <w:position w:val="0"/>
                <w:sz w:val="17"/>
                <w:szCs w:val="17"/>
              </w:rPr>
              <w:t>年龄</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从公司获得的 报酬总额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从股东单位获</w:t>
            </w:r>
          </w:p>
          <w:p>
            <w:pPr>
              <w:pStyle w:val="Style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得的报酬总额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报告期末实际 所得报酬</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柯宗庆</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37.16</w:t>
            </w:r>
          </w:p>
        </w:tc>
      </w:tr>
      <w:tr>
        <w:trPr>
          <w:trHeight w:val="715"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柯宗贵</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副董事长、总</w:t>
            </w:r>
          </w:p>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37.38</w:t>
            </w:r>
          </w:p>
        </w:tc>
      </w:tr>
      <w:tr>
        <w:trPr>
          <w:trHeight w:val="398"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王廉君</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w:t>
            </w:r>
          </w:p>
        </w:tc>
      </w:tr>
      <w:tr>
        <w:trPr>
          <w:trHeight w:val="715"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李根森</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董事、副总经 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18.05</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贺小勇</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王丹舟</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w:t>
            </w:r>
          </w:p>
        </w:tc>
      </w:tr>
      <w:tr>
        <w:trPr>
          <w:trHeight w:val="398"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徐超汉</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w:t>
            </w:r>
          </w:p>
        </w:tc>
      </w:tr>
      <w:tr>
        <w:trPr>
          <w:trHeight w:val="715"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黄泽华</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董事、副总经 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27.72</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刘天卓</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w:t>
            </w:r>
          </w:p>
        </w:tc>
      </w:tr>
      <w:tr>
        <w:trPr>
          <w:trHeight w:val="398"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冯明强</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13.79</w:t>
            </w:r>
          </w:p>
        </w:tc>
      </w:tr>
      <w:tr>
        <w:trPr>
          <w:trHeight w:val="413" w:hRule="exact"/>
        </w:trPr>
        <w:tc>
          <w:tcPr>
            <w:tcBorders>
              <w:top w:val="single" w:sz="4"/>
              <w:left w:val="single" w:sz="4"/>
              <w:bottom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陈文浩</w:t>
            </w:r>
          </w:p>
        </w:tc>
        <w:tc>
          <w:tcPr>
            <w:tcBorders>
              <w:top w:val="single" w:sz="4"/>
              <w:left w:val="single" w:sz="4"/>
              <w:bottom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监事会主席</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男</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32.92</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32.92</w:t>
            </w:r>
          </w:p>
        </w:tc>
      </w:tr>
    </w:tbl>
    <w:p>
      <w:pPr>
        <w:widowControl w:val="0"/>
        <w:spacing w:line="1" w:lineRule="exact"/>
      </w:pPr>
      <w:r>
        <w:br w:type="page"/>
      </w:r>
    </w:p>
    <w:tbl>
      <w:tblPr>
        <w:tblOverlap w:val="never"/>
        <w:jc w:val="center"/>
        <w:tblLayout w:type="fixed"/>
      </w:tblPr>
      <w:tblGrid>
        <w:gridCol w:w="1205"/>
        <w:gridCol w:w="1195"/>
        <w:gridCol w:w="1195"/>
        <w:gridCol w:w="1195"/>
        <w:gridCol w:w="1200"/>
        <w:gridCol w:w="1195"/>
        <w:gridCol w:w="1195"/>
        <w:gridCol w:w="1205"/>
      </w:tblGrid>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姓名</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职务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性别</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年龄</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从公司获得的 报酬总额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从股东单位获</w:t>
            </w:r>
          </w:p>
          <w:p>
            <w:pPr>
              <w:pStyle w:val="Style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得的报酬总额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报告期末实际 所得报酬</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詹桂彬</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15.80</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谭晓燕</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30.92</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韩炜</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31.36</w:t>
            </w:r>
          </w:p>
        </w:tc>
      </w:tr>
      <w:tr>
        <w:trPr>
          <w:trHeight w:val="398"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魏树华</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30.62</w:t>
            </w:r>
          </w:p>
        </w:tc>
      </w:tr>
      <w:tr>
        <w:trPr>
          <w:trHeight w:val="715"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李德桂</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副总经理、董</w:t>
            </w:r>
          </w:p>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事会秘书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30.20</w:t>
            </w:r>
          </w:p>
        </w:tc>
      </w:tr>
      <w:tr>
        <w:trPr>
          <w:trHeight w:val="413" w:hRule="exact"/>
        </w:trPr>
        <w:tc>
          <w:tcPr>
            <w:tcBorders>
              <w:top w:val="single" w:sz="4"/>
              <w:left w:val="single" w:sz="4"/>
              <w:bottom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CCE8C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328.42</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328.42</w:t>
            </w:r>
          </w:p>
        </w:tc>
      </w:tr>
    </w:tbl>
    <w:p>
      <w:pPr>
        <w:widowControl w:val="0"/>
        <w:spacing w:after="439" w:line="1" w:lineRule="exact"/>
      </w:pPr>
    </w:p>
    <w:p>
      <w:pPr>
        <w:pStyle w:val="Style27"/>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公司董事、监事、高级管理人员报告期内被授予的股权激励情况</w:t>
      </w:r>
    </w:p>
    <w:p>
      <w:pPr>
        <w:pStyle w:val="Style27"/>
        <w:keepNext w:val="0"/>
        <w:keepLines w:val="0"/>
        <w:widowControl w:val="0"/>
        <w:shd w:val="clear" w:color="auto" w:fill="auto"/>
        <w:bidi w:val="0"/>
        <w:spacing w:before="0" w:after="440" w:line="240" w:lineRule="auto"/>
        <w:ind w:left="0" w:right="0" w:firstLine="5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240" w:line="240" w:lineRule="auto"/>
        <w:ind w:left="0" w:right="0" w:firstLine="560"/>
        <w:jc w:val="left"/>
      </w:pPr>
      <w:bookmarkStart w:id="367" w:name="bookmark367"/>
      <w:bookmarkStart w:id="368" w:name="bookmark368"/>
      <w:bookmarkStart w:id="369" w:name="bookmark369"/>
      <w:bookmarkStart w:id="370" w:name="bookmark370"/>
      <w:r>
        <w:rPr>
          <w:color w:val="000000"/>
          <w:spacing w:val="0"/>
          <w:w w:val="100"/>
          <w:position w:val="0"/>
        </w:rPr>
        <w:t>四</w:t>
      </w:r>
      <w:bookmarkEnd w:id="369"/>
      <w:r>
        <w:rPr>
          <w:color w:val="000000"/>
          <w:spacing w:val="0"/>
          <w:w w:val="100"/>
          <w:position w:val="0"/>
        </w:rPr>
        <w:t>、公司董事、监事、高级管理人员变动情况</w:t>
      </w:r>
      <w:bookmarkEnd w:id="367"/>
      <w:bookmarkEnd w:id="368"/>
      <w:bookmarkEnd w:id="370"/>
    </w:p>
    <w:tbl>
      <w:tblPr>
        <w:tblOverlap w:val="never"/>
        <w:jc w:val="center"/>
        <w:tblLayout w:type="fixed"/>
      </w:tblPr>
      <w:tblGrid>
        <w:gridCol w:w="1339"/>
        <w:gridCol w:w="1330"/>
        <w:gridCol w:w="1330"/>
        <w:gridCol w:w="1541"/>
        <w:gridCol w:w="3979"/>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姓名</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担任的职务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类型</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日期</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原因</w:t>
            </w:r>
          </w:p>
        </w:tc>
      </w:tr>
      <w:tr>
        <w:trPr>
          <w:trHeight w:val="413" w:hRule="exact"/>
        </w:trPr>
        <w:tc>
          <w:tcPr>
            <w:tcBorders>
              <w:top w:val="single" w:sz="4"/>
              <w:left w:val="single" w:sz="4"/>
              <w:bottom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李根森</w:t>
            </w:r>
          </w:p>
        </w:tc>
        <w:tc>
          <w:tcPr>
            <w:tcBorders>
              <w:top w:val="single" w:sz="4"/>
              <w:left w:val="single" w:sz="4"/>
              <w:bottom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董事、副总经理</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离职</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日</w:t>
            </w:r>
          </w:p>
        </w:tc>
        <w:tc>
          <w:tcPr>
            <w:tcBorders>
              <w:top w:val="single" w:sz="4"/>
              <w:left w:val="single" w:sz="4"/>
              <w:bottom w:val="single" w:sz="4"/>
              <w:righ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个人原因</w:t>
            </w:r>
          </w:p>
        </w:tc>
      </w:tr>
    </w:tbl>
    <w:p>
      <w:pPr>
        <w:widowControl w:val="0"/>
        <w:spacing w:after="179" w:line="1" w:lineRule="exact"/>
      </w:pPr>
    </w:p>
    <w:p>
      <w:pPr>
        <w:pStyle w:val="Style35"/>
        <w:keepNext w:val="0"/>
        <w:keepLines w:val="0"/>
        <w:widowControl w:val="0"/>
        <w:shd w:val="clear" w:color="auto" w:fill="auto"/>
        <w:tabs>
          <w:tab w:pos="1077" w:val="left"/>
        </w:tabs>
        <w:bidi w:val="0"/>
        <w:spacing w:before="0" w:after="440" w:line="456" w:lineRule="exact"/>
        <w:ind w:left="560" w:right="0" w:firstLine="0"/>
        <w:jc w:val="left"/>
        <w:rPr>
          <w:sz w:val="22"/>
          <w:szCs w:val="22"/>
        </w:rPr>
      </w:pPr>
      <w:bookmarkStart w:id="371" w:name="bookmark371"/>
      <w:r>
        <w:rPr>
          <w:b/>
          <w:bCs/>
          <w:color w:val="000000"/>
          <w:spacing w:val="0"/>
          <w:w w:val="100"/>
          <w:position w:val="0"/>
          <w:sz w:val="22"/>
          <w:szCs w:val="22"/>
        </w:rPr>
        <w:t>五</w:t>
      </w:r>
      <w:bookmarkEnd w:id="371"/>
      <w:r>
        <w:rPr>
          <w:b/>
          <w:bCs/>
          <w:color w:val="000000"/>
          <w:spacing w:val="0"/>
          <w:w w:val="100"/>
          <w:position w:val="0"/>
          <w:sz w:val="22"/>
          <w:szCs w:val="22"/>
        </w:rPr>
        <w:t>、</w:t>
        <w:tab/>
        <w:t xml:space="preserve">报告期核心技术团队或关键技术人员变动情况（非董事、监事、高级管理人员） </w:t>
      </w:r>
      <w:r>
        <w:rPr>
          <w:color w:val="000000"/>
          <w:spacing w:val="0"/>
          <w:w w:val="100"/>
          <w:position w:val="0"/>
          <w:sz w:val="22"/>
          <w:szCs w:val="22"/>
        </w:rPr>
        <w:t>报告期内，公司核心技术团队或关键人员（非董事、监事、高级管理人员）无重大变化。</w:t>
      </w:r>
    </w:p>
    <w:p>
      <w:pPr>
        <w:pStyle w:val="Style25"/>
        <w:keepNext/>
        <w:keepLines/>
        <w:widowControl w:val="0"/>
        <w:shd w:val="clear" w:color="auto" w:fill="auto"/>
        <w:tabs>
          <w:tab w:pos="1082" w:val="left"/>
        </w:tabs>
        <w:bidi w:val="0"/>
        <w:spacing w:before="0" w:after="300" w:line="456" w:lineRule="exact"/>
        <w:ind w:left="0" w:right="0" w:firstLine="560"/>
        <w:jc w:val="left"/>
      </w:pPr>
      <w:bookmarkStart w:id="372" w:name="bookmark372"/>
      <w:bookmarkStart w:id="373" w:name="bookmark373"/>
      <w:bookmarkStart w:id="374" w:name="bookmark374"/>
      <w:bookmarkStart w:id="375" w:name="bookmark375"/>
      <w:r>
        <w:rPr>
          <w:color w:val="000000"/>
          <w:spacing w:val="0"/>
          <w:w w:val="100"/>
          <w:position w:val="0"/>
        </w:rPr>
        <w:t>六</w:t>
      </w:r>
      <w:bookmarkEnd w:id="374"/>
      <w:r>
        <w:rPr>
          <w:color w:val="000000"/>
          <w:spacing w:val="0"/>
          <w:w w:val="100"/>
          <w:position w:val="0"/>
        </w:rPr>
        <w:t>、</w:t>
        <w:tab/>
        <w:t>公司员工情况</w:t>
      </w:r>
      <w:bookmarkEnd w:id="372"/>
      <w:bookmarkEnd w:id="373"/>
      <w:bookmarkEnd w:id="375"/>
    </w:p>
    <w:p>
      <w:pPr>
        <w:pStyle w:val="Style35"/>
        <w:keepNext w:val="0"/>
        <w:keepLines w:val="0"/>
        <w:widowControl w:val="0"/>
        <w:shd w:val="clear" w:color="auto" w:fill="auto"/>
        <w:bidi w:val="0"/>
        <w:spacing w:before="0" w:after="240" w:line="240" w:lineRule="auto"/>
        <w:ind w:left="0" w:right="0" w:firstLine="56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0</w:t>
      </w:r>
      <w:r>
        <w:rPr>
          <w:color w:val="000000"/>
          <w:spacing w:val="0"/>
          <w:w w:val="100"/>
          <w:position w:val="0"/>
        </w:rPr>
        <w:t>，公司及全资子公司共有员工</w:t>
      </w:r>
      <w:r>
        <w:rPr>
          <w:rFonts w:ascii="Times New Roman" w:eastAsia="Times New Roman" w:hAnsi="Times New Roman" w:cs="Times New Roman"/>
          <w:color w:val="000000"/>
          <w:spacing w:val="0"/>
          <w:w w:val="100"/>
          <w:position w:val="0"/>
        </w:rPr>
        <w:t>691</w:t>
      </w:r>
      <w:r>
        <w:rPr>
          <w:color w:val="000000"/>
          <w:spacing w:val="0"/>
          <w:w w:val="100"/>
          <w:position w:val="0"/>
        </w:rPr>
        <w:t>人，员工构成情况如下：</w:t>
      </w:r>
    </w:p>
    <w:p>
      <w:pPr>
        <w:pStyle w:val="Style35"/>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1900" w:h="16840"/>
          <w:pgMar w:top="1182" w:right="492" w:bottom="1460" w:left="607" w:header="0" w:footer="3" w:gutter="0"/>
          <w:cols w:space="720"/>
          <w:noEndnote/>
          <w:rtlGutter w:val="0"/>
          <w:docGrid w:linePitch="360"/>
        </w:sectPr>
      </w:pPr>
      <w:r>
        <mc:AlternateContent>
          <mc:Choice Requires="wps">
            <w:drawing>
              <wp:anchor distT="0" distB="0" distL="114300" distR="114300" simplePos="0" relativeHeight="125829378" behindDoc="0" locked="0" layoutInCell="1" allowOverlap="1">
                <wp:simplePos x="0" y="0"/>
                <wp:positionH relativeFrom="page">
                  <wp:posOffset>751205</wp:posOffset>
                </wp:positionH>
                <wp:positionV relativeFrom="paragraph">
                  <wp:posOffset>12700</wp:posOffset>
                </wp:positionV>
                <wp:extent cx="883920" cy="173990"/>
                <wp:wrapSquare wrapText="right"/>
                <wp:docPr id="31" name="Shape 31"/>
                <a:graphic xmlns:a="http://schemas.openxmlformats.org/drawingml/2006/main">
                  <a:graphicData uri="http://schemas.microsoft.com/office/word/2010/wordprocessingShape">
                    <wps:wsp>
                      <wps:cNvSpPr txBox="1"/>
                      <wps:spPr>
                        <a:xfrm>
                          <a:ext cx="883920" cy="17399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、按专业划分</w:t>
                            </w:r>
                          </w:p>
                        </w:txbxContent>
                      </wps:txbx>
                      <wps:bodyPr wrap="none" lIns="0" tIns="0" rIns="0" bIns="0">
                        <a:noAutoFit/>
                      </wps:bodyPr>
                    </wps:wsp>
                  </a:graphicData>
                </a:graphic>
              </wp:anchor>
            </w:drawing>
          </mc:Choice>
          <mc:Fallback>
            <w:pict>
              <v:shape id="_x0000_s1057" type="#_x0000_t202" style="position:absolute;margin-left:59.149999999999999pt;margin-top:1.pt;width:69.600000000000009pt;height:13.700000000000001pt;z-index:-125829375;mso-wrap-distance-left:9.pt;mso-wrap-distance-right:9.pt;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、按专业划分</w:t>
                      </w:r>
                    </w:p>
                  </w:txbxContent>
                </v:textbox>
                <w10:wrap type="square" side="right" anchorx="page"/>
              </v:shape>
            </w:pict>
          </mc:Fallback>
        </mc:AlternateContent>
      </w:r>
      <w:r>
        <mc:AlternateContent>
          <mc:Choice Requires="wps">
            <w:drawing>
              <wp:anchor distT="0" distB="0" distL="114300" distR="3540125" simplePos="0" relativeHeight="125829380" behindDoc="0" locked="0" layoutInCell="1" allowOverlap="1">
                <wp:simplePos x="0" y="0"/>
                <wp:positionH relativeFrom="page">
                  <wp:posOffset>748665</wp:posOffset>
                </wp:positionH>
                <wp:positionV relativeFrom="margin">
                  <wp:posOffset>6080760</wp:posOffset>
                </wp:positionV>
                <wp:extent cx="2712720" cy="1569720"/>
                <wp:wrapTopAndBottom/>
                <wp:docPr id="33" name="Shape 33"/>
                <a:graphic xmlns:a="http://schemas.openxmlformats.org/drawingml/2006/main">
                  <a:graphicData uri="http://schemas.microsoft.com/office/word/2010/wordprocessingShape">
                    <wps:wsp>
                      <wps:cNvSpPr txBox="1"/>
                      <wps:spPr>
                        <a:xfrm>
                          <a:ext cx="2712720" cy="1569720"/>
                        </a:xfrm>
                        <a:prstGeom prst="rect"/>
                        <a:noFill/>
                      </wps:spPr>
                      <wps:txbx>
                        <w:txbxContent>
                          <w:tbl>
                            <w:tblPr>
                              <w:tblOverlap w:val="never"/>
                              <w:jc w:val="left"/>
                              <w:tblLayout w:type="fixed"/>
                            </w:tblPr>
                            <w:tblGrid>
                              <w:gridCol w:w="1430"/>
                              <w:gridCol w:w="1133"/>
                              <w:gridCol w:w="1709"/>
                            </w:tblGrid>
                            <w:tr>
                              <w:trPr>
                                <w:tblHeader/>
                                <w:trHeight w:val="36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专业</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人数（人）</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占员工总数的比例</w:t>
                                  </w:r>
                                </w:p>
                              </w:tc>
                            </w:tr>
                            <w:tr>
                              <w:trPr>
                                <w:trHeight w:val="350"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管理人员</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14.04%</w:t>
                                  </w:r>
                                </w:p>
                              </w:tc>
                            </w:tr>
                            <w:tr>
                              <w:trPr>
                                <w:trHeight w:val="350"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生产人员</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w:t>
                                  </w:r>
                                </w:p>
                              </w:tc>
                            </w:tr>
                            <w:tr>
                              <w:trPr>
                                <w:trHeight w:val="35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销售人员</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38.93%</w:t>
                                  </w:r>
                                </w:p>
                              </w:tc>
                            </w:tr>
                            <w:tr>
                              <w:trPr>
                                <w:trHeight w:val="35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研发人员</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43.13%</w:t>
                                  </w:r>
                                </w:p>
                              </w:tc>
                            </w:tr>
                            <w:tr>
                              <w:trPr>
                                <w:trHeight w:val="346"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财务人员</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w:t>
                                  </w:r>
                                </w:p>
                              </w:tc>
                            </w:tr>
                            <w:tr>
                              <w:trPr>
                                <w:trHeight w:val="365"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line="1" w:lineRule="exact"/>
                            </w:pPr>
                          </w:p>
                        </w:txbxContent>
                      </wps:txbx>
                      <wps:bodyPr lIns="0" tIns="0" rIns="0" bIns="0">
                        <a:noAutoFit/>
                      </wps:bodyPr>
                    </wps:wsp>
                  </a:graphicData>
                </a:graphic>
              </wp:anchor>
            </w:drawing>
          </mc:Choice>
          <mc:Fallback>
            <w:pict>
              <v:shape id="_x0000_s1059" type="#_x0000_t202" style="position:absolute;margin-left:58.950000000000003pt;margin-top:478.80000000000001pt;width:213.59999999999999pt;height:123.60000000000001pt;z-index:-125829373;mso-wrap-distance-left:9.pt;mso-wrap-distance-right:278.75pt;mso-position-horizontal-relative:page;mso-position-vertical-relative:margin" filled="f" stroked="f">
                <v:textbox inset="0,0,0,0">
                  <w:txbxContent>
                    <w:tbl>
                      <w:tblPr>
                        <w:tblOverlap w:val="never"/>
                        <w:jc w:val="left"/>
                        <w:tblLayout w:type="fixed"/>
                      </w:tblPr>
                      <w:tblGrid>
                        <w:gridCol w:w="1430"/>
                        <w:gridCol w:w="1133"/>
                        <w:gridCol w:w="1709"/>
                      </w:tblGrid>
                      <w:tr>
                        <w:trPr>
                          <w:tblHeader/>
                          <w:trHeight w:val="36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专业</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人数（人）</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占员工总数的比例</w:t>
                            </w:r>
                          </w:p>
                        </w:tc>
                      </w:tr>
                      <w:tr>
                        <w:trPr>
                          <w:trHeight w:val="350"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管理人员</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14.04%</w:t>
                            </w:r>
                          </w:p>
                        </w:tc>
                      </w:tr>
                      <w:tr>
                        <w:trPr>
                          <w:trHeight w:val="350"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生产人员</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w:t>
                            </w:r>
                          </w:p>
                        </w:tc>
                      </w:tr>
                      <w:tr>
                        <w:trPr>
                          <w:trHeight w:val="35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销售人员</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38.93%</w:t>
                            </w:r>
                          </w:p>
                        </w:tc>
                      </w:tr>
                      <w:tr>
                        <w:trPr>
                          <w:trHeight w:val="35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研发人员</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43.13%</w:t>
                            </w:r>
                          </w:p>
                        </w:tc>
                      </w:tr>
                      <w:tr>
                        <w:trPr>
                          <w:trHeight w:val="346"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财务人员</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w:t>
                            </w:r>
                          </w:p>
                        </w:tc>
                      </w:tr>
                      <w:tr>
                        <w:trPr>
                          <w:trHeight w:val="365"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line="1" w:lineRule="exact"/>
                      </w:pPr>
                    </w:p>
                  </w:txbxContent>
                </v:textbox>
                <w10:wrap type="topAndBottom" anchorx="page" anchory="margin"/>
              </v:shape>
            </w:pict>
          </mc:Fallback>
        </mc:AlternateContent>
      </w:r>
      <w:r>
        <mc:AlternateContent>
          <mc:Choice Requires="wps">
            <w:drawing>
              <wp:anchor distT="100330" distB="121920" distL="3265805" distR="114300" simplePos="0" relativeHeight="125829382" behindDoc="0" locked="0" layoutInCell="1" allowOverlap="1">
                <wp:simplePos x="0" y="0"/>
                <wp:positionH relativeFrom="page">
                  <wp:posOffset>3900170</wp:posOffset>
                </wp:positionH>
                <wp:positionV relativeFrom="margin">
                  <wp:posOffset>6181090</wp:posOffset>
                </wp:positionV>
                <wp:extent cx="2987040" cy="1347470"/>
                <wp:wrapTopAndBottom/>
                <wp:docPr id="35" name="Shape 35"/>
                <a:graphic xmlns:a="http://schemas.openxmlformats.org/drawingml/2006/main">
                  <a:graphicData uri="http://schemas.microsoft.com/office/word/2010/wordprocessingShape">
                    <wps:wsp>
                      <wps:cNvSpPr txBox="1"/>
                      <wps:spPr>
                        <a:xfrm>
                          <a:ext cx="2987040" cy="1347470"/>
                        </a:xfrm>
                        <a:prstGeom prst="rect"/>
                        <a:noFill/>
                      </wps:spPr>
                      <wps:txbx>
                        <w:txbxContent>
                          <w:tbl>
                            <w:tblPr>
                              <w:tblOverlap w:val="never"/>
                              <w:jc w:val="left"/>
                              <w:tblLayout w:type="fixed"/>
                            </w:tblPr>
                            <w:tblGrid>
                              <w:gridCol w:w="1579"/>
                              <w:gridCol w:w="1560"/>
                              <w:gridCol w:w="1565"/>
                            </w:tblGrid>
                            <w:tr>
                              <w:trPr>
                                <w:tblHeader/>
                                <w:trHeight w:val="36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学历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人数（人）</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占员工总数的比例</w:t>
                                  </w:r>
                                </w:p>
                              </w:tc>
                            </w:tr>
                            <w:tr>
                              <w:trPr>
                                <w:trHeight w:val="35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硕士及以上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w:t>
                                  </w:r>
                                </w:p>
                              </w:tc>
                            </w:tr>
                            <w:tr>
                              <w:trPr>
                                <w:trHeight w:val="35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47.32%</w:t>
                                  </w:r>
                                </w:p>
                              </w:tc>
                            </w:tr>
                            <w:tr>
                              <w:trPr>
                                <w:trHeight w:val="35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大专</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33.72%</w:t>
                                  </w:r>
                                </w:p>
                              </w:tc>
                            </w:tr>
                            <w:tr>
                              <w:trPr>
                                <w:trHeight w:val="35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大专以下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13.61%</w:t>
                                  </w:r>
                                </w:p>
                              </w:tc>
                            </w:tr>
                            <w:tr>
                              <w:trPr>
                                <w:trHeight w:val="360"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line="1" w:lineRule="exact"/>
                            </w:pPr>
                          </w:p>
                        </w:txbxContent>
                      </wps:txbx>
                      <wps:bodyPr lIns="0" tIns="0" rIns="0" bIns="0">
                        <a:noAutoFit/>
                      </wps:bodyPr>
                    </wps:wsp>
                  </a:graphicData>
                </a:graphic>
              </wp:anchor>
            </w:drawing>
          </mc:Choice>
          <mc:Fallback>
            <w:pict>
              <v:shape id="_x0000_s1061" type="#_x0000_t202" style="position:absolute;margin-left:307.10000000000002pt;margin-top:486.69999999999999pt;width:235.20000000000002pt;height:106.10000000000001pt;z-index:-125829371;mso-wrap-distance-left:257.14999999999998pt;mso-wrap-distance-top:7.9000000000000004pt;mso-wrap-distance-right:9.pt;mso-wrap-distance-bottom:9.5999999999999996pt;mso-position-horizontal-relative:page;mso-position-vertical-relative:margin" filled="f" stroked="f">
                <v:textbox inset="0,0,0,0">
                  <w:txbxContent>
                    <w:tbl>
                      <w:tblPr>
                        <w:tblOverlap w:val="never"/>
                        <w:jc w:val="left"/>
                        <w:tblLayout w:type="fixed"/>
                      </w:tblPr>
                      <w:tblGrid>
                        <w:gridCol w:w="1579"/>
                        <w:gridCol w:w="1560"/>
                        <w:gridCol w:w="1565"/>
                      </w:tblGrid>
                      <w:tr>
                        <w:trPr>
                          <w:tblHeader/>
                          <w:trHeight w:val="36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学历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人数（人）</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占员工总数的比例</w:t>
                            </w:r>
                          </w:p>
                        </w:tc>
                      </w:tr>
                      <w:tr>
                        <w:trPr>
                          <w:trHeight w:val="35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硕士及以上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w:t>
                            </w:r>
                          </w:p>
                        </w:tc>
                      </w:tr>
                      <w:tr>
                        <w:trPr>
                          <w:trHeight w:val="35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47.32%</w:t>
                            </w:r>
                          </w:p>
                        </w:tc>
                      </w:tr>
                      <w:tr>
                        <w:trPr>
                          <w:trHeight w:val="35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大专</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33.72%</w:t>
                            </w:r>
                          </w:p>
                        </w:tc>
                      </w:tr>
                      <w:tr>
                        <w:trPr>
                          <w:trHeight w:val="35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大专以下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13.61%</w:t>
                            </w:r>
                          </w:p>
                        </w:tc>
                      </w:tr>
                      <w:tr>
                        <w:trPr>
                          <w:trHeight w:val="360"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line="1" w:lineRule="exact"/>
                      </w:pPr>
                    </w:p>
                  </w:txbxContent>
                </v:textbox>
                <w10:wrap type="topAndBottom" anchorx="page" anchory="margin"/>
              </v:shape>
            </w:pict>
          </mc:Fallback>
        </mc:AlternateContent>
      </w:r>
      <w:r>
        <w:rPr>
          <w:rFonts w:ascii="Times New Roman" w:eastAsia="Times New Roman" w:hAnsi="Times New Roman" w:cs="Times New Roman"/>
          <w:color w:val="000000"/>
          <w:spacing w:val="0"/>
          <w:w w:val="100"/>
          <w:position w:val="0"/>
        </w:rPr>
        <w:t>2</w:t>
      </w:r>
      <w:r>
        <w:rPr>
          <w:color w:val="000000"/>
          <w:spacing w:val="0"/>
          <w:w w:val="100"/>
          <w:position w:val="0"/>
        </w:rPr>
        <w:t>、按教育程度划分</w:t>
      </w:r>
    </w:p>
    <w:p>
      <w:pPr>
        <w:widowControl w:val="0"/>
        <w:spacing w:before="77" w:after="77"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441" w:right="0" w:bottom="1441" w:left="0" w:header="0" w:footer="3" w:gutter="0"/>
          <w:cols w:space="720"/>
          <w:noEndnote/>
          <w:rtlGutter w:val="0"/>
          <w:docGrid w:linePitch="360"/>
        </w:sectPr>
      </w:pPr>
    </w:p>
    <w:p>
      <w:pPr>
        <w:pStyle w:val="Style35"/>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1900" w:h="16840"/>
          <w:pgMar w:top="1441" w:right="1114" w:bottom="1441" w:left="1104" w:header="0" w:footer="3" w:gutter="0"/>
          <w:cols w:space="720"/>
          <w:noEndnote/>
          <w:rtlGutter w:val="0"/>
          <w:docGrid w:linePitch="360"/>
        </w:sectPr>
      </w:pPr>
      <w:r>
        <w:rPr>
          <w:color w:val="000000"/>
          <w:spacing w:val="0"/>
          <w:w w:val="100"/>
          <w:position w:val="0"/>
        </w:rPr>
        <w:t>公司实行全员聘用制，无需承担离退休职工的费用，离退休职工由社保基金统筹解决。</w:t>
      </w:r>
    </w:p>
    <w:p>
      <w:pPr>
        <w:pStyle w:val="Style12"/>
        <w:keepNext/>
        <w:keepLines/>
        <w:widowControl w:val="0"/>
        <w:shd w:val="clear" w:color="auto" w:fill="auto"/>
        <w:bidi w:val="0"/>
        <w:spacing w:before="540" w:after="560" w:line="240" w:lineRule="auto"/>
        <w:ind w:left="0" w:right="0" w:firstLine="0"/>
        <w:jc w:val="center"/>
      </w:pPr>
      <w:bookmarkStart w:id="376" w:name="bookmark376"/>
      <w:bookmarkStart w:id="377" w:name="bookmark377"/>
      <w:bookmarkStart w:id="378" w:name="bookmark378"/>
      <w:r>
        <w:rPr>
          <w:color w:val="000000"/>
          <w:spacing w:val="0"/>
          <w:w w:val="100"/>
          <w:position w:val="0"/>
        </w:rPr>
        <w:t>第八节公司治理</w:t>
      </w:r>
      <w:bookmarkEnd w:id="376"/>
      <w:bookmarkEnd w:id="377"/>
      <w:bookmarkEnd w:id="378"/>
    </w:p>
    <w:p>
      <w:pPr>
        <w:pStyle w:val="Style25"/>
        <w:keepNext/>
        <w:keepLines/>
        <w:widowControl w:val="0"/>
        <w:shd w:val="clear" w:color="auto" w:fill="auto"/>
        <w:bidi w:val="0"/>
        <w:spacing w:before="0" w:after="280" w:line="240" w:lineRule="auto"/>
        <w:ind w:left="0" w:right="0" w:firstLine="0"/>
        <w:jc w:val="both"/>
      </w:pPr>
      <w:bookmarkStart w:id="379" w:name="bookmark379"/>
      <w:bookmarkStart w:id="380" w:name="bookmark380"/>
      <w:bookmarkStart w:id="381" w:name="bookmark381"/>
      <w:bookmarkStart w:id="382" w:name="bookmark382"/>
      <w:r>
        <w:rPr>
          <w:color w:val="000000"/>
          <w:spacing w:val="0"/>
          <w:w w:val="100"/>
          <w:position w:val="0"/>
        </w:rPr>
        <w:t>一</w:t>
      </w:r>
      <w:bookmarkEnd w:id="381"/>
      <w:r>
        <w:rPr>
          <w:color w:val="000000"/>
          <w:spacing w:val="0"/>
          <w:w w:val="100"/>
          <w:position w:val="0"/>
        </w:rPr>
        <w:t>、公司治理的基本状况</w:t>
      </w:r>
      <w:bookmarkEnd w:id="379"/>
      <w:bookmarkEnd w:id="380"/>
      <w:bookmarkEnd w:id="382"/>
    </w:p>
    <w:p>
      <w:pPr>
        <w:pStyle w:val="Style35"/>
        <w:keepNext w:val="0"/>
        <w:keepLines w:val="0"/>
        <w:widowControl w:val="0"/>
        <w:shd w:val="clear" w:color="auto" w:fill="auto"/>
        <w:bidi w:val="0"/>
        <w:spacing w:before="0" w:after="0" w:line="402" w:lineRule="exact"/>
        <w:ind w:left="0" w:right="0" w:firstLine="500"/>
        <w:jc w:val="left"/>
      </w:pPr>
      <w:r>
        <w:rPr>
          <w:color w:val="000000"/>
          <w:spacing w:val="0"/>
          <w:w w:val="100"/>
          <w:position w:val="0"/>
        </w:rPr>
        <w:t>公司根据《公司法》、《上市公司治理准则》、《上市公司章程指引》、《上市公司股东大会规则》 及其他相关法律、法规的要求，确立了由股东大会、董事会、监事会和经营管理层组成的公司治理结构， 建立健全了股东大会、董事会、监事会、独立董事、董事会秘书等相关制度，并在公司董事会下设立了战 略、审计、提名、薪酬与考核等专门委员会。</w:t>
      </w:r>
    </w:p>
    <w:p>
      <w:pPr>
        <w:pStyle w:val="Style35"/>
        <w:keepNext w:val="0"/>
        <w:keepLines w:val="0"/>
        <w:widowControl w:val="0"/>
        <w:shd w:val="clear" w:color="auto" w:fill="auto"/>
        <w:bidi w:val="0"/>
        <w:spacing w:before="0" w:after="0" w:line="402" w:lineRule="exact"/>
        <w:ind w:left="0" w:right="0" w:firstLine="440"/>
        <w:jc w:val="both"/>
      </w:pPr>
      <w:r>
        <w:rPr>
          <w:color w:val="000000"/>
          <w:spacing w:val="0"/>
          <w:w w:val="100"/>
          <w:position w:val="0"/>
        </w:rPr>
        <w:t>报告期内，公司建立了规范的公司治理结构，股东大会、董事会及专门委员会、监事会、独立董事、 董事会秘书和管理层均严格按照《公司法》、《证券法》、《上市公司治理准则》、《深圳证券交易所创 业板股票上市规则》、《深圳证券交易所创业板上市公司规范运作指引》等法律、法规和中国证监会有关 法律法规等的要求，履行各自的权利和义务，公司重大生产经营决策、投资决策及财务决策均按照《公司 章程》及有关内控制度规定的程序和规则进行，截至报告期末，上述机构和人员依法运作，未出现违法、 违规现象，能够切实履行应尽的职责和义务，公司治理的实际状况符合《上市公司治理准则》和《深圳证 券交易所创业板上市公司规范运作指引》的要求。</w:t>
      </w:r>
    </w:p>
    <w:p>
      <w:pPr>
        <w:pStyle w:val="Style35"/>
        <w:keepNext w:val="0"/>
        <w:keepLines w:val="0"/>
        <w:widowControl w:val="0"/>
        <w:shd w:val="clear" w:color="auto" w:fill="auto"/>
        <w:tabs>
          <w:tab w:pos="1018" w:val="left"/>
        </w:tabs>
        <w:bidi w:val="0"/>
        <w:spacing w:before="0" w:after="0" w:line="402" w:lineRule="exact"/>
        <w:ind w:left="0" w:right="0" w:firstLine="440"/>
        <w:jc w:val="both"/>
      </w:pPr>
      <w:bookmarkStart w:id="383" w:name="bookmark383"/>
      <w:r>
        <w:rPr>
          <w:color w:val="000000"/>
          <w:spacing w:val="0"/>
          <w:w w:val="100"/>
          <w:position w:val="0"/>
        </w:rPr>
        <w:t>（</w:t>
      </w:r>
      <w:bookmarkEnd w:id="383"/>
      <w:r>
        <w:rPr>
          <w:color w:val="000000"/>
          <w:spacing w:val="0"/>
          <w:w w:val="100"/>
          <w:position w:val="0"/>
        </w:rPr>
        <w:t>一）</w:t>
        <w:tab/>
        <w:t>关于股东与股东大会</w:t>
      </w:r>
    </w:p>
    <w:p>
      <w:pPr>
        <w:pStyle w:val="Style35"/>
        <w:keepNext w:val="0"/>
        <w:keepLines w:val="0"/>
        <w:widowControl w:val="0"/>
        <w:shd w:val="clear" w:color="auto" w:fill="auto"/>
        <w:bidi w:val="0"/>
        <w:spacing w:before="0" w:after="0" w:line="402" w:lineRule="exact"/>
        <w:ind w:left="0" w:right="0" w:firstLine="440"/>
        <w:jc w:val="both"/>
      </w:pPr>
      <w:r>
        <w:rPr>
          <w:color w:val="000000"/>
          <w:spacing w:val="0"/>
          <w:w w:val="100"/>
          <w:position w:val="0"/>
        </w:rPr>
        <w:t>公司严格按照《上市公司股东大会规则》、《公司章程》、《股东大会议事规则》等规定和要求，规 范地召集、召开股东大会，对公司的相关事项做出了决策，程序规范，决策科学，效果良好。</w:t>
      </w:r>
    </w:p>
    <w:p>
      <w:pPr>
        <w:pStyle w:val="Style35"/>
        <w:keepNext w:val="0"/>
        <w:keepLines w:val="0"/>
        <w:widowControl w:val="0"/>
        <w:shd w:val="clear" w:color="auto" w:fill="auto"/>
        <w:tabs>
          <w:tab w:pos="1018" w:val="left"/>
        </w:tabs>
        <w:bidi w:val="0"/>
        <w:spacing w:before="0" w:after="0" w:line="402" w:lineRule="exact"/>
        <w:ind w:left="0" w:right="0" w:firstLine="440"/>
        <w:jc w:val="both"/>
      </w:pPr>
      <w:bookmarkStart w:id="384" w:name="bookmark384"/>
      <w:r>
        <w:rPr>
          <w:color w:val="000000"/>
          <w:spacing w:val="0"/>
          <w:w w:val="100"/>
          <w:position w:val="0"/>
        </w:rPr>
        <w:t>（</w:t>
      </w:r>
      <w:bookmarkEnd w:id="384"/>
      <w:r>
        <w:rPr>
          <w:color w:val="000000"/>
          <w:spacing w:val="0"/>
          <w:w w:val="100"/>
          <w:position w:val="0"/>
        </w:rPr>
        <w:t>二）</w:t>
        <w:tab/>
        <w:t>关于公司与控股股东</w:t>
      </w:r>
    </w:p>
    <w:p>
      <w:pPr>
        <w:pStyle w:val="Style35"/>
        <w:keepNext w:val="0"/>
        <w:keepLines w:val="0"/>
        <w:widowControl w:val="0"/>
        <w:shd w:val="clear" w:color="auto" w:fill="auto"/>
        <w:bidi w:val="0"/>
        <w:spacing w:before="0" w:after="0" w:line="402" w:lineRule="exact"/>
        <w:ind w:left="0" w:right="0" w:firstLine="440"/>
        <w:jc w:val="both"/>
      </w:pPr>
      <w:r>
        <w:rPr>
          <w:color w:val="000000"/>
          <w:spacing w:val="0"/>
          <w:w w:val="100"/>
          <w:position w:val="0"/>
        </w:rPr>
        <w:t>公司控股股东严格规范自身行为，没有直接或间接干预公司的决策和经营活动情况。公司在业务、人 员、资产、机构、财务上独立于控股股东，有独立完整的业务和自主经营能力，公司董事会、监事会和内 部机构独立运作。</w:t>
      </w:r>
    </w:p>
    <w:p>
      <w:pPr>
        <w:pStyle w:val="Style35"/>
        <w:keepNext w:val="0"/>
        <w:keepLines w:val="0"/>
        <w:widowControl w:val="0"/>
        <w:shd w:val="clear" w:color="auto" w:fill="auto"/>
        <w:tabs>
          <w:tab w:pos="1018" w:val="left"/>
        </w:tabs>
        <w:bidi w:val="0"/>
        <w:spacing w:before="0" w:after="0" w:line="402" w:lineRule="exact"/>
        <w:ind w:left="0" w:right="0" w:firstLine="440"/>
        <w:jc w:val="both"/>
      </w:pPr>
      <w:bookmarkStart w:id="385" w:name="bookmark385"/>
      <w:r>
        <w:rPr>
          <w:color w:val="000000"/>
          <w:spacing w:val="0"/>
          <w:w w:val="100"/>
          <w:position w:val="0"/>
        </w:rPr>
        <w:t>（</w:t>
      </w:r>
      <w:bookmarkEnd w:id="385"/>
      <w:r>
        <w:rPr>
          <w:color w:val="000000"/>
          <w:spacing w:val="0"/>
          <w:w w:val="100"/>
          <w:position w:val="0"/>
        </w:rPr>
        <w:t>三）</w:t>
        <w:tab/>
        <w:t>关于董事和董事会</w:t>
      </w:r>
    </w:p>
    <w:p>
      <w:pPr>
        <w:pStyle w:val="Style35"/>
        <w:keepNext w:val="0"/>
        <w:keepLines w:val="0"/>
        <w:widowControl w:val="0"/>
        <w:shd w:val="clear" w:color="auto" w:fill="auto"/>
        <w:bidi w:val="0"/>
        <w:spacing w:before="0" w:after="0" w:line="402" w:lineRule="exact"/>
        <w:ind w:left="0" w:right="0" w:firstLine="440"/>
        <w:jc w:val="both"/>
      </w:pPr>
      <w:r>
        <w:rPr>
          <w:color w:val="000000"/>
          <w:spacing w:val="0"/>
          <w:w w:val="100"/>
          <w:position w:val="0"/>
        </w:rPr>
        <w:t>公司董事会设董事</w:t>
      </w:r>
      <w:r>
        <w:rPr>
          <w:rFonts w:ascii="Times New Roman" w:eastAsia="Times New Roman" w:hAnsi="Times New Roman" w:cs="Times New Roman"/>
          <w:color w:val="000000"/>
          <w:spacing w:val="0"/>
          <w:w w:val="100"/>
          <w:position w:val="0"/>
        </w:rPr>
        <w:t>9</w:t>
      </w:r>
      <w:r>
        <w:rPr>
          <w:color w:val="000000"/>
          <w:spacing w:val="0"/>
          <w:w w:val="100"/>
          <w:position w:val="0"/>
        </w:rPr>
        <w:t>名，其中独立董事</w:t>
      </w:r>
      <w:r>
        <w:rPr>
          <w:rFonts w:ascii="Times New Roman" w:eastAsia="Times New Roman" w:hAnsi="Times New Roman" w:cs="Times New Roman"/>
          <w:color w:val="000000"/>
          <w:spacing w:val="0"/>
          <w:w w:val="100"/>
          <w:position w:val="0"/>
        </w:rPr>
        <w:t>3</w:t>
      </w:r>
      <w:r>
        <w:rPr>
          <w:color w:val="000000"/>
          <w:spacing w:val="0"/>
          <w:w w:val="100"/>
          <w:position w:val="0"/>
        </w:rPr>
        <w:t>名，董事会的人数及人员构成符合法律、法规和《公司章程》 的要求。各董事能够依据《公司法》、《深圳证券交易所创业板上市公司规范运作指引》、《公司董事会 议事规则》等法律法规、规章制度开展工作，出席董事会和股东大会，勤勉尽责地履行职责和义务，同时 积极参加相关培训，熟悉相关法律法规。</w:t>
      </w:r>
    </w:p>
    <w:p>
      <w:pPr>
        <w:pStyle w:val="Style35"/>
        <w:keepNext w:val="0"/>
        <w:keepLines w:val="0"/>
        <w:widowControl w:val="0"/>
        <w:shd w:val="clear" w:color="auto" w:fill="auto"/>
        <w:tabs>
          <w:tab w:pos="1018" w:val="left"/>
        </w:tabs>
        <w:bidi w:val="0"/>
        <w:spacing w:before="0" w:after="0" w:line="402" w:lineRule="exact"/>
        <w:ind w:left="0" w:right="0" w:firstLine="440"/>
        <w:jc w:val="both"/>
      </w:pPr>
      <w:bookmarkStart w:id="386" w:name="bookmark386"/>
      <w:r>
        <w:rPr>
          <w:color w:val="000000"/>
          <w:spacing w:val="0"/>
          <w:w w:val="100"/>
          <w:position w:val="0"/>
        </w:rPr>
        <w:t>（</w:t>
      </w:r>
      <w:bookmarkEnd w:id="386"/>
      <w:r>
        <w:rPr>
          <w:color w:val="000000"/>
          <w:spacing w:val="0"/>
          <w:w w:val="100"/>
          <w:position w:val="0"/>
        </w:rPr>
        <w:t>四）</w:t>
        <w:tab/>
        <w:t>关于监事和监事会</w:t>
      </w:r>
    </w:p>
    <w:p>
      <w:pPr>
        <w:pStyle w:val="Style35"/>
        <w:keepNext w:val="0"/>
        <w:keepLines w:val="0"/>
        <w:widowControl w:val="0"/>
        <w:shd w:val="clear" w:color="auto" w:fill="auto"/>
        <w:bidi w:val="0"/>
        <w:spacing w:before="0" w:after="0" w:line="402" w:lineRule="exact"/>
        <w:ind w:left="0" w:right="0" w:firstLine="440"/>
        <w:jc w:val="both"/>
      </w:pPr>
      <w:r>
        <w:rPr>
          <w:color w:val="000000"/>
          <w:spacing w:val="0"/>
          <w:w w:val="100"/>
          <w:position w:val="0"/>
        </w:rPr>
        <w:t>公司监事会设监事</w:t>
      </w:r>
      <w:r>
        <w:rPr>
          <w:rFonts w:ascii="Times New Roman" w:eastAsia="Times New Roman" w:hAnsi="Times New Roman" w:cs="Times New Roman"/>
          <w:color w:val="000000"/>
          <w:spacing w:val="0"/>
          <w:w w:val="100"/>
          <w:position w:val="0"/>
        </w:rPr>
        <w:t>3</w:t>
      </w:r>
      <w:r>
        <w:rPr>
          <w:color w:val="000000"/>
          <w:spacing w:val="0"/>
          <w:w w:val="100"/>
          <w:position w:val="0"/>
        </w:rPr>
        <w:t>名，其中职工监事</w:t>
      </w:r>
      <w:r>
        <w:rPr>
          <w:rFonts w:ascii="Times New Roman" w:eastAsia="Times New Roman" w:hAnsi="Times New Roman" w:cs="Times New Roman"/>
          <w:color w:val="000000"/>
          <w:spacing w:val="0"/>
          <w:w w:val="100"/>
          <w:position w:val="0"/>
        </w:rPr>
        <w:t>1</w:t>
      </w:r>
      <w:r>
        <w:rPr>
          <w:color w:val="000000"/>
          <w:spacing w:val="0"/>
          <w:w w:val="100"/>
          <w:position w:val="0"/>
        </w:rPr>
        <w:t>名，监事会的人数和构成符合法律、法规的要求。各位监事能 够按照《公司监事会议事规则》的要求，认真履行自己的职责，对公司重大事项、关联交易、财务状况以 及董事、高级管理人员履行职责的合法合规性进行监督。</w:t>
      </w:r>
    </w:p>
    <w:p>
      <w:pPr>
        <w:pStyle w:val="Style35"/>
        <w:keepNext w:val="0"/>
        <w:keepLines w:val="0"/>
        <w:widowControl w:val="0"/>
        <w:shd w:val="clear" w:color="auto" w:fill="auto"/>
        <w:tabs>
          <w:tab w:pos="1018" w:val="left"/>
        </w:tabs>
        <w:bidi w:val="0"/>
        <w:spacing w:before="0" w:after="0" w:line="402" w:lineRule="exact"/>
        <w:ind w:left="0" w:right="0" w:firstLine="440"/>
        <w:jc w:val="both"/>
      </w:pPr>
      <w:bookmarkStart w:id="387" w:name="bookmark387"/>
      <w:r>
        <w:rPr>
          <w:color w:val="000000"/>
          <w:spacing w:val="0"/>
          <w:w w:val="100"/>
          <w:position w:val="0"/>
        </w:rPr>
        <w:t>（</w:t>
      </w:r>
      <w:bookmarkEnd w:id="387"/>
      <w:r>
        <w:rPr>
          <w:color w:val="000000"/>
          <w:spacing w:val="0"/>
          <w:w w:val="100"/>
          <w:position w:val="0"/>
        </w:rPr>
        <w:t>五）</w:t>
        <w:tab/>
        <w:t>关于绩效评价与激励约束机制</w:t>
      </w:r>
    </w:p>
    <w:p>
      <w:pPr>
        <w:pStyle w:val="Style35"/>
        <w:keepNext w:val="0"/>
        <w:keepLines w:val="0"/>
        <w:widowControl w:val="0"/>
        <w:shd w:val="clear" w:color="auto" w:fill="auto"/>
        <w:bidi w:val="0"/>
        <w:spacing w:before="0" w:after="0" w:line="402" w:lineRule="exact"/>
        <w:ind w:left="0" w:right="0" w:firstLine="440"/>
        <w:jc w:val="both"/>
      </w:pPr>
      <w:r>
        <w:rPr>
          <w:color w:val="000000"/>
          <w:spacing w:val="0"/>
          <w:w w:val="100"/>
          <w:position w:val="0"/>
        </w:rPr>
        <w:t xml:space="preserve">公司已建立企业绩效评价激励体系，经营者的收入与企业经营业绩挂钩，高级管理人员的聘任公开、 </w:t>
      </w:r>
      <w:r>
        <w:rPr>
          <w:color w:val="000000"/>
          <w:spacing w:val="0"/>
          <w:w w:val="100"/>
          <w:position w:val="0"/>
        </w:rPr>
        <w:t>透明，符合法律、法规的规定。公司董事会下设的薪酬和考核委员会负责对公司董事及高级管理人员进行 绩效考核，董事、监事和高级管理人员的津贴标准由公司股东大会批准。</w:t>
      </w:r>
    </w:p>
    <w:p>
      <w:pPr>
        <w:pStyle w:val="Style35"/>
        <w:keepNext w:val="0"/>
        <w:keepLines w:val="0"/>
        <w:widowControl w:val="0"/>
        <w:shd w:val="clear" w:color="auto" w:fill="auto"/>
        <w:tabs>
          <w:tab w:pos="1014" w:val="left"/>
        </w:tabs>
        <w:bidi w:val="0"/>
        <w:spacing w:before="0" w:after="0" w:line="399" w:lineRule="exact"/>
        <w:ind w:left="0" w:right="0" w:firstLine="420"/>
        <w:jc w:val="both"/>
      </w:pPr>
      <w:bookmarkStart w:id="388" w:name="bookmark388"/>
      <w:r>
        <w:rPr>
          <w:color w:val="000000"/>
          <w:spacing w:val="0"/>
          <w:w w:val="100"/>
          <w:position w:val="0"/>
        </w:rPr>
        <w:t>（</w:t>
      </w:r>
      <w:bookmarkEnd w:id="388"/>
      <w:r>
        <w:rPr>
          <w:color w:val="000000"/>
          <w:spacing w:val="0"/>
          <w:w w:val="100"/>
          <w:position w:val="0"/>
        </w:rPr>
        <w:t>六）</w:t>
        <w:tab/>
        <w:t>关于信息披露与透明度</w:t>
      </w:r>
    </w:p>
    <w:p>
      <w:pPr>
        <w:pStyle w:val="Style35"/>
        <w:keepNext w:val="0"/>
        <w:keepLines w:val="0"/>
        <w:widowControl w:val="0"/>
        <w:shd w:val="clear" w:color="auto" w:fill="auto"/>
        <w:bidi w:val="0"/>
        <w:spacing w:before="0" w:after="0" w:line="399" w:lineRule="exact"/>
        <w:ind w:left="0" w:right="0" w:firstLine="420"/>
        <w:jc w:val="both"/>
      </w:pPr>
      <w:r>
        <w:rPr>
          <w:color w:val="000000"/>
          <w:spacing w:val="0"/>
          <w:w w:val="100"/>
          <w:position w:val="0"/>
        </w:rPr>
        <w:t>公司严格按照《上市公司信息披露管理办法》《公司投资者关系管理制度》等规章制度的要求，真实、 准确、及时、公平、完整地披露有关信息。公司指定董事会秘书负责信息披露工作，协调公司与投资者的 关系，回答投资者咨询，接待投资者来访，向投资者提供公司已披露的资料；并指定《证券时报》、《证 券日报》、《中国证券报》、《上海证券报》和巨潮资讯网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为公司信息披露的指定报 纸和网站，确保公司所有股东能够以平等的机会获得信息。</w:t>
      </w:r>
    </w:p>
    <w:p>
      <w:pPr>
        <w:pStyle w:val="Style35"/>
        <w:keepNext w:val="0"/>
        <w:keepLines w:val="0"/>
        <w:widowControl w:val="0"/>
        <w:shd w:val="clear" w:color="auto" w:fill="auto"/>
        <w:tabs>
          <w:tab w:pos="1014" w:val="left"/>
        </w:tabs>
        <w:bidi w:val="0"/>
        <w:spacing w:before="0" w:after="40" w:line="399" w:lineRule="exact"/>
        <w:ind w:left="0" w:right="0" w:firstLine="420"/>
        <w:jc w:val="both"/>
      </w:pPr>
      <w:bookmarkStart w:id="389" w:name="bookmark389"/>
      <w:r>
        <w:rPr>
          <w:color w:val="000000"/>
          <w:spacing w:val="0"/>
          <w:w w:val="100"/>
          <w:position w:val="0"/>
        </w:rPr>
        <w:t>（</w:t>
      </w:r>
      <w:bookmarkEnd w:id="389"/>
      <w:r>
        <w:rPr>
          <w:color w:val="000000"/>
          <w:spacing w:val="0"/>
          <w:w w:val="100"/>
          <w:position w:val="0"/>
        </w:rPr>
        <w:t>七）</w:t>
        <w:tab/>
        <w:t>关于相关利益者</w:t>
      </w:r>
    </w:p>
    <w:p>
      <w:pPr>
        <w:pStyle w:val="Style35"/>
        <w:keepNext w:val="0"/>
        <w:keepLines w:val="0"/>
        <w:widowControl w:val="0"/>
        <w:shd w:val="clear" w:color="auto" w:fill="auto"/>
        <w:bidi w:val="0"/>
        <w:spacing w:before="0" w:after="480" w:line="394" w:lineRule="exact"/>
        <w:ind w:left="0" w:right="0" w:firstLine="420"/>
        <w:jc w:val="both"/>
      </w:pPr>
      <w:r>
        <w:rPr>
          <w:color w:val="000000"/>
          <w:spacing w:val="0"/>
          <w:w w:val="100"/>
          <w:position w:val="0"/>
        </w:rPr>
        <w:t>公司充分尊重和维护相关利益者的合法权益，实现股东、员工、社会等各方利益的协调平衡，共同推 动公司持续、健康的发展。</w:t>
      </w:r>
    </w:p>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公司治理与《公司法》和中国证监会相关规定的要求是否存在差异</w:t>
      </w:r>
    </w:p>
    <w:p>
      <w:pPr>
        <w:pStyle w:val="Style35"/>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［否</w:t>
      </w:r>
    </w:p>
    <w:p>
      <w:pPr>
        <w:pStyle w:val="Style25"/>
        <w:keepNext/>
        <w:keepLines/>
        <w:widowControl w:val="0"/>
        <w:shd w:val="clear" w:color="auto" w:fill="auto"/>
        <w:bidi w:val="0"/>
        <w:spacing w:before="0" w:line="240" w:lineRule="auto"/>
        <w:ind w:left="0" w:right="0" w:firstLine="0"/>
        <w:jc w:val="left"/>
      </w:pPr>
      <w:bookmarkStart w:id="390" w:name="bookmark390"/>
      <w:bookmarkStart w:id="391" w:name="bookmark391"/>
      <w:bookmarkStart w:id="392" w:name="bookmark392"/>
      <w:bookmarkStart w:id="393" w:name="bookmark393"/>
      <w:r>
        <w:rPr>
          <w:color w:val="000000"/>
          <w:spacing w:val="0"/>
          <w:w w:val="100"/>
          <w:position w:val="0"/>
        </w:rPr>
        <w:t>二</w:t>
      </w:r>
      <w:bookmarkEnd w:id="392"/>
      <w:r>
        <w:rPr>
          <w:color w:val="000000"/>
          <w:spacing w:val="0"/>
          <w:w w:val="100"/>
          <w:position w:val="0"/>
        </w:rPr>
        <w:t>、报告期内召开的年度股东大会和临时股东大会的有关情况</w:t>
      </w:r>
      <w:bookmarkEnd w:id="390"/>
      <w:bookmarkEnd w:id="391"/>
      <w:bookmarkEnd w:id="393"/>
    </w:p>
    <w:p>
      <w:pPr>
        <w:pStyle w:val="Style38"/>
        <w:keepNext/>
        <w:keepLines/>
        <w:widowControl w:val="0"/>
        <w:shd w:val="clear" w:color="auto" w:fill="auto"/>
        <w:bidi w:val="0"/>
        <w:spacing w:before="0" w:after="120" w:line="418" w:lineRule="auto"/>
        <w:ind w:left="0" w:right="0" w:firstLine="0"/>
        <w:jc w:val="left"/>
      </w:pPr>
      <w:bookmarkStart w:id="394" w:name="bookmark394"/>
      <w:bookmarkStart w:id="395" w:name="bookmark395"/>
      <w:bookmarkStart w:id="396" w:name="bookmark396"/>
      <w:bookmarkStart w:id="397" w:name="bookmark397"/>
      <w:r>
        <w:rPr>
          <w:rFonts w:ascii="Times New Roman" w:eastAsia="Times New Roman" w:hAnsi="Times New Roman" w:cs="Times New Roman"/>
          <w:color w:val="000000"/>
          <w:spacing w:val="0"/>
          <w:w w:val="100"/>
          <w:position w:val="0"/>
        </w:rPr>
        <w:t>1</w:t>
      </w:r>
      <w:bookmarkEnd w:id="396"/>
      <w:r>
        <w:rPr>
          <w:color w:val="000000"/>
          <w:spacing w:val="0"/>
          <w:w w:val="100"/>
          <w:position w:val="0"/>
        </w:rPr>
        <w:t>、本报告期年度股东大会情况</w:t>
      </w:r>
      <w:bookmarkEnd w:id="394"/>
      <w:bookmarkEnd w:id="395"/>
      <w:bookmarkEnd w:id="397"/>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会议决议刊登的指定网站查 询索引</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会议决议刊登的信息披露日 期</w:t>
            </w:r>
          </w:p>
        </w:tc>
      </w:tr>
      <w:tr>
        <w:trPr>
          <w:trHeight w:val="408" w:hRule="exact"/>
        </w:trPr>
        <w:tc>
          <w:tcPr>
            <w:tcBorders>
              <w:top w:val="single" w:sz="4"/>
              <w:left w:val="single" w:sz="4"/>
              <w:bottom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年年度股东大会</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bottom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.com. cn/</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r>
    </w:tbl>
    <w:p>
      <w:pPr>
        <w:widowControl w:val="0"/>
        <w:spacing w:after="319" w:line="1" w:lineRule="exact"/>
      </w:pPr>
    </w:p>
    <w:p>
      <w:pPr>
        <w:pStyle w:val="Style38"/>
        <w:keepNext/>
        <w:keepLines/>
        <w:widowControl w:val="0"/>
        <w:shd w:val="clear" w:color="auto" w:fill="auto"/>
        <w:bidi w:val="0"/>
        <w:spacing w:before="0" w:after="320" w:line="240" w:lineRule="auto"/>
        <w:ind w:left="0" w:right="0" w:firstLine="0"/>
        <w:jc w:val="left"/>
      </w:pPr>
      <w:bookmarkStart w:id="398" w:name="bookmark398"/>
      <w:bookmarkStart w:id="399" w:name="bookmark399"/>
      <w:bookmarkStart w:id="400" w:name="bookmark400"/>
      <w:bookmarkStart w:id="401" w:name="bookmark401"/>
      <w:r>
        <w:rPr>
          <w:rFonts w:ascii="Times New Roman" w:eastAsia="Times New Roman" w:hAnsi="Times New Roman" w:cs="Times New Roman"/>
          <w:color w:val="000000"/>
          <w:spacing w:val="0"/>
          <w:w w:val="100"/>
          <w:position w:val="0"/>
        </w:rPr>
        <w:t>2</w:t>
      </w:r>
      <w:bookmarkEnd w:id="400"/>
      <w:r>
        <w:rPr>
          <w:color w:val="000000"/>
          <w:spacing w:val="0"/>
          <w:w w:val="100"/>
          <w:position w:val="0"/>
        </w:rPr>
        <w:t>、本报告期临时股东大会情况</w:t>
      </w:r>
      <w:bookmarkEnd w:id="398"/>
      <w:bookmarkEnd w:id="399"/>
      <w:bookmarkEnd w:id="401"/>
    </w:p>
    <w:tbl>
      <w:tblPr>
        <w:tblOverlap w:val="never"/>
        <w:jc w:val="center"/>
        <w:tblLayout w:type="fixed"/>
      </w:tblPr>
      <w:tblGrid>
        <w:gridCol w:w="2400"/>
        <w:gridCol w:w="2390"/>
        <w:gridCol w:w="2395"/>
        <w:gridCol w:w="2400"/>
      </w:tblGrid>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会议决议刊登的指定网站查 询索引</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会议决议刊登的信息披露日 期</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年第一次临时股东大会</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.com. cn/</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年第二次临时股东大会</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.com. cn/</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r>
      <w:tr>
        <w:trPr>
          <w:trHeight w:val="413" w:hRule="exact"/>
        </w:trPr>
        <w:tc>
          <w:tcPr>
            <w:tcBorders>
              <w:top w:val="single" w:sz="4"/>
              <w:left w:val="single" w:sz="4"/>
              <w:bottom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年第三次临时股东大会</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日</w:t>
            </w:r>
          </w:p>
        </w:tc>
        <w:tc>
          <w:tcPr>
            <w:tcBorders>
              <w:top w:val="single" w:sz="4"/>
              <w:left w:val="single" w:sz="4"/>
              <w:bottom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.com. cn/</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日</w:t>
            </w:r>
          </w:p>
        </w:tc>
      </w:tr>
    </w:tbl>
    <w:p>
      <w:pPr>
        <w:widowControl w:val="0"/>
        <w:spacing w:after="319" w:line="1" w:lineRule="exact"/>
      </w:pPr>
    </w:p>
    <w:p>
      <w:pPr>
        <w:pStyle w:val="Style25"/>
        <w:keepNext/>
        <w:keepLines/>
        <w:widowControl w:val="0"/>
        <w:shd w:val="clear" w:color="auto" w:fill="auto"/>
        <w:bidi w:val="0"/>
        <w:spacing w:before="0" w:line="240" w:lineRule="auto"/>
        <w:ind w:left="0" w:right="0" w:firstLine="0"/>
        <w:jc w:val="left"/>
      </w:pPr>
      <w:bookmarkStart w:id="402" w:name="bookmark402"/>
      <w:bookmarkStart w:id="403" w:name="bookmark403"/>
      <w:bookmarkStart w:id="404" w:name="bookmark404"/>
      <w:bookmarkStart w:id="405" w:name="bookmark405"/>
      <w:r>
        <w:rPr>
          <w:color w:val="000000"/>
          <w:spacing w:val="0"/>
          <w:w w:val="100"/>
          <w:position w:val="0"/>
        </w:rPr>
        <w:t>三</w:t>
      </w:r>
      <w:bookmarkEnd w:id="404"/>
      <w:r>
        <w:rPr>
          <w:color w:val="000000"/>
          <w:spacing w:val="0"/>
          <w:w w:val="100"/>
          <w:position w:val="0"/>
        </w:rPr>
        <w:t>、报告期董事会召开情况</w:t>
      </w:r>
      <w:bookmarkEnd w:id="402"/>
      <w:bookmarkEnd w:id="403"/>
      <w:bookmarkEnd w:id="405"/>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会议决议刊登的指定网站查 询索引</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会议决议刊登的信息披露日 期</w:t>
            </w:r>
          </w:p>
        </w:tc>
      </w:tr>
      <w:tr>
        <w:trPr>
          <w:trHeight w:val="398"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第二届董事会第五次会议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.com. cn/</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第二届董事会第六次会议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日</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.com. cn/</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日</w:t>
            </w:r>
          </w:p>
        </w:tc>
      </w:tr>
      <w:tr>
        <w:trPr>
          <w:trHeight w:val="413" w:hRule="exact"/>
        </w:trPr>
        <w:tc>
          <w:tcPr>
            <w:tcBorders>
              <w:top w:val="single" w:sz="4"/>
              <w:left w:val="single" w:sz="4"/>
              <w:bottom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第二届董事会第七次（临时）</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bottom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.com. cn/</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会议决议刊登的指定网站查 询索引</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会议决议刊登的信息披露日 期</w:t>
            </w:r>
          </w:p>
        </w:tc>
      </w:tr>
      <w:tr>
        <w:trPr>
          <w:trHeight w:val="365"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第二届董事会第八次会议（年</w:t>
            </w:r>
          </w:p>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度董事会）</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.com. cn/</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r>
      <w:tr>
        <w:trPr>
          <w:trHeight w:val="710"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7"/>
                <w:szCs w:val="17"/>
              </w:rPr>
              <w:t>第二届董事会第九次（临时） 会议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.com. cn/</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第二届董事会第十次会议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.com. cn/</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第二届董事会第十一次会议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.com. cn/</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r>
      <w:tr>
        <w:trPr>
          <w:trHeight w:val="715"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第二届董事会第十二次（临 时）会议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.com. cn/</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r>
      <w:tr>
        <w:trPr>
          <w:trHeight w:val="408" w:hRule="exact"/>
        </w:trPr>
        <w:tc>
          <w:tcPr>
            <w:tcBorders>
              <w:top w:val="single" w:sz="4"/>
              <w:left w:val="single" w:sz="4"/>
              <w:bottom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第二届董事会第十三次会议</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bottom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.com. cn/</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r>
    </w:tbl>
    <w:p>
      <w:pPr>
        <w:widowControl w:val="0"/>
        <w:spacing w:after="319" w:line="1" w:lineRule="exact"/>
      </w:pPr>
    </w:p>
    <w:p>
      <w:pPr>
        <w:pStyle w:val="Style25"/>
        <w:keepNext/>
        <w:keepLines/>
        <w:widowControl w:val="0"/>
        <w:shd w:val="clear" w:color="auto" w:fill="auto"/>
        <w:bidi w:val="0"/>
        <w:spacing w:before="0" w:after="260" w:line="240" w:lineRule="auto"/>
        <w:ind w:left="0" w:right="0" w:firstLine="0"/>
        <w:jc w:val="left"/>
      </w:pPr>
      <w:bookmarkStart w:id="406" w:name="bookmark406"/>
      <w:bookmarkStart w:id="407" w:name="bookmark407"/>
      <w:bookmarkStart w:id="408" w:name="bookmark408"/>
      <w:bookmarkStart w:id="409" w:name="bookmark409"/>
      <w:r>
        <w:rPr>
          <w:color w:val="000000"/>
          <w:spacing w:val="0"/>
          <w:w w:val="100"/>
          <w:position w:val="0"/>
        </w:rPr>
        <w:t>四</w:t>
      </w:r>
      <w:bookmarkEnd w:id="408"/>
      <w:r>
        <w:rPr>
          <w:color w:val="000000"/>
          <w:spacing w:val="0"/>
          <w:w w:val="100"/>
          <w:position w:val="0"/>
        </w:rPr>
        <w:t>、年度报告重大差错责任追究制度的建立与执行情况</w:t>
      </w:r>
      <w:bookmarkEnd w:id="406"/>
      <w:bookmarkEnd w:id="407"/>
      <w:bookmarkEnd w:id="409"/>
    </w:p>
    <w:p>
      <w:pPr>
        <w:pStyle w:val="Style35"/>
        <w:keepNext w:val="0"/>
        <w:keepLines w:val="0"/>
        <w:widowControl w:val="0"/>
        <w:shd w:val="clear" w:color="auto" w:fill="auto"/>
        <w:bidi w:val="0"/>
        <w:spacing w:before="0" w:after="720" w:line="312" w:lineRule="exact"/>
        <w:ind w:left="0" w:right="0" w:firstLine="500"/>
        <w:jc w:val="both"/>
      </w:pPr>
      <w:r>
        <w:rPr>
          <w:color w:val="000000"/>
          <w:spacing w:val="0"/>
          <w:w w:val="100"/>
          <w:position w:val="0"/>
        </w:rPr>
        <w:t>公司第一届董事会第十七次会议审议通过了关于制定《蓝盾信息安全技术股份有限公司年度报告信息 披露重大差错责任追究管理制度》的议案。公司年度报告严格按照相关规定编制，报告期未发生重大会计 差错更正、重大遗漏信息补充以及业绩预告修正等情况。</w:t>
      </w:r>
    </w:p>
    <w:p>
      <w:pPr>
        <w:pStyle w:val="Style25"/>
        <w:keepNext/>
        <w:keepLines/>
        <w:widowControl w:val="0"/>
        <w:shd w:val="clear" w:color="auto" w:fill="auto"/>
        <w:bidi w:val="0"/>
        <w:spacing w:before="0" w:after="260" w:line="240" w:lineRule="auto"/>
        <w:ind w:left="0" w:right="0" w:firstLine="0"/>
        <w:jc w:val="left"/>
      </w:pPr>
      <w:bookmarkStart w:id="410" w:name="bookmark410"/>
      <w:bookmarkStart w:id="411" w:name="bookmark411"/>
      <w:bookmarkStart w:id="412" w:name="bookmark412"/>
      <w:bookmarkStart w:id="413" w:name="bookmark413"/>
      <w:r>
        <w:rPr>
          <w:color w:val="000000"/>
          <w:spacing w:val="0"/>
          <w:w w:val="100"/>
          <w:position w:val="0"/>
        </w:rPr>
        <w:t>五</w:t>
      </w:r>
      <w:bookmarkEnd w:id="412"/>
      <w:r>
        <w:rPr>
          <w:color w:val="000000"/>
          <w:spacing w:val="0"/>
          <w:w w:val="100"/>
          <w:position w:val="0"/>
        </w:rPr>
        <w:t>、监事会工作情况</w:t>
      </w:r>
      <w:bookmarkEnd w:id="410"/>
      <w:bookmarkEnd w:id="411"/>
      <w:bookmarkEnd w:id="413"/>
    </w:p>
    <w:p>
      <w:pPr>
        <w:pStyle w:val="Style35"/>
        <w:keepNext w:val="0"/>
        <w:keepLines w:val="0"/>
        <w:widowControl w:val="0"/>
        <w:shd w:val="clear" w:color="auto" w:fill="auto"/>
        <w:bidi w:val="0"/>
        <w:spacing w:before="0" w:after="0" w:line="355" w:lineRule="exact"/>
        <w:ind w:left="0" w:right="0" w:firstLine="0"/>
        <w:jc w:val="left"/>
      </w:pPr>
      <w:r>
        <w:rPr>
          <w:color w:val="000000"/>
          <w:spacing w:val="0"/>
          <w:w w:val="100"/>
          <w:position w:val="0"/>
        </w:rPr>
        <w:t xml:space="preserve">监事会在报告期内的监督活动是否发现公司存在风险 </w:t>
      </w: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［否</w:t>
      </w:r>
    </w:p>
    <w:p>
      <w:pPr>
        <w:pStyle w:val="Style35"/>
        <w:keepNext w:val="0"/>
        <w:keepLines w:val="0"/>
        <w:widowControl w:val="0"/>
        <w:shd w:val="clear" w:color="auto" w:fill="auto"/>
        <w:bidi w:val="0"/>
        <w:spacing w:before="0" w:after="300" w:line="355" w:lineRule="exact"/>
        <w:ind w:left="0" w:right="0" w:firstLine="0"/>
        <w:jc w:val="left"/>
        <w:sectPr>
          <w:footnotePr>
            <w:pos w:val="pageBottom"/>
            <w:numFmt w:val="decimal"/>
            <w:numRestart w:val="continuous"/>
          </w:footnotePr>
          <w:pgSz w:w="11900" w:h="16840"/>
          <w:pgMar w:top="1407" w:right="1022" w:bottom="1561" w:left="1092" w:header="0" w:footer="3" w:gutter="0"/>
          <w:cols w:space="720"/>
          <w:noEndnote/>
          <w:rtlGutter w:val="0"/>
          <w:docGrid w:linePitch="360"/>
        </w:sectPr>
      </w:pPr>
      <w:r>
        <w:rPr>
          <w:color w:val="000000"/>
          <w:spacing w:val="0"/>
          <w:w w:val="100"/>
          <w:position w:val="0"/>
        </w:rPr>
        <w:t>公司监事会对报告期内的监督事项无异议。</w:t>
      </w:r>
    </w:p>
    <w:p>
      <w:pPr>
        <w:pStyle w:val="Style12"/>
        <w:keepNext/>
        <w:keepLines/>
        <w:widowControl w:val="0"/>
        <w:shd w:val="clear" w:color="auto" w:fill="auto"/>
        <w:bidi w:val="0"/>
        <w:spacing w:before="480" w:after="560" w:line="240" w:lineRule="auto"/>
        <w:ind w:left="0" w:right="0" w:firstLine="0"/>
        <w:jc w:val="center"/>
      </w:pPr>
      <w:bookmarkStart w:id="414" w:name="bookmark414"/>
      <w:bookmarkStart w:id="415" w:name="bookmark415"/>
      <w:bookmarkStart w:id="416" w:name="bookmark416"/>
      <w:r>
        <w:rPr>
          <w:color w:val="000000"/>
          <w:spacing w:val="0"/>
          <w:w w:val="100"/>
          <w:position w:val="0"/>
        </w:rPr>
        <w:t>第九节财务报告</w:t>
      </w:r>
      <w:bookmarkEnd w:id="414"/>
      <w:bookmarkEnd w:id="415"/>
      <w:bookmarkEnd w:id="416"/>
    </w:p>
    <w:p>
      <w:pPr>
        <w:pStyle w:val="Style25"/>
        <w:keepNext/>
        <w:keepLines/>
        <w:widowControl w:val="0"/>
        <w:shd w:val="clear" w:color="auto" w:fill="auto"/>
        <w:bidi w:val="0"/>
        <w:spacing w:before="0" w:after="300" w:line="240" w:lineRule="auto"/>
        <w:ind w:left="0" w:right="0" w:firstLine="260"/>
        <w:jc w:val="both"/>
      </w:pPr>
      <w:bookmarkStart w:id="417" w:name="bookmark417"/>
      <w:bookmarkStart w:id="418" w:name="bookmark418"/>
      <w:bookmarkStart w:id="419" w:name="bookmark419"/>
      <w:r>
        <w:rPr>
          <w:color w:val="000000"/>
          <w:spacing w:val="0"/>
          <w:w w:val="100"/>
          <w:position w:val="0"/>
        </w:rPr>
        <w:t>、审计报告</w:t>
      </w:r>
      <w:bookmarkEnd w:id="417"/>
      <w:bookmarkEnd w:id="418"/>
      <w:bookmarkEnd w:id="419"/>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审计意见类型</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标准无保留审计意见</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审计报告签署日期</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审计机构名称</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大华会计师事务所（特殊普通合伙）</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审计报告文号</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大华审字</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2014] </w:t>
            </w:r>
            <w:r>
              <w:rPr>
                <w:rFonts w:ascii="Times New Roman" w:eastAsia="Times New Roman" w:hAnsi="Times New Roman" w:cs="Times New Roman"/>
                <w:color w:val="000000"/>
                <w:spacing w:val="0"/>
                <w:w w:val="100"/>
                <w:position w:val="0"/>
                <w:sz w:val="18"/>
                <w:szCs w:val="18"/>
              </w:rPr>
              <w:t>004928</w:t>
            </w:r>
            <w:r>
              <w:rPr>
                <w:color w:val="000000"/>
                <w:spacing w:val="0"/>
                <w:w w:val="100"/>
                <w:position w:val="0"/>
                <w:sz w:val="17"/>
                <w:szCs w:val="17"/>
              </w:rPr>
              <w:t>号</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注册会计师姓名</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张晓辉、吴朝辉</w:t>
            </w:r>
          </w:p>
        </w:tc>
      </w:tr>
    </w:tbl>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审计报告正文</w:t>
      </w:r>
    </w:p>
    <w:p>
      <w:pPr>
        <w:pStyle w:val="Style35"/>
        <w:keepNext w:val="0"/>
        <w:keepLines w:val="0"/>
        <w:widowControl w:val="0"/>
        <w:shd w:val="clear" w:color="auto" w:fill="auto"/>
        <w:bidi w:val="0"/>
        <w:spacing w:before="0" w:after="0" w:line="360" w:lineRule="exact"/>
        <w:ind w:left="0" w:right="0" w:firstLine="0"/>
        <w:jc w:val="both"/>
      </w:pPr>
      <w:r>
        <w:rPr>
          <w:color w:val="000000"/>
          <w:spacing w:val="0"/>
          <w:w w:val="100"/>
          <w:position w:val="0"/>
        </w:rPr>
        <w:t>蓝盾信息安全技术股份有限公司全体股东：</w:t>
      </w:r>
    </w:p>
    <w:p>
      <w:pPr>
        <w:pStyle w:val="Style35"/>
        <w:keepNext w:val="0"/>
        <w:keepLines w:val="0"/>
        <w:widowControl w:val="0"/>
        <w:shd w:val="clear" w:color="auto" w:fill="auto"/>
        <w:bidi w:val="0"/>
        <w:spacing w:before="0" w:after="0" w:line="360" w:lineRule="exact"/>
        <w:ind w:left="0" w:right="0" w:firstLine="440"/>
        <w:jc w:val="both"/>
      </w:pPr>
      <w:r>
        <w:rPr>
          <w:color w:val="000000"/>
          <w:spacing w:val="0"/>
          <w:w w:val="100"/>
          <w:position w:val="0"/>
        </w:rPr>
        <w:t>我们审计了后附的蓝盾信息安全技术股份有限公司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以下简称蓝盾股份</w:t>
      </w:r>
      <w:r>
        <w:rPr>
          <w:rFonts w:ascii="Times New Roman" w:eastAsia="Times New Roman" w:hAnsi="Times New Roman" w:cs="Times New Roman"/>
          <w:color w:val="000000"/>
          <w:spacing w:val="0"/>
          <w:w w:val="100"/>
          <w:position w:val="0"/>
        </w:rPr>
        <w:t>）</w:t>
      </w:r>
      <w:r>
        <w:rPr>
          <w:color w:val="000000"/>
          <w:spacing w:val="0"/>
          <w:w w:val="100"/>
          <w:position w:val="0"/>
        </w:rPr>
        <w:t>财务报表，包括</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日的合并及母公司资产负债表，</w:t>
      </w:r>
      <w:r>
        <w:rPr>
          <w:rFonts w:ascii="Times New Roman" w:eastAsia="Times New Roman" w:hAnsi="Times New Roman" w:cs="Times New Roman"/>
          <w:color w:val="000000"/>
          <w:spacing w:val="0"/>
          <w:w w:val="100"/>
          <w:position w:val="0"/>
        </w:rPr>
        <w:t>2013</w:t>
      </w:r>
      <w:r>
        <w:rPr>
          <w:color w:val="000000"/>
          <w:spacing w:val="0"/>
          <w:w w:val="100"/>
          <w:position w:val="0"/>
        </w:rPr>
        <w:t>年度的合并及母公司利润表、合并及母公司现金流量表、合并及母公 司所有者权益变动表，以及财务报表附注。</w:t>
      </w:r>
    </w:p>
    <w:p>
      <w:pPr>
        <w:pStyle w:val="Style35"/>
        <w:keepNext w:val="0"/>
        <w:keepLines w:val="0"/>
        <w:widowControl w:val="0"/>
        <w:shd w:val="clear" w:color="auto" w:fill="auto"/>
        <w:tabs>
          <w:tab w:pos="909" w:val="left"/>
        </w:tabs>
        <w:bidi w:val="0"/>
        <w:spacing w:before="0" w:after="0" w:line="360" w:lineRule="exact"/>
        <w:ind w:left="0" w:right="0" w:firstLine="440"/>
        <w:jc w:val="both"/>
      </w:pPr>
      <w:bookmarkStart w:id="420" w:name="bookmark420"/>
      <w:r>
        <w:rPr>
          <w:color w:val="000000"/>
          <w:spacing w:val="0"/>
          <w:w w:val="100"/>
          <w:position w:val="0"/>
        </w:rPr>
        <w:t>一</w:t>
      </w:r>
      <w:bookmarkEnd w:id="420"/>
      <w:r>
        <w:rPr>
          <w:color w:val="000000"/>
          <w:spacing w:val="0"/>
          <w:w w:val="100"/>
          <w:position w:val="0"/>
        </w:rPr>
        <w:t>、</w:t>
        <w:tab/>
        <w:t>管理层对财务报表的责任</w:t>
      </w:r>
    </w:p>
    <w:p>
      <w:pPr>
        <w:pStyle w:val="Style35"/>
        <w:keepNext w:val="0"/>
        <w:keepLines w:val="0"/>
        <w:widowControl w:val="0"/>
        <w:shd w:val="clear" w:color="auto" w:fill="auto"/>
        <w:bidi w:val="0"/>
        <w:spacing w:before="0" w:after="0" w:line="360" w:lineRule="exact"/>
        <w:ind w:left="0" w:right="0" w:firstLine="440"/>
        <w:jc w:val="both"/>
      </w:pPr>
      <w:r>
        <w:rPr>
          <w:color w:val="000000"/>
          <w:spacing w:val="0"/>
          <w:w w:val="100"/>
          <w:position w:val="0"/>
        </w:rPr>
        <w:t>编制和公允列报财务报表是蓝盾股份管理层的责任，这种责任包括：（</w:t>
      </w:r>
      <w:r>
        <w:rPr>
          <w:rFonts w:ascii="Times New Roman" w:eastAsia="Times New Roman" w:hAnsi="Times New Roman" w:cs="Times New Roman"/>
          <w:color w:val="000000"/>
          <w:spacing w:val="0"/>
          <w:w w:val="100"/>
          <w:position w:val="0"/>
        </w:rPr>
        <w:t>1</w:t>
      </w:r>
      <w:r>
        <w:rPr>
          <w:color w:val="000000"/>
          <w:spacing w:val="0"/>
          <w:w w:val="100"/>
          <w:position w:val="0"/>
        </w:rPr>
        <w:t>）按照企业会计准则的规定 编制财务报表，并使其实现公允反映；（</w:t>
      </w:r>
      <w:r>
        <w:rPr>
          <w:rFonts w:ascii="Times New Roman" w:eastAsia="Times New Roman" w:hAnsi="Times New Roman" w:cs="Times New Roman"/>
          <w:color w:val="000000"/>
          <w:spacing w:val="0"/>
          <w:w w:val="100"/>
          <w:position w:val="0"/>
        </w:rPr>
        <w:t>2</w:t>
      </w:r>
      <w:r>
        <w:rPr>
          <w:color w:val="000000"/>
          <w:spacing w:val="0"/>
          <w:w w:val="100"/>
          <w:position w:val="0"/>
        </w:rPr>
        <w:t>）设计、执行和维护必要的内部控制，以使财务报表不存在由 于舞弊或错误导致的重大错报。</w:t>
      </w:r>
    </w:p>
    <w:p>
      <w:pPr>
        <w:pStyle w:val="Style35"/>
        <w:keepNext w:val="0"/>
        <w:keepLines w:val="0"/>
        <w:widowControl w:val="0"/>
        <w:shd w:val="clear" w:color="auto" w:fill="auto"/>
        <w:tabs>
          <w:tab w:pos="909" w:val="left"/>
        </w:tabs>
        <w:bidi w:val="0"/>
        <w:spacing w:before="0" w:after="0" w:line="360" w:lineRule="exact"/>
        <w:ind w:left="0" w:right="0" w:firstLine="440"/>
        <w:jc w:val="both"/>
      </w:pPr>
      <w:bookmarkStart w:id="421" w:name="bookmark421"/>
      <w:r>
        <w:rPr>
          <w:color w:val="000000"/>
          <w:spacing w:val="0"/>
          <w:w w:val="100"/>
          <w:position w:val="0"/>
        </w:rPr>
        <w:t>二</w:t>
      </w:r>
      <w:bookmarkEnd w:id="421"/>
      <w:r>
        <w:rPr>
          <w:color w:val="000000"/>
          <w:spacing w:val="0"/>
          <w:w w:val="100"/>
          <w:position w:val="0"/>
        </w:rPr>
        <w:t>、</w:t>
        <w:tab/>
        <w:t>注册会计师的责任</w:t>
      </w:r>
    </w:p>
    <w:p>
      <w:pPr>
        <w:pStyle w:val="Style35"/>
        <w:keepNext w:val="0"/>
        <w:keepLines w:val="0"/>
        <w:widowControl w:val="0"/>
        <w:shd w:val="clear" w:color="auto" w:fill="auto"/>
        <w:bidi w:val="0"/>
        <w:spacing w:before="0" w:after="0" w:line="360" w:lineRule="exact"/>
        <w:ind w:left="0" w:right="0" w:firstLine="440"/>
        <w:jc w:val="both"/>
      </w:pPr>
      <w:r>
        <w:rPr>
          <w:color w:val="000000"/>
          <w:spacing w:val="0"/>
          <w:w w:val="100"/>
          <w:position w:val="0"/>
        </w:rPr>
        <w:t>我们的责任是在执行审计工作的基础上对财务报表发表审计意见。我们按照中国注册会计师审计准则 的规定执行了审计工作。中国注册会计师审计准则要求我们遵守职业道德守则，计划和执行审计工作以对 财务报表是否不存在重大错报获取合理保证。</w:t>
      </w:r>
    </w:p>
    <w:p>
      <w:pPr>
        <w:pStyle w:val="Style35"/>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审计工作涉及实施审计程序，以获取有关财务报表金额和披露的审计证据。选择的审计程序取决于注 册会计师的判断，包括对由于舞弊或错误导致的财务报表重大错报风险的评估。在进行风险评估时，注册 会计师考虑与财务报表编制和公允列报相关的内部控制，以设计恰当的审计程序。审计工作还包括评价管 理层选用会计政策的恰当性和作出会计估计的合理性，以及评价财务报表的总体列报。</w:t>
      </w:r>
    </w:p>
    <w:p>
      <w:pPr>
        <w:pStyle w:val="Style35"/>
        <w:keepNext w:val="0"/>
        <w:keepLines w:val="0"/>
        <w:widowControl w:val="0"/>
        <w:shd w:val="clear" w:color="auto" w:fill="auto"/>
        <w:bidi w:val="0"/>
        <w:spacing w:before="0" w:after="0" w:line="360" w:lineRule="exact"/>
        <w:ind w:left="0" w:right="0" w:firstLine="440"/>
        <w:jc w:val="both"/>
      </w:pPr>
      <w:r>
        <w:rPr>
          <w:color w:val="000000"/>
          <w:spacing w:val="0"/>
          <w:w w:val="100"/>
          <w:position w:val="0"/>
        </w:rPr>
        <w:t>我们相信，我们获取的审计证据是充分、适当的，为发表审计意见提供了基础。</w:t>
      </w:r>
    </w:p>
    <w:p>
      <w:pPr>
        <w:pStyle w:val="Style35"/>
        <w:keepNext w:val="0"/>
        <w:keepLines w:val="0"/>
        <w:widowControl w:val="0"/>
        <w:shd w:val="clear" w:color="auto" w:fill="auto"/>
        <w:tabs>
          <w:tab w:pos="914" w:val="left"/>
        </w:tabs>
        <w:bidi w:val="0"/>
        <w:spacing w:before="0" w:after="0" w:line="360" w:lineRule="exact"/>
        <w:ind w:left="0" w:right="0" w:firstLine="440"/>
        <w:jc w:val="both"/>
      </w:pPr>
      <w:bookmarkStart w:id="422" w:name="bookmark422"/>
      <w:r>
        <w:rPr>
          <w:color w:val="000000"/>
          <w:spacing w:val="0"/>
          <w:w w:val="100"/>
          <w:position w:val="0"/>
        </w:rPr>
        <w:t>三</w:t>
      </w:r>
      <w:bookmarkEnd w:id="422"/>
      <w:r>
        <w:rPr>
          <w:color w:val="000000"/>
          <w:spacing w:val="0"/>
          <w:w w:val="100"/>
          <w:position w:val="0"/>
        </w:rPr>
        <w:t>、</w:t>
        <w:tab/>
        <w:t>审计意见</w:t>
      </w:r>
    </w:p>
    <w:p>
      <w:pPr>
        <w:pStyle w:val="Style35"/>
        <w:keepNext w:val="0"/>
        <w:keepLines w:val="0"/>
        <w:widowControl w:val="0"/>
        <w:shd w:val="clear" w:color="auto" w:fill="auto"/>
        <w:bidi w:val="0"/>
        <w:spacing w:before="0" w:after="380" w:line="360" w:lineRule="exact"/>
        <w:ind w:left="0" w:right="0" w:firstLine="440"/>
        <w:jc w:val="both"/>
      </w:pPr>
      <w:r>
        <w:rPr>
          <w:color w:val="000000"/>
          <w:spacing w:val="0"/>
          <w:w w:val="100"/>
          <w:position w:val="0"/>
        </w:rPr>
        <w:t xml:space="preserve">我们认为，蓝盾股份的财务报表在所有重大方面按照企业会计准则的规定编制，公允反映了蓝盾股份 </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rPr>
        <w:t>2013</w:t>
      </w:r>
      <w:r>
        <w:rPr>
          <w:color w:val="000000"/>
          <w:spacing w:val="0"/>
          <w:w w:val="100"/>
          <w:position w:val="0"/>
        </w:rPr>
        <w:t>年度的合并及母公司经营成果和现金流量。</w:t>
      </w:r>
    </w:p>
    <w:p>
      <w:pPr>
        <w:pStyle w:val="Style35"/>
        <w:keepNext w:val="0"/>
        <w:keepLines w:val="0"/>
        <w:widowControl w:val="0"/>
        <w:shd w:val="clear" w:color="auto" w:fill="auto"/>
        <w:tabs>
          <w:tab w:pos="5545" w:val="left"/>
        </w:tabs>
        <w:bidi w:val="0"/>
        <w:spacing w:before="0" w:after="60" w:line="240" w:lineRule="auto"/>
        <w:ind w:left="0" w:right="0" w:firstLine="340"/>
        <w:jc w:val="both"/>
      </w:pPr>
      <w:r>
        <w:rPr>
          <w:color w:val="000000"/>
          <w:spacing w:val="0"/>
          <w:w w:val="100"/>
          <w:position w:val="0"/>
        </w:rPr>
        <w:t>大华会计师事务所</w:t>
      </w:r>
      <w:r>
        <w:rPr>
          <w:rFonts w:ascii="Times New Roman" w:eastAsia="Times New Roman" w:hAnsi="Times New Roman" w:cs="Times New Roman"/>
          <w:color w:val="000000"/>
          <w:spacing w:val="0"/>
          <w:w w:val="100"/>
          <w:position w:val="0"/>
        </w:rPr>
        <w:t>（</w:t>
      </w:r>
      <w:r>
        <w:rPr>
          <w:color w:val="000000"/>
          <w:spacing w:val="0"/>
          <w:w w:val="100"/>
          <w:position w:val="0"/>
        </w:rPr>
        <w:t>特殊普通合伙</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中国注册会计师：张晓辉</w:t>
      </w:r>
    </w:p>
    <w:p>
      <w:pPr>
        <w:pStyle w:val="Style35"/>
        <w:keepNext w:val="0"/>
        <w:keepLines w:val="0"/>
        <w:widowControl w:val="0"/>
        <w:shd w:val="clear" w:color="auto" w:fill="auto"/>
        <w:tabs>
          <w:tab w:pos="5545" w:val="left"/>
        </w:tabs>
        <w:bidi w:val="0"/>
        <w:spacing w:before="0" w:after="60" w:line="240" w:lineRule="auto"/>
        <w:ind w:left="1280" w:right="0" w:firstLine="0"/>
        <w:jc w:val="both"/>
      </w:pP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北京</w:t>
        <w:tab/>
        <w:t>中国注册会计师：吴朝辉</w:t>
      </w:r>
    </w:p>
    <w:p>
      <w:pPr>
        <w:pStyle w:val="Style35"/>
        <w:keepNext w:val="0"/>
        <w:keepLines w:val="0"/>
        <w:widowControl w:val="0"/>
        <w:shd w:val="clear" w:color="auto" w:fill="auto"/>
        <w:bidi w:val="0"/>
        <w:spacing w:before="0" w:after="180" w:line="240" w:lineRule="auto"/>
        <w:ind w:left="0" w:right="1800" w:firstLine="0"/>
        <w:jc w:val="right"/>
      </w:pPr>
      <w:r>
        <w:rPr>
          <w:color w:val="000000"/>
          <w:spacing w:val="0"/>
          <w:w w:val="100"/>
          <w:position w:val="0"/>
        </w:rPr>
        <w:t>二。一四年四月二十三日</w:t>
      </w:r>
      <w:r>
        <w:br w:type="page"/>
      </w:r>
    </w:p>
    <w:p>
      <w:pPr>
        <w:pStyle w:val="Style25"/>
        <w:keepNext/>
        <w:keepLines/>
        <w:widowControl w:val="0"/>
        <w:shd w:val="clear" w:color="auto" w:fill="auto"/>
        <w:bidi w:val="0"/>
        <w:spacing w:before="0" w:after="380" w:line="240" w:lineRule="auto"/>
        <w:ind w:left="0" w:right="0" w:firstLine="0"/>
        <w:jc w:val="left"/>
      </w:pPr>
      <w:bookmarkStart w:id="423" w:name="bookmark423"/>
      <w:bookmarkStart w:id="424" w:name="bookmark424"/>
      <w:bookmarkStart w:id="425" w:name="bookmark425"/>
      <w:r>
        <w:rPr>
          <w:color w:val="000000"/>
          <w:spacing w:val="0"/>
          <w:w w:val="100"/>
          <w:position w:val="0"/>
        </w:rPr>
        <w:t>二、财务报表</w:t>
      </w:r>
      <w:bookmarkEnd w:id="423"/>
      <w:bookmarkEnd w:id="424"/>
      <w:bookmarkEnd w:id="425"/>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财务附注中报表的单位为：人民币元</w:t>
      </w:r>
    </w:p>
    <w:p>
      <w:pPr>
        <w:pStyle w:val="Style38"/>
        <w:keepNext/>
        <w:keepLines/>
        <w:widowControl w:val="0"/>
        <w:shd w:val="clear" w:color="auto" w:fill="auto"/>
        <w:bidi w:val="0"/>
        <w:spacing w:before="0" w:after="380" w:line="240" w:lineRule="auto"/>
        <w:ind w:left="0" w:right="0" w:firstLine="0"/>
        <w:jc w:val="left"/>
      </w:pPr>
      <w:bookmarkStart w:id="426" w:name="bookmark426"/>
      <w:bookmarkStart w:id="427" w:name="bookmark427"/>
      <w:bookmarkStart w:id="428" w:name="bookmark428"/>
      <w:bookmarkStart w:id="429" w:name="bookmark429"/>
      <w:r>
        <w:rPr>
          <w:rFonts w:ascii="Times New Roman" w:eastAsia="Times New Roman" w:hAnsi="Times New Roman" w:cs="Times New Roman"/>
          <w:color w:val="000000"/>
          <w:spacing w:val="0"/>
          <w:w w:val="100"/>
          <w:position w:val="0"/>
        </w:rPr>
        <w:t>1</w:t>
      </w:r>
      <w:bookmarkEnd w:id="428"/>
      <w:r>
        <w:rPr>
          <w:color w:val="000000"/>
          <w:spacing w:val="0"/>
          <w:w w:val="100"/>
          <w:position w:val="0"/>
        </w:rPr>
        <w:t>、合并资产负债表</w:t>
      </w:r>
      <w:bookmarkEnd w:id="426"/>
      <w:bookmarkEnd w:id="427"/>
      <w:bookmarkEnd w:id="429"/>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编制单位：蓝盾信息安全技术股份有限公司</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408,677,824.12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448,411,173.70</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204,929,839.53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160,272,515.94</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15,812,663.54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2,923,511.54</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13,089,034.12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7,987,464.09</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19,840,013.33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17,738,799.80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22,338.40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662,371,713.04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637,333,465.07</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发放委托贷款及垫款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固定资产</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165,171,233.73</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127,728,464.15</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3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114,319,458.69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83,382,822.30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61,606,271.02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32,954,470.65</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36,259,896.11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18,125,375.04</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5,574,345.75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5,187,291.70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3,867,990.64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4,367,798.87</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39,532,972.00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33,720,830.00</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426,332,167.94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305,467,052.71</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1,088,703,880.98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942,800,517.78</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162,900,000.00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100,000,000.00</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13,806,725.02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3,119,184.00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81,692,664.01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57,663,826.26</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22,697,527.02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14,640,567.90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9,201,296.47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3,295,900.37</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16,419,856.25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11,518,410.26</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应付利息</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473,586.65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336,508.34</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395,950.87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113,703.02</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代理承销证券款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p>
      <w:pPr>
        <w:widowControl w:val="0"/>
        <w:spacing w:line="1" w:lineRule="exact"/>
      </w:pPr>
      <w:r>
        <mc:AlternateContent>
          <mc:Choice Requires="wps">
            <w:drawing>
              <wp:anchor distT="152400" distB="0" distL="114300" distR="5146675" simplePos="0" relativeHeight="125829384" behindDoc="0" locked="0" layoutInCell="1" allowOverlap="1">
                <wp:simplePos x="0" y="0"/>
                <wp:positionH relativeFrom="page">
                  <wp:posOffset>713740</wp:posOffset>
                </wp:positionH>
                <wp:positionV relativeFrom="margin">
                  <wp:posOffset>7315200</wp:posOffset>
                </wp:positionV>
                <wp:extent cx="1054735" cy="149225"/>
                <wp:wrapTopAndBottom/>
                <wp:docPr id="37" name="Shape 37"/>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法定代表人：柯宗贵</w:t>
                            </w:r>
                          </w:p>
                        </w:txbxContent>
                      </wps:txbx>
                      <wps:bodyPr wrap="none" lIns="0" tIns="0" rIns="0" bIns="0">
                        <a:noAutoFit/>
                      </wps:bodyPr>
                    </wps:wsp>
                  </a:graphicData>
                </a:graphic>
              </wp:anchor>
            </w:drawing>
          </mc:Choice>
          <mc:Fallback>
            <w:pict>
              <v:shape id="_x0000_s1063" type="#_x0000_t202" style="position:absolute;margin-left:56.200000000000003pt;margin-top:576.pt;width:83.049999999999997pt;height:11.75pt;z-index:-125829369;mso-wrap-distance-left:9.pt;mso-wrap-distance-top:12.pt;mso-wrap-distance-right:405.25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法定代表人：柯宗贵</w:t>
                      </w:r>
                    </w:p>
                  </w:txbxContent>
                </v:textbox>
                <w10:wrap type="topAndBottom" anchorx="page" anchory="margin"/>
              </v:shape>
            </w:pict>
          </mc:Fallback>
        </mc:AlternateContent>
      </w:r>
      <w:r>
        <mc:AlternateContent>
          <mc:Choice Requires="wps">
            <w:drawing>
              <wp:anchor distT="152400" distB="3175" distL="2348230" distR="2458720" simplePos="0" relativeHeight="125829386" behindDoc="0" locked="0" layoutInCell="1" allowOverlap="1">
                <wp:simplePos x="0" y="0"/>
                <wp:positionH relativeFrom="page">
                  <wp:posOffset>2947670</wp:posOffset>
                </wp:positionH>
                <wp:positionV relativeFrom="margin">
                  <wp:posOffset>7315200</wp:posOffset>
                </wp:positionV>
                <wp:extent cx="1508760" cy="146050"/>
                <wp:wrapTopAndBottom/>
                <wp:docPr id="39" name="Shape 39"/>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主管会计工作负责人：魏树华</w:t>
                            </w:r>
                          </w:p>
                        </w:txbxContent>
                      </wps:txbx>
                      <wps:bodyPr wrap="none" lIns="0" tIns="0" rIns="0" bIns="0">
                        <a:noAutoFit/>
                      </wps:bodyPr>
                    </wps:wsp>
                  </a:graphicData>
                </a:graphic>
              </wp:anchor>
            </w:drawing>
          </mc:Choice>
          <mc:Fallback>
            <w:pict>
              <v:shape id="_x0000_s1065" type="#_x0000_t202" style="position:absolute;margin-left:232.09999999999999pt;margin-top:576.pt;width:118.8pt;height:11.5pt;z-index:-125829367;mso-wrap-distance-left:184.90000000000001pt;mso-wrap-distance-top:12.pt;mso-wrap-distance-right:193.59999999999999pt;mso-wrap-distance-bottom:0.25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主管会计工作负责人：魏树华</w:t>
                      </w:r>
                    </w:p>
                  </w:txbxContent>
                </v:textbox>
                <w10:wrap type="topAndBottom" anchorx="page" anchory="margin"/>
              </v:shape>
            </w:pict>
          </mc:Fallback>
        </mc:AlternateContent>
      </w:r>
      <w:r>
        <mc:AlternateContent>
          <mc:Choice Requires="wps">
            <w:drawing>
              <wp:anchor distT="152400" distB="0" distL="5030470" distR="114935" simplePos="0" relativeHeight="125829388" behindDoc="0" locked="0" layoutInCell="1" allowOverlap="1">
                <wp:simplePos x="0" y="0"/>
                <wp:positionH relativeFrom="page">
                  <wp:posOffset>5629910</wp:posOffset>
                </wp:positionH>
                <wp:positionV relativeFrom="margin">
                  <wp:posOffset>7315200</wp:posOffset>
                </wp:positionV>
                <wp:extent cx="1170305" cy="149225"/>
                <wp:wrapTopAndBottom/>
                <wp:docPr id="41" name="Shape 41"/>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会计机构负责人：景丽</w:t>
                            </w:r>
                          </w:p>
                        </w:txbxContent>
                      </wps:txbx>
                      <wps:bodyPr wrap="none" lIns="0" tIns="0" rIns="0" bIns="0">
                        <a:noAutoFit/>
                      </wps:bodyPr>
                    </wps:wsp>
                  </a:graphicData>
                </a:graphic>
              </wp:anchor>
            </w:drawing>
          </mc:Choice>
          <mc:Fallback>
            <w:pict>
              <v:shape id="_x0000_s1067" type="#_x0000_t202" style="position:absolute;margin-left:443.30000000000001pt;margin-top:576.pt;width:92.150000000000006pt;height:11.75pt;z-index:-125829365;mso-wrap-distance-left:396.10000000000002pt;mso-wrap-distance-top:12.pt;mso-wrap-distance-right:9.0500000000000007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会计机构负责人：景丽</w:t>
                      </w:r>
                    </w:p>
                  </w:txbxContent>
                </v:textbox>
                <w10:wrap type="topAndBottom" anchorx="page" anchory="margin"/>
              </v:shape>
            </w:pict>
          </mc:Fallback>
        </mc:AlternateConten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307,587,606.29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190,688,100.15</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70,000,000.00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80,000,000.00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26,240,000.00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15,330,000.00</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96,240,000.00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95,330,000.00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403,827,606.29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286,018,100.15</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实收资本（或股本）</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196,000,000.00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98,000,000.00</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312,243,231.67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410,243,231.67</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19,654,958.51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16,335,852.57</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152,967,510.19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130,203,333.39</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归属于母公司所有者权益合计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680,865,700.37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654,782,417.63</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4,010,574.32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所有者权益（或股东权益）合计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684,876,274.69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656,782,417.63</w:t>
            </w:r>
          </w:p>
        </w:tc>
      </w:tr>
      <w:tr>
        <w:trPr>
          <w:trHeight w:val="725"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负债和所有者权益（或股东权益）总 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1,088,703,880.98</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942,800,517.78</w:t>
            </w:r>
          </w:p>
        </w:tc>
      </w:tr>
    </w:tbl>
    <w:p>
      <w:pPr>
        <w:spacing w:lineRule="exact" w:line="1"/>
        <w:rPr>
          <w:sz w:val="2"/>
          <w:szCs w:val="2"/>
        </w:rPr>
      </w:pPr>
      <w:r>
        <w:br w:type="page"/>
      </w:r>
    </w:p>
    <w:p>
      <w:pPr>
        <w:pStyle w:val="Style38"/>
        <w:keepNext/>
        <w:keepLines/>
        <w:widowControl w:val="0"/>
        <w:shd w:val="clear" w:color="auto" w:fill="auto"/>
        <w:bidi w:val="0"/>
        <w:spacing w:before="0" w:after="400" w:line="240" w:lineRule="auto"/>
        <w:ind w:left="0" w:right="0" w:firstLine="0"/>
        <w:jc w:val="left"/>
      </w:pPr>
      <w:bookmarkStart w:id="430" w:name="bookmark430"/>
      <w:bookmarkStart w:id="431" w:name="bookmark431"/>
      <w:bookmarkStart w:id="432" w:name="bookmark432"/>
      <w:bookmarkStart w:id="433" w:name="bookmark433"/>
      <w:r>
        <w:rPr>
          <w:rFonts w:ascii="Times New Roman" w:eastAsia="Times New Roman" w:hAnsi="Times New Roman" w:cs="Times New Roman"/>
          <w:color w:val="000000"/>
          <w:spacing w:val="0"/>
          <w:w w:val="100"/>
          <w:position w:val="0"/>
        </w:rPr>
        <w:t>2</w:t>
      </w:r>
      <w:bookmarkEnd w:id="432"/>
      <w:r>
        <w:rPr>
          <w:color w:val="000000"/>
          <w:spacing w:val="0"/>
          <w:w w:val="100"/>
          <w:position w:val="0"/>
        </w:rPr>
        <w:t>、母公司资产负债表</w:t>
      </w:r>
      <w:bookmarkEnd w:id="430"/>
      <w:bookmarkEnd w:id="431"/>
      <w:bookmarkEnd w:id="433"/>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编制单位：蓝盾信息安全技术股份有限公司</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3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316,247,002.65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394,825,152.23</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185,823,471.44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150,415,447.61</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13,245,584.34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2,590,340.54</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9,437,430.88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7,814,245.84</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17,599,306.21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15,855,493.90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542,352,795.52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571,500,680.12</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126,000,000.00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69,000,000.00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150,398,132.45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114,540,086.07</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114,319,458.69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83,382,822.30</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57,394,531.08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30,832,722.18</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23,166,735.18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16,792,793.81</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4,284,529.11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5,187,291.70</w:t>
            </w:r>
          </w:p>
        </w:tc>
      </w:tr>
      <w:tr>
        <w:trPr>
          <w:trHeight w:val="40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递延所得税资产</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2,914,111.30</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4,182,357.58</w:t>
            </w: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37,725,830.00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33,720,830.00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516,203,327.81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357,638,903.64</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1,058,556,123.33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929,139,583.76</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162,900,000.00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13,806,725.02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3,119,184.00</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70,649,116.14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48,467,294.57</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15,913,419.56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14,328,567.90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4,523,019.00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2,912,045.66</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14,654,461.57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12,570,522.83</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应付利息</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473,586.65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336,508.34</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82,978.55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73,703.02</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283,003,306.49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181,807,826.32</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70,000,000.00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80,000,000.00</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26,240,000.00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15,330,000.00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96,240,000.00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95,330,000.00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379,243,306.49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277,137,826.32</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实收资本（或股本）</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196,000,000.00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98,000,000.00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312,243,231.67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410,243,231.67</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盈余公积</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19,654,958.51</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16,335,852.57</w:t>
            </w: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151,414,626.66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127,422,673.20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所有者权益（或股东权益）合计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679,312,816.84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652,001,757.44</w:t>
            </w:r>
          </w:p>
        </w:tc>
      </w:tr>
      <w:tr>
        <w:trPr>
          <w:trHeight w:val="725"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负债和所有者权益（或股东权益）总 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1,058,556,123.33</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929,139,583.76</w:t>
            </w:r>
          </w:p>
        </w:tc>
      </w:tr>
    </w:tbl>
    <w:p>
      <w:pPr>
        <w:pStyle w:val="Style38"/>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6675" simplePos="0" relativeHeight="125829390" behindDoc="0" locked="0" layoutInCell="1" allowOverlap="1">
                <wp:simplePos x="0" y="0"/>
                <wp:positionH relativeFrom="page">
                  <wp:posOffset>690880</wp:posOffset>
                </wp:positionH>
                <wp:positionV relativeFrom="margin">
                  <wp:posOffset>1953895</wp:posOffset>
                </wp:positionV>
                <wp:extent cx="1054735" cy="149225"/>
                <wp:wrapTopAndBottom/>
                <wp:docPr id="43" name="Shape 43"/>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法定代表人：柯宗贵</w:t>
                            </w:r>
                          </w:p>
                        </w:txbxContent>
                      </wps:txbx>
                      <wps:bodyPr wrap="none" lIns="0" tIns="0" rIns="0" bIns="0">
                        <a:noAutoFit/>
                      </wps:bodyPr>
                    </wps:wsp>
                  </a:graphicData>
                </a:graphic>
              </wp:anchor>
            </w:drawing>
          </mc:Choice>
          <mc:Fallback>
            <w:pict>
              <v:shape id="_x0000_s1069" type="#_x0000_t202" style="position:absolute;margin-left:54.399999999999999pt;margin-top:153.84999999999999pt;width:83.049999999999997pt;height:11.75pt;z-index:-125829363;mso-wrap-distance-left:9.pt;mso-wrap-distance-top:12.pt;mso-wrap-distance-right:405.25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法定代表人：柯宗贵</w:t>
                      </w:r>
                    </w:p>
                  </w:txbxContent>
                </v:textbox>
                <w10:wrap type="topAndBottom" anchorx="page" anchory="margin"/>
              </v:shape>
            </w:pict>
          </mc:Fallback>
        </mc:AlternateContent>
      </w:r>
      <w:r>
        <mc:AlternateContent>
          <mc:Choice Requires="wps">
            <w:drawing>
              <wp:anchor distT="152400" distB="3175" distL="2348230" distR="2458720" simplePos="0" relativeHeight="125829392" behindDoc="0" locked="0" layoutInCell="1" allowOverlap="1">
                <wp:simplePos x="0" y="0"/>
                <wp:positionH relativeFrom="page">
                  <wp:posOffset>2924810</wp:posOffset>
                </wp:positionH>
                <wp:positionV relativeFrom="margin">
                  <wp:posOffset>1953895</wp:posOffset>
                </wp:positionV>
                <wp:extent cx="1508760" cy="146050"/>
                <wp:wrapTopAndBottom/>
                <wp:docPr id="45" name="Shape 45"/>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主管会计工作负责人：魏树华</w:t>
                            </w:r>
                          </w:p>
                        </w:txbxContent>
                      </wps:txbx>
                      <wps:bodyPr wrap="none" lIns="0" tIns="0" rIns="0" bIns="0">
                        <a:noAutoFit/>
                      </wps:bodyPr>
                    </wps:wsp>
                  </a:graphicData>
                </a:graphic>
              </wp:anchor>
            </w:drawing>
          </mc:Choice>
          <mc:Fallback>
            <w:pict>
              <v:shape id="_x0000_s1071" type="#_x0000_t202" style="position:absolute;margin-left:230.30000000000001pt;margin-top:153.84999999999999pt;width:118.8pt;height:11.5pt;z-index:-125829361;mso-wrap-distance-left:184.90000000000001pt;mso-wrap-distance-top:12.pt;mso-wrap-distance-right:193.59999999999999pt;mso-wrap-distance-bottom:0.25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主管会计工作负责人：魏树华</w:t>
                      </w:r>
                    </w:p>
                  </w:txbxContent>
                </v:textbox>
                <w10:wrap type="topAndBottom" anchorx="page" anchory="margin"/>
              </v:shape>
            </w:pict>
          </mc:Fallback>
        </mc:AlternateContent>
      </w:r>
      <w:r>
        <mc:AlternateContent>
          <mc:Choice Requires="wps">
            <w:drawing>
              <wp:anchor distT="152400" distB="0" distL="5030470" distR="114935" simplePos="0" relativeHeight="125829394" behindDoc="0" locked="0" layoutInCell="1" allowOverlap="1">
                <wp:simplePos x="0" y="0"/>
                <wp:positionH relativeFrom="page">
                  <wp:posOffset>5607050</wp:posOffset>
                </wp:positionH>
                <wp:positionV relativeFrom="margin">
                  <wp:posOffset>1953895</wp:posOffset>
                </wp:positionV>
                <wp:extent cx="1170305" cy="149225"/>
                <wp:wrapTopAndBottom/>
                <wp:docPr id="47" name="Shape 47"/>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会计机构负责人：景丽</w:t>
                            </w:r>
                          </w:p>
                        </w:txbxContent>
                      </wps:txbx>
                      <wps:bodyPr wrap="none" lIns="0" tIns="0" rIns="0" bIns="0">
                        <a:noAutoFit/>
                      </wps:bodyPr>
                    </wps:wsp>
                  </a:graphicData>
                </a:graphic>
              </wp:anchor>
            </w:drawing>
          </mc:Choice>
          <mc:Fallback>
            <w:pict>
              <v:shape id="_x0000_s1073" type="#_x0000_t202" style="position:absolute;margin-left:441.5pt;margin-top:153.84999999999999pt;width:92.150000000000006pt;height:11.75pt;z-index:-125829359;mso-wrap-distance-left:396.10000000000002pt;mso-wrap-distance-top:12.pt;mso-wrap-distance-right:9.0500000000000007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会计机构负责人：景丽</w:t>
                      </w:r>
                    </w:p>
                  </w:txbxContent>
                </v:textbox>
                <w10:wrap type="topAndBottom" anchorx="page" anchory="margin"/>
              </v:shape>
            </w:pict>
          </mc:Fallback>
        </mc:AlternateContent>
      </w:r>
      <w:bookmarkStart w:id="434" w:name="bookmark434"/>
      <w:bookmarkStart w:id="435" w:name="bookmark435"/>
      <w:bookmarkStart w:id="436" w:name="bookmark436"/>
      <w:bookmarkStart w:id="437" w:name="bookmark437"/>
      <w:r>
        <w:rPr>
          <w:rFonts w:ascii="Times New Roman" w:eastAsia="Times New Roman" w:hAnsi="Times New Roman" w:cs="Times New Roman"/>
          <w:color w:val="000000"/>
          <w:spacing w:val="0"/>
          <w:w w:val="100"/>
          <w:position w:val="0"/>
        </w:rPr>
        <w:t>3</w:t>
      </w:r>
      <w:bookmarkEnd w:id="436"/>
      <w:r>
        <w:rPr>
          <w:color w:val="000000"/>
          <w:spacing w:val="0"/>
          <w:w w:val="100"/>
          <w:position w:val="0"/>
        </w:rPr>
        <w:t>、合并利润表</w:t>
      </w:r>
      <w:bookmarkEnd w:id="434"/>
      <w:bookmarkEnd w:id="435"/>
      <w:bookmarkEnd w:id="437"/>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编制单位：蓝盾信息安全技术股份有限公司</w:t>
      </w:r>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上期金额</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一、营业总收入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395,366,353.03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345,203,862.94</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其中：营业收入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395,366,353.03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345,203,862.94</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二、营业总成本</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383,918,773.13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294,268,714.08</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其中：营业成本</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249,656,361.15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192,196,870.75</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7"/>
                <w:szCs w:val="17"/>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7"/>
                <w:szCs w:val="17"/>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7"/>
                <w:szCs w:val="17"/>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7"/>
                <w:szCs w:val="17"/>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7"/>
                <w:szCs w:val="17"/>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7"/>
                <w:szCs w:val="17"/>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7"/>
                <w:szCs w:val="17"/>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7"/>
                <w:szCs w:val="17"/>
              </w:rPr>
              <w:t>营业税金及附加</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1,725,858.52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3,924,828.49</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28,597,482.04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31,272,929.26</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90,791,343.47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57,223,331.43</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7,074,660.22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3,318,338.82</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资产减值损失</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6,073,067.73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6,332,415.33</w:t>
            </w:r>
          </w:p>
        </w:tc>
      </w:tr>
      <w:tr>
        <w:trPr>
          <w:trHeight w:val="725"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p>
      <w:pPr>
        <w:widowControl w:val="0"/>
        <w:spacing w:line="1" w:lineRule="exact"/>
      </w:pPr>
      <w:r>
        <mc:AlternateContent>
          <mc:Choice Requires="wps">
            <w:drawing>
              <wp:anchor distT="139700" distB="0" distL="114300" distR="5146675" simplePos="0" relativeHeight="125829396" behindDoc="0" locked="0" layoutInCell="1" allowOverlap="1">
                <wp:simplePos x="0" y="0"/>
                <wp:positionH relativeFrom="page">
                  <wp:posOffset>713740</wp:posOffset>
                </wp:positionH>
                <wp:positionV relativeFrom="margin">
                  <wp:posOffset>6971030</wp:posOffset>
                </wp:positionV>
                <wp:extent cx="1054735" cy="149225"/>
                <wp:wrapTopAndBottom/>
                <wp:docPr id="49" name="Shape 49"/>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法定代表人：柯宗贵</w:t>
                            </w:r>
                          </w:p>
                        </w:txbxContent>
                      </wps:txbx>
                      <wps:bodyPr wrap="none" lIns="0" tIns="0" rIns="0" bIns="0">
                        <a:noAutoFit/>
                      </wps:bodyPr>
                    </wps:wsp>
                  </a:graphicData>
                </a:graphic>
              </wp:anchor>
            </w:drawing>
          </mc:Choice>
          <mc:Fallback>
            <w:pict>
              <v:shape id="_x0000_s1075" type="#_x0000_t202" style="position:absolute;margin-left:56.200000000000003pt;margin-top:548.89999999999998pt;width:83.049999999999997pt;height:11.75pt;z-index:-125829357;mso-wrap-distance-left:9.pt;mso-wrap-distance-top:11.pt;mso-wrap-distance-right:405.25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法定代表人：柯宗贵</w:t>
                      </w:r>
                    </w:p>
                  </w:txbxContent>
                </v:textbox>
                <w10:wrap type="topAndBottom" anchorx="page" anchory="margin"/>
              </v:shape>
            </w:pict>
          </mc:Fallback>
        </mc:AlternateContent>
      </w:r>
      <w:r>
        <mc:AlternateContent>
          <mc:Choice Requires="wps">
            <w:drawing>
              <wp:anchor distT="139700" distB="3175" distL="2348230" distR="2458720" simplePos="0" relativeHeight="125829398" behindDoc="0" locked="0" layoutInCell="1" allowOverlap="1">
                <wp:simplePos x="0" y="0"/>
                <wp:positionH relativeFrom="page">
                  <wp:posOffset>2947670</wp:posOffset>
                </wp:positionH>
                <wp:positionV relativeFrom="margin">
                  <wp:posOffset>6971030</wp:posOffset>
                </wp:positionV>
                <wp:extent cx="1508760" cy="146050"/>
                <wp:wrapTopAndBottom/>
                <wp:docPr id="51" name="Shape 51"/>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主管会计工作负责人：魏树华</w:t>
                            </w:r>
                          </w:p>
                        </w:txbxContent>
                      </wps:txbx>
                      <wps:bodyPr wrap="none" lIns="0" tIns="0" rIns="0" bIns="0">
                        <a:noAutoFit/>
                      </wps:bodyPr>
                    </wps:wsp>
                  </a:graphicData>
                </a:graphic>
              </wp:anchor>
            </w:drawing>
          </mc:Choice>
          <mc:Fallback>
            <w:pict>
              <v:shape id="_x0000_s1077" type="#_x0000_t202" style="position:absolute;margin-left:232.09999999999999pt;margin-top:548.89999999999998pt;width:118.8pt;height:11.5pt;z-index:-125829355;mso-wrap-distance-left:184.90000000000001pt;mso-wrap-distance-top:11.pt;mso-wrap-distance-right:193.59999999999999pt;mso-wrap-distance-bottom:0.25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主管会计工作负责人：魏树华</w:t>
                      </w:r>
                    </w:p>
                  </w:txbxContent>
                </v:textbox>
                <w10:wrap type="topAndBottom" anchorx="page" anchory="margin"/>
              </v:shape>
            </w:pict>
          </mc:Fallback>
        </mc:AlternateContent>
      </w:r>
      <w:r>
        <mc:AlternateContent>
          <mc:Choice Requires="wps">
            <w:drawing>
              <wp:anchor distT="139700" distB="0" distL="5030470" distR="114935" simplePos="0" relativeHeight="125829400" behindDoc="0" locked="0" layoutInCell="1" allowOverlap="1">
                <wp:simplePos x="0" y="0"/>
                <wp:positionH relativeFrom="page">
                  <wp:posOffset>5629910</wp:posOffset>
                </wp:positionH>
                <wp:positionV relativeFrom="margin">
                  <wp:posOffset>6971030</wp:posOffset>
                </wp:positionV>
                <wp:extent cx="1170305" cy="149225"/>
                <wp:wrapTopAndBottom/>
                <wp:docPr id="53" name="Shape 53"/>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会计机构负责人：景丽</w:t>
                            </w:r>
                          </w:p>
                        </w:txbxContent>
                      </wps:txbx>
                      <wps:bodyPr wrap="none" lIns="0" tIns="0" rIns="0" bIns="0">
                        <a:noAutoFit/>
                      </wps:bodyPr>
                    </wps:wsp>
                  </a:graphicData>
                </a:graphic>
              </wp:anchor>
            </w:drawing>
          </mc:Choice>
          <mc:Fallback>
            <w:pict>
              <v:shape id="_x0000_s1079" type="#_x0000_t202" style="position:absolute;margin-left:443.30000000000001pt;margin-top:548.89999999999998pt;width:92.150000000000006pt;height:11.75pt;z-index:-125829353;mso-wrap-distance-left:396.10000000000002pt;mso-wrap-distance-top:11.pt;mso-wrap-distance-right:9.0500000000000007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会计机构负责人：景丽</w:t>
                      </w:r>
                    </w:p>
                  </w:txbxContent>
                </v:textbox>
                <w10:wrap type="topAndBottom" anchorx="page" anchory="margin"/>
              </v:shape>
            </w:pict>
          </mc:Fallback>
        </mc:AlternateConten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上期金额</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940"/>
              <w:jc w:val="left"/>
              <w:rPr>
                <w:sz w:val="17"/>
                <w:szCs w:val="17"/>
              </w:rPr>
            </w:pPr>
            <w:r>
              <w:rPr>
                <w:color w:val="000000"/>
                <w:spacing w:val="0"/>
                <w:w w:val="100"/>
                <w:position w:val="0"/>
                <w:sz w:val="17"/>
                <w:szCs w:val="17"/>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940"/>
              <w:jc w:val="left"/>
              <w:rPr>
                <w:sz w:val="17"/>
                <w:szCs w:val="17"/>
              </w:rPr>
            </w:pPr>
            <w:r>
              <w:rPr>
                <w:color w:val="000000"/>
                <w:spacing w:val="0"/>
                <w:w w:val="100"/>
                <w:position w:val="0"/>
                <w:sz w:val="17"/>
                <w:szCs w:val="17"/>
              </w:rPr>
              <w:t>其中：对联营企业和合营</w:t>
            </w:r>
          </w:p>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940"/>
              <w:jc w:val="left"/>
              <w:rPr>
                <w:sz w:val="17"/>
                <w:szCs w:val="17"/>
              </w:rPr>
            </w:pPr>
            <w:r>
              <w:rPr>
                <w:color w:val="000000"/>
                <w:spacing w:val="0"/>
                <w:w w:val="100"/>
                <w:position w:val="0"/>
                <w:sz w:val="17"/>
                <w:szCs w:val="17"/>
              </w:rPr>
              <w:t>汇兑收益（损失以号填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11,447,579.90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50,935,148.86</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27,634,930.50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16,912,944.60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2,866,960.17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58,668.58</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940"/>
              <w:jc w:val="left"/>
              <w:rPr>
                <w:sz w:val="17"/>
                <w:szCs w:val="17"/>
              </w:rPr>
            </w:pPr>
            <w:r>
              <w:rPr>
                <w:color w:val="000000"/>
                <w:spacing w:val="0"/>
                <w:w w:val="100"/>
                <w:position w:val="0"/>
                <w:sz w:val="17"/>
                <w:szCs w:val="17"/>
              </w:rPr>
              <w:t>其中：非流动资产处置损 失</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2,363,337.31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2,320.55</w:t>
            </w:r>
          </w:p>
        </w:tc>
      </w:tr>
      <w:tr>
        <w:trPr>
          <w:trHeight w:val="71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36,215,550.23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67,789,424.88</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4,241,693.17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9,698,650.75</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31,973,857.06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58,090,774.13</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380"/>
              <w:jc w:val="left"/>
              <w:rPr>
                <w:sz w:val="17"/>
                <w:szCs w:val="17"/>
              </w:rPr>
            </w:pPr>
            <w:r>
              <w:rPr>
                <w:color w:val="000000"/>
                <w:spacing w:val="0"/>
                <w:w w:val="100"/>
                <w:position w:val="0"/>
                <w:sz w:val="17"/>
                <w:szCs w:val="17"/>
              </w:rPr>
              <w:t>其中：被合并方在合并前实现的 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归属于母公司所有者的净利润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31,963,282.74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58,090,774.13</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少数股东损益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10,574.32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六、每股收益：</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0.32</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（二）稀释每股收益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0.32</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七、其他综合收益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八、综合收益总额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31,973,857.06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58,090,774.13</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380"/>
              <w:jc w:val="left"/>
              <w:rPr>
                <w:sz w:val="17"/>
                <w:szCs w:val="17"/>
              </w:rPr>
            </w:pPr>
            <w:r>
              <w:rPr>
                <w:color w:val="000000"/>
                <w:spacing w:val="0"/>
                <w:w w:val="100"/>
                <w:position w:val="0"/>
                <w:sz w:val="17"/>
                <w:szCs w:val="17"/>
              </w:rPr>
              <w:t>归属于母公司所有者的综合收益 总额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31,963,282.74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58,090,774.13</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归属于少数股东的综合收益总额</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10,574.32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8"/>
        <w:keepNext/>
        <w:keepLines/>
        <w:widowControl w:val="0"/>
        <w:shd w:val="clear" w:color="auto" w:fill="auto"/>
        <w:bidi w:val="0"/>
        <w:spacing w:before="0" w:after="400" w:line="240" w:lineRule="auto"/>
        <w:ind w:left="0" w:right="0" w:firstLine="0"/>
        <w:jc w:val="left"/>
      </w:pPr>
      <w:bookmarkStart w:id="438" w:name="bookmark438"/>
      <w:bookmarkStart w:id="439" w:name="bookmark439"/>
      <w:bookmarkStart w:id="440" w:name="bookmark440"/>
      <w:bookmarkStart w:id="441" w:name="bookmark441"/>
      <w:r>
        <w:rPr>
          <w:rFonts w:ascii="Times New Roman" w:eastAsia="Times New Roman" w:hAnsi="Times New Roman" w:cs="Times New Roman"/>
          <w:color w:val="000000"/>
          <w:spacing w:val="0"/>
          <w:w w:val="100"/>
          <w:position w:val="0"/>
        </w:rPr>
        <w:t>4</w:t>
      </w:r>
      <w:bookmarkEnd w:id="440"/>
      <w:r>
        <w:rPr>
          <w:color w:val="000000"/>
          <w:spacing w:val="0"/>
          <w:w w:val="100"/>
          <w:position w:val="0"/>
        </w:rPr>
        <w:t>、母公司利润表</w:t>
      </w:r>
      <w:bookmarkEnd w:id="438"/>
      <w:bookmarkEnd w:id="439"/>
      <w:bookmarkEnd w:id="441"/>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编制单位：蓝盾信息安全技术股份有限公司</w:t>
      </w:r>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p>
      <w:pPr>
        <w:widowControl w:val="0"/>
        <w:spacing w:line="1" w:lineRule="exact"/>
      </w:pPr>
      <w:r>
        <mc:AlternateContent>
          <mc:Choice Requires="wps">
            <w:drawing>
              <wp:anchor distT="139700" distB="0" distL="0" distR="0" simplePos="0" relativeHeight="125829402" behindDoc="0" locked="0" layoutInCell="1" allowOverlap="1">
                <wp:simplePos x="0" y="0"/>
                <wp:positionH relativeFrom="page">
                  <wp:posOffset>686435</wp:posOffset>
                </wp:positionH>
                <wp:positionV relativeFrom="paragraph">
                  <wp:posOffset>139700</wp:posOffset>
                </wp:positionV>
                <wp:extent cx="1054735" cy="149225"/>
                <wp:wrapTopAndBottom/>
                <wp:docPr id="55" name="Shape 55"/>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法定代表人：柯宗贵</w:t>
                            </w:r>
                          </w:p>
                        </w:txbxContent>
                      </wps:txbx>
                      <wps:bodyPr wrap="none" lIns="0" tIns="0" rIns="0" bIns="0">
                        <a:noAutoFit/>
                      </wps:bodyPr>
                    </wps:wsp>
                  </a:graphicData>
                </a:graphic>
              </wp:anchor>
            </w:drawing>
          </mc:Choice>
          <mc:Fallback>
            <w:pict>
              <v:shape id="_x0000_s1081" type="#_x0000_t202" style="position:absolute;margin-left:54.050000000000004pt;margin-top:11.pt;width:83.049999999999997pt;height:11.75pt;z-index:-125829351;mso-wrap-distance-left:0;mso-wrap-distance-top:11.pt;mso-wrap-distance-right:0;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法定代表人：柯宗贵</w:t>
                      </w:r>
                    </w:p>
                  </w:txbxContent>
                </v:textbox>
                <w10:wrap type="topAndBottom" anchorx="page"/>
              </v:shape>
            </w:pict>
          </mc:Fallback>
        </mc:AlternateContent>
      </w:r>
      <w:r>
        <mc:AlternateContent>
          <mc:Choice Requires="wps">
            <w:drawing>
              <wp:anchor distT="139700" distB="3175" distL="0" distR="0" simplePos="0" relativeHeight="125829404" behindDoc="0" locked="0" layoutInCell="1" allowOverlap="1">
                <wp:simplePos x="0" y="0"/>
                <wp:positionH relativeFrom="page">
                  <wp:posOffset>2920365</wp:posOffset>
                </wp:positionH>
                <wp:positionV relativeFrom="paragraph">
                  <wp:posOffset>139700</wp:posOffset>
                </wp:positionV>
                <wp:extent cx="1508760" cy="146050"/>
                <wp:wrapTopAndBottom/>
                <wp:docPr id="57" name="Shape 57"/>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主管会计工作负责人：魏树华</w:t>
                            </w:r>
                          </w:p>
                        </w:txbxContent>
                      </wps:txbx>
                      <wps:bodyPr wrap="none" lIns="0" tIns="0" rIns="0" bIns="0">
                        <a:noAutoFit/>
                      </wps:bodyPr>
                    </wps:wsp>
                  </a:graphicData>
                </a:graphic>
              </wp:anchor>
            </w:drawing>
          </mc:Choice>
          <mc:Fallback>
            <w:pict>
              <v:shape id="_x0000_s1083" type="#_x0000_t202" style="position:absolute;margin-left:229.95000000000002pt;margin-top:11.pt;width:118.8pt;height:11.5pt;z-index:-125829349;mso-wrap-distance-left:0;mso-wrap-distance-top:11.pt;mso-wrap-distance-right:0;mso-wrap-distance-bottom:0.25pt;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主管会计工作负责人：魏树华</w:t>
                      </w:r>
                    </w:p>
                  </w:txbxContent>
                </v:textbox>
                <w10:wrap type="topAndBottom" anchorx="page"/>
              </v:shape>
            </w:pict>
          </mc:Fallback>
        </mc:AlternateContent>
      </w:r>
      <w:r>
        <mc:AlternateContent>
          <mc:Choice Requires="wps">
            <w:drawing>
              <wp:anchor distT="139700" distB="0" distL="0" distR="0" simplePos="0" relativeHeight="125829406" behindDoc="0" locked="0" layoutInCell="1" allowOverlap="1">
                <wp:simplePos x="0" y="0"/>
                <wp:positionH relativeFrom="page">
                  <wp:posOffset>5602605</wp:posOffset>
                </wp:positionH>
                <wp:positionV relativeFrom="paragraph">
                  <wp:posOffset>139700</wp:posOffset>
                </wp:positionV>
                <wp:extent cx="1170305" cy="149225"/>
                <wp:wrapTopAndBottom/>
                <wp:docPr id="59" name="Shape 59"/>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会计机构负责人：景丽</w:t>
                            </w:r>
                          </w:p>
                        </w:txbxContent>
                      </wps:txbx>
                      <wps:bodyPr wrap="none" lIns="0" tIns="0" rIns="0" bIns="0">
                        <a:noAutoFit/>
                      </wps:bodyPr>
                    </wps:wsp>
                  </a:graphicData>
                </a:graphic>
              </wp:anchor>
            </w:drawing>
          </mc:Choice>
          <mc:Fallback>
            <w:pict>
              <v:shape id="_x0000_s1085" type="#_x0000_t202" style="position:absolute;margin-left:441.15000000000003pt;margin-top:11.pt;width:92.150000000000006pt;height:11.75pt;z-index:-125829347;mso-wrap-distance-left:0;mso-wrap-distance-top:11.pt;mso-wrap-distance-right:0;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会计机构负责人：景丽</w:t>
                      </w:r>
                    </w:p>
                  </w:txbxContent>
                </v:textbox>
                <w10:wrap type="topAndBottom" anchorx="page"/>
              </v:shape>
            </w:pict>
          </mc:Fallback>
        </mc:AlternateConten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上期金额</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一、营业收入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352,618,919.03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321,095,073.73</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减：营业成本</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232,508,060.04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176,251,701.06</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营业税金及附加</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1,358,471.66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3,636,032.44</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19,533,133.61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29,844,726.56</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73,529,625.19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54,821,796.83</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7,268,745.00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3,527,685.64</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资产减值损失</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5,289,227.03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5,804,505.51</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740"/>
              <w:jc w:val="both"/>
              <w:rPr>
                <w:sz w:val="17"/>
                <w:szCs w:val="17"/>
              </w:rPr>
            </w:pPr>
            <w:r>
              <w:rPr>
                <w:color w:val="000000"/>
                <w:spacing w:val="0"/>
                <w:w w:val="100"/>
                <w:position w:val="0"/>
                <w:sz w:val="17"/>
                <w:szCs w:val="17"/>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20" w:line="240" w:lineRule="auto"/>
              <w:ind w:left="0" w:right="0" w:firstLine="740"/>
              <w:jc w:val="both"/>
              <w:rPr>
                <w:sz w:val="17"/>
                <w:szCs w:val="17"/>
              </w:rPr>
            </w:pPr>
            <w:r>
              <w:rPr>
                <w:color w:val="000000"/>
                <w:spacing w:val="0"/>
                <w:w w:val="100"/>
                <w:position w:val="0"/>
                <w:sz w:val="17"/>
                <w:szCs w:val="17"/>
              </w:rPr>
              <w:t>其中：对联营企业和合营企</w:t>
            </w:r>
          </w:p>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13,131,656.50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47,208,625.69</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27,627,080.50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16,912,944.60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2,739,797.18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58,668.58</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其中：非流动资产处置损失</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2,286,542.54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2,320.55</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38,018,939.82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64,062,901.71</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4,827,880.42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8,752,787.77</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color w:val="000000"/>
                <w:spacing w:val="0"/>
                <w:w w:val="100"/>
                <w:position w:val="0"/>
                <w:sz w:val="17"/>
                <w:szCs w:val="17"/>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33,191,059.40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55,310,113.94</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五、每股收益：</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（二）稀释每股收益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七、综合收益总额</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33,191,059.40</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55,310,113.94</w:t>
            </w:r>
          </w:p>
        </w:tc>
      </w:tr>
    </w:tbl>
    <w:p>
      <w:pPr>
        <w:spacing w:lineRule="exact" w:line="1"/>
        <w:rPr>
          <w:sz w:val="2"/>
          <w:szCs w:val="2"/>
        </w:rPr>
      </w:pPr>
      <w:r>
        <w:br w:type="page"/>
      </w:r>
    </w:p>
    <w:p>
      <w:pPr>
        <w:pStyle w:val="Style38"/>
        <w:keepNext/>
        <w:keepLines/>
        <w:widowControl w:val="0"/>
        <w:shd w:val="clear" w:color="auto" w:fill="auto"/>
        <w:bidi w:val="0"/>
        <w:spacing w:before="0" w:after="380" w:line="240" w:lineRule="auto"/>
        <w:ind w:left="0" w:right="0" w:firstLine="0"/>
        <w:jc w:val="left"/>
      </w:pPr>
      <w:bookmarkStart w:id="442" w:name="bookmark442"/>
      <w:bookmarkStart w:id="443" w:name="bookmark443"/>
      <w:bookmarkStart w:id="444" w:name="bookmark444"/>
      <w:bookmarkStart w:id="445" w:name="bookmark445"/>
      <w:r>
        <w:rPr>
          <w:rFonts w:ascii="Times New Roman" w:eastAsia="Times New Roman" w:hAnsi="Times New Roman" w:cs="Times New Roman"/>
          <w:color w:val="000000"/>
          <w:spacing w:val="0"/>
          <w:w w:val="100"/>
          <w:position w:val="0"/>
        </w:rPr>
        <w:t>5</w:t>
      </w:r>
      <w:bookmarkEnd w:id="444"/>
      <w:r>
        <w:rPr>
          <w:color w:val="000000"/>
          <w:spacing w:val="0"/>
          <w:w w:val="100"/>
          <w:position w:val="0"/>
        </w:rPr>
        <w:t>、合并现金流量表</w:t>
      </w:r>
      <w:bookmarkEnd w:id="442"/>
      <w:bookmarkEnd w:id="443"/>
      <w:bookmarkEnd w:id="445"/>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编制单位：蓝盾信息安全技术股份有限公司</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上期金额</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414,862,126.39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298,902,701.13</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380"/>
              <w:jc w:val="both"/>
              <w:rPr>
                <w:sz w:val="17"/>
                <w:szCs w:val="17"/>
              </w:rPr>
            </w:pPr>
            <w:r>
              <w:rPr>
                <w:color w:val="000000"/>
                <w:spacing w:val="0"/>
                <w:w w:val="100"/>
                <w:position w:val="0"/>
                <w:sz w:val="17"/>
                <w:szCs w:val="17"/>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处置交易性金融资产净增加额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3,398,650.70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5,980,658.07</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25,327,352.92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18,499,553.60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443,588,130.01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323,382,912.80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264,445,487.52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165,448,307.91</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380"/>
              <w:jc w:val="both"/>
              <w:rPr>
                <w:sz w:val="17"/>
                <w:szCs w:val="17"/>
              </w:rPr>
            </w:pPr>
            <w:r>
              <w:rPr>
                <w:color w:val="000000"/>
                <w:spacing w:val="0"/>
                <w:w w:val="100"/>
                <w:position w:val="0"/>
                <w:sz w:val="17"/>
                <w:szCs w:val="17"/>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380"/>
              <w:jc w:val="both"/>
              <w:rPr>
                <w:sz w:val="17"/>
                <w:szCs w:val="17"/>
              </w:rPr>
            </w:pPr>
            <w:r>
              <w:rPr>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43,348,587.65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34,480,445.31</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23,533,006.87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27,322,178.87</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62,323,207.98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60,659,453.88</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393,650,290.02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287,910,385.97</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49,937,839.99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35,472,526.83</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二、投资活动产生的现金流量：</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上期金额</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取得投资收益所收到的现金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380"/>
              <w:jc w:val="both"/>
              <w:rPr>
                <w:sz w:val="17"/>
                <w:szCs w:val="17"/>
              </w:rPr>
            </w:pPr>
            <w:r>
              <w:rPr>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收到其他与投资活动有关的现金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380"/>
              <w:jc w:val="both"/>
              <w:rPr>
                <w:sz w:val="17"/>
                <w:szCs w:val="17"/>
              </w:rPr>
            </w:pPr>
            <w:r>
              <w:rPr>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140,343,346.41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198,181,365.89</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140,343,346.41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198,181,365.89</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-124,943,346.41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-198,181,365.89</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362,060,000.00</w:t>
            </w:r>
          </w:p>
        </w:tc>
      </w:tr>
      <w:tr>
        <w:trPr>
          <w:trHeight w:val="71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380"/>
              <w:jc w:val="both"/>
              <w:rPr>
                <w:sz w:val="17"/>
                <w:szCs w:val="17"/>
              </w:rPr>
            </w:pPr>
            <w:r>
              <w:rPr>
                <w:color w:val="000000"/>
                <w:spacing w:val="0"/>
                <w:w w:val="100"/>
                <w:position w:val="0"/>
                <w:sz w:val="17"/>
                <w:szCs w:val="17"/>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242,900,000.00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180,000,000.00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收到其他与筹资活动有关的现金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3,424,366.52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563,610.77</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246,324,366.52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542,623,610.77</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190,000,000.00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92,500,000.00</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18,227,833.33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10,946,548.82</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380"/>
              <w:jc w:val="both"/>
              <w:rPr>
                <w:sz w:val="17"/>
                <w:szCs w:val="17"/>
              </w:rPr>
            </w:pPr>
            <w:r>
              <w:rPr>
                <w:color w:val="000000"/>
                <w:spacing w:val="0"/>
                <w:w w:val="100"/>
                <w:position w:val="0"/>
                <w:sz w:val="17"/>
                <w:szCs w:val="17"/>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6,804,423.77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3,998,500.00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215,032,257.10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107,445,048.82</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31,292,109.42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435,178,561.95</w:t>
            </w:r>
          </w:p>
        </w:tc>
      </w:tr>
      <w:tr>
        <w:trPr>
          <w:trHeight w:val="725"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四、汇率变动对现金及现金等价物的 影响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上期金额</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-43,713,397.00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272,469,722.89</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440,530,790.07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168,061,067.18</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396,817,393.07</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440,530,790.07</w:t>
            </w:r>
          </w:p>
        </w:tc>
      </w:tr>
    </w:tbl>
    <w:p>
      <w:pPr>
        <w:pStyle w:val="Style38"/>
        <w:keepNext/>
        <w:keepLines/>
        <w:widowControl w:val="0"/>
        <w:shd w:val="clear" w:color="auto" w:fill="auto"/>
        <w:bidi w:val="0"/>
        <w:spacing w:before="0" w:after="380" w:line="240" w:lineRule="auto"/>
        <w:ind w:left="0" w:right="0" w:firstLine="0"/>
        <w:jc w:val="left"/>
      </w:pPr>
      <w:r>
        <mc:AlternateContent>
          <mc:Choice Requires="wps">
            <w:drawing>
              <wp:anchor distT="139700" distB="0" distL="114300" distR="5146675" simplePos="0" relativeHeight="125829408" behindDoc="0" locked="0" layoutInCell="1" allowOverlap="1">
                <wp:simplePos x="0" y="0"/>
                <wp:positionH relativeFrom="page">
                  <wp:posOffset>690880</wp:posOffset>
                </wp:positionH>
                <wp:positionV relativeFrom="margin">
                  <wp:posOffset>1243330</wp:posOffset>
                </wp:positionV>
                <wp:extent cx="1054735" cy="149225"/>
                <wp:wrapTopAndBottom/>
                <wp:docPr id="61" name="Shape 61"/>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法定代表人：柯宗贵</w:t>
                            </w:r>
                          </w:p>
                        </w:txbxContent>
                      </wps:txbx>
                      <wps:bodyPr wrap="none" lIns="0" tIns="0" rIns="0" bIns="0">
                        <a:noAutoFit/>
                      </wps:bodyPr>
                    </wps:wsp>
                  </a:graphicData>
                </a:graphic>
              </wp:anchor>
            </w:drawing>
          </mc:Choice>
          <mc:Fallback>
            <w:pict>
              <v:shape id="_x0000_s1087" type="#_x0000_t202" style="position:absolute;margin-left:54.399999999999999pt;margin-top:97.900000000000006pt;width:83.049999999999997pt;height:11.75pt;z-index:-125829345;mso-wrap-distance-left:9.pt;mso-wrap-distance-top:11.pt;mso-wrap-distance-right:405.25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法定代表人：柯宗贵</w:t>
                      </w:r>
                    </w:p>
                  </w:txbxContent>
                </v:textbox>
                <w10:wrap type="topAndBottom" anchorx="page" anchory="margin"/>
              </v:shape>
            </w:pict>
          </mc:Fallback>
        </mc:AlternateContent>
      </w:r>
      <w:r>
        <mc:AlternateContent>
          <mc:Choice Requires="wps">
            <w:drawing>
              <wp:anchor distT="139700" distB="3175" distL="2348230" distR="2458720" simplePos="0" relativeHeight="125829410" behindDoc="0" locked="0" layoutInCell="1" allowOverlap="1">
                <wp:simplePos x="0" y="0"/>
                <wp:positionH relativeFrom="page">
                  <wp:posOffset>2924810</wp:posOffset>
                </wp:positionH>
                <wp:positionV relativeFrom="margin">
                  <wp:posOffset>1243330</wp:posOffset>
                </wp:positionV>
                <wp:extent cx="1508760" cy="146050"/>
                <wp:wrapTopAndBottom/>
                <wp:docPr id="63" name="Shape 63"/>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主管会计工作负责人：魏树华</w:t>
                            </w:r>
                          </w:p>
                        </w:txbxContent>
                      </wps:txbx>
                      <wps:bodyPr wrap="none" lIns="0" tIns="0" rIns="0" bIns="0">
                        <a:noAutoFit/>
                      </wps:bodyPr>
                    </wps:wsp>
                  </a:graphicData>
                </a:graphic>
              </wp:anchor>
            </w:drawing>
          </mc:Choice>
          <mc:Fallback>
            <w:pict>
              <v:shape id="_x0000_s1089" type="#_x0000_t202" style="position:absolute;margin-left:230.30000000000001pt;margin-top:97.900000000000006pt;width:118.8pt;height:11.5pt;z-index:-125829343;mso-wrap-distance-left:184.90000000000001pt;mso-wrap-distance-top:11.pt;mso-wrap-distance-right:193.59999999999999pt;mso-wrap-distance-bottom:0.25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主管会计工作负责人：魏树华</w:t>
                      </w:r>
                    </w:p>
                  </w:txbxContent>
                </v:textbox>
                <w10:wrap type="topAndBottom" anchorx="page" anchory="margin"/>
              </v:shape>
            </w:pict>
          </mc:Fallback>
        </mc:AlternateContent>
      </w:r>
      <w:r>
        <mc:AlternateContent>
          <mc:Choice Requires="wps">
            <w:drawing>
              <wp:anchor distT="139700" distB="0" distL="5030470" distR="114935" simplePos="0" relativeHeight="125829412" behindDoc="0" locked="0" layoutInCell="1" allowOverlap="1">
                <wp:simplePos x="0" y="0"/>
                <wp:positionH relativeFrom="page">
                  <wp:posOffset>5607050</wp:posOffset>
                </wp:positionH>
                <wp:positionV relativeFrom="margin">
                  <wp:posOffset>1243330</wp:posOffset>
                </wp:positionV>
                <wp:extent cx="1170305" cy="149225"/>
                <wp:wrapTopAndBottom/>
                <wp:docPr id="65" name="Shape 65"/>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会计机构负责人：景丽</w:t>
                            </w:r>
                          </w:p>
                        </w:txbxContent>
                      </wps:txbx>
                      <wps:bodyPr wrap="none" lIns="0" tIns="0" rIns="0" bIns="0">
                        <a:noAutoFit/>
                      </wps:bodyPr>
                    </wps:wsp>
                  </a:graphicData>
                </a:graphic>
              </wp:anchor>
            </w:drawing>
          </mc:Choice>
          <mc:Fallback>
            <w:pict>
              <v:shape id="_x0000_s1091" type="#_x0000_t202" style="position:absolute;margin-left:441.5pt;margin-top:97.900000000000006pt;width:92.150000000000006pt;height:11.75pt;z-index:-125829341;mso-wrap-distance-left:396.10000000000002pt;mso-wrap-distance-top:11.pt;mso-wrap-distance-right:9.0500000000000007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会计机构负责人：景丽</w:t>
                      </w:r>
                    </w:p>
                  </w:txbxContent>
                </v:textbox>
                <w10:wrap type="topAndBottom" anchorx="page" anchory="margin"/>
              </v:shape>
            </w:pict>
          </mc:Fallback>
        </mc:AlternateContent>
      </w:r>
      <w:bookmarkStart w:id="446" w:name="bookmark446"/>
      <w:bookmarkStart w:id="447" w:name="bookmark447"/>
      <w:bookmarkStart w:id="448" w:name="bookmark448"/>
      <w:bookmarkStart w:id="449" w:name="bookmark449"/>
      <w:r>
        <w:rPr>
          <w:rFonts w:ascii="Times New Roman" w:eastAsia="Times New Roman" w:hAnsi="Times New Roman" w:cs="Times New Roman"/>
          <w:color w:val="000000"/>
          <w:spacing w:val="0"/>
          <w:w w:val="100"/>
          <w:position w:val="0"/>
        </w:rPr>
        <w:t>6</w:t>
      </w:r>
      <w:bookmarkEnd w:id="448"/>
      <w:r>
        <w:rPr>
          <w:color w:val="000000"/>
          <w:spacing w:val="0"/>
          <w:w w:val="100"/>
          <w:position w:val="0"/>
        </w:rPr>
        <w:t>、母公司现金流量表</w:t>
      </w:r>
      <w:bookmarkEnd w:id="446"/>
      <w:bookmarkEnd w:id="447"/>
      <w:bookmarkEnd w:id="449"/>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编制单位：蓝盾信息安全技术股份有限公司</w:t>
      </w: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上期金额</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368,125,230.17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282,095,157.81</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3,398,650.70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5,980,658.07</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53,049,937.79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18,060,569.22</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424,573,818.66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306,136,385.10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243,856,224.17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151,504,431.93</w:t>
            </w:r>
          </w:p>
        </w:tc>
      </w:tr>
      <w:tr>
        <w:trPr>
          <w:trHeight w:val="71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380"/>
              <w:jc w:val="both"/>
              <w:rPr>
                <w:sz w:val="17"/>
                <w:szCs w:val="17"/>
              </w:rPr>
            </w:pPr>
            <w:r>
              <w:rPr>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28,012,024.62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32,717,797.35</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22,275,594.40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25,815,184.04</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77,362,291.42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58,627,653.56</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371,506,134.61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268,665,066.88</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53,067,684.05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37,471,318.22</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取得投资收益所收到的现金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收到其他与投资活动有关的现金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125,239,711.62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182,766,178.75</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取得子公司及其他营业单位支付</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69,000,000.00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上期金额</w:t>
            </w:r>
          </w:p>
        </w:tc>
      </w:tr>
      <w:tr>
        <w:trPr>
          <w:trHeight w:val="36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182,239,711.62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251,766,178.75</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-166,839,711.62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-251,766,178.75</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360,060,000.00</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242,900,000.00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180,000,000.00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收到其他与筹资活动有关的现金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3,346,087.67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563,610.77</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246,246,087.67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540,623,610.77</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190,000,000.00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92,500,000.00</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380"/>
              <w:jc w:val="left"/>
              <w:rPr>
                <w:sz w:val="17"/>
                <w:szCs w:val="17"/>
              </w:rPr>
            </w:pPr>
            <w:r>
              <w:rPr>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18,227,833.33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10,946,548.82</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6,727,260.70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3,998,500.00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214,955,094.03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107,445,048.82</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31,290,993.64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433,178,561.95</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-82,481,033.93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218,883,701.42</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386,944,768.60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168,061,067.18</w:t>
            </w:r>
          </w:p>
        </w:tc>
      </w:tr>
      <w:tr>
        <w:trPr>
          <w:trHeight w:val="40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304,463,734.67</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386,944,768.60</w:t>
            </w:r>
          </w:p>
        </w:tc>
      </w:tr>
    </w:tbl>
    <w:p>
      <w:pPr>
        <w:sectPr>
          <w:footnotePr>
            <w:pos w:val="pageBottom"/>
            <w:numFmt w:val="decimal"/>
            <w:numRestart w:val="continuous"/>
          </w:footnotePr>
          <w:pgSz w:w="11900" w:h="16840"/>
          <w:pgMar w:top="1441" w:right="1130" w:bottom="1446" w:left="1083" w:header="0" w:footer="3" w:gutter="0"/>
          <w:cols w:space="720"/>
          <w:noEndnote/>
          <w:rtlGutter w:val="0"/>
          <w:docGrid w:linePitch="360"/>
        </w:sectPr>
      </w:pPr>
    </w:p>
    <w:p>
      <w:pPr>
        <w:widowControl w:val="0"/>
        <w:spacing w:before="29" w:after="2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152" w:right="0" w:bottom="1162" w:left="0" w:header="0" w:footer="3" w:gutter="0"/>
          <w:cols w:space="720"/>
          <w:noEndnote/>
          <w:rtlGutter w:val="0"/>
          <w:docGrid w:linePitch="360"/>
        </w:sectPr>
      </w:pPr>
    </w:p>
    <w:p>
      <w:pPr>
        <w:pStyle w:val="Style27"/>
        <w:keepNext w:val="0"/>
        <w:keepLines w:val="0"/>
        <w:framePr w:w="1661" w:h="235" w:wrap="none" w:vAnchor="text" w:hAnchor="page" w:x="1125" w:y="21"/>
        <w:widowControl w:val="0"/>
        <w:shd w:val="clear" w:color="auto" w:fill="auto"/>
        <w:bidi w:val="0"/>
        <w:spacing w:before="0" w:after="0" w:line="240" w:lineRule="auto"/>
        <w:ind w:left="0" w:right="0" w:firstLine="0"/>
        <w:jc w:val="left"/>
      </w:pPr>
      <w:r>
        <w:rPr>
          <w:color w:val="000000"/>
          <w:spacing w:val="0"/>
          <w:w w:val="100"/>
          <w:position w:val="0"/>
        </w:rPr>
        <w:t>法定代表人：柯宗贵</w:t>
      </w:r>
    </w:p>
    <w:p>
      <w:pPr>
        <w:pStyle w:val="Style27"/>
        <w:keepNext w:val="0"/>
        <w:keepLines w:val="0"/>
        <w:framePr w:w="2376" w:h="230" w:wrap="none" w:vAnchor="text" w:hAnchor="page" w:x="4643" w:y="21"/>
        <w:widowControl w:val="0"/>
        <w:shd w:val="clear" w:color="auto" w:fill="auto"/>
        <w:bidi w:val="0"/>
        <w:spacing w:before="0" w:after="0" w:line="240" w:lineRule="auto"/>
        <w:ind w:left="0" w:right="0" w:firstLine="0"/>
        <w:jc w:val="left"/>
      </w:pPr>
      <w:r>
        <w:rPr>
          <w:color w:val="000000"/>
          <w:spacing w:val="0"/>
          <w:w w:val="100"/>
          <w:position w:val="0"/>
        </w:rPr>
        <w:t>主管会计工作负责人：魏树华</w:t>
      </w:r>
    </w:p>
    <w:p>
      <w:pPr>
        <w:pStyle w:val="Style27"/>
        <w:keepNext w:val="0"/>
        <w:keepLines w:val="0"/>
        <w:framePr w:w="1843" w:h="235" w:wrap="none" w:vAnchor="text" w:hAnchor="page" w:x="8867" w:y="21"/>
        <w:widowControl w:val="0"/>
        <w:shd w:val="clear" w:color="auto" w:fill="auto"/>
        <w:bidi w:val="0"/>
        <w:spacing w:before="0" w:after="0" w:line="240" w:lineRule="auto"/>
        <w:ind w:left="0" w:right="0" w:firstLine="0"/>
        <w:jc w:val="left"/>
      </w:pPr>
      <w:r>
        <w:rPr>
          <w:color w:val="000000"/>
          <w:spacing w:val="0"/>
          <w:w w:val="100"/>
          <w:position w:val="0"/>
        </w:rPr>
        <w:t>会计机构负责人：景丽</w:t>
      </w:r>
    </w:p>
    <w:p>
      <w:pPr>
        <w:widowControl w:val="0"/>
        <w:spacing w:after="234" w:line="1" w:lineRule="exact"/>
      </w:pPr>
    </w:p>
    <w:p>
      <w:pPr>
        <w:widowControl w:val="0"/>
        <w:spacing w:line="1" w:lineRule="exact"/>
        <w:sectPr>
          <w:footnotePr>
            <w:pos w:val="pageBottom"/>
            <w:numFmt w:val="decimal"/>
            <w:numRestart w:val="continuous"/>
          </w:footnotePr>
          <w:type w:val="continuous"/>
          <w:pgSz w:w="11900" w:h="16840"/>
          <w:pgMar w:top="1152" w:right="1138" w:bottom="1162" w:left="1109" w:header="0" w:footer="3" w:gutter="0"/>
          <w:cols w:space="720"/>
          <w:noEndnote/>
          <w:rtlGutter w:val="0"/>
          <w:docGrid w:linePitch="360"/>
        </w:sectPr>
      </w:pPr>
    </w:p>
    <w:p>
      <w:pPr>
        <w:pStyle w:val="Style38"/>
        <w:keepNext/>
        <w:keepLines/>
        <w:framePr w:w="2467" w:h="274" w:wrap="none" w:hAnchor="page" w:x="1423" w:y="11"/>
        <w:widowControl w:val="0"/>
        <w:shd w:val="clear" w:color="auto" w:fill="auto"/>
        <w:bidi w:val="0"/>
        <w:spacing w:before="0" w:after="0" w:line="240" w:lineRule="auto"/>
        <w:ind w:left="0" w:right="0" w:firstLine="0"/>
        <w:jc w:val="left"/>
      </w:pPr>
      <w:bookmarkStart w:id="450" w:name="bookmark450"/>
      <w:bookmarkStart w:id="451" w:name="bookmark451"/>
      <w:bookmarkStart w:id="452" w:name="bookmark452"/>
      <w:r>
        <w:rPr>
          <w:rFonts w:ascii="Times New Roman" w:eastAsia="Times New Roman" w:hAnsi="Times New Roman" w:cs="Times New Roman"/>
          <w:color w:val="000000"/>
          <w:spacing w:val="0"/>
          <w:w w:val="100"/>
          <w:position w:val="0"/>
        </w:rPr>
        <w:t>7</w:t>
      </w:r>
      <w:r>
        <w:rPr>
          <w:color w:val="000000"/>
          <w:spacing w:val="0"/>
          <w:w w:val="100"/>
          <w:position w:val="0"/>
        </w:rPr>
        <w:t>、合并所有者权益变动表</w:t>
      </w:r>
      <w:bookmarkEnd w:id="450"/>
      <w:bookmarkEnd w:id="451"/>
      <w:bookmarkEnd w:id="452"/>
    </w:p>
    <w:p>
      <w:pPr>
        <w:pStyle w:val="Style27"/>
        <w:keepNext w:val="0"/>
        <w:keepLines w:val="0"/>
        <w:framePr w:w="3461" w:h="230" w:wrap="none" w:hAnchor="page" w:x="1423" w:y="640"/>
        <w:widowControl w:val="0"/>
        <w:shd w:val="clear" w:color="auto" w:fill="auto"/>
        <w:bidi w:val="0"/>
        <w:spacing w:before="0" w:after="0" w:line="240" w:lineRule="auto"/>
        <w:ind w:left="0" w:right="0" w:firstLine="0"/>
        <w:jc w:val="left"/>
      </w:pPr>
      <w:r>
        <w:rPr>
          <w:color w:val="000000"/>
          <w:spacing w:val="0"/>
          <w:w w:val="100"/>
          <w:position w:val="0"/>
        </w:rPr>
        <w:t>编制单位：蓝盾信息安全技术股份有限公司</w:t>
      </w:r>
    </w:p>
    <w:p>
      <w:pPr>
        <w:pStyle w:val="Style27"/>
        <w:keepNext w:val="0"/>
        <w:keepLines w:val="0"/>
        <w:framePr w:w="758" w:h="235" w:wrap="none" w:hAnchor="page" w:x="1423" w:y="991"/>
        <w:widowControl w:val="0"/>
        <w:shd w:val="clear" w:color="auto" w:fill="auto"/>
        <w:bidi w:val="0"/>
        <w:spacing w:before="0" w:after="0" w:line="240" w:lineRule="auto"/>
        <w:ind w:left="0" w:right="0" w:firstLine="0"/>
        <w:jc w:val="left"/>
      </w:pPr>
      <w:r>
        <w:rPr>
          <w:color w:val="000000"/>
          <w:spacing w:val="0"/>
          <w:w w:val="100"/>
          <w:position w:val="0"/>
        </w:rPr>
        <w:t>本期金额</w:t>
      </w:r>
    </w:p>
    <w:p>
      <w:pPr>
        <w:pStyle w:val="Style27"/>
        <w:keepNext w:val="0"/>
        <w:keepLines w:val="0"/>
        <w:framePr w:w="758" w:h="230" w:wrap="none" w:hAnchor="page" w:x="14565" w:y="1341"/>
        <w:widowControl w:val="0"/>
        <w:shd w:val="clear" w:color="auto" w:fill="auto"/>
        <w:bidi w:val="0"/>
        <w:spacing w:before="0" w:after="0" w:line="240" w:lineRule="auto"/>
        <w:ind w:left="0" w:right="0" w:firstLine="0"/>
        <w:jc w:val="left"/>
      </w:pPr>
      <w:r>
        <w:rPr>
          <w:color w:val="000000"/>
          <w:spacing w:val="0"/>
          <w:w w:val="100"/>
          <w:position w:val="0"/>
        </w:rPr>
        <w:t>单位：元</w:t>
      </w:r>
    </w:p>
    <w:p>
      <w:pPr>
        <w:pStyle w:val="Style27"/>
        <w:keepNext w:val="0"/>
        <w:keepLines w:val="0"/>
        <w:framePr w:w="398" w:h="230" w:wrap="none" w:hAnchor="page" w:x="2426" w:y="2152"/>
        <w:widowControl w:val="0"/>
        <w:shd w:val="clear" w:color="auto" w:fill="auto"/>
        <w:bidi w:val="0"/>
        <w:spacing w:before="0" w:after="0" w:line="240" w:lineRule="auto"/>
        <w:ind w:left="0" w:right="0" w:firstLine="0"/>
        <w:jc w:val="both"/>
      </w:pPr>
      <w:r>
        <w:rPr>
          <w:color w:val="000000"/>
          <w:spacing w:val="0"/>
          <w:w w:val="100"/>
          <w:position w:val="0"/>
        </w:rPr>
        <w:t>项目</w:t>
      </w:r>
    </w:p>
    <w:p>
      <w:pPr>
        <w:pStyle w:val="Style27"/>
        <w:keepNext w:val="0"/>
        <w:keepLines w:val="0"/>
        <w:framePr w:w="1589" w:h="235" w:wrap="none" w:hAnchor="page" w:x="3823" w:y="2551"/>
        <w:widowControl w:val="0"/>
        <w:shd w:val="clear" w:color="auto" w:fill="auto"/>
        <w:bidi w:val="0"/>
        <w:spacing w:before="0" w:after="0" w:line="240" w:lineRule="auto"/>
        <w:ind w:left="0" w:right="0" w:firstLine="0"/>
        <w:jc w:val="left"/>
      </w:pPr>
      <w:r>
        <w:rPr>
          <w:color w:val="000000"/>
          <w:spacing w:val="0"/>
          <w:w w:val="100"/>
          <w:position w:val="0"/>
        </w:rPr>
        <w:t>实收资本（或股本）</w:t>
      </w:r>
    </w:p>
    <w:p>
      <w:pPr>
        <w:pStyle w:val="Style27"/>
        <w:keepNext w:val="0"/>
        <w:keepLines w:val="0"/>
        <w:framePr w:w="754" w:h="235" w:wrap="none" w:hAnchor="page" w:x="5675" w:y="2551"/>
        <w:widowControl w:val="0"/>
        <w:shd w:val="clear" w:color="auto" w:fill="auto"/>
        <w:bidi w:val="0"/>
        <w:spacing w:before="0" w:after="0" w:line="240" w:lineRule="auto"/>
        <w:ind w:left="0" w:right="0" w:firstLine="0"/>
        <w:jc w:val="left"/>
      </w:pPr>
      <w:r>
        <w:rPr>
          <w:color w:val="000000"/>
          <w:spacing w:val="0"/>
          <w:w w:val="100"/>
          <w:position w:val="0"/>
        </w:rPr>
        <w:t>资本公积</w:t>
      </w:r>
    </w:p>
    <w:p>
      <w:pPr>
        <w:pStyle w:val="Style27"/>
        <w:keepNext w:val="0"/>
        <w:keepLines w:val="0"/>
        <w:framePr w:w="1478" w:h="226" w:wrap="none" w:hAnchor="page" w:x="1451" w:y="2954"/>
        <w:widowControl w:val="0"/>
        <w:shd w:val="clear" w:color="auto" w:fill="auto"/>
        <w:bidi w:val="0"/>
        <w:spacing w:before="0" w:after="0" w:line="240" w:lineRule="auto"/>
        <w:ind w:left="0" w:right="0" w:firstLine="0"/>
        <w:jc w:val="left"/>
      </w:pPr>
      <w:r>
        <w:rPr>
          <w:color w:val="000000"/>
          <w:spacing w:val="0"/>
          <w:w w:val="100"/>
          <w:position w:val="0"/>
        </w:rPr>
        <w:t>一、上年年末余额</w:t>
      </w:r>
    </w:p>
    <w:p>
      <w:pPr>
        <w:pStyle w:val="Style50"/>
        <w:keepNext w:val="0"/>
        <w:keepLines w:val="0"/>
        <w:framePr w:w="1070" w:h="226" w:wrap="none" w:hAnchor="page" w:x="4331" w:y="2963"/>
        <w:widowControl w:val="0"/>
        <w:shd w:val="clear" w:color="auto" w:fill="auto"/>
        <w:bidi w:val="0"/>
        <w:spacing w:before="0" w:after="0" w:line="240" w:lineRule="auto"/>
        <w:ind w:left="0" w:right="0" w:firstLine="0"/>
        <w:jc w:val="left"/>
      </w:pPr>
      <w:r>
        <w:rPr>
          <w:color w:val="000000"/>
          <w:spacing w:val="0"/>
          <w:w w:val="100"/>
          <w:position w:val="0"/>
        </w:rPr>
        <w:t>98,000,000.00</w:t>
      </w:r>
    </w:p>
    <w:p>
      <w:pPr>
        <w:pStyle w:val="Style50"/>
        <w:keepNext w:val="0"/>
        <w:keepLines w:val="0"/>
        <w:framePr w:w="1181" w:h="226" w:wrap="none" w:hAnchor="page" w:x="5503" w:y="2963"/>
        <w:widowControl w:val="0"/>
        <w:shd w:val="clear" w:color="auto" w:fill="auto"/>
        <w:bidi w:val="0"/>
        <w:spacing w:before="0" w:after="0" w:line="240" w:lineRule="auto"/>
        <w:ind w:left="0" w:right="0" w:firstLine="0"/>
        <w:jc w:val="left"/>
      </w:pPr>
      <w:r>
        <w:rPr>
          <w:color w:val="000000"/>
          <w:spacing w:val="0"/>
          <w:w w:val="100"/>
          <w:position w:val="0"/>
        </w:rPr>
        <w:t>410,243,231.67</w:t>
      </w:r>
    </w:p>
    <w:p>
      <w:pPr>
        <w:pStyle w:val="Style27"/>
        <w:keepNext w:val="0"/>
        <w:keepLines w:val="0"/>
        <w:framePr w:w="1483" w:h="226" w:wrap="none" w:hAnchor="page" w:x="1811" w:y="3352"/>
        <w:widowControl w:val="0"/>
        <w:shd w:val="clear" w:color="auto" w:fill="auto"/>
        <w:bidi w:val="0"/>
        <w:spacing w:before="0" w:after="0" w:line="240" w:lineRule="auto"/>
        <w:ind w:left="0" w:right="0" w:firstLine="0"/>
        <w:jc w:val="left"/>
      </w:pPr>
      <w:r>
        <w:rPr>
          <w:color w:val="000000"/>
          <w:spacing w:val="0"/>
          <w:w w:val="100"/>
          <w:position w:val="0"/>
        </w:rPr>
        <w:t>加：会计政策变更</w:t>
      </w:r>
    </w:p>
    <w:p>
      <w:pPr>
        <w:pStyle w:val="Style27"/>
        <w:keepNext w:val="0"/>
        <w:keepLines w:val="0"/>
        <w:framePr w:w="1123" w:h="230" w:wrap="none" w:hAnchor="page" w:x="2171" w:y="3755"/>
        <w:widowControl w:val="0"/>
        <w:shd w:val="clear" w:color="auto" w:fill="auto"/>
        <w:bidi w:val="0"/>
        <w:spacing w:before="0" w:after="0" w:line="240" w:lineRule="auto"/>
        <w:ind w:left="0" w:right="0" w:firstLine="0"/>
        <w:jc w:val="left"/>
      </w:pPr>
      <w:r>
        <w:rPr>
          <w:color w:val="000000"/>
          <w:spacing w:val="0"/>
          <w:w w:val="100"/>
          <w:position w:val="0"/>
        </w:rPr>
        <w:t>前期差错更正</w:t>
      </w:r>
    </w:p>
    <w:p>
      <w:pPr>
        <w:pStyle w:val="Style27"/>
        <w:keepNext w:val="0"/>
        <w:keepLines w:val="0"/>
        <w:framePr w:w="403" w:h="235" w:wrap="none" w:hAnchor="page" w:x="2171" w:y="4159"/>
        <w:widowControl w:val="0"/>
        <w:shd w:val="clear" w:color="auto" w:fill="auto"/>
        <w:bidi w:val="0"/>
        <w:spacing w:before="0" w:after="0" w:line="240" w:lineRule="auto"/>
        <w:ind w:left="0" w:right="0" w:firstLine="0"/>
        <w:jc w:val="left"/>
      </w:pPr>
      <w:r>
        <w:rPr>
          <w:color w:val="000000"/>
          <w:spacing w:val="0"/>
          <w:w w:val="100"/>
          <w:position w:val="0"/>
        </w:rPr>
        <w:t>其他</w:t>
      </w:r>
    </w:p>
    <w:p>
      <w:pPr>
        <w:pStyle w:val="Style27"/>
        <w:keepNext w:val="0"/>
        <w:keepLines w:val="0"/>
        <w:framePr w:w="758" w:h="235" w:wrap="none" w:hAnchor="page" w:x="9275" w:y="1744"/>
        <w:widowControl w:val="0"/>
        <w:shd w:val="clear" w:color="auto" w:fill="auto"/>
        <w:bidi w:val="0"/>
        <w:spacing w:before="0" w:after="0" w:line="240" w:lineRule="auto"/>
        <w:ind w:left="0" w:right="0" w:firstLine="0"/>
        <w:jc w:val="left"/>
      </w:pPr>
      <w:r>
        <w:rPr>
          <w:color w:val="000000"/>
          <w:spacing w:val="0"/>
          <w:w w:val="100"/>
          <w:position w:val="0"/>
        </w:rPr>
        <w:t>本期金额</w:t>
      </w:r>
    </w:p>
    <w:p>
      <w:pPr>
        <w:pStyle w:val="Style27"/>
        <w:keepNext w:val="0"/>
        <w:keepLines w:val="0"/>
        <w:framePr w:w="2016" w:h="226" w:wrap="none" w:hAnchor="page" w:x="7365" w:y="2147"/>
        <w:widowControl w:val="0"/>
        <w:shd w:val="clear" w:color="auto" w:fill="auto"/>
        <w:bidi w:val="0"/>
        <w:spacing w:before="0" w:after="0" w:line="240" w:lineRule="auto"/>
        <w:ind w:left="0" w:right="0" w:firstLine="0"/>
        <w:jc w:val="left"/>
      </w:pPr>
      <w:r>
        <w:rPr>
          <w:color w:val="000000"/>
          <w:spacing w:val="0"/>
          <w:w w:val="100"/>
          <w:position w:val="0"/>
        </w:rPr>
        <w:t>归属于母公司所有者权益</w:t>
      </w:r>
    </w:p>
    <w:p>
      <w:pPr>
        <w:pStyle w:val="Style27"/>
        <w:keepNext w:val="0"/>
        <w:keepLines w:val="0"/>
        <w:framePr w:w="941" w:h="235" w:wrap="none" w:hAnchor="page" w:x="6712" w:y="2551"/>
        <w:widowControl w:val="0"/>
        <w:shd w:val="clear" w:color="auto" w:fill="auto"/>
        <w:bidi w:val="0"/>
        <w:spacing w:before="0" w:after="0" w:line="240" w:lineRule="auto"/>
        <w:ind w:left="0" w:right="0" w:firstLine="0"/>
        <w:jc w:val="left"/>
      </w:pPr>
      <w:r>
        <w:rPr>
          <w:color w:val="000000"/>
          <w:spacing w:val="0"/>
          <w:w w:val="100"/>
          <w:position w:val="0"/>
        </w:rPr>
        <w:t>减：库存股</w:t>
      </w:r>
    </w:p>
    <w:p>
      <w:pPr>
        <w:pStyle w:val="Style27"/>
        <w:keepNext w:val="0"/>
        <w:keepLines w:val="0"/>
        <w:framePr w:w="763" w:h="226" w:wrap="none" w:hAnchor="page" w:x="7735" w:y="2551"/>
        <w:widowControl w:val="0"/>
        <w:shd w:val="clear" w:color="auto" w:fill="auto"/>
        <w:bidi w:val="0"/>
        <w:spacing w:before="0" w:after="0" w:line="240" w:lineRule="auto"/>
        <w:ind w:left="0" w:right="0" w:firstLine="0"/>
        <w:jc w:val="left"/>
      </w:pPr>
      <w:r>
        <w:rPr>
          <w:color w:val="000000"/>
          <w:spacing w:val="0"/>
          <w:w w:val="100"/>
          <w:position w:val="0"/>
        </w:rPr>
        <w:t>专项储备</w:t>
      </w:r>
    </w:p>
    <w:p>
      <w:pPr>
        <w:pStyle w:val="Style27"/>
        <w:keepNext w:val="0"/>
        <w:keepLines w:val="0"/>
        <w:framePr w:w="763" w:h="235" w:wrap="none" w:hAnchor="page" w:x="8762" w:y="2551"/>
        <w:widowControl w:val="0"/>
        <w:shd w:val="clear" w:color="auto" w:fill="auto"/>
        <w:bidi w:val="0"/>
        <w:spacing w:before="0" w:after="0" w:line="240" w:lineRule="auto"/>
        <w:ind w:left="0" w:right="0" w:firstLine="0"/>
        <w:jc w:val="left"/>
      </w:pPr>
      <w:r>
        <w:rPr>
          <w:color w:val="000000"/>
          <w:spacing w:val="0"/>
          <w:w w:val="100"/>
          <w:position w:val="0"/>
        </w:rPr>
        <w:t>盈余公积</w:t>
      </w:r>
    </w:p>
    <w:p>
      <w:pPr>
        <w:pStyle w:val="Style50"/>
        <w:keepNext w:val="0"/>
        <w:keepLines w:val="0"/>
        <w:framePr w:w="1066" w:h="226" w:wrap="none" w:hAnchor="page" w:x="8661" w:y="2963"/>
        <w:widowControl w:val="0"/>
        <w:shd w:val="clear" w:color="auto" w:fill="auto"/>
        <w:bidi w:val="0"/>
        <w:spacing w:before="0" w:after="0" w:line="240" w:lineRule="auto"/>
        <w:ind w:left="0" w:right="0" w:firstLine="0"/>
        <w:jc w:val="left"/>
      </w:pPr>
      <w:r>
        <w:rPr>
          <w:color w:val="000000"/>
          <w:spacing w:val="0"/>
          <w:w w:val="100"/>
          <w:position w:val="0"/>
        </w:rPr>
        <w:t>16,335,852.57</w:t>
      </w:r>
    </w:p>
    <w:p>
      <w:pPr>
        <w:pStyle w:val="Style27"/>
        <w:keepNext w:val="0"/>
        <w:keepLines w:val="0"/>
        <w:framePr w:w="1123" w:h="230" w:wrap="none" w:hAnchor="page" w:x="9775" w:y="2551"/>
        <w:widowControl w:val="0"/>
        <w:shd w:val="clear" w:color="auto" w:fill="auto"/>
        <w:bidi w:val="0"/>
        <w:spacing w:before="0" w:after="0" w:line="240" w:lineRule="auto"/>
        <w:ind w:left="0" w:right="0" w:firstLine="0"/>
        <w:jc w:val="left"/>
      </w:pPr>
      <w:r>
        <w:rPr>
          <w:color w:val="000000"/>
          <w:spacing w:val="0"/>
          <w:w w:val="100"/>
          <w:position w:val="0"/>
        </w:rPr>
        <w:t>一般风险准备</w:t>
      </w:r>
    </w:p>
    <w:p>
      <w:pPr>
        <w:pStyle w:val="Style27"/>
        <w:keepNext w:val="0"/>
        <w:keepLines w:val="0"/>
        <w:framePr w:w="936" w:h="230" w:wrap="none" w:hAnchor="page" w:x="11123" w:y="2551"/>
        <w:widowControl w:val="0"/>
        <w:shd w:val="clear" w:color="auto" w:fill="auto"/>
        <w:bidi w:val="0"/>
        <w:spacing w:before="0" w:after="0" w:line="240" w:lineRule="auto"/>
        <w:ind w:left="0" w:right="0" w:firstLine="0"/>
        <w:jc w:val="left"/>
      </w:pPr>
      <w:r>
        <w:rPr>
          <w:color w:val="000000"/>
          <w:spacing w:val="0"/>
          <w:w w:val="100"/>
          <w:position w:val="0"/>
        </w:rPr>
        <w:t>未分配利润</w:t>
      </w:r>
    </w:p>
    <w:p>
      <w:pPr>
        <w:pStyle w:val="Style50"/>
        <w:keepNext w:val="0"/>
        <w:keepLines w:val="0"/>
        <w:framePr w:w="1157" w:h="226" w:wrap="none" w:hAnchor="page" w:x="11075" w:y="2963"/>
        <w:widowControl w:val="0"/>
        <w:shd w:val="clear" w:color="auto" w:fill="auto"/>
        <w:bidi w:val="0"/>
        <w:spacing w:before="0" w:after="0" w:line="240" w:lineRule="auto"/>
        <w:ind w:left="0" w:right="0" w:firstLine="0"/>
        <w:jc w:val="right"/>
      </w:pPr>
      <w:r>
        <w:rPr>
          <w:color w:val="000000"/>
          <w:spacing w:val="0"/>
          <w:w w:val="100"/>
          <w:position w:val="0"/>
        </w:rPr>
        <w:t>130,203,333.39</w:t>
      </w:r>
    </w:p>
    <w:p>
      <w:pPr>
        <w:pStyle w:val="Style27"/>
        <w:keepNext w:val="0"/>
        <w:keepLines w:val="0"/>
        <w:framePr w:w="403" w:h="235" w:wrap="none" w:hAnchor="page" w:x="12381" w:y="2551"/>
        <w:widowControl w:val="0"/>
        <w:shd w:val="clear" w:color="auto" w:fill="auto"/>
        <w:bidi w:val="0"/>
        <w:spacing w:before="0" w:after="0" w:line="240" w:lineRule="auto"/>
        <w:ind w:left="0" w:right="0" w:firstLine="0"/>
        <w:jc w:val="left"/>
      </w:pPr>
      <w:r>
        <w:rPr>
          <w:color w:val="000000"/>
          <w:spacing w:val="0"/>
          <w:w w:val="100"/>
          <w:position w:val="0"/>
        </w:rPr>
        <w:t>其他</w:t>
      </w:r>
    </w:p>
    <w:p>
      <w:pPr>
        <w:pStyle w:val="Style27"/>
        <w:keepNext w:val="0"/>
        <w:keepLines w:val="0"/>
        <w:framePr w:w="1123" w:h="235" w:wrap="none" w:hAnchor="page" w:x="12943" w:y="2349"/>
        <w:widowControl w:val="0"/>
        <w:shd w:val="clear" w:color="auto" w:fill="auto"/>
        <w:bidi w:val="0"/>
        <w:spacing w:before="0" w:after="0" w:line="240" w:lineRule="auto"/>
        <w:ind w:left="0" w:right="0" w:firstLine="0"/>
        <w:jc w:val="right"/>
      </w:pPr>
      <w:r>
        <w:rPr>
          <w:color w:val="000000"/>
          <w:spacing w:val="0"/>
          <w:w w:val="100"/>
          <w:position w:val="0"/>
        </w:rPr>
        <w:t>少数股东权益</w:t>
      </w:r>
    </w:p>
    <w:p>
      <w:pPr>
        <w:pStyle w:val="Style50"/>
        <w:keepNext w:val="0"/>
        <w:keepLines w:val="0"/>
        <w:framePr w:w="998" w:h="226" w:wrap="none" w:hAnchor="page" w:x="13077" w:y="2963"/>
        <w:widowControl w:val="0"/>
        <w:shd w:val="clear" w:color="auto" w:fill="auto"/>
        <w:bidi w:val="0"/>
        <w:spacing w:before="0" w:after="0" w:line="240" w:lineRule="auto"/>
        <w:ind w:left="0" w:right="0" w:firstLine="0"/>
        <w:jc w:val="left"/>
      </w:pPr>
      <w:r>
        <w:rPr>
          <w:color w:val="000000"/>
          <w:spacing w:val="0"/>
          <w:w w:val="100"/>
          <w:position w:val="0"/>
        </w:rPr>
        <w:t>2,000,000.00</w:t>
      </w:r>
    </w:p>
    <w:p>
      <w:pPr>
        <w:pStyle w:val="Style27"/>
        <w:keepNext w:val="0"/>
        <w:keepLines w:val="0"/>
        <w:framePr w:w="1301" w:h="230" w:wrap="none" w:hAnchor="page" w:x="14143" w:y="2349"/>
        <w:widowControl w:val="0"/>
        <w:shd w:val="clear" w:color="auto" w:fill="auto"/>
        <w:bidi w:val="0"/>
        <w:spacing w:before="0" w:after="0" w:line="240" w:lineRule="auto"/>
        <w:ind w:left="0" w:right="0" w:firstLine="0"/>
        <w:jc w:val="left"/>
      </w:pPr>
      <w:r>
        <w:rPr>
          <w:color w:val="000000"/>
          <w:spacing w:val="0"/>
          <w:w w:val="100"/>
          <w:position w:val="0"/>
        </w:rPr>
        <w:t>所有者权益合计</w:t>
      </w:r>
    </w:p>
    <w:p>
      <w:pPr>
        <w:pStyle w:val="Style50"/>
        <w:keepNext w:val="0"/>
        <w:keepLines w:val="0"/>
        <w:framePr w:w="1166" w:h="226" w:wrap="none" w:hAnchor="page" w:x="14325" w:y="2963"/>
        <w:widowControl w:val="0"/>
        <w:shd w:val="clear" w:color="auto" w:fill="auto"/>
        <w:bidi w:val="0"/>
        <w:spacing w:before="0" w:after="0" w:line="240" w:lineRule="auto"/>
        <w:ind w:left="0" w:right="0" w:firstLine="0"/>
        <w:jc w:val="left"/>
      </w:pPr>
      <w:r>
        <w:rPr>
          <w:color w:val="000000"/>
          <w:spacing w:val="0"/>
          <w:w w:val="100"/>
          <w:position w:val="0"/>
        </w:rPr>
        <w:t>656,782,417.63</w:t>
      </w:r>
    </w:p>
    <w:p>
      <w:pPr>
        <w:pStyle w:val="Style27"/>
        <w:keepNext w:val="0"/>
        <w:keepLines w:val="0"/>
        <w:framePr w:w="1478" w:h="235" w:wrap="none" w:hAnchor="page" w:x="1451" w:y="4562"/>
        <w:widowControl w:val="0"/>
        <w:shd w:val="clear" w:color="auto" w:fill="auto"/>
        <w:bidi w:val="0"/>
        <w:spacing w:before="0" w:after="0" w:line="240" w:lineRule="auto"/>
        <w:ind w:left="0" w:right="0" w:firstLine="0"/>
        <w:jc w:val="left"/>
      </w:pPr>
      <w:r>
        <w:rPr>
          <w:color w:val="000000"/>
          <w:spacing w:val="0"/>
          <w:w w:val="100"/>
          <w:position w:val="0"/>
        </w:rPr>
        <w:t>二、本年年初余额</w:t>
      </w:r>
    </w:p>
    <w:p>
      <w:pPr>
        <w:pStyle w:val="Style27"/>
        <w:keepNext w:val="0"/>
        <w:keepLines w:val="0"/>
        <w:framePr w:w="2352" w:h="653" w:wrap="none" w:hAnchor="page" w:x="1451" w:y="4879"/>
        <w:widowControl w:val="0"/>
        <w:shd w:val="clear" w:color="auto" w:fill="auto"/>
        <w:bidi w:val="0"/>
        <w:spacing w:before="0" w:after="0" w:line="317" w:lineRule="exact"/>
        <w:ind w:left="0" w:right="0" w:firstLine="0"/>
        <w:jc w:val="left"/>
      </w:pPr>
      <w:r>
        <w:rPr>
          <w:color w:val="000000"/>
          <w:spacing w:val="0"/>
          <w:w w:val="100"/>
          <w:position w:val="0"/>
        </w:rPr>
        <w:t>三、本期增减变动金额（减少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p>
      <w:pPr>
        <w:pStyle w:val="Style27"/>
        <w:keepNext w:val="0"/>
        <w:keepLines w:val="0"/>
        <w:framePr w:w="1022" w:h="235" w:wrap="none" w:hAnchor="page" w:x="1547" w:y="5675"/>
        <w:widowControl w:val="0"/>
        <w:shd w:val="clear" w:color="auto" w:fill="auto"/>
        <w:bidi w:val="0"/>
        <w:spacing w:before="0" w:after="0" w:line="240" w:lineRule="auto"/>
        <w:ind w:left="0" w:right="0" w:firstLine="0"/>
        <w:jc w:val="left"/>
      </w:pPr>
      <w:r>
        <w:rPr>
          <w:color w:val="000000"/>
          <w:spacing w:val="0"/>
          <w:w w:val="100"/>
          <w:position w:val="0"/>
        </w:rPr>
        <w:t>（一）净利润</w:t>
      </w:r>
    </w:p>
    <w:p>
      <w:pPr>
        <w:pStyle w:val="Style27"/>
        <w:keepNext w:val="0"/>
        <w:keepLines w:val="0"/>
        <w:framePr w:w="1565" w:h="235" w:wrap="none" w:hAnchor="page" w:x="1547" w:y="6079"/>
        <w:widowControl w:val="0"/>
        <w:shd w:val="clear" w:color="auto" w:fill="auto"/>
        <w:bidi w:val="0"/>
        <w:spacing w:before="0" w:after="0" w:line="240" w:lineRule="auto"/>
        <w:ind w:left="0" w:right="0" w:firstLine="0"/>
        <w:jc w:val="left"/>
      </w:pPr>
      <w:r>
        <w:rPr>
          <w:color w:val="000000"/>
          <w:spacing w:val="0"/>
          <w:w w:val="100"/>
          <w:position w:val="0"/>
        </w:rPr>
        <w:t>（二）其他综合收益</w:t>
      </w:r>
    </w:p>
    <w:p>
      <w:pPr>
        <w:pStyle w:val="Style27"/>
        <w:keepNext w:val="0"/>
        <w:keepLines w:val="0"/>
        <w:framePr w:w="2021" w:h="226" w:wrap="none" w:hAnchor="page" w:x="1451" w:y="6482"/>
        <w:widowControl w:val="0"/>
        <w:shd w:val="clear" w:color="auto" w:fill="auto"/>
        <w:bidi w:val="0"/>
        <w:spacing w:before="0" w:after="0" w:line="240" w:lineRule="auto"/>
        <w:ind w:left="0" w:right="0" w:firstLine="0"/>
        <w:jc w:val="left"/>
      </w:pPr>
      <w:r>
        <w:rPr>
          <w:color w:val="000000"/>
          <w:spacing w:val="0"/>
          <w:w w:val="100"/>
          <w:position w:val="0"/>
        </w:rPr>
        <w:t>上述（一）和（二）小计</w:t>
      </w:r>
    </w:p>
    <w:p>
      <w:pPr>
        <w:pStyle w:val="Style27"/>
        <w:keepNext w:val="0"/>
        <w:keepLines w:val="0"/>
        <w:framePr w:w="2256" w:h="235" w:wrap="none" w:hAnchor="page" w:x="1547" w:y="688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p>
      <w:pPr>
        <w:pStyle w:val="Style27"/>
        <w:keepNext w:val="0"/>
        <w:keepLines w:val="0"/>
        <w:framePr w:w="1560" w:h="250" w:wrap="none" w:hAnchor="page" w:x="1461" w:y="728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p>
      <w:pPr>
        <w:pStyle w:val="Style27"/>
        <w:keepNext w:val="0"/>
        <w:keepLines w:val="0"/>
        <w:framePr w:w="2299" w:h="648" w:wrap="none" w:hAnchor="page" w:x="1442" w:y="760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 的金额</w:t>
      </w:r>
    </w:p>
    <w:p>
      <w:pPr>
        <w:pStyle w:val="Style27"/>
        <w:keepNext w:val="0"/>
        <w:keepLines w:val="0"/>
        <w:framePr w:w="672" w:h="240" w:wrap="none" w:hAnchor="page" w:x="1451" w:y="8402"/>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p>
      <w:pPr>
        <w:pStyle w:val="Style27"/>
        <w:keepNext w:val="0"/>
        <w:keepLines w:val="0"/>
        <w:framePr w:w="1205" w:h="235" w:wrap="none" w:hAnchor="page" w:x="1547" w:y="8800"/>
        <w:widowControl w:val="0"/>
        <w:shd w:val="clear" w:color="auto" w:fill="auto"/>
        <w:bidi w:val="0"/>
        <w:spacing w:before="0" w:after="0" w:line="240" w:lineRule="auto"/>
        <w:ind w:left="0" w:right="0" w:firstLine="0"/>
        <w:jc w:val="left"/>
      </w:pPr>
      <w:r>
        <w:rPr>
          <w:color w:val="000000"/>
          <w:spacing w:val="0"/>
          <w:w w:val="100"/>
          <w:position w:val="0"/>
        </w:rPr>
        <w:t>（四）利润分配</w:t>
      </w:r>
    </w:p>
    <w:p>
      <w:pPr>
        <w:pStyle w:val="Style27"/>
        <w:keepNext w:val="0"/>
        <w:keepLines w:val="0"/>
        <w:framePr w:w="1382" w:h="245" w:wrap="none" w:hAnchor="page" w:x="1461" w:y="920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p>
      <w:pPr>
        <w:pStyle w:val="Style50"/>
        <w:keepNext w:val="0"/>
        <w:keepLines w:val="0"/>
        <w:framePr w:w="1070" w:h="226" w:wrap="none" w:hAnchor="page" w:x="4331" w:y="4571"/>
        <w:widowControl w:val="0"/>
        <w:shd w:val="clear" w:color="auto" w:fill="auto"/>
        <w:bidi w:val="0"/>
        <w:spacing w:before="0" w:after="0" w:line="240" w:lineRule="auto"/>
        <w:ind w:left="0" w:right="0" w:firstLine="0"/>
        <w:jc w:val="left"/>
      </w:pPr>
      <w:r>
        <w:rPr>
          <w:color w:val="000000"/>
          <w:spacing w:val="0"/>
          <w:w w:val="100"/>
          <w:position w:val="0"/>
        </w:rPr>
        <w:t>98,000,000.00</w:t>
      </w:r>
    </w:p>
    <w:p>
      <w:pPr>
        <w:pStyle w:val="Style50"/>
        <w:keepNext w:val="0"/>
        <w:keepLines w:val="0"/>
        <w:framePr w:w="1070" w:h="226" w:wrap="none" w:hAnchor="page" w:x="4331" w:y="5128"/>
        <w:widowControl w:val="0"/>
        <w:shd w:val="clear" w:color="auto" w:fill="auto"/>
        <w:bidi w:val="0"/>
        <w:spacing w:before="0" w:after="0" w:line="240" w:lineRule="auto"/>
        <w:ind w:left="0" w:right="0" w:firstLine="0"/>
        <w:jc w:val="left"/>
      </w:pPr>
      <w:r>
        <w:rPr>
          <w:color w:val="000000"/>
          <w:spacing w:val="0"/>
          <w:w w:val="100"/>
          <w:position w:val="0"/>
        </w:rPr>
        <w:t>98,000,000.00</w:t>
      </w:r>
    </w:p>
    <w:p>
      <w:pPr>
        <w:pStyle w:val="Style50"/>
        <w:keepNext w:val="0"/>
        <w:keepLines w:val="0"/>
        <w:framePr w:w="1181" w:h="226" w:wrap="none" w:hAnchor="page" w:x="5503" w:y="4571"/>
        <w:widowControl w:val="0"/>
        <w:shd w:val="clear" w:color="auto" w:fill="auto"/>
        <w:bidi w:val="0"/>
        <w:spacing w:before="0" w:after="0" w:line="240" w:lineRule="auto"/>
        <w:ind w:left="0" w:right="0" w:firstLine="0"/>
        <w:jc w:val="left"/>
      </w:pPr>
      <w:r>
        <w:rPr>
          <w:color w:val="000000"/>
          <w:spacing w:val="0"/>
          <w:w w:val="100"/>
          <w:position w:val="0"/>
        </w:rPr>
        <w:t>410,243,231.67</w:t>
      </w:r>
    </w:p>
    <w:p>
      <w:pPr>
        <w:pStyle w:val="Style50"/>
        <w:keepNext w:val="0"/>
        <w:keepLines w:val="0"/>
        <w:framePr w:w="1138" w:h="226" w:wrap="none" w:hAnchor="page" w:x="5541" w:y="5128"/>
        <w:widowControl w:val="0"/>
        <w:shd w:val="clear" w:color="auto" w:fill="auto"/>
        <w:bidi w:val="0"/>
        <w:spacing w:before="0" w:after="0" w:line="240" w:lineRule="auto"/>
        <w:ind w:left="0" w:right="0" w:firstLine="0"/>
        <w:jc w:val="left"/>
      </w:pPr>
      <w:r>
        <w:rPr>
          <w:color w:val="000000"/>
          <w:spacing w:val="0"/>
          <w:w w:val="100"/>
          <w:position w:val="0"/>
        </w:rPr>
        <w:t>-98,000,000.00</w:t>
      </w:r>
    </w:p>
    <w:p>
      <w:pPr>
        <w:pStyle w:val="Style50"/>
        <w:keepNext w:val="0"/>
        <w:keepLines w:val="0"/>
        <w:framePr w:w="1066" w:h="226" w:wrap="none" w:hAnchor="page" w:x="8661" w:y="4571"/>
        <w:widowControl w:val="0"/>
        <w:shd w:val="clear" w:color="auto" w:fill="auto"/>
        <w:bidi w:val="0"/>
        <w:spacing w:before="0" w:after="0" w:line="240" w:lineRule="auto"/>
        <w:ind w:left="0" w:right="0" w:firstLine="0"/>
        <w:jc w:val="left"/>
      </w:pPr>
      <w:r>
        <w:rPr>
          <w:color w:val="000000"/>
          <w:spacing w:val="0"/>
          <w:w w:val="100"/>
          <w:position w:val="0"/>
        </w:rPr>
        <w:t>16,335,852.57</w:t>
      </w:r>
    </w:p>
    <w:p>
      <w:pPr>
        <w:pStyle w:val="Style50"/>
        <w:keepNext w:val="0"/>
        <w:keepLines w:val="0"/>
        <w:framePr w:w="984" w:h="226" w:wrap="none" w:hAnchor="page" w:x="8738" w:y="5128"/>
        <w:widowControl w:val="0"/>
        <w:shd w:val="clear" w:color="auto" w:fill="auto"/>
        <w:bidi w:val="0"/>
        <w:spacing w:before="0" w:after="0" w:line="240" w:lineRule="auto"/>
        <w:ind w:left="0" w:right="0" w:firstLine="0"/>
        <w:jc w:val="left"/>
      </w:pPr>
      <w:r>
        <w:rPr>
          <w:color w:val="000000"/>
          <w:spacing w:val="0"/>
          <w:w w:val="100"/>
          <w:position w:val="0"/>
        </w:rPr>
        <w:t>3,319,105.94</w:t>
      </w:r>
    </w:p>
    <w:p>
      <w:pPr>
        <w:pStyle w:val="Style50"/>
        <w:keepNext w:val="0"/>
        <w:keepLines w:val="0"/>
        <w:framePr w:w="984" w:h="226" w:wrap="none" w:hAnchor="page" w:x="8738" w:y="8810"/>
        <w:widowControl w:val="0"/>
        <w:shd w:val="clear" w:color="auto" w:fill="auto"/>
        <w:bidi w:val="0"/>
        <w:spacing w:before="0" w:after="0" w:line="240" w:lineRule="auto"/>
        <w:ind w:left="0" w:right="0" w:firstLine="0"/>
        <w:jc w:val="left"/>
      </w:pPr>
      <w:r>
        <w:rPr>
          <w:color w:val="000000"/>
          <w:spacing w:val="0"/>
          <w:w w:val="100"/>
          <w:position w:val="0"/>
        </w:rPr>
        <w:t>3,319,105.94</w:t>
      </w:r>
    </w:p>
    <w:p>
      <w:pPr>
        <w:pStyle w:val="Style50"/>
        <w:keepNext w:val="0"/>
        <w:keepLines w:val="0"/>
        <w:framePr w:w="984" w:h="226" w:wrap="none" w:hAnchor="page" w:x="8738" w:y="9213"/>
        <w:widowControl w:val="0"/>
        <w:shd w:val="clear" w:color="auto" w:fill="auto"/>
        <w:bidi w:val="0"/>
        <w:spacing w:before="0" w:after="0" w:line="240" w:lineRule="auto"/>
        <w:ind w:left="0" w:right="0" w:firstLine="0"/>
        <w:jc w:val="left"/>
      </w:pPr>
      <w:r>
        <w:rPr>
          <w:color w:val="000000"/>
          <w:spacing w:val="0"/>
          <w:w w:val="100"/>
          <w:position w:val="0"/>
        </w:rPr>
        <w:t>3,319,105.94</w:t>
      </w:r>
    </w:p>
    <w:p>
      <w:pPr>
        <w:pStyle w:val="Style50"/>
        <w:keepNext w:val="0"/>
        <w:keepLines w:val="0"/>
        <w:framePr w:w="1157" w:h="226" w:wrap="none" w:hAnchor="page" w:x="11075" w:y="4571"/>
        <w:widowControl w:val="0"/>
        <w:shd w:val="clear" w:color="auto" w:fill="auto"/>
        <w:bidi w:val="0"/>
        <w:spacing w:before="0" w:after="0" w:line="240" w:lineRule="auto"/>
        <w:ind w:left="0" w:right="0" w:firstLine="0"/>
        <w:jc w:val="right"/>
      </w:pPr>
      <w:r>
        <w:rPr>
          <w:color w:val="000000"/>
          <w:spacing w:val="0"/>
          <w:w w:val="100"/>
          <w:position w:val="0"/>
        </w:rPr>
        <w:t>130,203,333.39</w:t>
      </w:r>
    </w:p>
    <w:p>
      <w:pPr>
        <w:pStyle w:val="Style50"/>
        <w:keepNext w:val="0"/>
        <w:keepLines w:val="0"/>
        <w:framePr w:w="1085" w:h="226" w:wrap="none" w:hAnchor="page" w:x="11147" w:y="5128"/>
        <w:widowControl w:val="0"/>
        <w:shd w:val="clear" w:color="auto" w:fill="auto"/>
        <w:bidi w:val="0"/>
        <w:spacing w:before="0" w:after="0" w:line="240" w:lineRule="auto"/>
        <w:ind w:left="0" w:right="0" w:firstLine="0"/>
        <w:jc w:val="right"/>
      </w:pPr>
      <w:r>
        <w:rPr>
          <w:color w:val="000000"/>
          <w:spacing w:val="0"/>
          <w:w w:val="100"/>
          <w:position w:val="0"/>
        </w:rPr>
        <w:t>22,764,176.80</w:t>
      </w:r>
    </w:p>
    <w:p>
      <w:pPr>
        <w:pStyle w:val="Style50"/>
        <w:keepNext w:val="0"/>
        <w:keepLines w:val="0"/>
        <w:framePr w:w="1075" w:h="226" w:wrap="none" w:hAnchor="page" w:x="11157" w:y="5685"/>
        <w:widowControl w:val="0"/>
        <w:shd w:val="clear" w:color="auto" w:fill="auto"/>
        <w:bidi w:val="0"/>
        <w:spacing w:before="0" w:after="0" w:line="240" w:lineRule="auto"/>
        <w:ind w:left="0" w:right="0" w:firstLine="0"/>
        <w:jc w:val="right"/>
      </w:pPr>
      <w:r>
        <w:rPr>
          <w:color w:val="000000"/>
          <w:spacing w:val="0"/>
          <w:w w:val="100"/>
          <w:position w:val="0"/>
        </w:rPr>
        <w:t>31,963,282.74</w:t>
      </w:r>
    </w:p>
    <w:p>
      <w:pPr>
        <w:pStyle w:val="Style50"/>
        <w:keepNext w:val="0"/>
        <w:keepLines w:val="0"/>
        <w:framePr w:w="1075" w:h="226" w:wrap="none" w:hAnchor="page" w:x="11157" w:y="6491"/>
        <w:widowControl w:val="0"/>
        <w:shd w:val="clear" w:color="auto" w:fill="auto"/>
        <w:bidi w:val="0"/>
        <w:spacing w:before="0" w:after="0" w:line="240" w:lineRule="auto"/>
        <w:ind w:left="0" w:right="0" w:firstLine="0"/>
        <w:jc w:val="right"/>
      </w:pPr>
      <w:r>
        <w:rPr>
          <w:color w:val="000000"/>
          <w:spacing w:val="0"/>
          <w:w w:val="100"/>
          <w:position w:val="0"/>
        </w:rPr>
        <w:t>31,963,282.74</w:t>
      </w:r>
    </w:p>
    <w:p>
      <w:pPr>
        <w:pStyle w:val="Style50"/>
        <w:keepNext w:val="0"/>
        <w:keepLines w:val="0"/>
        <w:framePr w:w="1051" w:h="226" w:wrap="none" w:hAnchor="page" w:x="11181" w:y="8810"/>
        <w:widowControl w:val="0"/>
        <w:shd w:val="clear" w:color="auto" w:fill="auto"/>
        <w:bidi w:val="0"/>
        <w:spacing w:before="0" w:after="0" w:line="240" w:lineRule="auto"/>
        <w:ind w:left="0" w:right="0" w:firstLine="0"/>
        <w:jc w:val="left"/>
      </w:pPr>
      <w:r>
        <w:rPr>
          <w:color w:val="000000"/>
          <w:spacing w:val="0"/>
          <w:w w:val="100"/>
          <w:position w:val="0"/>
        </w:rPr>
        <w:t>-9,199,105.94</w:t>
      </w:r>
    </w:p>
    <w:p>
      <w:pPr>
        <w:pStyle w:val="Style50"/>
        <w:keepNext w:val="0"/>
        <w:keepLines w:val="0"/>
        <w:framePr w:w="1051" w:h="226" w:wrap="none" w:hAnchor="page" w:x="11181" w:y="9213"/>
        <w:widowControl w:val="0"/>
        <w:shd w:val="clear" w:color="auto" w:fill="auto"/>
        <w:bidi w:val="0"/>
        <w:spacing w:before="0" w:after="0" w:line="240" w:lineRule="auto"/>
        <w:ind w:left="0" w:right="0" w:firstLine="0"/>
        <w:jc w:val="left"/>
      </w:pPr>
      <w:r>
        <w:rPr>
          <w:color w:val="000000"/>
          <w:spacing w:val="0"/>
          <w:w w:val="100"/>
          <w:position w:val="0"/>
        </w:rPr>
        <w:t>-3,319,105.94</w:t>
      </w:r>
    </w:p>
    <w:p>
      <w:pPr>
        <w:pStyle w:val="Style50"/>
        <w:keepNext w:val="0"/>
        <w:keepLines w:val="0"/>
        <w:framePr w:w="998" w:h="226" w:wrap="none" w:hAnchor="page" w:x="13077" w:y="4571"/>
        <w:widowControl w:val="0"/>
        <w:shd w:val="clear" w:color="auto" w:fill="auto"/>
        <w:bidi w:val="0"/>
        <w:spacing w:before="0" w:after="0" w:line="240" w:lineRule="auto"/>
        <w:ind w:left="0" w:right="0" w:firstLine="0"/>
        <w:jc w:val="left"/>
      </w:pPr>
      <w:r>
        <w:rPr>
          <w:color w:val="000000"/>
          <w:spacing w:val="0"/>
          <w:w w:val="100"/>
          <w:position w:val="0"/>
        </w:rPr>
        <w:t>2,000,000.00</w:t>
      </w:r>
    </w:p>
    <w:p>
      <w:pPr>
        <w:pStyle w:val="Style50"/>
        <w:keepNext w:val="0"/>
        <w:keepLines w:val="0"/>
        <w:framePr w:w="998" w:h="226" w:wrap="none" w:hAnchor="page" w:x="13077" w:y="5128"/>
        <w:widowControl w:val="0"/>
        <w:shd w:val="clear" w:color="auto" w:fill="auto"/>
        <w:bidi w:val="0"/>
        <w:spacing w:before="0" w:after="0" w:line="240" w:lineRule="auto"/>
        <w:ind w:left="0" w:right="0" w:firstLine="0"/>
        <w:jc w:val="left"/>
      </w:pPr>
      <w:r>
        <w:rPr>
          <w:color w:val="000000"/>
          <w:spacing w:val="0"/>
          <w:w w:val="100"/>
          <w:position w:val="0"/>
        </w:rPr>
        <w:t>2,010,574.32</w:t>
      </w:r>
    </w:p>
    <w:p>
      <w:pPr>
        <w:pStyle w:val="Style50"/>
        <w:keepNext w:val="0"/>
        <w:keepLines w:val="0"/>
        <w:framePr w:w="754" w:h="226" w:wrap="none" w:hAnchor="page" w:x="13322" w:y="5685"/>
        <w:widowControl w:val="0"/>
        <w:shd w:val="clear" w:color="auto" w:fill="auto"/>
        <w:bidi w:val="0"/>
        <w:spacing w:before="0" w:after="0" w:line="240" w:lineRule="auto"/>
        <w:ind w:left="0" w:right="0" w:firstLine="0"/>
        <w:jc w:val="right"/>
      </w:pPr>
      <w:r>
        <w:rPr>
          <w:color w:val="000000"/>
          <w:spacing w:val="0"/>
          <w:w w:val="100"/>
          <w:position w:val="0"/>
        </w:rPr>
        <w:t>10,574.32</w:t>
      </w:r>
    </w:p>
    <w:p>
      <w:pPr>
        <w:pStyle w:val="Style50"/>
        <w:keepNext w:val="0"/>
        <w:keepLines w:val="0"/>
        <w:framePr w:w="754" w:h="226" w:wrap="none" w:hAnchor="page" w:x="13322" w:y="6491"/>
        <w:widowControl w:val="0"/>
        <w:shd w:val="clear" w:color="auto" w:fill="auto"/>
        <w:bidi w:val="0"/>
        <w:spacing w:before="0" w:after="0" w:line="240" w:lineRule="auto"/>
        <w:ind w:left="0" w:right="0" w:firstLine="0"/>
        <w:jc w:val="right"/>
      </w:pPr>
      <w:r>
        <w:rPr>
          <w:color w:val="000000"/>
          <w:spacing w:val="0"/>
          <w:w w:val="100"/>
          <w:position w:val="0"/>
        </w:rPr>
        <w:t>10,574.32</w:t>
      </w:r>
    </w:p>
    <w:p>
      <w:pPr>
        <w:pStyle w:val="Style50"/>
        <w:keepNext w:val="0"/>
        <w:keepLines w:val="0"/>
        <w:framePr w:w="998" w:h="226" w:wrap="none" w:hAnchor="page" w:x="13077" w:y="6890"/>
        <w:widowControl w:val="0"/>
        <w:shd w:val="clear" w:color="auto" w:fill="auto"/>
        <w:bidi w:val="0"/>
        <w:spacing w:before="0" w:after="0" w:line="240" w:lineRule="auto"/>
        <w:ind w:left="0" w:right="0" w:firstLine="0"/>
        <w:jc w:val="left"/>
      </w:pPr>
      <w:r>
        <w:rPr>
          <w:color w:val="000000"/>
          <w:spacing w:val="0"/>
          <w:w w:val="100"/>
          <w:position w:val="0"/>
        </w:rPr>
        <w:t>2,000,000.00</w:t>
      </w:r>
    </w:p>
    <w:p>
      <w:pPr>
        <w:pStyle w:val="Style50"/>
        <w:keepNext w:val="0"/>
        <w:keepLines w:val="0"/>
        <w:framePr w:w="998" w:h="226" w:wrap="none" w:hAnchor="page" w:x="13077" w:y="7293"/>
        <w:widowControl w:val="0"/>
        <w:shd w:val="clear" w:color="auto" w:fill="auto"/>
        <w:bidi w:val="0"/>
        <w:spacing w:before="0" w:after="0" w:line="240" w:lineRule="auto"/>
        <w:ind w:left="0" w:right="0" w:firstLine="0"/>
        <w:jc w:val="left"/>
      </w:pPr>
      <w:r>
        <w:rPr>
          <w:color w:val="000000"/>
          <w:spacing w:val="0"/>
          <w:w w:val="100"/>
          <w:position w:val="0"/>
        </w:rPr>
        <w:t>2,000,000.00</w:t>
      </w:r>
    </w:p>
    <w:p>
      <w:pPr>
        <w:pStyle w:val="Style50"/>
        <w:keepNext w:val="0"/>
        <w:keepLines w:val="0"/>
        <w:framePr w:w="1166" w:h="226" w:wrap="none" w:hAnchor="page" w:x="14325" w:y="4571"/>
        <w:widowControl w:val="0"/>
        <w:shd w:val="clear" w:color="auto" w:fill="auto"/>
        <w:bidi w:val="0"/>
        <w:spacing w:before="0" w:after="0" w:line="240" w:lineRule="auto"/>
        <w:ind w:left="0" w:right="0" w:firstLine="0"/>
        <w:jc w:val="left"/>
      </w:pPr>
      <w:r>
        <w:rPr>
          <w:color w:val="000000"/>
          <w:spacing w:val="0"/>
          <w:w w:val="100"/>
          <w:position w:val="0"/>
        </w:rPr>
        <w:t>656,782,417.63</w:t>
      </w:r>
    </w:p>
    <w:p>
      <w:pPr>
        <w:pStyle w:val="Style50"/>
        <w:keepNext w:val="0"/>
        <w:keepLines w:val="0"/>
        <w:framePr w:w="1085" w:h="226" w:wrap="none" w:hAnchor="page" w:x="14411" w:y="5128"/>
        <w:widowControl w:val="0"/>
        <w:shd w:val="clear" w:color="auto" w:fill="auto"/>
        <w:bidi w:val="0"/>
        <w:spacing w:before="0" w:after="0" w:line="240" w:lineRule="auto"/>
        <w:ind w:left="0" w:right="0" w:firstLine="0"/>
        <w:jc w:val="left"/>
      </w:pPr>
      <w:r>
        <w:rPr>
          <w:color w:val="000000"/>
          <w:spacing w:val="0"/>
          <w:w w:val="100"/>
          <w:position w:val="0"/>
        </w:rPr>
        <w:t>28,093,857.06</w:t>
      </w:r>
    </w:p>
    <w:p>
      <w:pPr>
        <w:pStyle w:val="Style50"/>
        <w:keepNext w:val="0"/>
        <w:keepLines w:val="0"/>
        <w:framePr w:w="1075" w:h="226" w:wrap="none" w:hAnchor="page" w:x="14421" w:y="5685"/>
        <w:widowControl w:val="0"/>
        <w:shd w:val="clear" w:color="auto" w:fill="auto"/>
        <w:bidi w:val="0"/>
        <w:spacing w:before="0" w:after="0" w:line="240" w:lineRule="auto"/>
        <w:ind w:left="0" w:right="0" w:firstLine="0"/>
        <w:jc w:val="left"/>
      </w:pPr>
      <w:r>
        <w:rPr>
          <w:color w:val="000000"/>
          <w:spacing w:val="0"/>
          <w:w w:val="100"/>
          <w:position w:val="0"/>
        </w:rPr>
        <w:t>31,973,857.06</w:t>
      </w:r>
    </w:p>
    <w:p>
      <w:pPr>
        <w:pStyle w:val="Style50"/>
        <w:keepNext w:val="0"/>
        <w:keepLines w:val="0"/>
        <w:framePr w:w="1075" w:h="226" w:wrap="none" w:hAnchor="page" w:x="14421" w:y="6491"/>
        <w:widowControl w:val="0"/>
        <w:shd w:val="clear" w:color="auto" w:fill="auto"/>
        <w:bidi w:val="0"/>
        <w:spacing w:before="0" w:after="0" w:line="240" w:lineRule="auto"/>
        <w:ind w:left="0" w:right="0" w:firstLine="0"/>
        <w:jc w:val="left"/>
      </w:pPr>
      <w:r>
        <w:rPr>
          <w:color w:val="000000"/>
          <w:spacing w:val="0"/>
          <w:w w:val="100"/>
          <w:position w:val="0"/>
        </w:rPr>
        <w:t>31,973,857.06</w:t>
      </w:r>
    </w:p>
    <w:p>
      <w:pPr>
        <w:pStyle w:val="Style50"/>
        <w:keepNext w:val="0"/>
        <w:keepLines w:val="0"/>
        <w:framePr w:w="998" w:h="226" w:wrap="none" w:hAnchor="page" w:x="14498" w:y="6890"/>
        <w:widowControl w:val="0"/>
        <w:shd w:val="clear" w:color="auto" w:fill="auto"/>
        <w:bidi w:val="0"/>
        <w:spacing w:before="0" w:after="0" w:line="240" w:lineRule="auto"/>
        <w:ind w:left="0" w:right="0" w:firstLine="0"/>
        <w:jc w:val="left"/>
      </w:pPr>
      <w:r>
        <w:rPr>
          <w:color w:val="000000"/>
          <w:spacing w:val="0"/>
          <w:w w:val="100"/>
          <w:position w:val="0"/>
        </w:rPr>
        <w:t>2,000,000.00</w:t>
      </w:r>
    </w:p>
    <w:p>
      <w:pPr>
        <w:pStyle w:val="Style50"/>
        <w:keepNext w:val="0"/>
        <w:keepLines w:val="0"/>
        <w:framePr w:w="998" w:h="226" w:wrap="none" w:hAnchor="page" w:x="14498" w:y="7293"/>
        <w:widowControl w:val="0"/>
        <w:shd w:val="clear" w:color="auto" w:fill="auto"/>
        <w:bidi w:val="0"/>
        <w:spacing w:before="0" w:after="0" w:line="240" w:lineRule="auto"/>
        <w:ind w:left="0" w:right="0" w:firstLine="0"/>
        <w:jc w:val="left"/>
      </w:pPr>
      <w:r>
        <w:rPr>
          <w:color w:val="000000"/>
          <w:spacing w:val="0"/>
          <w:w w:val="100"/>
          <w:position w:val="0"/>
        </w:rPr>
        <w:t>2,000,000.00</w:t>
      </w:r>
    </w:p>
    <w:p>
      <w:pPr>
        <w:pStyle w:val="Style50"/>
        <w:keepNext w:val="0"/>
        <w:keepLines w:val="0"/>
        <w:framePr w:w="1051" w:h="226" w:wrap="none" w:hAnchor="page" w:x="14445" w:y="8810"/>
        <w:widowControl w:val="0"/>
        <w:shd w:val="clear" w:color="auto" w:fill="auto"/>
        <w:bidi w:val="0"/>
        <w:spacing w:before="0" w:after="0" w:line="240" w:lineRule="auto"/>
        <w:ind w:left="0" w:right="0" w:firstLine="0"/>
        <w:jc w:val="left"/>
      </w:pPr>
      <w:r>
        <w:rPr>
          <w:color w:val="000000"/>
          <w:spacing w:val="0"/>
          <w:w w:val="100"/>
          <w:position w:val="0"/>
        </w:rPr>
        <w:t>-5,880,000.00</w:t>
      </w:r>
    </w:p>
    <w:p>
      <w:pPr>
        <w:widowControl w:val="0"/>
        <w:spacing w:line="360" w:lineRule="exact"/>
      </w:pPr>
      <w:r>
        <w:drawing>
          <wp:anchor distT="0" distB="0" distL="0" distR="0" simplePos="0" relativeHeight="62914714" behindDoc="1" locked="0" layoutInCell="1" allowOverlap="1">
            <wp:simplePos x="0" y="0"/>
            <wp:positionH relativeFrom="page">
              <wp:posOffset>2420620</wp:posOffset>
            </wp:positionH>
            <wp:positionV relativeFrom="margin">
              <wp:posOffset>2076450</wp:posOffset>
            </wp:positionV>
            <wp:extent cx="1017905" cy="255905"/>
            <wp:wrapNone/>
            <wp:docPr id="67" name="Shape 67"/>
            <a:graphic xmlns:a="http://schemas.openxmlformats.org/drawingml/2006/main">
              <a:graphicData uri="http://schemas.openxmlformats.org/drawingml/2006/picture">
                <pic:pic xmlns:pic="http://schemas.openxmlformats.org/drawingml/2006/picture">
                  <pic:nvPicPr>
                    <pic:cNvPr id="68" name="Picture box 68"/>
                    <pic:cNvPicPr/>
                  </pic:nvPicPr>
                  <pic:blipFill>
                    <a:blip r:embed="rId19"/>
                    <a:stretch/>
                  </pic:blipFill>
                  <pic:spPr>
                    <a:xfrm>
                      <a:ext cx="1017905" cy="255905"/>
                    </a:xfrm>
                    <a:prstGeom prst="rect"/>
                  </pic:spPr>
                </pic:pic>
              </a:graphicData>
            </a:graphic>
          </wp:anchor>
        </w:drawing>
      </w:r>
      <w:r>
        <w:drawing>
          <wp:anchor distT="0" distB="0" distL="0" distR="0" simplePos="0" relativeHeight="62914715" behindDoc="1" locked="0" layoutInCell="1" allowOverlap="1">
            <wp:simplePos x="0" y="0"/>
            <wp:positionH relativeFrom="page">
              <wp:posOffset>3438525</wp:posOffset>
            </wp:positionH>
            <wp:positionV relativeFrom="margin">
              <wp:posOffset>2076450</wp:posOffset>
            </wp:positionV>
            <wp:extent cx="804545" cy="255905"/>
            <wp:wrapNone/>
            <wp:docPr id="69" name="Shape 69"/>
            <a:graphic xmlns:a="http://schemas.openxmlformats.org/drawingml/2006/main">
              <a:graphicData uri="http://schemas.openxmlformats.org/drawingml/2006/picture">
                <pic:pic xmlns:pic="http://schemas.openxmlformats.org/drawingml/2006/picture">
                  <pic:nvPicPr>
                    <pic:cNvPr id="70" name="Picture box 70"/>
                    <pic:cNvPicPr/>
                  </pic:nvPicPr>
                  <pic:blipFill>
                    <a:blip r:embed="rId21"/>
                    <a:stretch/>
                  </pic:blipFill>
                  <pic:spPr>
                    <a:xfrm>
                      <a:ext cx="804545" cy="255905"/>
                    </a:xfrm>
                    <a:prstGeom prst="rect"/>
                  </pic:spPr>
                </pic:pic>
              </a:graphicData>
            </a:graphic>
          </wp:anchor>
        </w:drawing>
      </w:r>
      <w:r>
        <w:drawing>
          <wp:anchor distT="0" distB="0" distL="0" distR="0" simplePos="0" relativeHeight="62914716" behindDoc="1" locked="0" layoutInCell="1" allowOverlap="1">
            <wp:simplePos x="0" y="0"/>
            <wp:positionH relativeFrom="page">
              <wp:posOffset>2420620</wp:posOffset>
            </wp:positionH>
            <wp:positionV relativeFrom="margin">
              <wp:posOffset>2332355</wp:posOffset>
            </wp:positionV>
            <wp:extent cx="1017905" cy="250190"/>
            <wp:wrapNone/>
            <wp:docPr id="71" name="Shape 71"/>
            <a:graphic xmlns:a="http://schemas.openxmlformats.org/drawingml/2006/main">
              <a:graphicData uri="http://schemas.openxmlformats.org/drawingml/2006/picture">
                <pic:pic xmlns:pic="http://schemas.openxmlformats.org/drawingml/2006/picture">
                  <pic:nvPicPr>
                    <pic:cNvPr id="72" name="Picture box 72"/>
                    <pic:cNvPicPr/>
                  </pic:nvPicPr>
                  <pic:blipFill>
                    <a:blip r:embed="rId23"/>
                    <a:stretch/>
                  </pic:blipFill>
                  <pic:spPr>
                    <a:xfrm>
                      <a:ext cx="1017905" cy="250190"/>
                    </a:xfrm>
                    <a:prstGeom prst="rect"/>
                  </pic:spPr>
                </pic:pic>
              </a:graphicData>
            </a:graphic>
          </wp:anchor>
        </w:drawing>
      </w:r>
      <w:r>
        <w:drawing>
          <wp:anchor distT="0" distB="0" distL="0" distR="0" simplePos="0" relativeHeight="62914717" behindDoc="1" locked="0" layoutInCell="1" allowOverlap="1">
            <wp:simplePos x="0" y="0"/>
            <wp:positionH relativeFrom="page">
              <wp:posOffset>3438525</wp:posOffset>
            </wp:positionH>
            <wp:positionV relativeFrom="margin">
              <wp:posOffset>2332355</wp:posOffset>
            </wp:positionV>
            <wp:extent cx="804545" cy="250190"/>
            <wp:wrapNone/>
            <wp:docPr id="73" name="Shape 73"/>
            <a:graphic xmlns:a="http://schemas.openxmlformats.org/drawingml/2006/main">
              <a:graphicData uri="http://schemas.openxmlformats.org/drawingml/2006/picture">
                <pic:pic xmlns:pic="http://schemas.openxmlformats.org/drawingml/2006/picture">
                  <pic:nvPicPr>
                    <pic:cNvPr id="74" name="Picture box 74"/>
                    <pic:cNvPicPr/>
                  </pic:nvPicPr>
                  <pic:blipFill>
                    <a:blip r:embed="rId25"/>
                    <a:stretch/>
                  </pic:blipFill>
                  <pic:spPr>
                    <a:xfrm>
                      <a:ext cx="804545" cy="250190"/>
                    </a:xfrm>
                    <a:prstGeom prst="rect"/>
                  </pic:spPr>
                </pic:pic>
              </a:graphicData>
            </a:graphic>
          </wp:anchor>
        </w:drawing>
      </w:r>
      <w:r>
        <w:drawing>
          <wp:anchor distT="0" distB="0" distL="0" distR="0" simplePos="0" relativeHeight="62914718" behindDoc="1" locked="0" layoutInCell="1" allowOverlap="1">
            <wp:simplePos x="0" y="0"/>
            <wp:positionH relativeFrom="page">
              <wp:posOffset>2420620</wp:posOffset>
            </wp:positionH>
            <wp:positionV relativeFrom="margin">
              <wp:posOffset>2585085</wp:posOffset>
            </wp:positionV>
            <wp:extent cx="1017905" cy="255905"/>
            <wp:wrapNone/>
            <wp:docPr id="75" name="Shape 75"/>
            <a:graphic xmlns:a="http://schemas.openxmlformats.org/drawingml/2006/main">
              <a:graphicData uri="http://schemas.openxmlformats.org/drawingml/2006/picture">
                <pic:pic xmlns:pic="http://schemas.openxmlformats.org/drawingml/2006/picture">
                  <pic:nvPicPr>
                    <pic:cNvPr id="76" name="Picture box 76"/>
                    <pic:cNvPicPr/>
                  </pic:nvPicPr>
                  <pic:blipFill>
                    <a:blip r:embed="rId27"/>
                    <a:stretch/>
                  </pic:blipFill>
                  <pic:spPr>
                    <a:xfrm>
                      <a:ext cx="1017905" cy="255905"/>
                    </a:xfrm>
                    <a:prstGeom prst="rect"/>
                  </pic:spPr>
                </pic:pic>
              </a:graphicData>
            </a:graphic>
          </wp:anchor>
        </w:drawing>
      </w:r>
      <w:r>
        <w:drawing>
          <wp:anchor distT="0" distB="0" distL="0" distR="0" simplePos="0" relativeHeight="62914719" behindDoc="1" locked="0" layoutInCell="1" allowOverlap="1">
            <wp:simplePos x="0" y="0"/>
            <wp:positionH relativeFrom="page">
              <wp:posOffset>3438525</wp:posOffset>
            </wp:positionH>
            <wp:positionV relativeFrom="margin">
              <wp:posOffset>2585085</wp:posOffset>
            </wp:positionV>
            <wp:extent cx="804545" cy="255905"/>
            <wp:wrapNone/>
            <wp:docPr id="77" name="Shape 77"/>
            <a:graphic xmlns:a="http://schemas.openxmlformats.org/drawingml/2006/main">
              <a:graphicData uri="http://schemas.openxmlformats.org/drawingml/2006/picture">
                <pic:pic xmlns:pic="http://schemas.openxmlformats.org/drawingml/2006/picture">
                  <pic:nvPicPr>
                    <pic:cNvPr id="78" name="Picture box 78"/>
                    <pic:cNvPicPr/>
                  </pic:nvPicPr>
                  <pic:blipFill>
                    <a:blip r:embed="rId29"/>
                    <a:stretch/>
                  </pic:blipFill>
                  <pic:spPr>
                    <a:xfrm>
                      <a:ext cx="804545" cy="255905"/>
                    </a:xfrm>
                    <a:prstGeom prst="rect"/>
                  </pic:spPr>
                </pic:pic>
              </a:graphicData>
            </a:graphic>
          </wp:anchor>
        </w:drawing>
      </w:r>
      <w:r>
        <w:drawing>
          <wp:anchor distT="0" distB="0" distL="0" distR="0" simplePos="0" relativeHeight="62914720" behindDoc="1" locked="0" layoutInCell="1" allowOverlap="1">
            <wp:simplePos x="0" y="0"/>
            <wp:positionH relativeFrom="page">
              <wp:posOffset>4246245</wp:posOffset>
            </wp:positionH>
            <wp:positionV relativeFrom="margin">
              <wp:posOffset>1819910</wp:posOffset>
            </wp:positionV>
            <wp:extent cx="628015" cy="255905"/>
            <wp:wrapNone/>
            <wp:docPr id="79" name="Shape 79"/>
            <a:graphic xmlns:a="http://schemas.openxmlformats.org/drawingml/2006/main">
              <a:graphicData uri="http://schemas.openxmlformats.org/drawingml/2006/picture">
                <pic:pic xmlns:pic="http://schemas.openxmlformats.org/drawingml/2006/picture">
                  <pic:nvPicPr>
                    <pic:cNvPr id="80" name="Picture box 80"/>
                    <pic:cNvPicPr/>
                  </pic:nvPicPr>
                  <pic:blipFill>
                    <a:blip r:embed="rId31"/>
                    <a:stretch/>
                  </pic:blipFill>
                  <pic:spPr>
                    <a:xfrm>
                      <a:ext cx="628015" cy="255905"/>
                    </a:xfrm>
                    <a:prstGeom prst="rect"/>
                  </pic:spPr>
                </pic:pic>
              </a:graphicData>
            </a:graphic>
          </wp:anchor>
        </w:drawing>
      </w:r>
      <w:r>
        <w:drawing>
          <wp:anchor distT="0" distB="0" distL="0" distR="0" simplePos="0" relativeHeight="62914721" behindDoc="1" locked="0" layoutInCell="1" allowOverlap="1">
            <wp:simplePos x="0" y="0"/>
            <wp:positionH relativeFrom="page">
              <wp:posOffset>4246245</wp:posOffset>
            </wp:positionH>
            <wp:positionV relativeFrom="margin">
              <wp:posOffset>2076450</wp:posOffset>
            </wp:positionV>
            <wp:extent cx="628015" cy="255905"/>
            <wp:wrapNone/>
            <wp:docPr id="81" name="Shape 81"/>
            <a:graphic xmlns:a="http://schemas.openxmlformats.org/drawingml/2006/main">
              <a:graphicData uri="http://schemas.openxmlformats.org/drawingml/2006/picture">
                <pic:pic xmlns:pic="http://schemas.openxmlformats.org/drawingml/2006/picture">
                  <pic:nvPicPr>
                    <pic:cNvPr id="82" name="Picture box 82"/>
                    <pic:cNvPicPr/>
                  </pic:nvPicPr>
                  <pic:blipFill>
                    <a:blip r:embed="rId33"/>
                    <a:stretch/>
                  </pic:blipFill>
                  <pic:spPr>
                    <a:xfrm>
                      <a:ext cx="628015" cy="255905"/>
                    </a:xfrm>
                    <a:prstGeom prst="rect"/>
                  </pic:spPr>
                </pic:pic>
              </a:graphicData>
            </a:graphic>
          </wp:anchor>
        </w:drawing>
      </w:r>
      <w:r>
        <w:drawing>
          <wp:anchor distT="0" distB="0" distL="0" distR="0" simplePos="0" relativeHeight="62914722" behindDoc="1" locked="0" layoutInCell="1" allowOverlap="1">
            <wp:simplePos x="0" y="0"/>
            <wp:positionH relativeFrom="page">
              <wp:posOffset>4246245</wp:posOffset>
            </wp:positionH>
            <wp:positionV relativeFrom="margin">
              <wp:posOffset>2332355</wp:posOffset>
            </wp:positionV>
            <wp:extent cx="628015" cy="250190"/>
            <wp:wrapNone/>
            <wp:docPr id="83" name="Shape 83"/>
            <a:graphic xmlns:a="http://schemas.openxmlformats.org/drawingml/2006/main">
              <a:graphicData uri="http://schemas.openxmlformats.org/drawingml/2006/picture">
                <pic:pic xmlns:pic="http://schemas.openxmlformats.org/drawingml/2006/picture">
                  <pic:nvPicPr>
                    <pic:cNvPr id="84" name="Picture box 84"/>
                    <pic:cNvPicPr/>
                  </pic:nvPicPr>
                  <pic:blipFill>
                    <a:blip r:embed="rId35"/>
                    <a:stretch/>
                  </pic:blipFill>
                  <pic:spPr>
                    <a:xfrm>
                      <a:ext cx="628015" cy="250190"/>
                    </a:xfrm>
                    <a:prstGeom prst="rect"/>
                  </pic:spPr>
                </pic:pic>
              </a:graphicData>
            </a:graphic>
          </wp:anchor>
        </w:drawing>
      </w:r>
      <w:r>
        <w:drawing>
          <wp:anchor distT="0" distB="0" distL="0" distR="0" simplePos="0" relativeHeight="62914723" behindDoc="1" locked="0" layoutInCell="1" allowOverlap="1">
            <wp:simplePos x="0" y="0"/>
            <wp:positionH relativeFrom="page">
              <wp:posOffset>4246245</wp:posOffset>
            </wp:positionH>
            <wp:positionV relativeFrom="margin">
              <wp:posOffset>2585085</wp:posOffset>
            </wp:positionV>
            <wp:extent cx="628015" cy="255905"/>
            <wp:wrapNone/>
            <wp:docPr id="85" name="Shape 85"/>
            <a:graphic xmlns:a="http://schemas.openxmlformats.org/drawingml/2006/main">
              <a:graphicData uri="http://schemas.openxmlformats.org/drawingml/2006/picture">
                <pic:pic xmlns:pic="http://schemas.openxmlformats.org/drawingml/2006/picture">
                  <pic:nvPicPr>
                    <pic:cNvPr id="86" name="Picture box 86"/>
                    <pic:cNvPicPr/>
                  </pic:nvPicPr>
                  <pic:blipFill>
                    <a:blip r:embed="rId37"/>
                    <a:stretch/>
                  </pic:blipFill>
                  <pic:spPr>
                    <a:xfrm>
                      <a:ext cx="628015" cy="255905"/>
                    </a:xfrm>
                    <a:prstGeom prst="rect"/>
                  </pic:spPr>
                </pic:pic>
              </a:graphicData>
            </a:graphic>
          </wp:anchor>
        </w:drawing>
      </w:r>
      <w:r>
        <w:drawing>
          <wp:anchor distT="0" distB="0" distL="0" distR="0" simplePos="0" relativeHeight="62914724" behindDoc="1" locked="0" layoutInCell="1" allowOverlap="1">
            <wp:simplePos x="0" y="0"/>
            <wp:positionH relativeFrom="page">
              <wp:posOffset>4877435</wp:posOffset>
            </wp:positionH>
            <wp:positionV relativeFrom="margin">
              <wp:posOffset>1819910</wp:posOffset>
            </wp:positionV>
            <wp:extent cx="554990" cy="255905"/>
            <wp:wrapNone/>
            <wp:docPr id="87" name="Shape 87"/>
            <a:graphic xmlns:a="http://schemas.openxmlformats.org/drawingml/2006/main">
              <a:graphicData uri="http://schemas.openxmlformats.org/drawingml/2006/picture">
                <pic:pic xmlns:pic="http://schemas.openxmlformats.org/drawingml/2006/picture">
                  <pic:nvPicPr>
                    <pic:cNvPr id="88" name="Picture box 88"/>
                    <pic:cNvPicPr/>
                  </pic:nvPicPr>
                  <pic:blipFill>
                    <a:blip r:embed="rId39"/>
                    <a:stretch/>
                  </pic:blipFill>
                  <pic:spPr>
                    <a:xfrm>
                      <a:ext cx="554990" cy="255905"/>
                    </a:xfrm>
                    <a:prstGeom prst="rect"/>
                  </pic:spPr>
                </pic:pic>
              </a:graphicData>
            </a:graphic>
          </wp:anchor>
        </w:drawing>
      </w:r>
      <w:r>
        <w:drawing>
          <wp:anchor distT="0" distB="0" distL="0" distR="0" simplePos="0" relativeHeight="62914725" behindDoc="1" locked="0" layoutInCell="1" allowOverlap="1">
            <wp:simplePos x="0" y="0"/>
            <wp:positionH relativeFrom="page">
              <wp:posOffset>4877435</wp:posOffset>
            </wp:positionH>
            <wp:positionV relativeFrom="margin">
              <wp:posOffset>2076450</wp:posOffset>
            </wp:positionV>
            <wp:extent cx="554990" cy="255905"/>
            <wp:wrapNone/>
            <wp:docPr id="89" name="Shape 89"/>
            <a:graphic xmlns:a="http://schemas.openxmlformats.org/drawingml/2006/main">
              <a:graphicData uri="http://schemas.openxmlformats.org/drawingml/2006/picture">
                <pic:pic xmlns:pic="http://schemas.openxmlformats.org/drawingml/2006/picture">
                  <pic:nvPicPr>
                    <pic:cNvPr id="90" name="Picture box 90"/>
                    <pic:cNvPicPr/>
                  </pic:nvPicPr>
                  <pic:blipFill>
                    <a:blip r:embed="rId41"/>
                    <a:stretch/>
                  </pic:blipFill>
                  <pic:spPr>
                    <a:xfrm>
                      <a:ext cx="554990" cy="255905"/>
                    </a:xfrm>
                    <a:prstGeom prst="rect"/>
                  </pic:spPr>
                </pic:pic>
              </a:graphicData>
            </a:graphic>
          </wp:anchor>
        </w:drawing>
      </w:r>
      <w:r>
        <w:drawing>
          <wp:anchor distT="0" distB="0" distL="0" distR="0" simplePos="0" relativeHeight="62914726" behindDoc="1" locked="0" layoutInCell="1" allowOverlap="1">
            <wp:simplePos x="0" y="0"/>
            <wp:positionH relativeFrom="page">
              <wp:posOffset>4877435</wp:posOffset>
            </wp:positionH>
            <wp:positionV relativeFrom="margin">
              <wp:posOffset>2332355</wp:posOffset>
            </wp:positionV>
            <wp:extent cx="554990" cy="250190"/>
            <wp:wrapNone/>
            <wp:docPr id="91" name="Shape 91"/>
            <a:graphic xmlns:a="http://schemas.openxmlformats.org/drawingml/2006/main">
              <a:graphicData uri="http://schemas.openxmlformats.org/drawingml/2006/picture">
                <pic:pic xmlns:pic="http://schemas.openxmlformats.org/drawingml/2006/picture">
                  <pic:nvPicPr>
                    <pic:cNvPr id="92" name="Picture box 92"/>
                    <pic:cNvPicPr/>
                  </pic:nvPicPr>
                  <pic:blipFill>
                    <a:blip r:embed="rId43"/>
                    <a:stretch/>
                  </pic:blipFill>
                  <pic:spPr>
                    <a:xfrm>
                      <a:ext cx="554990" cy="250190"/>
                    </a:xfrm>
                    <a:prstGeom prst="rect"/>
                  </pic:spPr>
                </pic:pic>
              </a:graphicData>
            </a:graphic>
          </wp:anchor>
        </w:drawing>
      </w:r>
      <w:r>
        <w:drawing>
          <wp:anchor distT="0" distB="0" distL="0" distR="0" simplePos="0" relativeHeight="62914727" behindDoc="1" locked="0" layoutInCell="1" allowOverlap="1">
            <wp:simplePos x="0" y="0"/>
            <wp:positionH relativeFrom="page">
              <wp:posOffset>4877435</wp:posOffset>
            </wp:positionH>
            <wp:positionV relativeFrom="margin">
              <wp:posOffset>2585085</wp:posOffset>
            </wp:positionV>
            <wp:extent cx="554990" cy="255905"/>
            <wp:wrapNone/>
            <wp:docPr id="93" name="Shape 93"/>
            <a:graphic xmlns:a="http://schemas.openxmlformats.org/drawingml/2006/main">
              <a:graphicData uri="http://schemas.openxmlformats.org/drawingml/2006/picture">
                <pic:pic xmlns:pic="http://schemas.openxmlformats.org/drawingml/2006/picture">
                  <pic:nvPicPr>
                    <pic:cNvPr id="94" name="Picture box 94"/>
                    <pic:cNvPicPr/>
                  </pic:nvPicPr>
                  <pic:blipFill>
                    <a:blip r:embed="rId45"/>
                    <a:stretch/>
                  </pic:blipFill>
                  <pic:spPr>
                    <a:xfrm>
                      <a:ext cx="554990" cy="255905"/>
                    </a:xfrm>
                    <a:prstGeom prst="rect"/>
                  </pic:spPr>
                </pic:pic>
              </a:graphicData>
            </a:graphic>
          </wp:anchor>
        </w:drawing>
      </w:r>
      <w:r>
        <w:drawing>
          <wp:anchor distT="0" distB="0" distL="0" distR="0" simplePos="0" relativeHeight="62914728" behindDoc="1" locked="0" layoutInCell="1" allowOverlap="1">
            <wp:simplePos x="0" y="0"/>
            <wp:positionH relativeFrom="page">
              <wp:posOffset>5431790</wp:posOffset>
            </wp:positionH>
            <wp:positionV relativeFrom="margin">
              <wp:posOffset>2076450</wp:posOffset>
            </wp:positionV>
            <wp:extent cx="749935" cy="255905"/>
            <wp:wrapNone/>
            <wp:docPr id="95" name="Shape 95"/>
            <a:graphic xmlns:a="http://schemas.openxmlformats.org/drawingml/2006/main">
              <a:graphicData uri="http://schemas.openxmlformats.org/drawingml/2006/picture">
                <pic:pic xmlns:pic="http://schemas.openxmlformats.org/drawingml/2006/picture">
                  <pic:nvPicPr>
                    <pic:cNvPr id="96" name="Picture box 96"/>
                    <pic:cNvPicPr/>
                  </pic:nvPicPr>
                  <pic:blipFill>
                    <a:blip r:embed="rId47"/>
                    <a:stretch/>
                  </pic:blipFill>
                  <pic:spPr>
                    <a:xfrm>
                      <a:ext cx="749935" cy="255905"/>
                    </a:xfrm>
                    <a:prstGeom prst="rect"/>
                  </pic:spPr>
                </pic:pic>
              </a:graphicData>
            </a:graphic>
          </wp:anchor>
        </w:drawing>
      </w:r>
      <w:r>
        <w:drawing>
          <wp:anchor distT="0" distB="0" distL="0" distR="0" simplePos="0" relativeHeight="62914729" behindDoc="1" locked="0" layoutInCell="1" allowOverlap="1">
            <wp:simplePos x="0" y="0"/>
            <wp:positionH relativeFrom="page">
              <wp:posOffset>5431790</wp:posOffset>
            </wp:positionH>
            <wp:positionV relativeFrom="margin">
              <wp:posOffset>2332355</wp:posOffset>
            </wp:positionV>
            <wp:extent cx="749935" cy="250190"/>
            <wp:wrapNone/>
            <wp:docPr id="97" name="Shape 97"/>
            <a:graphic xmlns:a="http://schemas.openxmlformats.org/drawingml/2006/main">
              <a:graphicData uri="http://schemas.openxmlformats.org/drawingml/2006/picture">
                <pic:pic xmlns:pic="http://schemas.openxmlformats.org/drawingml/2006/picture">
                  <pic:nvPicPr>
                    <pic:cNvPr id="98" name="Picture box 98"/>
                    <pic:cNvPicPr/>
                  </pic:nvPicPr>
                  <pic:blipFill>
                    <a:blip r:embed="rId49"/>
                    <a:stretch/>
                  </pic:blipFill>
                  <pic:spPr>
                    <a:xfrm>
                      <a:ext cx="749935" cy="250190"/>
                    </a:xfrm>
                    <a:prstGeom prst="rect"/>
                  </pic:spPr>
                </pic:pic>
              </a:graphicData>
            </a:graphic>
          </wp:anchor>
        </w:drawing>
      </w:r>
      <w:r>
        <w:drawing>
          <wp:anchor distT="0" distB="0" distL="0" distR="0" simplePos="0" relativeHeight="62914730" behindDoc="1" locked="0" layoutInCell="1" allowOverlap="1">
            <wp:simplePos x="0" y="0"/>
            <wp:positionH relativeFrom="page">
              <wp:posOffset>5431790</wp:posOffset>
            </wp:positionH>
            <wp:positionV relativeFrom="margin">
              <wp:posOffset>2585085</wp:posOffset>
            </wp:positionV>
            <wp:extent cx="749935" cy="255905"/>
            <wp:wrapNone/>
            <wp:docPr id="99" name="Shape 99"/>
            <a:graphic xmlns:a="http://schemas.openxmlformats.org/drawingml/2006/main">
              <a:graphicData uri="http://schemas.openxmlformats.org/drawingml/2006/picture">
                <pic:pic xmlns:pic="http://schemas.openxmlformats.org/drawingml/2006/picture">
                  <pic:nvPicPr>
                    <pic:cNvPr id="100" name="Picture box 100"/>
                    <pic:cNvPicPr/>
                  </pic:nvPicPr>
                  <pic:blipFill>
                    <a:blip r:embed="rId51"/>
                    <a:stretch/>
                  </pic:blipFill>
                  <pic:spPr>
                    <a:xfrm>
                      <a:ext cx="749935" cy="255905"/>
                    </a:xfrm>
                    <a:prstGeom prst="rect"/>
                  </pic:spPr>
                </pic:pic>
              </a:graphicData>
            </a:graphic>
          </wp:anchor>
        </w:drawing>
      </w:r>
      <w:r>
        <w:drawing>
          <wp:anchor distT="0" distB="0" distL="0" distR="0" simplePos="0" relativeHeight="62914731" behindDoc="1" locked="0" layoutInCell="1" allowOverlap="1">
            <wp:simplePos x="0" y="0"/>
            <wp:positionH relativeFrom="page">
              <wp:posOffset>6181725</wp:posOffset>
            </wp:positionH>
            <wp:positionV relativeFrom="margin">
              <wp:posOffset>1819910</wp:posOffset>
            </wp:positionV>
            <wp:extent cx="768350" cy="255905"/>
            <wp:wrapNone/>
            <wp:docPr id="101" name="Shape 101"/>
            <a:graphic xmlns:a="http://schemas.openxmlformats.org/drawingml/2006/main">
              <a:graphicData uri="http://schemas.openxmlformats.org/drawingml/2006/picture">
                <pic:pic xmlns:pic="http://schemas.openxmlformats.org/drawingml/2006/picture">
                  <pic:nvPicPr>
                    <pic:cNvPr id="102" name="Picture box 102"/>
                    <pic:cNvPicPr/>
                  </pic:nvPicPr>
                  <pic:blipFill>
                    <a:blip r:embed="rId53"/>
                    <a:stretch/>
                  </pic:blipFill>
                  <pic:spPr>
                    <a:xfrm>
                      <a:ext cx="768350" cy="255905"/>
                    </a:xfrm>
                    <a:prstGeom prst="rect"/>
                  </pic:spPr>
                </pic:pic>
              </a:graphicData>
            </a:graphic>
          </wp:anchor>
        </w:drawing>
      </w:r>
      <w:r>
        <w:drawing>
          <wp:anchor distT="0" distB="0" distL="0" distR="0" simplePos="0" relativeHeight="62914732" behindDoc="1" locked="0" layoutInCell="1" allowOverlap="1">
            <wp:simplePos x="0" y="0"/>
            <wp:positionH relativeFrom="page">
              <wp:posOffset>6181725</wp:posOffset>
            </wp:positionH>
            <wp:positionV relativeFrom="margin">
              <wp:posOffset>2076450</wp:posOffset>
            </wp:positionV>
            <wp:extent cx="768350" cy="255905"/>
            <wp:wrapNone/>
            <wp:docPr id="103" name="Shape 103"/>
            <a:graphic xmlns:a="http://schemas.openxmlformats.org/drawingml/2006/main">
              <a:graphicData uri="http://schemas.openxmlformats.org/drawingml/2006/picture">
                <pic:pic xmlns:pic="http://schemas.openxmlformats.org/drawingml/2006/picture">
                  <pic:nvPicPr>
                    <pic:cNvPr id="104" name="Picture box 104"/>
                    <pic:cNvPicPr/>
                  </pic:nvPicPr>
                  <pic:blipFill>
                    <a:blip r:embed="rId55"/>
                    <a:stretch/>
                  </pic:blipFill>
                  <pic:spPr>
                    <a:xfrm>
                      <a:ext cx="768350" cy="255905"/>
                    </a:xfrm>
                    <a:prstGeom prst="rect"/>
                  </pic:spPr>
                </pic:pic>
              </a:graphicData>
            </a:graphic>
          </wp:anchor>
        </w:drawing>
      </w:r>
      <w:r>
        <w:drawing>
          <wp:anchor distT="0" distB="0" distL="0" distR="0" simplePos="0" relativeHeight="62914733" behindDoc="1" locked="0" layoutInCell="1" allowOverlap="1">
            <wp:simplePos x="0" y="0"/>
            <wp:positionH relativeFrom="page">
              <wp:posOffset>6181725</wp:posOffset>
            </wp:positionH>
            <wp:positionV relativeFrom="margin">
              <wp:posOffset>2332355</wp:posOffset>
            </wp:positionV>
            <wp:extent cx="768350" cy="250190"/>
            <wp:wrapNone/>
            <wp:docPr id="105" name="Shape 105"/>
            <a:graphic xmlns:a="http://schemas.openxmlformats.org/drawingml/2006/main">
              <a:graphicData uri="http://schemas.openxmlformats.org/drawingml/2006/picture">
                <pic:pic xmlns:pic="http://schemas.openxmlformats.org/drawingml/2006/picture">
                  <pic:nvPicPr>
                    <pic:cNvPr id="106" name="Picture box 106"/>
                    <pic:cNvPicPr/>
                  </pic:nvPicPr>
                  <pic:blipFill>
                    <a:blip r:embed="rId57"/>
                    <a:stretch/>
                  </pic:blipFill>
                  <pic:spPr>
                    <a:xfrm>
                      <a:ext cx="768350" cy="250190"/>
                    </a:xfrm>
                    <a:prstGeom prst="rect"/>
                  </pic:spPr>
                </pic:pic>
              </a:graphicData>
            </a:graphic>
          </wp:anchor>
        </w:drawing>
      </w:r>
      <w:r>
        <w:drawing>
          <wp:anchor distT="0" distB="0" distL="0" distR="0" simplePos="0" relativeHeight="62914734" behindDoc="1" locked="0" layoutInCell="1" allowOverlap="1">
            <wp:simplePos x="0" y="0"/>
            <wp:positionH relativeFrom="page">
              <wp:posOffset>6181725</wp:posOffset>
            </wp:positionH>
            <wp:positionV relativeFrom="margin">
              <wp:posOffset>2585085</wp:posOffset>
            </wp:positionV>
            <wp:extent cx="768350" cy="255905"/>
            <wp:wrapNone/>
            <wp:docPr id="107" name="Shape 107"/>
            <a:graphic xmlns:a="http://schemas.openxmlformats.org/drawingml/2006/main">
              <a:graphicData uri="http://schemas.openxmlformats.org/drawingml/2006/picture">
                <pic:pic xmlns:pic="http://schemas.openxmlformats.org/drawingml/2006/picture">
                  <pic:nvPicPr>
                    <pic:cNvPr id="108" name="Picture box 108"/>
                    <pic:cNvPicPr/>
                  </pic:nvPicPr>
                  <pic:blipFill>
                    <a:blip r:embed="rId59"/>
                    <a:stretch/>
                  </pic:blipFill>
                  <pic:spPr>
                    <a:xfrm>
                      <a:ext cx="768350" cy="255905"/>
                    </a:xfrm>
                    <a:prstGeom prst="rect"/>
                  </pic:spPr>
                </pic:pic>
              </a:graphicData>
            </a:graphic>
          </wp:anchor>
        </w:drawing>
      </w:r>
      <w:r>
        <w:drawing>
          <wp:anchor distT="0" distB="0" distL="0" distR="0" simplePos="0" relativeHeight="62914735" behindDoc="1" locked="0" layoutInCell="1" allowOverlap="1">
            <wp:simplePos x="0" y="0"/>
            <wp:positionH relativeFrom="page">
              <wp:posOffset>6950075</wp:posOffset>
            </wp:positionH>
            <wp:positionV relativeFrom="margin">
              <wp:posOffset>2076450</wp:posOffset>
            </wp:positionV>
            <wp:extent cx="822960" cy="255905"/>
            <wp:wrapNone/>
            <wp:docPr id="109" name="Shape 109"/>
            <a:graphic xmlns:a="http://schemas.openxmlformats.org/drawingml/2006/main">
              <a:graphicData uri="http://schemas.openxmlformats.org/drawingml/2006/picture">
                <pic:pic xmlns:pic="http://schemas.openxmlformats.org/drawingml/2006/picture">
                  <pic:nvPicPr>
                    <pic:cNvPr id="110" name="Picture box 110"/>
                    <pic:cNvPicPr/>
                  </pic:nvPicPr>
                  <pic:blipFill>
                    <a:blip r:embed="rId61"/>
                    <a:stretch/>
                  </pic:blipFill>
                  <pic:spPr>
                    <a:xfrm>
                      <a:ext cx="822960" cy="255905"/>
                    </a:xfrm>
                    <a:prstGeom prst="rect"/>
                  </pic:spPr>
                </pic:pic>
              </a:graphicData>
            </a:graphic>
          </wp:anchor>
        </w:drawing>
      </w:r>
      <w:r>
        <w:drawing>
          <wp:anchor distT="0" distB="0" distL="0" distR="0" simplePos="0" relativeHeight="62914736" behindDoc="1" locked="0" layoutInCell="1" allowOverlap="1">
            <wp:simplePos x="0" y="0"/>
            <wp:positionH relativeFrom="page">
              <wp:posOffset>6950075</wp:posOffset>
            </wp:positionH>
            <wp:positionV relativeFrom="margin">
              <wp:posOffset>2332355</wp:posOffset>
            </wp:positionV>
            <wp:extent cx="822960" cy="250190"/>
            <wp:wrapNone/>
            <wp:docPr id="111" name="Shape 111"/>
            <a:graphic xmlns:a="http://schemas.openxmlformats.org/drawingml/2006/main">
              <a:graphicData uri="http://schemas.openxmlformats.org/drawingml/2006/picture">
                <pic:pic xmlns:pic="http://schemas.openxmlformats.org/drawingml/2006/picture">
                  <pic:nvPicPr>
                    <pic:cNvPr id="112" name="Picture box 112"/>
                    <pic:cNvPicPr/>
                  </pic:nvPicPr>
                  <pic:blipFill>
                    <a:blip r:embed="rId63"/>
                    <a:stretch/>
                  </pic:blipFill>
                  <pic:spPr>
                    <a:xfrm>
                      <a:ext cx="822960" cy="250190"/>
                    </a:xfrm>
                    <a:prstGeom prst="rect"/>
                  </pic:spPr>
                </pic:pic>
              </a:graphicData>
            </a:graphic>
          </wp:anchor>
        </w:drawing>
      </w:r>
      <w:r>
        <w:drawing>
          <wp:anchor distT="0" distB="0" distL="0" distR="0" simplePos="0" relativeHeight="62914737" behindDoc="1" locked="0" layoutInCell="1" allowOverlap="1">
            <wp:simplePos x="0" y="0"/>
            <wp:positionH relativeFrom="page">
              <wp:posOffset>6950075</wp:posOffset>
            </wp:positionH>
            <wp:positionV relativeFrom="margin">
              <wp:posOffset>2585085</wp:posOffset>
            </wp:positionV>
            <wp:extent cx="822960" cy="255905"/>
            <wp:wrapNone/>
            <wp:docPr id="113" name="Shape 113"/>
            <a:graphic xmlns:a="http://schemas.openxmlformats.org/drawingml/2006/main">
              <a:graphicData uri="http://schemas.openxmlformats.org/drawingml/2006/picture">
                <pic:pic xmlns:pic="http://schemas.openxmlformats.org/drawingml/2006/picture">
                  <pic:nvPicPr>
                    <pic:cNvPr id="114" name="Picture box 114"/>
                    <pic:cNvPicPr/>
                  </pic:nvPicPr>
                  <pic:blipFill>
                    <a:blip r:embed="rId65"/>
                    <a:stretch/>
                  </pic:blipFill>
                  <pic:spPr>
                    <a:xfrm>
                      <a:ext cx="822960" cy="255905"/>
                    </a:xfrm>
                    <a:prstGeom prst="rect"/>
                  </pic:spPr>
                </pic:pic>
              </a:graphicData>
            </a:graphic>
          </wp:anchor>
        </w:drawing>
      </w:r>
      <w:r>
        <w:drawing>
          <wp:anchor distT="0" distB="0" distL="0" distR="0" simplePos="0" relativeHeight="62914738" behindDoc="1" locked="0" layoutInCell="1" allowOverlap="1">
            <wp:simplePos x="0" y="0"/>
            <wp:positionH relativeFrom="page">
              <wp:posOffset>7773035</wp:posOffset>
            </wp:positionH>
            <wp:positionV relativeFrom="margin">
              <wp:posOffset>1819910</wp:posOffset>
            </wp:positionV>
            <wp:extent cx="433070" cy="255905"/>
            <wp:wrapNone/>
            <wp:docPr id="115" name="Shape 115"/>
            <a:graphic xmlns:a="http://schemas.openxmlformats.org/drawingml/2006/main">
              <a:graphicData uri="http://schemas.openxmlformats.org/drawingml/2006/picture">
                <pic:pic xmlns:pic="http://schemas.openxmlformats.org/drawingml/2006/picture">
                  <pic:nvPicPr>
                    <pic:cNvPr id="116" name="Picture box 116"/>
                    <pic:cNvPicPr/>
                  </pic:nvPicPr>
                  <pic:blipFill>
                    <a:blip r:embed="rId67"/>
                    <a:stretch/>
                  </pic:blipFill>
                  <pic:spPr>
                    <a:xfrm>
                      <a:ext cx="433070" cy="255905"/>
                    </a:xfrm>
                    <a:prstGeom prst="rect"/>
                  </pic:spPr>
                </pic:pic>
              </a:graphicData>
            </a:graphic>
          </wp:anchor>
        </w:drawing>
      </w:r>
      <w:r>
        <w:drawing>
          <wp:anchor distT="0" distB="0" distL="0" distR="0" simplePos="0" relativeHeight="62914739" behindDoc="1" locked="0" layoutInCell="1" allowOverlap="1">
            <wp:simplePos x="0" y="0"/>
            <wp:positionH relativeFrom="page">
              <wp:posOffset>7773035</wp:posOffset>
            </wp:positionH>
            <wp:positionV relativeFrom="margin">
              <wp:posOffset>2076450</wp:posOffset>
            </wp:positionV>
            <wp:extent cx="433070" cy="255905"/>
            <wp:wrapNone/>
            <wp:docPr id="117" name="Shape 117"/>
            <a:graphic xmlns:a="http://schemas.openxmlformats.org/drawingml/2006/main">
              <a:graphicData uri="http://schemas.openxmlformats.org/drawingml/2006/picture">
                <pic:pic xmlns:pic="http://schemas.openxmlformats.org/drawingml/2006/picture">
                  <pic:nvPicPr>
                    <pic:cNvPr id="118" name="Picture box 118"/>
                    <pic:cNvPicPr/>
                  </pic:nvPicPr>
                  <pic:blipFill>
                    <a:blip r:embed="rId69"/>
                    <a:stretch/>
                  </pic:blipFill>
                  <pic:spPr>
                    <a:xfrm>
                      <a:ext cx="433070" cy="255905"/>
                    </a:xfrm>
                    <a:prstGeom prst="rect"/>
                  </pic:spPr>
                </pic:pic>
              </a:graphicData>
            </a:graphic>
          </wp:anchor>
        </w:drawing>
      </w:r>
      <w:r>
        <w:drawing>
          <wp:anchor distT="0" distB="0" distL="0" distR="0" simplePos="0" relativeHeight="62914740" behindDoc="1" locked="0" layoutInCell="1" allowOverlap="1">
            <wp:simplePos x="0" y="0"/>
            <wp:positionH relativeFrom="page">
              <wp:posOffset>7773035</wp:posOffset>
            </wp:positionH>
            <wp:positionV relativeFrom="margin">
              <wp:posOffset>2332355</wp:posOffset>
            </wp:positionV>
            <wp:extent cx="433070" cy="250190"/>
            <wp:wrapNone/>
            <wp:docPr id="119" name="Shape 119"/>
            <a:graphic xmlns:a="http://schemas.openxmlformats.org/drawingml/2006/main">
              <a:graphicData uri="http://schemas.openxmlformats.org/drawingml/2006/picture">
                <pic:pic xmlns:pic="http://schemas.openxmlformats.org/drawingml/2006/picture">
                  <pic:nvPicPr>
                    <pic:cNvPr id="120" name="Picture box 120"/>
                    <pic:cNvPicPr/>
                  </pic:nvPicPr>
                  <pic:blipFill>
                    <a:blip r:embed="rId71"/>
                    <a:stretch/>
                  </pic:blipFill>
                  <pic:spPr>
                    <a:xfrm>
                      <a:ext cx="433070" cy="250190"/>
                    </a:xfrm>
                    <a:prstGeom prst="rect"/>
                  </pic:spPr>
                </pic:pic>
              </a:graphicData>
            </a:graphic>
          </wp:anchor>
        </w:drawing>
      </w:r>
      <w:r>
        <w:drawing>
          <wp:anchor distT="0" distB="0" distL="0" distR="0" simplePos="0" relativeHeight="62914741" behindDoc="1" locked="0" layoutInCell="1" allowOverlap="1">
            <wp:simplePos x="0" y="0"/>
            <wp:positionH relativeFrom="page">
              <wp:posOffset>7773035</wp:posOffset>
            </wp:positionH>
            <wp:positionV relativeFrom="margin">
              <wp:posOffset>2585085</wp:posOffset>
            </wp:positionV>
            <wp:extent cx="433070" cy="255905"/>
            <wp:wrapNone/>
            <wp:docPr id="121" name="Shape 121"/>
            <a:graphic xmlns:a="http://schemas.openxmlformats.org/drawingml/2006/main">
              <a:graphicData uri="http://schemas.openxmlformats.org/drawingml/2006/picture">
                <pic:pic xmlns:pic="http://schemas.openxmlformats.org/drawingml/2006/picture">
                  <pic:nvPicPr>
                    <pic:cNvPr id="122" name="Picture box 122"/>
                    <pic:cNvPicPr/>
                  </pic:nvPicPr>
                  <pic:blipFill>
                    <a:blip r:embed="rId73"/>
                    <a:stretch/>
                  </pic:blipFill>
                  <pic:spPr>
                    <a:xfrm>
                      <a:ext cx="433070" cy="255905"/>
                    </a:xfrm>
                    <a:prstGeom prst="rect"/>
                  </pic:spPr>
                </pic:pic>
              </a:graphicData>
            </a:graphic>
          </wp:anchor>
        </w:drawing>
      </w:r>
      <w:r>
        <w:drawing>
          <wp:anchor distT="0" distB="0" distL="0" distR="0" simplePos="0" relativeHeight="62914742" behindDoc="1" locked="0" layoutInCell="1" allowOverlap="1">
            <wp:simplePos x="0" y="0"/>
            <wp:positionH relativeFrom="page">
              <wp:posOffset>8208645</wp:posOffset>
            </wp:positionH>
            <wp:positionV relativeFrom="margin">
              <wp:posOffset>2076450</wp:posOffset>
            </wp:positionV>
            <wp:extent cx="731520" cy="255905"/>
            <wp:wrapNone/>
            <wp:docPr id="123" name="Shape 123"/>
            <a:graphic xmlns:a="http://schemas.openxmlformats.org/drawingml/2006/main">
              <a:graphicData uri="http://schemas.openxmlformats.org/drawingml/2006/picture">
                <pic:pic xmlns:pic="http://schemas.openxmlformats.org/drawingml/2006/picture">
                  <pic:nvPicPr>
                    <pic:cNvPr id="124" name="Picture box 124"/>
                    <pic:cNvPicPr/>
                  </pic:nvPicPr>
                  <pic:blipFill>
                    <a:blip r:embed="rId75"/>
                    <a:stretch/>
                  </pic:blipFill>
                  <pic:spPr>
                    <a:xfrm>
                      <a:ext cx="731520" cy="255905"/>
                    </a:xfrm>
                    <a:prstGeom prst="rect"/>
                  </pic:spPr>
                </pic:pic>
              </a:graphicData>
            </a:graphic>
          </wp:anchor>
        </w:drawing>
      </w:r>
      <w:r>
        <w:drawing>
          <wp:anchor distT="0" distB="0" distL="0" distR="0" simplePos="0" relativeHeight="62914743" behindDoc="1" locked="0" layoutInCell="1" allowOverlap="1">
            <wp:simplePos x="0" y="0"/>
            <wp:positionH relativeFrom="page">
              <wp:posOffset>8208645</wp:posOffset>
            </wp:positionH>
            <wp:positionV relativeFrom="margin">
              <wp:posOffset>2332355</wp:posOffset>
            </wp:positionV>
            <wp:extent cx="731520" cy="250190"/>
            <wp:wrapNone/>
            <wp:docPr id="125" name="Shape 125"/>
            <a:graphic xmlns:a="http://schemas.openxmlformats.org/drawingml/2006/main">
              <a:graphicData uri="http://schemas.openxmlformats.org/drawingml/2006/picture">
                <pic:pic xmlns:pic="http://schemas.openxmlformats.org/drawingml/2006/picture">
                  <pic:nvPicPr>
                    <pic:cNvPr id="126" name="Picture box 126"/>
                    <pic:cNvPicPr/>
                  </pic:nvPicPr>
                  <pic:blipFill>
                    <a:blip r:embed="rId77"/>
                    <a:stretch/>
                  </pic:blipFill>
                  <pic:spPr>
                    <a:xfrm>
                      <a:ext cx="731520" cy="250190"/>
                    </a:xfrm>
                    <a:prstGeom prst="rect"/>
                  </pic:spPr>
                </pic:pic>
              </a:graphicData>
            </a:graphic>
          </wp:anchor>
        </w:drawing>
      </w:r>
      <w:r>
        <w:drawing>
          <wp:anchor distT="0" distB="0" distL="0" distR="0" simplePos="0" relativeHeight="62914744" behindDoc="1" locked="0" layoutInCell="1" allowOverlap="1">
            <wp:simplePos x="0" y="0"/>
            <wp:positionH relativeFrom="page">
              <wp:posOffset>8208645</wp:posOffset>
            </wp:positionH>
            <wp:positionV relativeFrom="margin">
              <wp:posOffset>2585085</wp:posOffset>
            </wp:positionV>
            <wp:extent cx="731520" cy="255905"/>
            <wp:wrapNone/>
            <wp:docPr id="127" name="Shape 127"/>
            <a:graphic xmlns:a="http://schemas.openxmlformats.org/drawingml/2006/main">
              <a:graphicData uri="http://schemas.openxmlformats.org/drawingml/2006/picture">
                <pic:pic xmlns:pic="http://schemas.openxmlformats.org/drawingml/2006/picture">
                  <pic:nvPicPr>
                    <pic:cNvPr id="128" name="Picture box 128"/>
                    <pic:cNvPicPr/>
                  </pic:nvPicPr>
                  <pic:blipFill>
                    <a:blip r:embed="rId79"/>
                    <a:stretch/>
                  </pic:blipFill>
                  <pic:spPr>
                    <a:xfrm>
                      <a:ext cx="731520" cy="255905"/>
                    </a:xfrm>
                    <a:prstGeom prst="rect"/>
                  </pic:spPr>
                </pic:pic>
              </a:graphicData>
            </a:graphic>
          </wp:anchor>
        </w:drawing>
      </w:r>
      <w:r>
        <w:drawing>
          <wp:anchor distT="0" distB="0" distL="0" distR="0" simplePos="0" relativeHeight="62914745" behindDoc="1" locked="0" layoutInCell="1" allowOverlap="1">
            <wp:simplePos x="0" y="0"/>
            <wp:positionH relativeFrom="page">
              <wp:posOffset>8943340</wp:posOffset>
            </wp:positionH>
            <wp:positionV relativeFrom="margin">
              <wp:posOffset>2076450</wp:posOffset>
            </wp:positionV>
            <wp:extent cx="895985" cy="255905"/>
            <wp:wrapNone/>
            <wp:docPr id="129" name="Shape 129"/>
            <a:graphic xmlns:a="http://schemas.openxmlformats.org/drawingml/2006/main">
              <a:graphicData uri="http://schemas.openxmlformats.org/drawingml/2006/picture">
                <pic:pic xmlns:pic="http://schemas.openxmlformats.org/drawingml/2006/picture">
                  <pic:nvPicPr>
                    <pic:cNvPr id="130" name="Picture box 130"/>
                    <pic:cNvPicPr/>
                  </pic:nvPicPr>
                  <pic:blipFill>
                    <a:blip r:embed="rId81"/>
                    <a:stretch/>
                  </pic:blipFill>
                  <pic:spPr>
                    <a:xfrm>
                      <a:ext cx="895985" cy="255905"/>
                    </a:xfrm>
                    <a:prstGeom prst="rect"/>
                  </pic:spPr>
                </pic:pic>
              </a:graphicData>
            </a:graphic>
          </wp:anchor>
        </w:drawing>
      </w:r>
      <w:r>
        <w:drawing>
          <wp:anchor distT="0" distB="0" distL="0" distR="0" simplePos="0" relativeHeight="62914746" behindDoc="1" locked="0" layoutInCell="1" allowOverlap="1">
            <wp:simplePos x="0" y="0"/>
            <wp:positionH relativeFrom="page">
              <wp:posOffset>8943340</wp:posOffset>
            </wp:positionH>
            <wp:positionV relativeFrom="margin">
              <wp:posOffset>2332355</wp:posOffset>
            </wp:positionV>
            <wp:extent cx="895985" cy="250190"/>
            <wp:wrapNone/>
            <wp:docPr id="131" name="Shape 131"/>
            <a:graphic xmlns:a="http://schemas.openxmlformats.org/drawingml/2006/main">
              <a:graphicData uri="http://schemas.openxmlformats.org/drawingml/2006/picture">
                <pic:pic xmlns:pic="http://schemas.openxmlformats.org/drawingml/2006/picture">
                  <pic:nvPicPr>
                    <pic:cNvPr id="132" name="Picture box 132"/>
                    <pic:cNvPicPr/>
                  </pic:nvPicPr>
                  <pic:blipFill>
                    <a:blip r:embed="rId83"/>
                    <a:stretch/>
                  </pic:blipFill>
                  <pic:spPr>
                    <a:xfrm>
                      <a:ext cx="895985" cy="250190"/>
                    </a:xfrm>
                    <a:prstGeom prst="rect"/>
                  </pic:spPr>
                </pic:pic>
              </a:graphicData>
            </a:graphic>
          </wp:anchor>
        </w:drawing>
      </w:r>
      <w:r>
        <w:drawing>
          <wp:anchor distT="0" distB="0" distL="0" distR="0" simplePos="0" relativeHeight="62914747" behindDoc="1" locked="0" layoutInCell="1" allowOverlap="1">
            <wp:simplePos x="0" y="0"/>
            <wp:positionH relativeFrom="page">
              <wp:posOffset>8943340</wp:posOffset>
            </wp:positionH>
            <wp:positionV relativeFrom="margin">
              <wp:posOffset>2585085</wp:posOffset>
            </wp:positionV>
            <wp:extent cx="895985" cy="255905"/>
            <wp:wrapNone/>
            <wp:docPr id="133" name="Shape 133"/>
            <a:graphic xmlns:a="http://schemas.openxmlformats.org/drawingml/2006/main">
              <a:graphicData uri="http://schemas.openxmlformats.org/drawingml/2006/picture">
                <pic:pic xmlns:pic="http://schemas.openxmlformats.org/drawingml/2006/picture">
                  <pic:nvPicPr>
                    <pic:cNvPr id="134" name="Picture box 134"/>
                    <pic:cNvPicPr/>
                  </pic:nvPicPr>
                  <pic:blipFill>
                    <a:blip r:embed="rId85"/>
                    <a:stretch/>
                  </pic:blipFill>
                  <pic:spPr>
                    <a:xfrm>
                      <a:ext cx="895985" cy="255905"/>
                    </a:xfrm>
                    <a:prstGeom prst="rect"/>
                  </pic:spPr>
                </pic:pic>
              </a:graphicData>
            </a:graphic>
          </wp:anchor>
        </w:drawing>
      </w:r>
      <w:r>
        <w:drawing>
          <wp:anchor distT="0" distB="0" distL="0" distR="0" simplePos="0" relativeHeight="62914748" behindDoc="1" locked="0" layoutInCell="1" allowOverlap="1">
            <wp:simplePos x="0" y="0"/>
            <wp:positionH relativeFrom="page">
              <wp:posOffset>2420620</wp:posOffset>
            </wp:positionH>
            <wp:positionV relativeFrom="margin">
              <wp:posOffset>3551555</wp:posOffset>
            </wp:positionV>
            <wp:extent cx="1017905" cy="250190"/>
            <wp:wrapNone/>
            <wp:docPr id="135" name="Shape 135"/>
            <a:graphic xmlns:a="http://schemas.openxmlformats.org/drawingml/2006/main">
              <a:graphicData uri="http://schemas.openxmlformats.org/drawingml/2006/picture">
                <pic:pic xmlns:pic="http://schemas.openxmlformats.org/drawingml/2006/picture">
                  <pic:nvPicPr>
                    <pic:cNvPr id="136" name="Picture box 136"/>
                    <pic:cNvPicPr/>
                  </pic:nvPicPr>
                  <pic:blipFill>
                    <a:blip r:embed="rId87"/>
                    <a:stretch/>
                  </pic:blipFill>
                  <pic:spPr>
                    <a:xfrm>
                      <a:ext cx="1017905" cy="250190"/>
                    </a:xfrm>
                    <a:prstGeom prst="rect"/>
                  </pic:spPr>
                </pic:pic>
              </a:graphicData>
            </a:graphic>
          </wp:anchor>
        </w:drawing>
      </w:r>
      <w:r>
        <w:drawing>
          <wp:anchor distT="0" distB="0" distL="0" distR="0" simplePos="0" relativeHeight="62914749" behindDoc="1" locked="0" layoutInCell="1" allowOverlap="1">
            <wp:simplePos x="0" y="0"/>
            <wp:positionH relativeFrom="page">
              <wp:posOffset>2420620</wp:posOffset>
            </wp:positionH>
            <wp:positionV relativeFrom="margin">
              <wp:posOffset>3804285</wp:posOffset>
            </wp:positionV>
            <wp:extent cx="1017905" cy="255905"/>
            <wp:wrapNone/>
            <wp:docPr id="137" name="Shape 137"/>
            <a:graphic xmlns:a="http://schemas.openxmlformats.org/drawingml/2006/main">
              <a:graphicData uri="http://schemas.openxmlformats.org/drawingml/2006/picture">
                <pic:pic xmlns:pic="http://schemas.openxmlformats.org/drawingml/2006/picture">
                  <pic:nvPicPr>
                    <pic:cNvPr id="138" name="Picture box 138"/>
                    <pic:cNvPicPr/>
                  </pic:nvPicPr>
                  <pic:blipFill>
                    <a:blip r:embed="rId89"/>
                    <a:stretch/>
                  </pic:blipFill>
                  <pic:spPr>
                    <a:xfrm>
                      <a:ext cx="1017905" cy="255905"/>
                    </a:xfrm>
                    <a:prstGeom prst="rect"/>
                  </pic:spPr>
                </pic:pic>
              </a:graphicData>
            </a:graphic>
          </wp:anchor>
        </w:drawing>
      </w:r>
      <w:r>
        <w:drawing>
          <wp:anchor distT="0" distB="0" distL="0" distR="0" simplePos="0" relativeHeight="62914750" behindDoc="1" locked="0" layoutInCell="1" allowOverlap="1">
            <wp:simplePos x="0" y="0"/>
            <wp:positionH relativeFrom="page">
              <wp:posOffset>2420620</wp:posOffset>
            </wp:positionH>
            <wp:positionV relativeFrom="margin">
              <wp:posOffset>4060190</wp:posOffset>
            </wp:positionV>
            <wp:extent cx="1017905" cy="255905"/>
            <wp:wrapNone/>
            <wp:docPr id="139" name="Shape 139"/>
            <a:graphic xmlns:a="http://schemas.openxmlformats.org/drawingml/2006/main">
              <a:graphicData uri="http://schemas.openxmlformats.org/drawingml/2006/picture">
                <pic:pic xmlns:pic="http://schemas.openxmlformats.org/drawingml/2006/picture">
                  <pic:nvPicPr>
                    <pic:cNvPr id="140" name="Picture box 140"/>
                    <pic:cNvPicPr/>
                  </pic:nvPicPr>
                  <pic:blipFill>
                    <a:blip r:embed="rId91"/>
                    <a:stretch/>
                  </pic:blipFill>
                  <pic:spPr>
                    <a:xfrm>
                      <a:ext cx="1017905" cy="255905"/>
                    </a:xfrm>
                    <a:prstGeom prst="rect"/>
                  </pic:spPr>
                </pic:pic>
              </a:graphicData>
            </a:graphic>
          </wp:anchor>
        </w:drawing>
      </w:r>
      <w:r>
        <w:drawing>
          <wp:anchor distT="0" distB="0" distL="0" distR="0" simplePos="0" relativeHeight="62914751" behindDoc="1" locked="0" layoutInCell="1" allowOverlap="1">
            <wp:simplePos x="0" y="0"/>
            <wp:positionH relativeFrom="page">
              <wp:posOffset>2420620</wp:posOffset>
            </wp:positionH>
            <wp:positionV relativeFrom="margin">
              <wp:posOffset>4316730</wp:posOffset>
            </wp:positionV>
            <wp:extent cx="1017905" cy="255905"/>
            <wp:wrapNone/>
            <wp:docPr id="141" name="Shape 141"/>
            <a:graphic xmlns:a="http://schemas.openxmlformats.org/drawingml/2006/main">
              <a:graphicData uri="http://schemas.openxmlformats.org/drawingml/2006/picture">
                <pic:pic xmlns:pic="http://schemas.openxmlformats.org/drawingml/2006/picture">
                  <pic:nvPicPr>
                    <pic:cNvPr id="142" name="Picture box 142"/>
                    <pic:cNvPicPr/>
                  </pic:nvPicPr>
                  <pic:blipFill>
                    <a:blip r:embed="rId93"/>
                    <a:stretch/>
                  </pic:blipFill>
                  <pic:spPr>
                    <a:xfrm>
                      <a:ext cx="1017905" cy="255905"/>
                    </a:xfrm>
                    <a:prstGeom prst="rect"/>
                  </pic:spPr>
                </pic:pic>
              </a:graphicData>
            </a:graphic>
          </wp:anchor>
        </w:drawing>
      </w:r>
      <w:r>
        <w:drawing>
          <wp:anchor distT="0" distB="0" distL="0" distR="0" simplePos="0" relativeHeight="62914752" behindDoc="1" locked="0" layoutInCell="1" allowOverlap="1">
            <wp:simplePos x="0" y="0"/>
            <wp:positionH relativeFrom="page">
              <wp:posOffset>2420620</wp:posOffset>
            </wp:positionH>
            <wp:positionV relativeFrom="margin">
              <wp:posOffset>4572635</wp:posOffset>
            </wp:positionV>
            <wp:extent cx="1017905" cy="250190"/>
            <wp:wrapNone/>
            <wp:docPr id="143" name="Shape 143"/>
            <a:graphic xmlns:a="http://schemas.openxmlformats.org/drawingml/2006/main">
              <a:graphicData uri="http://schemas.openxmlformats.org/drawingml/2006/picture">
                <pic:pic xmlns:pic="http://schemas.openxmlformats.org/drawingml/2006/picture">
                  <pic:nvPicPr>
                    <pic:cNvPr id="144" name="Picture box 144"/>
                    <pic:cNvPicPr/>
                  </pic:nvPicPr>
                  <pic:blipFill>
                    <a:blip r:embed="rId95"/>
                    <a:stretch/>
                  </pic:blipFill>
                  <pic:spPr>
                    <a:xfrm>
                      <a:ext cx="1017905" cy="250190"/>
                    </a:xfrm>
                    <a:prstGeom prst="rect"/>
                  </pic:spPr>
                </pic:pic>
              </a:graphicData>
            </a:graphic>
          </wp:anchor>
        </w:drawing>
      </w:r>
      <w:r>
        <w:drawing>
          <wp:anchor distT="0" distB="0" distL="0" distR="0" simplePos="0" relativeHeight="62914753" behindDoc="1" locked="0" layoutInCell="1" allowOverlap="1">
            <wp:simplePos x="0" y="0"/>
            <wp:positionH relativeFrom="page">
              <wp:posOffset>2420620</wp:posOffset>
            </wp:positionH>
            <wp:positionV relativeFrom="margin">
              <wp:posOffset>4825365</wp:posOffset>
            </wp:positionV>
            <wp:extent cx="1017905" cy="450850"/>
            <wp:wrapNone/>
            <wp:docPr id="145" name="Shape 145"/>
            <a:graphic xmlns:a="http://schemas.openxmlformats.org/drawingml/2006/main">
              <a:graphicData uri="http://schemas.openxmlformats.org/drawingml/2006/picture">
                <pic:pic xmlns:pic="http://schemas.openxmlformats.org/drawingml/2006/picture">
                  <pic:nvPicPr>
                    <pic:cNvPr id="146" name="Picture box 146"/>
                    <pic:cNvPicPr/>
                  </pic:nvPicPr>
                  <pic:blipFill>
                    <a:blip r:embed="rId97"/>
                    <a:stretch/>
                  </pic:blipFill>
                  <pic:spPr>
                    <a:xfrm>
                      <a:ext cx="1017905" cy="450850"/>
                    </a:xfrm>
                    <a:prstGeom prst="rect"/>
                  </pic:spPr>
                </pic:pic>
              </a:graphicData>
            </a:graphic>
          </wp:anchor>
        </w:drawing>
      </w:r>
      <w:r>
        <w:drawing>
          <wp:anchor distT="0" distB="0" distL="0" distR="0" simplePos="0" relativeHeight="62914754" behindDoc="1" locked="0" layoutInCell="1" allowOverlap="1">
            <wp:simplePos x="0" y="0"/>
            <wp:positionH relativeFrom="page">
              <wp:posOffset>2420620</wp:posOffset>
            </wp:positionH>
            <wp:positionV relativeFrom="margin">
              <wp:posOffset>5279390</wp:posOffset>
            </wp:positionV>
            <wp:extent cx="1017905" cy="255905"/>
            <wp:wrapNone/>
            <wp:docPr id="147" name="Shape 147"/>
            <a:graphic xmlns:a="http://schemas.openxmlformats.org/drawingml/2006/main">
              <a:graphicData uri="http://schemas.openxmlformats.org/drawingml/2006/picture">
                <pic:pic xmlns:pic="http://schemas.openxmlformats.org/drawingml/2006/picture">
                  <pic:nvPicPr>
                    <pic:cNvPr id="148" name="Picture box 148"/>
                    <pic:cNvPicPr/>
                  </pic:nvPicPr>
                  <pic:blipFill>
                    <a:blip r:embed="rId99"/>
                    <a:stretch/>
                  </pic:blipFill>
                  <pic:spPr>
                    <a:xfrm>
                      <a:ext cx="1017905" cy="255905"/>
                    </a:xfrm>
                    <a:prstGeom prst="rect"/>
                  </pic:spPr>
                </pic:pic>
              </a:graphicData>
            </a:graphic>
          </wp:anchor>
        </w:drawing>
      </w:r>
      <w:r>
        <w:drawing>
          <wp:anchor distT="0" distB="0" distL="0" distR="0" simplePos="0" relativeHeight="62914755" behindDoc="1" locked="0" layoutInCell="1" allowOverlap="1">
            <wp:simplePos x="0" y="0"/>
            <wp:positionH relativeFrom="page">
              <wp:posOffset>2420620</wp:posOffset>
            </wp:positionH>
            <wp:positionV relativeFrom="margin">
              <wp:posOffset>5535930</wp:posOffset>
            </wp:positionV>
            <wp:extent cx="1017905" cy="255905"/>
            <wp:wrapNone/>
            <wp:docPr id="149" name="Shape 149"/>
            <a:graphic xmlns:a="http://schemas.openxmlformats.org/drawingml/2006/main">
              <a:graphicData uri="http://schemas.openxmlformats.org/drawingml/2006/picture">
                <pic:pic xmlns:pic="http://schemas.openxmlformats.org/drawingml/2006/picture">
                  <pic:nvPicPr>
                    <pic:cNvPr id="150" name="Picture box 150"/>
                    <pic:cNvPicPr/>
                  </pic:nvPicPr>
                  <pic:blipFill>
                    <a:blip r:embed="rId101"/>
                    <a:stretch/>
                  </pic:blipFill>
                  <pic:spPr>
                    <a:xfrm>
                      <a:ext cx="1017905" cy="255905"/>
                    </a:xfrm>
                    <a:prstGeom prst="rect"/>
                  </pic:spPr>
                </pic:pic>
              </a:graphicData>
            </a:graphic>
          </wp:anchor>
        </w:drawing>
      </w:r>
      <w:r>
        <w:drawing>
          <wp:anchor distT="0" distB="0" distL="0" distR="0" simplePos="0" relativeHeight="62914756" behindDoc="1" locked="0" layoutInCell="1" allowOverlap="1">
            <wp:simplePos x="0" y="0"/>
            <wp:positionH relativeFrom="page">
              <wp:posOffset>2420620</wp:posOffset>
            </wp:positionH>
            <wp:positionV relativeFrom="margin">
              <wp:posOffset>5791835</wp:posOffset>
            </wp:positionV>
            <wp:extent cx="1017905" cy="250190"/>
            <wp:wrapNone/>
            <wp:docPr id="151" name="Shape 151"/>
            <a:graphic xmlns:a="http://schemas.openxmlformats.org/drawingml/2006/main">
              <a:graphicData uri="http://schemas.openxmlformats.org/drawingml/2006/picture">
                <pic:pic xmlns:pic="http://schemas.openxmlformats.org/drawingml/2006/picture">
                  <pic:nvPicPr>
                    <pic:cNvPr id="152" name="Picture box 152"/>
                    <pic:cNvPicPr/>
                  </pic:nvPicPr>
                  <pic:blipFill>
                    <a:blip r:embed="rId103"/>
                    <a:stretch/>
                  </pic:blipFill>
                  <pic:spPr>
                    <a:xfrm>
                      <a:ext cx="1017905" cy="250190"/>
                    </a:xfrm>
                    <a:prstGeom prst="rect"/>
                  </pic:spPr>
                </pic:pic>
              </a:graphicData>
            </a:graphic>
          </wp:anchor>
        </w:drawing>
      </w:r>
      <w:r>
        <w:drawing>
          <wp:anchor distT="0" distB="0" distL="0" distR="0" simplePos="0" relativeHeight="62914757" behindDoc="1" locked="0" layoutInCell="1" allowOverlap="1">
            <wp:simplePos x="0" y="0"/>
            <wp:positionH relativeFrom="page">
              <wp:posOffset>3438525</wp:posOffset>
            </wp:positionH>
            <wp:positionV relativeFrom="margin">
              <wp:posOffset>3551555</wp:posOffset>
            </wp:positionV>
            <wp:extent cx="804545" cy="250190"/>
            <wp:wrapNone/>
            <wp:docPr id="153" name="Shape 153"/>
            <a:graphic xmlns:a="http://schemas.openxmlformats.org/drawingml/2006/main">
              <a:graphicData uri="http://schemas.openxmlformats.org/drawingml/2006/picture">
                <pic:pic xmlns:pic="http://schemas.openxmlformats.org/drawingml/2006/picture">
                  <pic:nvPicPr>
                    <pic:cNvPr id="154" name="Picture box 154"/>
                    <pic:cNvPicPr/>
                  </pic:nvPicPr>
                  <pic:blipFill>
                    <a:blip r:embed="rId105"/>
                    <a:stretch/>
                  </pic:blipFill>
                  <pic:spPr>
                    <a:xfrm>
                      <a:ext cx="804545" cy="250190"/>
                    </a:xfrm>
                    <a:prstGeom prst="rect"/>
                  </pic:spPr>
                </pic:pic>
              </a:graphicData>
            </a:graphic>
          </wp:anchor>
        </w:drawing>
      </w:r>
      <w:r>
        <w:drawing>
          <wp:anchor distT="0" distB="0" distL="0" distR="0" simplePos="0" relativeHeight="62914758" behindDoc="1" locked="0" layoutInCell="1" allowOverlap="1">
            <wp:simplePos x="0" y="0"/>
            <wp:positionH relativeFrom="page">
              <wp:posOffset>3438525</wp:posOffset>
            </wp:positionH>
            <wp:positionV relativeFrom="margin">
              <wp:posOffset>3804285</wp:posOffset>
            </wp:positionV>
            <wp:extent cx="804545" cy="255905"/>
            <wp:wrapNone/>
            <wp:docPr id="155" name="Shape 155"/>
            <a:graphic xmlns:a="http://schemas.openxmlformats.org/drawingml/2006/main">
              <a:graphicData uri="http://schemas.openxmlformats.org/drawingml/2006/picture">
                <pic:pic xmlns:pic="http://schemas.openxmlformats.org/drawingml/2006/picture">
                  <pic:nvPicPr>
                    <pic:cNvPr id="156" name="Picture box 156"/>
                    <pic:cNvPicPr/>
                  </pic:nvPicPr>
                  <pic:blipFill>
                    <a:blip r:embed="rId107"/>
                    <a:stretch/>
                  </pic:blipFill>
                  <pic:spPr>
                    <a:xfrm>
                      <a:ext cx="804545" cy="255905"/>
                    </a:xfrm>
                    <a:prstGeom prst="rect"/>
                  </pic:spPr>
                </pic:pic>
              </a:graphicData>
            </a:graphic>
          </wp:anchor>
        </w:drawing>
      </w:r>
      <w:r>
        <w:drawing>
          <wp:anchor distT="0" distB="0" distL="0" distR="0" simplePos="0" relativeHeight="62914759" behindDoc="1" locked="0" layoutInCell="1" allowOverlap="1">
            <wp:simplePos x="0" y="0"/>
            <wp:positionH relativeFrom="page">
              <wp:posOffset>3438525</wp:posOffset>
            </wp:positionH>
            <wp:positionV relativeFrom="margin">
              <wp:posOffset>4060190</wp:posOffset>
            </wp:positionV>
            <wp:extent cx="804545" cy="255905"/>
            <wp:wrapNone/>
            <wp:docPr id="157" name="Shape 157"/>
            <a:graphic xmlns:a="http://schemas.openxmlformats.org/drawingml/2006/main">
              <a:graphicData uri="http://schemas.openxmlformats.org/drawingml/2006/picture">
                <pic:pic xmlns:pic="http://schemas.openxmlformats.org/drawingml/2006/picture">
                  <pic:nvPicPr>
                    <pic:cNvPr id="158" name="Picture box 158"/>
                    <pic:cNvPicPr/>
                  </pic:nvPicPr>
                  <pic:blipFill>
                    <a:blip r:embed="rId109"/>
                    <a:stretch/>
                  </pic:blipFill>
                  <pic:spPr>
                    <a:xfrm>
                      <a:ext cx="804545" cy="255905"/>
                    </a:xfrm>
                    <a:prstGeom prst="rect"/>
                  </pic:spPr>
                </pic:pic>
              </a:graphicData>
            </a:graphic>
          </wp:anchor>
        </w:drawing>
      </w:r>
      <w:r>
        <w:drawing>
          <wp:anchor distT="0" distB="0" distL="0" distR="0" simplePos="0" relativeHeight="62914760" behindDoc="1" locked="0" layoutInCell="1" allowOverlap="1">
            <wp:simplePos x="0" y="0"/>
            <wp:positionH relativeFrom="page">
              <wp:posOffset>3438525</wp:posOffset>
            </wp:positionH>
            <wp:positionV relativeFrom="margin">
              <wp:posOffset>4316730</wp:posOffset>
            </wp:positionV>
            <wp:extent cx="804545" cy="255905"/>
            <wp:wrapNone/>
            <wp:docPr id="159" name="Shape 159"/>
            <a:graphic xmlns:a="http://schemas.openxmlformats.org/drawingml/2006/main">
              <a:graphicData uri="http://schemas.openxmlformats.org/drawingml/2006/picture">
                <pic:pic xmlns:pic="http://schemas.openxmlformats.org/drawingml/2006/picture">
                  <pic:nvPicPr>
                    <pic:cNvPr id="160" name="Picture box 160"/>
                    <pic:cNvPicPr/>
                  </pic:nvPicPr>
                  <pic:blipFill>
                    <a:blip r:embed="rId111"/>
                    <a:stretch/>
                  </pic:blipFill>
                  <pic:spPr>
                    <a:xfrm>
                      <a:ext cx="804545" cy="255905"/>
                    </a:xfrm>
                    <a:prstGeom prst="rect"/>
                  </pic:spPr>
                </pic:pic>
              </a:graphicData>
            </a:graphic>
          </wp:anchor>
        </w:drawing>
      </w:r>
      <w:r>
        <w:drawing>
          <wp:anchor distT="0" distB="0" distL="0" distR="0" simplePos="0" relativeHeight="62914761" behindDoc="1" locked="0" layoutInCell="1" allowOverlap="1">
            <wp:simplePos x="0" y="0"/>
            <wp:positionH relativeFrom="page">
              <wp:posOffset>3438525</wp:posOffset>
            </wp:positionH>
            <wp:positionV relativeFrom="margin">
              <wp:posOffset>4572635</wp:posOffset>
            </wp:positionV>
            <wp:extent cx="804545" cy="250190"/>
            <wp:wrapNone/>
            <wp:docPr id="161" name="Shape 161"/>
            <a:graphic xmlns:a="http://schemas.openxmlformats.org/drawingml/2006/main">
              <a:graphicData uri="http://schemas.openxmlformats.org/drawingml/2006/picture">
                <pic:pic xmlns:pic="http://schemas.openxmlformats.org/drawingml/2006/picture">
                  <pic:nvPicPr>
                    <pic:cNvPr id="162" name="Picture box 162"/>
                    <pic:cNvPicPr/>
                  </pic:nvPicPr>
                  <pic:blipFill>
                    <a:blip r:embed="rId113"/>
                    <a:stretch/>
                  </pic:blipFill>
                  <pic:spPr>
                    <a:xfrm>
                      <a:ext cx="804545" cy="250190"/>
                    </a:xfrm>
                    <a:prstGeom prst="rect"/>
                  </pic:spPr>
                </pic:pic>
              </a:graphicData>
            </a:graphic>
          </wp:anchor>
        </w:drawing>
      </w:r>
      <w:r>
        <w:drawing>
          <wp:anchor distT="0" distB="0" distL="0" distR="0" simplePos="0" relativeHeight="62914762" behindDoc="1" locked="0" layoutInCell="1" allowOverlap="1">
            <wp:simplePos x="0" y="0"/>
            <wp:positionH relativeFrom="page">
              <wp:posOffset>3438525</wp:posOffset>
            </wp:positionH>
            <wp:positionV relativeFrom="margin">
              <wp:posOffset>4825365</wp:posOffset>
            </wp:positionV>
            <wp:extent cx="804545" cy="450850"/>
            <wp:wrapNone/>
            <wp:docPr id="163" name="Shape 163"/>
            <a:graphic xmlns:a="http://schemas.openxmlformats.org/drawingml/2006/main">
              <a:graphicData uri="http://schemas.openxmlformats.org/drawingml/2006/picture">
                <pic:pic xmlns:pic="http://schemas.openxmlformats.org/drawingml/2006/picture">
                  <pic:nvPicPr>
                    <pic:cNvPr id="164" name="Picture box 164"/>
                    <pic:cNvPicPr/>
                  </pic:nvPicPr>
                  <pic:blipFill>
                    <a:blip r:embed="rId115"/>
                    <a:stretch/>
                  </pic:blipFill>
                  <pic:spPr>
                    <a:xfrm>
                      <a:ext cx="804545" cy="450850"/>
                    </a:xfrm>
                    <a:prstGeom prst="rect"/>
                  </pic:spPr>
                </pic:pic>
              </a:graphicData>
            </a:graphic>
          </wp:anchor>
        </w:drawing>
      </w:r>
      <w:r>
        <w:drawing>
          <wp:anchor distT="0" distB="0" distL="0" distR="0" simplePos="0" relativeHeight="62914763" behindDoc="1" locked="0" layoutInCell="1" allowOverlap="1">
            <wp:simplePos x="0" y="0"/>
            <wp:positionH relativeFrom="page">
              <wp:posOffset>3438525</wp:posOffset>
            </wp:positionH>
            <wp:positionV relativeFrom="margin">
              <wp:posOffset>5279390</wp:posOffset>
            </wp:positionV>
            <wp:extent cx="804545" cy="255905"/>
            <wp:wrapNone/>
            <wp:docPr id="165" name="Shape 165"/>
            <a:graphic xmlns:a="http://schemas.openxmlformats.org/drawingml/2006/main">
              <a:graphicData uri="http://schemas.openxmlformats.org/drawingml/2006/picture">
                <pic:pic xmlns:pic="http://schemas.openxmlformats.org/drawingml/2006/picture">
                  <pic:nvPicPr>
                    <pic:cNvPr id="166" name="Picture box 166"/>
                    <pic:cNvPicPr/>
                  </pic:nvPicPr>
                  <pic:blipFill>
                    <a:blip r:embed="rId117"/>
                    <a:stretch/>
                  </pic:blipFill>
                  <pic:spPr>
                    <a:xfrm>
                      <a:ext cx="804545" cy="255905"/>
                    </a:xfrm>
                    <a:prstGeom prst="rect"/>
                  </pic:spPr>
                </pic:pic>
              </a:graphicData>
            </a:graphic>
          </wp:anchor>
        </w:drawing>
      </w:r>
      <w:r>
        <w:drawing>
          <wp:anchor distT="0" distB="0" distL="0" distR="0" simplePos="0" relativeHeight="62914764" behindDoc="1" locked="0" layoutInCell="1" allowOverlap="1">
            <wp:simplePos x="0" y="0"/>
            <wp:positionH relativeFrom="page">
              <wp:posOffset>3438525</wp:posOffset>
            </wp:positionH>
            <wp:positionV relativeFrom="margin">
              <wp:posOffset>5535930</wp:posOffset>
            </wp:positionV>
            <wp:extent cx="804545" cy="255905"/>
            <wp:wrapNone/>
            <wp:docPr id="167" name="Shape 167"/>
            <a:graphic xmlns:a="http://schemas.openxmlformats.org/drawingml/2006/main">
              <a:graphicData uri="http://schemas.openxmlformats.org/drawingml/2006/picture">
                <pic:pic xmlns:pic="http://schemas.openxmlformats.org/drawingml/2006/picture">
                  <pic:nvPicPr>
                    <pic:cNvPr id="168" name="Picture box 168"/>
                    <pic:cNvPicPr/>
                  </pic:nvPicPr>
                  <pic:blipFill>
                    <a:blip r:embed="rId119"/>
                    <a:stretch/>
                  </pic:blipFill>
                  <pic:spPr>
                    <a:xfrm>
                      <a:ext cx="804545" cy="255905"/>
                    </a:xfrm>
                    <a:prstGeom prst="rect"/>
                  </pic:spPr>
                </pic:pic>
              </a:graphicData>
            </a:graphic>
          </wp:anchor>
        </w:drawing>
      </w:r>
      <w:r>
        <w:drawing>
          <wp:anchor distT="0" distB="0" distL="0" distR="0" simplePos="0" relativeHeight="62914765" behindDoc="1" locked="0" layoutInCell="1" allowOverlap="1">
            <wp:simplePos x="0" y="0"/>
            <wp:positionH relativeFrom="page">
              <wp:posOffset>3438525</wp:posOffset>
            </wp:positionH>
            <wp:positionV relativeFrom="margin">
              <wp:posOffset>5791835</wp:posOffset>
            </wp:positionV>
            <wp:extent cx="804545" cy="250190"/>
            <wp:wrapNone/>
            <wp:docPr id="169" name="Shape 169"/>
            <a:graphic xmlns:a="http://schemas.openxmlformats.org/drawingml/2006/main">
              <a:graphicData uri="http://schemas.openxmlformats.org/drawingml/2006/picture">
                <pic:pic xmlns:pic="http://schemas.openxmlformats.org/drawingml/2006/picture">
                  <pic:nvPicPr>
                    <pic:cNvPr id="170" name="Picture box 170"/>
                    <pic:cNvPicPr/>
                  </pic:nvPicPr>
                  <pic:blipFill>
                    <a:blip r:embed="rId121"/>
                    <a:stretch/>
                  </pic:blipFill>
                  <pic:spPr>
                    <a:xfrm>
                      <a:ext cx="804545" cy="250190"/>
                    </a:xfrm>
                    <a:prstGeom prst="rect"/>
                  </pic:spPr>
                </pic:pic>
              </a:graphicData>
            </a:graphic>
          </wp:anchor>
        </w:drawing>
      </w:r>
      <w:r>
        <w:drawing>
          <wp:anchor distT="0" distB="0" distL="0" distR="0" simplePos="0" relativeHeight="62914766" behindDoc="1" locked="0" layoutInCell="1" allowOverlap="1">
            <wp:simplePos x="0" y="0"/>
            <wp:positionH relativeFrom="page">
              <wp:posOffset>4246245</wp:posOffset>
            </wp:positionH>
            <wp:positionV relativeFrom="margin">
              <wp:posOffset>2840990</wp:posOffset>
            </wp:positionV>
            <wp:extent cx="628015" cy="255905"/>
            <wp:wrapNone/>
            <wp:docPr id="171" name="Shape 171"/>
            <a:graphic xmlns:a="http://schemas.openxmlformats.org/drawingml/2006/main">
              <a:graphicData uri="http://schemas.openxmlformats.org/drawingml/2006/picture">
                <pic:pic xmlns:pic="http://schemas.openxmlformats.org/drawingml/2006/picture">
                  <pic:nvPicPr>
                    <pic:cNvPr id="172" name="Picture box 172"/>
                    <pic:cNvPicPr/>
                  </pic:nvPicPr>
                  <pic:blipFill>
                    <a:blip r:embed="rId123"/>
                    <a:stretch/>
                  </pic:blipFill>
                  <pic:spPr>
                    <a:xfrm>
                      <a:ext cx="628015" cy="255905"/>
                    </a:xfrm>
                    <a:prstGeom prst="rect"/>
                  </pic:spPr>
                </pic:pic>
              </a:graphicData>
            </a:graphic>
          </wp:anchor>
        </w:drawing>
      </w:r>
      <w:r>
        <w:drawing>
          <wp:anchor distT="0" distB="0" distL="0" distR="0" simplePos="0" relativeHeight="62914767" behindDoc="1" locked="0" layoutInCell="1" allowOverlap="1">
            <wp:simplePos x="0" y="0"/>
            <wp:positionH relativeFrom="page">
              <wp:posOffset>4246245</wp:posOffset>
            </wp:positionH>
            <wp:positionV relativeFrom="margin">
              <wp:posOffset>3097530</wp:posOffset>
            </wp:positionV>
            <wp:extent cx="628015" cy="450850"/>
            <wp:wrapNone/>
            <wp:docPr id="173" name="Shape 173"/>
            <a:graphic xmlns:a="http://schemas.openxmlformats.org/drawingml/2006/main">
              <a:graphicData uri="http://schemas.openxmlformats.org/drawingml/2006/picture">
                <pic:pic xmlns:pic="http://schemas.openxmlformats.org/drawingml/2006/picture">
                  <pic:nvPicPr>
                    <pic:cNvPr id="174" name="Picture box 174"/>
                    <pic:cNvPicPr/>
                  </pic:nvPicPr>
                  <pic:blipFill>
                    <a:blip r:embed="rId125"/>
                    <a:stretch/>
                  </pic:blipFill>
                  <pic:spPr>
                    <a:xfrm>
                      <a:ext cx="628015" cy="450850"/>
                    </a:xfrm>
                    <a:prstGeom prst="rect"/>
                  </pic:spPr>
                </pic:pic>
              </a:graphicData>
            </a:graphic>
          </wp:anchor>
        </w:drawing>
      </w:r>
      <w:r>
        <w:drawing>
          <wp:anchor distT="0" distB="0" distL="0" distR="0" simplePos="0" relativeHeight="62914768" behindDoc="1" locked="0" layoutInCell="1" allowOverlap="1">
            <wp:simplePos x="0" y="0"/>
            <wp:positionH relativeFrom="page">
              <wp:posOffset>4246245</wp:posOffset>
            </wp:positionH>
            <wp:positionV relativeFrom="margin">
              <wp:posOffset>3551555</wp:posOffset>
            </wp:positionV>
            <wp:extent cx="628015" cy="250190"/>
            <wp:wrapNone/>
            <wp:docPr id="175" name="Shape 175"/>
            <a:graphic xmlns:a="http://schemas.openxmlformats.org/drawingml/2006/main">
              <a:graphicData uri="http://schemas.openxmlformats.org/drawingml/2006/picture">
                <pic:pic xmlns:pic="http://schemas.openxmlformats.org/drawingml/2006/picture">
                  <pic:nvPicPr>
                    <pic:cNvPr id="176" name="Picture box 176"/>
                    <pic:cNvPicPr/>
                  </pic:nvPicPr>
                  <pic:blipFill>
                    <a:blip r:embed="rId127"/>
                    <a:stretch/>
                  </pic:blipFill>
                  <pic:spPr>
                    <a:xfrm>
                      <a:ext cx="628015" cy="250190"/>
                    </a:xfrm>
                    <a:prstGeom prst="rect"/>
                  </pic:spPr>
                </pic:pic>
              </a:graphicData>
            </a:graphic>
          </wp:anchor>
        </w:drawing>
      </w:r>
      <w:r>
        <w:drawing>
          <wp:anchor distT="0" distB="0" distL="0" distR="0" simplePos="0" relativeHeight="62914769" behindDoc="1" locked="0" layoutInCell="1" allowOverlap="1">
            <wp:simplePos x="0" y="0"/>
            <wp:positionH relativeFrom="page">
              <wp:posOffset>4246245</wp:posOffset>
            </wp:positionH>
            <wp:positionV relativeFrom="margin">
              <wp:posOffset>3804285</wp:posOffset>
            </wp:positionV>
            <wp:extent cx="628015" cy="255905"/>
            <wp:wrapNone/>
            <wp:docPr id="177" name="Shape 177"/>
            <a:graphic xmlns:a="http://schemas.openxmlformats.org/drawingml/2006/main">
              <a:graphicData uri="http://schemas.openxmlformats.org/drawingml/2006/picture">
                <pic:pic xmlns:pic="http://schemas.openxmlformats.org/drawingml/2006/picture">
                  <pic:nvPicPr>
                    <pic:cNvPr id="178" name="Picture box 178"/>
                    <pic:cNvPicPr/>
                  </pic:nvPicPr>
                  <pic:blipFill>
                    <a:blip r:embed="rId129"/>
                    <a:stretch/>
                  </pic:blipFill>
                  <pic:spPr>
                    <a:xfrm>
                      <a:ext cx="628015" cy="255905"/>
                    </a:xfrm>
                    <a:prstGeom prst="rect"/>
                  </pic:spPr>
                </pic:pic>
              </a:graphicData>
            </a:graphic>
          </wp:anchor>
        </w:drawing>
      </w:r>
      <w:r>
        <w:drawing>
          <wp:anchor distT="0" distB="0" distL="0" distR="0" simplePos="0" relativeHeight="62914770" behindDoc="1" locked="0" layoutInCell="1" allowOverlap="1">
            <wp:simplePos x="0" y="0"/>
            <wp:positionH relativeFrom="page">
              <wp:posOffset>4246245</wp:posOffset>
            </wp:positionH>
            <wp:positionV relativeFrom="margin">
              <wp:posOffset>4060190</wp:posOffset>
            </wp:positionV>
            <wp:extent cx="628015" cy="255905"/>
            <wp:wrapNone/>
            <wp:docPr id="179" name="Shape 179"/>
            <a:graphic xmlns:a="http://schemas.openxmlformats.org/drawingml/2006/main">
              <a:graphicData uri="http://schemas.openxmlformats.org/drawingml/2006/picture">
                <pic:pic xmlns:pic="http://schemas.openxmlformats.org/drawingml/2006/picture">
                  <pic:nvPicPr>
                    <pic:cNvPr id="180" name="Picture box 180"/>
                    <pic:cNvPicPr/>
                  </pic:nvPicPr>
                  <pic:blipFill>
                    <a:blip r:embed="rId131"/>
                    <a:stretch/>
                  </pic:blipFill>
                  <pic:spPr>
                    <a:xfrm>
                      <a:ext cx="628015" cy="255905"/>
                    </a:xfrm>
                    <a:prstGeom prst="rect"/>
                  </pic:spPr>
                </pic:pic>
              </a:graphicData>
            </a:graphic>
          </wp:anchor>
        </w:drawing>
      </w:r>
      <w:r>
        <w:drawing>
          <wp:anchor distT="0" distB="0" distL="0" distR="0" simplePos="0" relativeHeight="62914771" behindDoc="1" locked="0" layoutInCell="1" allowOverlap="1">
            <wp:simplePos x="0" y="0"/>
            <wp:positionH relativeFrom="page">
              <wp:posOffset>4246245</wp:posOffset>
            </wp:positionH>
            <wp:positionV relativeFrom="margin">
              <wp:posOffset>4316730</wp:posOffset>
            </wp:positionV>
            <wp:extent cx="628015" cy="255905"/>
            <wp:wrapNone/>
            <wp:docPr id="181" name="Shape 181"/>
            <a:graphic xmlns:a="http://schemas.openxmlformats.org/drawingml/2006/main">
              <a:graphicData uri="http://schemas.openxmlformats.org/drawingml/2006/picture">
                <pic:pic xmlns:pic="http://schemas.openxmlformats.org/drawingml/2006/picture">
                  <pic:nvPicPr>
                    <pic:cNvPr id="182" name="Picture box 182"/>
                    <pic:cNvPicPr/>
                  </pic:nvPicPr>
                  <pic:blipFill>
                    <a:blip r:embed="rId133"/>
                    <a:stretch/>
                  </pic:blipFill>
                  <pic:spPr>
                    <a:xfrm>
                      <a:ext cx="628015" cy="255905"/>
                    </a:xfrm>
                    <a:prstGeom prst="rect"/>
                  </pic:spPr>
                </pic:pic>
              </a:graphicData>
            </a:graphic>
          </wp:anchor>
        </w:drawing>
      </w:r>
      <w:r>
        <w:drawing>
          <wp:anchor distT="0" distB="0" distL="0" distR="0" simplePos="0" relativeHeight="62914772" behindDoc="1" locked="0" layoutInCell="1" allowOverlap="1">
            <wp:simplePos x="0" y="0"/>
            <wp:positionH relativeFrom="page">
              <wp:posOffset>4246245</wp:posOffset>
            </wp:positionH>
            <wp:positionV relativeFrom="margin">
              <wp:posOffset>4572635</wp:posOffset>
            </wp:positionV>
            <wp:extent cx="628015" cy="250190"/>
            <wp:wrapNone/>
            <wp:docPr id="183" name="Shape 183"/>
            <a:graphic xmlns:a="http://schemas.openxmlformats.org/drawingml/2006/main">
              <a:graphicData uri="http://schemas.openxmlformats.org/drawingml/2006/picture">
                <pic:pic xmlns:pic="http://schemas.openxmlformats.org/drawingml/2006/picture">
                  <pic:nvPicPr>
                    <pic:cNvPr id="184" name="Picture box 184"/>
                    <pic:cNvPicPr/>
                  </pic:nvPicPr>
                  <pic:blipFill>
                    <a:blip r:embed="rId135"/>
                    <a:stretch/>
                  </pic:blipFill>
                  <pic:spPr>
                    <a:xfrm>
                      <a:ext cx="628015" cy="250190"/>
                    </a:xfrm>
                    <a:prstGeom prst="rect"/>
                  </pic:spPr>
                </pic:pic>
              </a:graphicData>
            </a:graphic>
          </wp:anchor>
        </w:drawing>
      </w:r>
      <w:r>
        <w:drawing>
          <wp:anchor distT="0" distB="0" distL="0" distR="0" simplePos="0" relativeHeight="62914773" behindDoc="1" locked="0" layoutInCell="1" allowOverlap="1">
            <wp:simplePos x="0" y="0"/>
            <wp:positionH relativeFrom="page">
              <wp:posOffset>4246245</wp:posOffset>
            </wp:positionH>
            <wp:positionV relativeFrom="margin">
              <wp:posOffset>4825365</wp:posOffset>
            </wp:positionV>
            <wp:extent cx="628015" cy="450850"/>
            <wp:wrapNone/>
            <wp:docPr id="185" name="Shape 185"/>
            <a:graphic xmlns:a="http://schemas.openxmlformats.org/drawingml/2006/main">
              <a:graphicData uri="http://schemas.openxmlformats.org/drawingml/2006/picture">
                <pic:pic xmlns:pic="http://schemas.openxmlformats.org/drawingml/2006/picture">
                  <pic:nvPicPr>
                    <pic:cNvPr id="186" name="Picture box 186"/>
                    <pic:cNvPicPr/>
                  </pic:nvPicPr>
                  <pic:blipFill>
                    <a:blip r:embed="rId137"/>
                    <a:stretch/>
                  </pic:blipFill>
                  <pic:spPr>
                    <a:xfrm>
                      <a:ext cx="628015" cy="450850"/>
                    </a:xfrm>
                    <a:prstGeom prst="rect"/>
                  </pic:spPr>
                </pic:pic>
              </a:graphicData>
            </a:graphic>
          </wp:anchor>
        </w:drawing>
      </w:r>
      <w:r>
        <w:drawing>
          <wp:anchor distT="0" distB="0" distL="0" distR="0" simplePos="0" relativeHeight="62914774" behindDoc="1" locked="0" layoutInCell="1" allowOverlap="1">
            <wp:simplePos x="0" y="0"/>
            <wp:positionH relativeFrom="page">
              <wp:posOffset>4246245</wp:posOffset>
            </wp:positionH>
            <wp:positionV relativeFrom="margin">
              <wp:posOffset>5279390</wp:posOffset>
            </wp:positionV>
            <wp:extent cx="628015" cy="255905"/>
            <wp:wrapNone/>
            <wp:docPr id="187" name="Shape 187"/>
            <a:graphic xmlns:a="http://schemas.openxmlformats.org/drawingml/2006/main">
              <a:graphicData uri="http://schemas.openxmlformats.org/drawingml/2006/picture">
                <pic:pic xmlns:pic="http://schemas.openxmlformats.org/drawingml/2006/picture">
                  <pic:nvPicPr>
                    <pic:cNvPr id="188" name="Picture box 188"/>
                    <pic:cNvPicPr/>
                  </pic:nvPicPr>
                  <pic:blipFill>
                    <a:blip r:embed="rId139"/>
                    <a:stretch/>
                  </pic:blipFill>
                  <pic:spPr>
                    <a:xfrm>
                      <a:ext cx="628015" cy="255905"/>
                    </a:xfrm>
                    <a:prstGeom prst="rect"/>
                  </pic:spPr>
                </pic:pic>
              </a:graphicData>
            </a:graphic>
          </wp:anchor>
        </w:drawing>
      </w:r>
      <w:r>
        <w:drawing>
          <wp:anchor distT="0" distB="0" distL="0" distR="0" simplePos="0" relativeHeight="62914775" behindDoc="1" locked="0" layoutInCell="1" allowOverlap="1">
            <wp:simplePos x="0" y="0"/>
            <wp:positionH relativeFrom="page">
              <wp:posOffset>4246245</wp:posOffset>
            </wp:positionH>
            <wp:positionV relativeFrom="margin">
              <wp:posOffset>5535930</wp:posOffset>
            </wp:positionV>
            <wp:extent cx="628015" cy="255905"/>
            <wp:wrapNone/>
            <wp:docPr id="189" name="Shape 189"/>
            <a:graphic xmlns:a="http://schemas.openxmlformats.org/drawingml/2006/main">
              <a:graphicData uri="http://schemas.openxmlformats.org/drawingml/2006/picture">
                <pic:pic xmlns:pic="http://schemas.openxmlformats.org/drawingml/2006/picture">
                  <pic:nvPicPr>
                    <pic:cNvPr id="190" name="Picture box 190"/>
                    <pic:cNvPicPr/>
                  </pic:nvPicPr>
                  <pic:blipFill>
                    <a:blip r:embed="rId141"/>
                    <a:stretch/>
                  </pic:blipFill>
                  <pic:spPr>
                    <a:xfrm>
                      <a:ext cx="628015" cy="255905"/>
                    </a:xfrm>
                    <a:prstGeom prst="rect"/>
                  </pic:spPr>
                </pic:pic>
              </a:graphicData>
            </a:graphic>
          </wp:anchor>
        </w:drawing>
      </w:r>
      <w:r>
        <w:drawing>
          <wp:anchor distT="0" distB="0" distL="0" distR="0" simplePos="0" relativeHeight="62914776" behindDoc="1" locked="0" layoutInCell="1" allowOverlap="1">
            <wp:simplePos x="0" y="0"/>
            <wp:positionH relativeFrom="page">
              <wp:posOffset>4246245</wp:posOffset>
            </wp:positionH>
            <wp:positionV relativeFrom="margin">
              <wp:posOffset>5791835</wp:posOffset>
            </wp:positionV>
            <wp:extent cx="628015" cy="250190"/>
            <wp:wrapNone/>
            <wp:docPr id="191" name="Shape 191"/>
            <a:graphic xmlns:a="http://schemas.openxmlformats.org/drawingml/2006/main">
              <a:graphicData uri="http://schemas.openxmlformats.org/drawingml/2006/picture">
                <pic:pic xmlns:pic="http://schemas.openxmlformats.org/drawingml/2006/picture">
                  <pic:nvPicPr>
                    <pic:cNvPr id="192" name="Picture box 192"/>
                    <pic:cNvPicPr/>
                  </pic:nvPicPr>
                  <pic:blipFill>
                    <a:blip r:embed="rId143"/>
                    <a:stretch/>
                  </pic:blipFill>
                  <pic:spPr>
                    <a:xfrm>
                      <a:ext cx="628015" cy="250190"/>
                    </a:xfrm>
                    <a:prstGeom prst="rect"/>
                  </pic:spPr>
                </pic:pic>
              </a:graphicData>
            </a:graphic>
          </wp:anchor>
        </w:drawing>
      </w:r>
      <w:r>
        <w:drawing>
          <wp:anchor distT="0" distB="0" distL="0" distR="0" simplePos="0" relativeHeight="62914777" behindDoc="1" locked="0" layoutInCell="1" allowOverlap="1">
            <wp:simplePos x="0" y="0"/>
            <wp:positionH relativeFrom="page">
              <wp:posOffset>4877435</wp:posOffset>
            </wp:positionH>
            <wp:positionV relativeFrom="margin">
              <wp:posOffset>2840990</wp:posOffset>
            </wp:positionV>
            <wp:extent cx="554990" cy="255905"/>
            <wp:wrapNone/>
            <wp:docPr id="193" name="Shape 193"/>
            <a:graphic xmlns:a="http://schemas.openxmlformats.org/drawingml/2006/main">
              <a:graphicData uri="http://schemas.openxmlformats.org/drawingml/2006/picture">
                <pic:pic xmlns:pic="http://schemas.openxmlformats.org/drawingml/2006/picture">
                  <pic:nvPicPr>
                    <pic:cNvPr id="194" name="Picture box 194"/>
                    <pic:cNvPicPr/>
                  </pic:nvPicPr>
                  <pic:blipFill>
                    <a:blip r:embed="rId145"/>
                    <a:stretch/>
                  </pic:blipFill>
                  <pic:spPr>
                    <a:xfrm>
                      <a:ext cx="554990" cy="255905"/>
                    </a:xfrm>
                    <a:prstGeom prst="rect"/>
                  </pic:spPr>
                </pic:pic>
              </a:graphicData>
            </a:graphic>
          </wp:anchor>
        </w:drawing>
      </w:r>
      <w:r>
        <w:drawing>
          <wp:anchor distT="0" distB="0" distL="0" distR="0" simplePos="0" relativeHeight="62914778" behindDoc="1" locked="0" layoutInCell="1" allowOverlap="1">
            <wp:simplePos x="0" y="0"/>
            <wp:positionH relativeFrom="page">
              <wp:posOffset>4877435</wp:posOffset>
            </wp:positionH>
            <wp:positionV relativeFrom="margin">
              <wp:posOffset>3097530</wp:posOffset>
            </wp:positionV>
            <wp:extent cx="554990" cy="450850"/>
            <wp:wrapNone/>
            <wp:docPr id="195" name="Shape 195"/>
            <a:graphic xmlns:a="http://schemas.openxmlformats.org/drawingml/2006/main">
              <a:graphicData uri="http://schemas.openxmlformats.org/drawingml/2006/picture">
                <pic:pic xmlns:pic="http://schemas.openxmlformats.org/drawingml/2006/picture">
                  <pic:nvPicPr>
                    <pic:cNvPr id="196" name="Picture box 196"/>
                    <pic:cNvPicPr/>
                  </pic:nvPicPr>
                  <pic:blipFill>
                    <a:blip r:embed="rId147"/>
                    <a:stretch/>
                  </pic:blipFill>
                  <pic:spPr>
                    <a:xfrm>
                      <a:ext cx="554990" cy="450850"/>
                    </a:xfrm>
                    <a:prstGeom prst="rect"/>
                  </pic:spPr>
                </pic:pic>
              </a:graphicData>
            </a:graphic>
          </wp:anchor>
        </w:drawing>
      </w:r>
      <w:r>
        <w:drawing>
          <wp:anchor distT="0" distB="0" distL="0" distR="0" simplePos="0" relativeHeight="62914779" behindDoc="1" locked="0" layoutInCell="1" allowOverlap="1">
            <wp:simplePos x="0" y="0"/>
            <wp:positionH relativeFrom="page">
              <wp:posOffset>4877435</wp:posOffset>
            </wp:positionH>
            <wp:positionV relativeFrom="margin">
              <wp:posOffset>3551555</wp:posOffset>
            </wp:positionV>
            <wp:extent cx="554990" cy="250190"/>
            <wp:wrapNone/>
            <wp:docPr id="197" name="Shape 197"/>
            <a:graphic xmlns:a="http://schemas.openxmlformats.org/drawingml/2006/main">
              <a:graphicData uri="http://schemas.openxmlformats.org/drawingml/2006/picture">
                <pic:pic xmlns:pic="http://schemas.openxmlformats.org/drawingml/2006/picture">
                  <pic:nvPicPr>
                    <pic:cNvPr id="198" name="Picture box 198"/>
                    <pic:cNvPicPr/>
                  </pic:nvPicPr>
                  <pic:blipFill>
                    <a:blip r:embed="rId149"/>
                    <a:stretch/>
                  </pic:blipFill>
                  <pic:spPr>
                    <a:xfrm>
                      <a:ext cx="554990" cy="250190"/>
                    </a:xfrm>
                    <a:prstGeom prst="rect"/>
                  </pic:spPr>
                </pic:pic>
              </a:graphicData>
            </a:graphic>
          </wp:anchor>
        </w:drawing>
      </w:r>
      <w:r>
        <w:drawing>
          <wp:anchor distT="0" distB="0" distL="0" distR="0" simplePos="0" relativeHeight="62914780" behindDoc="1" locked="0" layoutInCell="1" allowOverlap="1">
            <wp:simplePos x="0" y="0"/>
            <wp:positionH relativeFrom="page">
              <wp:posOffset>4877435</wp:posOffset>
            </wp:positionH>
            <wp:positionV relativeFrom="margin">
              <wp:posOffset>3804285</wp:posOffset>
            </wp:positionV>
            <wp:extent cx="554990" cy="255905"/>
            <wp:wrapNone/>
            <wp:docPr id="199" name="Shape 199"/>
            <a:graphic xmlns:a="http://schemas.openxmlformats.org/drawingml/2006/main">
              <a:graphicData uri="http://schemas.openxmlformats.org/drawingml/2006/picture">
                <pic:pic xmlns:pic="http://schemas.openxmlformats.org/drawingml/2006/picture">
                  <pic:nvPicPr>
                    <pic:cNvPr id="200" name="Picture box 200"/>
                    <pic:cNvPicPr/>
                  </pic:nvPicPr>
                  <pic:blipFill>
                    <a:blip r:embed="rId151"/>
                    <a:stretch/>
                  </pic:blipFill>
                  <pic:spPr>
                    <a:xfrm>
                      <a:ext cx="554990" cy="255905"/>
                    </a:xfrm>
                    <a:prstGeom prst="rect"/>
                  </pic:spPr>
                </pic:pic>
              </a:graphicData>
            </a:graphic>
          </wp:anchor>
        </w:drawing>
      </w:r>
      <w:r>
        <w:drawing>
          <wp:anchor distT="0" distB="0" distL="0" distR="0" simplePos="0" relativeHeight="62914781" behindDoc="1" locked="0" layoutInCell="1" allowOverlap="1">
            <wp:simplePos x="0" y="0"/>
            <wp:positionH relativeFrom="page">
              <wp:posOffset>4877435</wp:posOffset>
            </wp:positionH>
            <wp:positionV relativeFrom="margin">
              <wp:posOffset>4060190</wp:posOffset>
            </wp:positionV>
            <wp:extent cx="554990" cy="255905"/>
            <wp:wrapNone/>
            <wp:docPr id="201" name="Shape 201"/>
            <a:graphic xmlns:a="http://schemas.openxmlformats.org/drawingml/2006/main">
              <a:graphicData uri="http://schemas.openxmlformats.org/drawingml/2006/picture">
                <pic:pic xmlns:pic="http://schemas.openxmlformats.org/drawingml/2006/picture">
                  <pic:nvPicPr>
                    <pic:cNvPr id="202" name="Picture box 202"/>
                    <pic:cNvPicPr/>
                  </pic:nvPicPr>
                  <pic:blipFill>
                    <a:blip r:embed="rId153"/>
                    <a:stretch/>
                  </pic:blipFill>
                  <pic:spPr>
                    <a:xfrm>
                      <a:ext cx="554990" cy="255905"/>
                    </a:xfrm>
                    <a:prstGeom prst="rect"/>
                  </pic:spPr>
                </pic:pic>
              </a:graphicData>
            </a:graphic>
          </wp:anchor>
        </w:drawing>
      </w:r>
      <w:r>
        <w:drawing>
          <wp:anchor distT="0" distB="0" distL="0" distR="0" simplePos="0" relativeHeight="62914782" behindDoc="1" locked="0" layoutInCell="1" allowOverlap="1">
            <wp:simplePos x="0" y="0"/>
            <wp:positionH relativeFrom="page">
              <wp:posOffset>4877435</wp:posOffset>
            </wp:positionH>
            <wp:positionV relativeFrom="margin">
              <wp:posOffset>4316730</wp:posOffset>
            </wp:positionV>
            <wp:extent cx="554990" cy="255905"/>
            <wp:wrapNone/>
            <wp:docPr id="203" name="Shape 203"/>
            <a:graphic xmlns:a="http://schemas.openxmlformats.org/drawingml/2006/main">
              <a:graphicData uri="http://schemas.openxmlformats.org/drawingml/2006/picture">
                <pic:pic xmlns:pic="http://schemas.openxmlformats.org/drawingml/2006/picture">
                  <pic:nvPicPr>
                    <pic:cNvPr id="204" name="Picture box 204"/>
                    <pic:cNvPicPr/>
                  </pic:nvPicPr>
                  <pic:blipFill>
                    <a:blip r:embed="rId155"/>
                    <a:stretch/>
                  </pic:blipFill>
                  <pic:spPr>
                    <a:xfrm>
                      <a:ext cx="554990" cy="255905"/>
                    </a:xfrm>
                    <a:prstGeom prst="rect"/>
                  </pic:spPr>
                </pic:pic>
              </a:graphicData>
            </a:graphic>
          </wp:anchor>
        </w:drawing>
      </w:r>
      <w:r>
        <w:drawing>
          <wp:anchor distT="0" distB="0" distL="0" distR="0" simplePos="0" relativeHeight="62914783" behindDoc="1" locked="0" layoutInCell="1" allowOverlap="1">
            <wp:simplePos x="0" y="0"/>
            <wp:positionH relativeFrom="page">
              <wp:posOffset>4877435</wp:posOffset>
            </wp:positionH>
            <wp:positionV relativeFrom="margin">
              <wp:posOffset>4572635</wp:posOffset>
            </wp:positionV>
            <wp:extent cx="554990" cy="250190"/>
            <wp:wrapNone/>
            <wp:docPr id="205" name="Shape 205"/>
            <a:graphic xmlns:a="http://schemas.openxmlformats.org/drawingml/2006/main">
              <a:graphicData uri="http://schemas.openxmlformats.org/drawingml/2006/picture">
                <pic:pic xmlns:pic="http://schemas.openxmlformats.org/drawingml/2006/picture">
                  <pic:nvPicPr>
                    <pic:cNvPr id="206" name="Picture box 206"/>
                    <pic:cNvPicPr/>
                  </pic:nvPicPr>
                  <pic:blipFill>
                    <a:blip r:embed="rId157"/>
                    <a:stretch/>
                  </pic:blipFill>
                  <pic:spPr>
                    <a:xfrm>
                      <a:ext cx="554990" cy="250190"/>
                    </a:xfrm>
                    <a:prstGeom prst="rect"/>
                  </pic:spPr>
                </pic:pic>
              </a:graphicData>
            </a:graphic>
          </wp:anchor>
        </w:drawing>
      </w:r>
      <w:r>
        <w:drawing>
          <wp:anchor distT="0" distB="0" distL="0" distR="0" simplePos="0" relativeHeight="62914784" behindDoc="1" locked="0" layoutInCell="1" allowOverlap="1">
            <wp:simplePos x="0" y="0"/>
            <wp:positionH relativeFrom="page">
              <wp:posOffset>4877435</wp:posOffset>
            </wp:positionH>
            <wp:positionV relativeFrom="margin">
              <wp:posOffset>4825365</wp:posOffset>
            </wp:positionV>
            <wp:extent cx="554990" cy="450850"/>
            <wp:wrapNone/>
            <wp:docPr id="207" name="Shape 207"/>
            <a:graphic xmlns:a="http://schemas.openxmlformats.org/drawingml/2006/main">
              <a:graphicData uri="http://schemas.openxmlformats.org/drawingml/2006/picture">
                <pic:pic xmlns:pic="http://schemas.openxmlformats.org/drawingml/2006/picture">
                  <pic:nvPicPr>
                    <pic:cNvPr id="208" name="Picture box 208"/>
                    <pic:cNvPicPr/>
                  </pic:nvPicPr>
                  <pic:blipFill>
                    <a:blip r:embed="rId159"/>
                    <a:stretch/>
                  </pic:blipFill>
                  <pic:spPr>
                    <a:xfrm>
                      <a:ext cx="554990" cy="450850"/>
                    </a:xfrm>
                    <a:prstGeom prst="rect"/>
                  </pic:spPr>
                </pic:pic>
              </a:graphicData>
            </a:graphic>
          </wp:anchor>
        </w:drawing>
      </w:r>
      <w:r>
        <w:drawing>
          <wp:anchor distT="0" distB="0" distL="0" distR="0" simplePos="0" relativeHeight="62914785" behindDoc="1" locked="0" layoutInCell="1" allowOverlap="1">
            <wp:simplePos x="0" y="0"/>
            <wp:positionH relativeFrom="page">
              <wp:posOffset>4877435</wp:posOffset>
            </wp:positionH>
            <wp:positionV relativeFrom="margin">
              <wp:posOffset>5279390</wp:posOffset>
            </wp:positionV>
            <wp:extent cx="554990" cy="255905"/>
            <wp:wrapNone/>
            <wp:docPr id="209" name="Shape 209"/>
            <a:graphic xmlns:a="http://schemas.openxmlformats.org/drawingml/2006/main">
              <a:graphicData uri="http://schemas.openxmlformats.org/drawingml/2006/picture">
                <pic:pic xmlns:pic="http://schemas.openxmlformats.org/drawingml/2006/picture">
                  <pic:nvPicPr>
                    <pic:cNvPr id="210" name="Picture box 210"/>
                    <pic:cNvPicPr/>
                  </pic:nvPicPr>
                  <pic:blipFill>
                    <a:blip r:embed="rId161"/>
                    <a:stretch/>
                  </pic:blipFill>
                  <pic:spPr>
                    <a:xfrm>
                      <a:ext cx="554990" cy="255905"/>
                    </a:xfrm>
                    <a:prstGeom prst="rect"/>
                  </pic:spPr>
                </pic:pic>
              </a:graphicData>
            </a:graphic>
          </wp:anchor>
        </w:drawing>
      </w:r>
      <w:r>
        <w:drawing>
          <wp:anchor distT="0" distB="0" distL="0" distR="0" simplePos="0" relativeHeight="62914786" behindDoc="1" locked="0" layoutInCell="1" allowOverlap="1">
            <wp:simplePos x="0" y="0"/>
            <wp:positionH relativeFrom="page">
              <wp:posOffset>4877435</wp:posOffset>
            </wp:positionH>
            <wp:positionV relativeFrom="margin">
              <wp:posOffset>5535930</wp:posOffset>
            </wp:positionV>
            <wp:extent cx="554990" cy="255905"/>
            <wp:wrapNone/>
            <wp:docPr id="211" name="Shape 211"/>
            <a:graphic xmlns:a="http://schemas.openxmlformats.org/drawingml/2006/main">
              <a:graphicData uri="http://schemas.openxmlformats.org/drawingml/2006/picture">
                <pic:pic xmlns:pic="http://schemas.openxmlformats.org/drawingml/2006/picture">
                  <pic:nvPicPr>
                    <pic:cNvPr id="212" name="Picture box 212"/>
                    <pic:cNvPicPr/>
                  </pic:nvPicPr>
                  <pic:blipFill>
                    <a:blip r:embed="rId163"/>
                    <a:stretch/>
                  </pic:blipFill>
                  <pic:spPr>
                    <a:xfrm>
                      <a:ext cx="554990" cy="255905"/>
                    </a:xfrm>
                    <a:prstGeom prst="rect"/>
                  </pic:spPr>
                </pic:pic>
              </a:graphicData>
            </a:graphic>
          </wp:anchor>
        </w:drawing>
      </w:r>
      <w:r>
        <w:drawing>
          <wp:anchor distT="0" distB="0" distL="0" distR="0" simplePos="0" relativeHeight="62914787" behindDoc="1" locked="0" layoutInCell="1" allowOverlap="1">
            <wp:simplePos x="0" y="0"/>
            <wp:positionH relativeFrom="page">
              <wp:posOffset>4877435</wp:posOffset>
            </wp:positionH>
            <wp:positionV relativeFrom="margin">
              <wp:posOffset>5791835</wp:posOffset>
            </wp:positionV>
            <wp:extent cx="554990" cy="250190"/>
            <wp:wrapNone/>
            <wp:docPr id="213" name="Shape 213"/>
            <a:graphic xmlns:a="http://schemas.openxmlformats.org/drawingml/2006/main">
              <a:graphicData uri="http://schemas.openxmlformats.org/drawingml/2006/picture">
                <pic:pic xmlns:pic="http://schemas.openxmlformats.org/drawingml/2006/picture">
                  <pic:nvPicPr>
                    <pic:cNvPr id="214" name="Picture box 214"/>
                    <pic:cNvPicPr/>
                  </pic:nvPicPr>
                  <pic:blipFill>
                    <a:blip r:embed="rId165"/>
                    <a:stretch/>
                  </pic:blipFill>
                  <pic:spPr>
                    <a:xfrm>
                      <a:ext cx="554990" cy="250190"/>
                    </a:xfrm>
                    <a:prstGeom prst="rect"/>
                  </pic:spPr>
                </pic:pic>
              </a:graphicData>
            </a:graphic>
          </wp:anchor>
        </w:drawing>
      </w:r>
      <w:r>
        <w:drawing>
          <wp:anchor distT="0" distB="0" distL="0" distR="0" simplePos="0" relativeHeight="62914788" behindDoc="1" locked="0" layoutInCell="1" allowOverlap="1">
            <wp:simplePos x="0" y="0"/>
            <wp:positionH relativeFrom="page">
              <wp:posOffset>5431790</wp:posOffset>
            </wp:positionH>
            <wp:positionV relativeFrom="margin">
              <wp:posOffset>3551555</wp:posOffset>
            </wp:positionV>
            <wp:extent cx="749935" cy="250190"/>
            <wp:wrapNone/>
            <wp:docPr id="215" name="Shape 215"/>
            <a:graphic xmlns:a="http://schemas.openxmlformats.org/drawingml/2006/main">
              <a:graphicData uri="http://schemas.openxmlformats.org/drawingml/2006/picture">
                <pic:pic xmlns:pic="http://schemas.openxmlformats.org/drawingml/2006/picture">
                  <pic:nvPicPr>
                    <pic:cNvPr id="216" name="Picture box 216"/>
                    <pic:cNvPicPr/>
                  </pic:nvPicPr>
                  <pic:blipFill>
                    <a:blip r:embed="rId167"/>
                    <a:stretch/>
                  </pic:blipFill>
                  <pic:spPr>
                    <a:xfrm>
                      <a:ext cx="749935" cy="250190"/>
                    </a:xfrm>
                    <a:prstGeom prst="rect"/>
                  </pic:spPr>
                </pic:pic>
              </a:graphicData>
            </a:graphic>
          </wp:anchor>
        </w:drawing>
      </w:r>
      <w:r>
        <w:drawing>
          <wp:anchor distT="0" distB="0" distL="0" distR="0" simplePos="0" relativeHeight="62914789" behindDoc="1" locked="0" layoutInCell="1" allowOverlap="1">
            <wp:simplePos x="0" y="0"/>
            <wp:positionH relativeFrom="page">
              <wp:posOffset>5431790</wp:posOffset>
            </wp:positionH>
            <wp:positionV relativeFrom="margin">
              <wp:posOffset>3804285</wp:posOffset>
            </wp:positionV>
            <wp:extent cx="749935" cy="255905"/>
            <wp:wrapNone/>
            <wp:docPr id="217" name="Shape 217"/>
            <a:graphic xmlns:a="http://schemas.openxmlformats.org/drawingml/2006/main">
              <a:graphicData uri="http://schemas.openxmlformats.org/drawingml/2006/picture">
                <pic:pic xmlns:pic="http://schemas.openxmlformats.org/drawingml/2006/picture">
                  <pic:nvPicPr>
                    <pic:cNvPr id="218" name="Picture box 218"/>
                    <pic:cNvPicPr/>
                  </pic:nvPicPr>
                  <pic:blipFill>
                    <a:blip r:embed="rId169"/>
                    <a:stretch/>
                  </pic:blipFill>
                  <pic:spPr>
                    <a:xfrm>
                      <a:ext cx="749935" cy="255905"/>
                    </a:xfrm>
                    <a:prstGeom prst="rect"/>
                  </pic:spPr>
                </pic:pic>
              </a:graphicData>
            </a:graphic>
          </wp:anchor>
        </w:drawing>
      </w:r>
      <w:r>
        <w:drawing>
          <wp:anchor distT="0" distB="0" distL="0" distR="0" simplePos="0" relativeHeight="62914790" behindDoc="1" locked="0" layoutInCell="1" allowOverlap="1">
            <wp:simplePos x="0" y="0"/>
            <wp:positionH relativeFrom="page">
              <wp:posOffset>5431790</wp:posOffset>
            </wp:positionH>
            <wp:positionV relativeFrom="margin">
              <wp:posOffset>4060190</wp:posOffset>
            </wp:positionV>
            <wp:extent cx="749935" cy="255905"/>
            <wp:wrapNone/>
            <wp:docPr id="219" name="Shape 219"/>
            <a:graphic xmlns:a="http://schemas.openxmlformats.org/drawingml/2006/main">
              <a:graphicData uri="http://schemas.openxmlformats.org/drawingml/2006/picture">
                <pic:pic xmlns:pic="http://schemas.openxmlformats.org/drawingml/2006/picture">
                  <pic:nvPicPr>
                    <pic:cNvPr id="220" name="Picture box 220"/>
                    <pic:cNvPicPr/>
                  </pic:nvPicPr>
                  <pic:blipFill>
                    <a:blip r:embed="rId171"/>
                    <a:stretch/>
                  </pic:blipFill>
                  <pic:spPr>
                    <a:xfrm>
                      <a:ext cx="749935" cy="255905"/>
                    </a:xfrm>
                    <a:prstGeom prst="rect"/>
                  </pic:spPr>
                </pic:pic>
              </a:graphicData>
            </a:graphic>
          </wp:anchor>
        </w:drawing>
      </w:r>
      <w:r>
        <w:drawing>
          <wp:anchor distT="0" distB="0" distL="0" distR="0" simplePos="0" relativeHeight="62914791" behindDoc="1" locked="0" layoutInCell="1" allowOverlap="1">
            <wp:simplePos x="0" y="0"/>
            <wp:positionH relativeFrom="page">
              <wp:posOffset>5431790</wp:posOffset>
            </wp:positionH>
            <wp:positionV relativeFrom="margin">
              <wp:posOffset>4316730</wp:posOffset>
            </wp:positionV>
            <wp:extent cx="749935" cy="255905"/>
            <wp:wrapNone/>
            <wp:docPr id="221" name="Shape 221"/>
            <a:graphic xmlns:a="http://schemas.openxmlformats.org/drawingml/2006/main">
              <a:graphicData uri="http://schemas.openxmlformats.org/drawingml/2006/picture">
                <pic:pic xmlns:pic="http://schemas.openxmlformats.org/drawingml/2006/picture">
                  <pic:nvPicPr>
                    <pic:cNvPr id="222" name="Picture box 222"/>
                    <pic:cNvPicPr/>
                  </pic:nvPicPr>
                  <pic:blipFill>
                    <a:blip r:embed="rId173"/>
                    <a:stretch/>
                  </pic:blipFill>
                  <pic:spPr>
                    <a:xfrm>
                      <a:ext cx="749935" cy="255905"/>
                    </a:xfrm>
                    <a:prstGeom prst="rect"/>
                  </pic:spPr>
                </pic:pic>
              </a:graphicData>
            </a:graphic>
          </wp:anchor>
        </w:drawing>
      </w:r>
      <w:r>
        <w:drawing>
          <wp:anchor distT="0" distB="0" distL="0" distR="0" simplePos="0" relativeHeight="62914792" behindDoc="1" locked="0" layoutInCell="1" allowOverlap="1">
            <wp:simplePos x="0" y="0"/>
            <wp:positionH relativeFrom="page">
              <wp:posOffset>5431790</wp:posOffset>
            </wp:positionH>
            <wp:positionV relativeFrom="margin">
              <wp:posOffset>4572635</wp:posOffset>
            </wp:positionV>
            <wp:extent cx="749935" cy="250190"/>
            <wp:wrapNone/>
            <wp:docPr id="223" name="Shape 223"/>
            <a:graphic xmlns:a="http://schemas.openxmlformats.org/drawingml/2006/main">
              <a:graphicData uri="http://schemas.openxmlformats.org/drawingml/2006/picture">
                <pic:pic xmlns:pic="http://schemas.openxmlformats.org/drawingml/2006/picture">
                  <pic:nvPicPr>
                    <pic:cNvPr id="224" name="Picture box 224"/>
                    <pic:cNvPicPr/>
                  </pic:nvPicPr>
                  <pic:blipFill>
                    <a:blip r:embed="rId175"/>
                    <a:stretch/>
                  </pic:blipFill>
                  <pic:spPr>
                    <a:xfrm>
                      <a:ext cx="749935" cy="250190"/>
                    </a:xfrm>
                    <a:prstGeom prst="rect"/>
                  </pic:spPr>
                </pic:pic>
              </a:graphicData>
            </a:graphic>
          </wp:anchor>
        </w:drawing>
      </w:r>
      <w:r>
        <w:drawing>
          <wp:anchor distT="0" distB="0" distL="0" distR="0" simplePos="0" relativeHeight="62914793" behindDoc="1" locked="0" layoutInCell="1" allowOverlap="1">
            <wp:simplePos x="0" y="0"/>
            <wp:positionH relativeFrom="page">
              <wp:posOffset>5431790</wp:posOffset>
            </wp:positionH>
            <wp:positionV relativeFrom="margin">
              <wp:posOffset>4825365</wp:posOffset>
            </wp:positionV>
            <wp:extent cx="749935" cy="450850"/>
            <wp:wrapNone/>
            <wp:docPr id="225" name="Shape 225"/>
            <a:graphic xmlns:a="http://schemas.openxmlformats.org/drawingml/2006/main">
              <a:graphicData uri="http://schemas.openxmlformats.org/drawingml/2006/picture">
                <pic:pic xmlns:pic="http://schemas.openxmlformats.org/drawingml/2006/picture">
                  <pic:nvPicPr>
                    <pic:cNvPr id="226" name="Picture box 226"/>
                    <pic:cNvPicPr/>
                  </pic:nvPicPr>
                  <pic:blipFill>
                    <a:blip r:embed="rId177"/>
                    <a:stretch/>
                  </pic:blipFill>
                  <pic:spPr>
                    <a:xfrm>
                      <a:ext cx="749935" cy="450850"/>
                    </a:xfrm>
                    <a:prstGeom prst="rect"/>
                  </pic:spPr>
                </pic:pic>
              </a:graphicData>
            </a:graphic>
          </wp:anchor>
        </w:drawing>
      </w:r>
      <w:r>
        <w:drawing>
          <wp:anchor distT="0" distB="0" distL="0" distR="0" simplePos="0" relativeHeight="62914794" behindDoc="1" locked="0" layoutInCell="1" allowOverlap="1">
            <wp:simplePos x="0" y="0"/>
            <wp:positionH relativeFrom="page">
              <wp:posOffset>5431790</wp:posOffset>
            </wp:positionH>
            <wp:positionV relativeFrom="margin">
              <wp:posOffset>5279390</wp:posOffset>
            </wp:positionV>
            <wp:extent cx="749935" cy="255905"/>
            <wp:wrapNone/>
            <wp:docPr id="227" name="Shape 227"/>
            <a:graphic xmlns:a="http://schemas.openxmlformats.org/drawingml/2006/main">
              <a:graphicData uri="http://schemas.openxmlformats.org/drawingml/2006/picture">
                <pic:pic xmlns:pic="http://schemas.openxmlformats.org/drawingml/2006/picture">
                  <pic:nvPicPr>
                    <pic:cNvPr id="228" name="Picture box 228"/>
                    <pic:cNvPicPr/>
                  </pic:nvPicPr>
                  <pic:blipFill>
                    <a:blip r:embed="rId179"/>
                    <a:stretch/>
                  </pic:blipFill>
                  <pic:spPr>
                    <a:xfrm>
                      <a:ext cx="749935" cy="255905"/>
                    </a:xfrm>
                    <a:prstGeom prst="rect"/>
                  </pic:spPr>
                </pic:pic>
              </a:graphicData>
            </a:graphic>
          </wp:anchor>
        </w:drawing>
      </w:r>
      <w:r>
        <w:drawing>
          <wp:anchor distT="0" distB="0" distL="0" distR="0" simplePos="0" relativeHeight="62914795" behindDoc="1" locked="0" layoutInCell="1" allowOverlap="1">
            <wp:simplePos x="0" y="0"/>
            <wp:positionH relativeFrom="page">
              <wp:posOffset>6181725</wp:posOffset>
            </wp:positionH>
            <wp:positionV relativeFrom="margin">
              <wp:posOffset>2840990</wp:posOffset>
            </wp:positionV>
            <wp:extent cx="768350" cy="255905"/>
            <wp:wrapNone/>
            <wp:docPr id="229" name="Shape 229"/>
            <a:graphic xmlns:a="http://schemas.openxmlformats.org/drawingml/2006/main">
              <a:graphicData uri="http://schemas.openxmlformats.org/drawingml/2006/picture">
                <pic:pic xmlns:pic="http://schemas.openxmlformats.org/drawingml/2006/picture">
                  <pic:nvPicPr>
                    <pic:cNvPr id="230" name="Picture box 230"/>
                    <pic:cNvPicPr/>
                  </pic:nvPicPr>
                  <pic:blipFill>
                    <a:blip r:embed="rId181"/>
                    <a:stretch/>
                  </pic:blipFill>
                  <pic:spPr>
                    <a:xfrm>
                      <a:ext cx="768350" cy="255905"/>
                    </a:xfrm>
                    <a:prstGeom prst="rect"/>
                  </pic:spPr>
                </pic:pic>
              </a:graphicData>
            </a:graphic>
          </wp:anchor>
        </w:drawing>
      </w:r>
      <w:r>
        <w:drawing>
          <wp:anchor distT="0" distB="0" distL="0" distR="0" simplePos="0" relativeHeight="62914796" behindDoc="1" locked="0" layoutInCell="1" allowOverlap="1">
            <wp:simplePos x="0" y="0"/>
            <wp:positionH relativeFrom="page">
              <wp:posOffset>6181725</wp:posOffset>
            </wp:positionH>
            <wp:positionV relativeFrom="margin">
              <wp:posOffset>3097530</wp:posOffset>
            </wp:positionV>
            <wp:extent cx="768350" cy="450850"/>
            <wp:wrapNone/>
            <wp:docPr id="231" name="Shape 231"/>
            <a:graphic xmlns:a="http://schemas.openxmlformats.org/drawingml/2006/main">
              <a:graphicData uri="http://schemas.openxmlformats.org/drawingml/2006/picture">
                <pic:pic xmlns:pic="http://schemas.openxmlformats.org/drawingml/2006/picture">
                  <pic:nvPicPr>
                    <pic:cNvPr id="232" name="Picture box 232"/>
                    <pic:cNvPicPr/>
                  </pic:nvPicPr>
                  <pic:blipFill>
                    <a:blip r:embed="rId183"/>
                    <a:stretch/>
                  </pic:blipFill>
                  <pic:spPr>
                    <a:xfrm>
                      <a:ext cx="768350" cy="450850"/>
                    </a:xfrm>
                    <a:prstGeom prst="rect"/>
                  </pic:spPr>
                </pic:pic>
              </a:graphicData>
            </a:graphic>
          </wp:anchor>
        </w:drawing>
      </w:r>
      <w:r>
        <w:drawing>
          <wp:anchor distT="0" distB="0" distL="0" distR="0" simplePos="0" relativeHeight="62914797" behindDoc="1" locked="0" layoutInCell="1" allowOverlap="1">
            <wp:simplePos x="0" y="0"/>
            <wp:positionH relativeFrom="page">
              <wp:posOffset>6181725</wp:posOffset>
            </wp:positionH>
            <wp:positionV relativeFrom="margin">
              <wp:posOffset>3551555</wp:posOffset>
            </wp:positionV>
            <wp:extent cx="768350" cy="250190"/>
            <wp:wrapNone/>
            <wp:docPr id="233" name="Shape 233"/>
            <a:graphic xmlns:a="http://schemas.openxmlformats.org/drawingml/2006/main">
              <a:graphicData uri="http://schemas.openxmlformats.org/drawingml/2006/picture">
                <pic:pic xmlns:pic="http://schemas.openxmlformats.org/drawingml/2006/picture">
                  <pic:nvPicPr>
                    <pic:cNvPr id="234" name="Picture box 234"/>
                    <pic:cNvPicPr/>
                  </pic:nvPicPr>
                  <pic:blipFill>
                    <a:blip r:embed="rId185"/>
                    <a:stretch/>
                  </pic:blipFill>
                  <pic:spPr>
                    <a:xfrm>
                      <a:ext cx="768350" cy="250190"/>
                    </a:xfrm>
                    <a:prstGeom prst="rect"/>
                  </pic:spPr>
                </pic:pic>
              </a:graphicData>
            </a:graphic>
          </wp:anchor>
        </w:drawing>
      </w:r>
      <w:r>
        <w:drawing>
          <wp:anchor distT="0" distB="0" distL="0" distR="0" simplePos="0" relativeHeight="62914798" behindDoc="1" locked="0" layoutInCell="1" allowOverlap="1">
            <wp:simplePos x="0" y="0"/>
            <wp:positionH relativeFrom="page">
              <wp:posOffset>6181725</wp:posOffset>
            </wp:positionH>
            <wp:positionV relativeFrom="margin">
              <wp:posOffset>3804285</wp:posOffset>
            </wp:positionV>
            <wp:extent cx="768350" cy="255905"/>
            <wp:wrapNone/>
            <wp:docPr id="235" name="Shape 235"/>
            <a:graphic xmlns:a="http://schemas.openxmlformats.org/drawingml/2006/main">
              <a:graphicData uri="http://schemas.openxmlformats.org/drawingml/2006/picture">
                <pic:pic xmlns:pic="http://schemas.openxmlformats.org/drawingml/2006/picture">
                  <pic:nvPicPr>
                    <pic:cNvPr id="236" name="Picture box 236"/>
                    <pic:cNvPicPr/>
                  </pic:nvPicPr>
                  <pic:blipFill>
                    <a:blip r:embed="rId187"/>
                    <a:stretch/>
                  </pic:blipFill>
                  <pic:spPr>
                    <a:xfrm>
                      <a:ext cx="768350" cy="255905"/>
                    </a:xfrm>
                    <a:prstGeom prst="rect"/>
                  </pic:spPr>
                </pic:pic>
              </a:graphicData>
            </a:graphic>
          </wp:anchor>
        </w:drawing>
      </w:r>
      <w:r>
        <w:drawing>
          <wp:anchor distT="0" distB="0" distL="0" distR="0" simplePos="0" relativeHeight="62914799" behindDoc="1" locked="0" layoutInCell="1" allowOverlap="1">
            <wp:simplePos x="0" y="0"/>
            <wp:positionH relativeFrom="page">
              <wp:posOffset>6181725</wp:posOffset>
            </wp:positionH>
            <wp:positionV relativeFrom="margin">
              <wp:posOffset>4060190</wp:posOffset>
            </wp:positionV>
            <wp:extent cx="768350" cy="255905"/>
            <wp:wrapNone/>
            <wp:docPr id="237" name="Shape 237"/>
            <a:graphic xmlns:a="http://schemas.openxmlformats.org/drawingml/2006/main">
              <a:graphicData uri="http://schemas.openxmlformats.org/drawingml/2006/picture">
                <pic:pic xmlns:pic="http://schemas.openxmlformats.org/drawingml/2006/picture">
                  <pic:nvPicPr>
                    <pic:cNvPr id="238" name="Picture box 238"/>
                    <pic:cNvPicPr/>
                  </pic:nvPicPr>
                  <pic:blipFill>
                    <a:blip r:embed="rId189"/>
                    <a:stretch/>
                  </pic:blipFill>
                  <pic:spPr>
                    <a:xfrm>
                      <a:ext cx="768350" cy="255905"/>
                    </a:xfrm>
                    <a:prstGeom prst="rect"/>
                  </pic:spPr>
                </pic:pic>
              </a:graphicData>
            </a:graphic>
          </wp:anchor>
        </w:drawing>
      </w:r>
      <w:r>
        <w:drawing>
          <wp:anchor distT="0" distB="0" distL="0" distR="0" simplePos="0" relativeHeight="62914800" behindDoc="1" locked="0" layoutInCell="1" allowOverlap="1">
            <wp:simplePos x="0" y="0"/>
            <wp:positionH relativeFrom="page">
              <wp:posOffset>6181725</wp:posOffset>
            </wp:positionH>
            <wp:positionV relativeFrom="margin">
              <wp:posOffset>4316730</wp:posOffset>
            </wp:positionV>
            <wp:extent cx="768350" cy="255905"/>
            <wp:wrapNone/>
            <wp:docPr id="239" name="Shape 239"/>
            <a:graphic xmlns:a="http://schemas.openxmlformats.org/drawingml/2006/main">
              <a:graphicData uri="http://schemas.openxmlformats.org/drawingml/2006/picture">
                <pic:pic xmlns:pic="http://schemas.openxmlformats.org/drawingml/2006/picture">
                  <pic:nvPicPr>
                    <pic:cNvPr id="240" name="Picture box 240"/>
                    <pic:cNvPicPr/>
                  </pic:nvPicPr>
                  <pic:blipFill>
                    <a:blip r:embed="rId191"/>
                    <a:stretch/>
                  </pic:blipFill>
                  <pic:spPr>
                    <a:xfrm>
                      <a:ext cx="768350" cy="255905"/>
                    </a:xfrm>
                    <a:prstGeom prst="rect"/>
                  </pic:spPr>
                </pic:pic>
              </a:graphicData>
            </a:graphic>
          </wp:anchor>
        </w:drawing>
      </w:r>
      <w:r>
        <w:drawing>
          <wp:anchor distT="0" distB="0" distL="0" distR="0" simplePos="0" relativeHeight="62914801" behindDoc="1" locked="0" layoutInCell="1" allowOverlap="1">
            <wp:simplePos x="0" y="0"/>
            <wp:positionH relativeFrom="page">
              <wp:posOffset>6181725</wp:posOffset>
            </wp:positionH>
            <wp:positionV relativeFrom="margin">
              <wp:posOffset>4572635</wp:posOffset>
            </wp:positionV>
            <wp:extent cx="768350" cy="250190"/>
            <wp:wrapNone/>
            <wp:docPr id="241" name="Shape 241"/>
            <a:graphic xmlns:a="http://schemas.openxmlformats.org/drawingml/2006/main">
              <a:graphicData uri="http://schemas.openxmlformats.org/drawingml/2006/picture">
                <pic:pic xmlns:pic="http://schemas.openxmlformats.org/drawingml/2006/picture">
                  <pic:nvPicPr>
                    <pic:cNvPr id="242" name="Picture box 242"/>
                    <pic:cNvPicPr/>
                  </pic:nvPicPr>
                  <pic:blipFill>
                    <a:blip r:embed="rId193"/>
                    <a:stretch/>
                  </pic:blipFill>
                  <pic:spPr>
                    <a:xfrm>
                      <a:ext cx="768350" cy="250190"/>
                    </a:xfrm>
                    <a:prstGeom prst="rect"/>
                  </pic:spPr>
                </pic:pic>
              </a:graphicData>
            </a:graphic>
          </wp:anchor>
        </w:drawing>
      </w:r>
      <w:r>
        <w:drawing>
          <wp:anchor distT="0" distB="0" distL="0" distR="0" simplePos="0" relativeHeight="62914802" behindDoc="1" locked="0" layoutInCell="1" allowOverlap="1">
            <wp:simplePos x="0" y="0"/>
            <wp:positionH relativeFrom="page">
              <wp:posOffset>6181725</wp:posOffset>
            </wp:positionH>
            <wp:positionV relativeFrom="margin">
              <wp:posOffset>4825365</wp:posOffset>
            </wp:positionV>
            <wp:extent cx="768350" cy="450850"/>
            <wp:wrapNone/>
            <wp:docPr id="243" name="Shape 243"/>
            <a:graphic xmlns:a="http://schemas.openxmlformats.org/drawingml/2006/main">
              <a:graphicData uri="http://schemas.openxmlformats.org/drawingml/2006/picture">
                <pic:pic xmlns:pic="http://schemas.openxmlformats.org/drawingml/2006/picture">
                  <pic:nvPicPr>
                    <pic:cNvPr id="244" name="Picture box 244"/>
                    <pic:cNvPicPr/>
                  </pic:nvPicPr>
                  <pic:blipFill>
                    <a:blip r:embed="rId195"/>
                    <a:stretch/>
                  </pic:blipFill>
                  <pic:spPr>
                    <a:xfrm>
                      <a:ext cx="768350" cy="450850"/>
                    </a:xfrm>
                    <a:prstGeom prst="rect"/>
                  </pic:spPr>
                </pic:pic>
              </a:graphicData>
            </a:graphic>
          </wp:anchor>
        </w:drawing>
      </w:r>
      <w:r>
        <w:drawing>
          <wp:anchor distT="0" distB="0" distL="0" distR="0" simplePos="0" relativeHeight="62914803" behindDoc="1" locked="0" layoutInCell="1" allowOverlap="1">
            <wp:simplePos x="0" y="0"/>
            <wp:positionH relativeFrom="page">
              <wp:posOffset>6181725</wp:posOffset>
            </wp:positionH>
            <wp:positionV relativeFrom="margin">
              <wp:posOffset>5279390</wp:posOffset>
            </wp:positionV>
            <wp:extent cx="768350" cy="255905"/>
            <wp:wrapNone/>
            <wp:docPr id="245" name="Shape 245"/>
            <a:graphic xmlns:a="http://schemas.openxmlformats.org/drawingml/2006/main">
              <a:graphicData uri="http://schemas.openxmlformats.org/drawingml/2006/picture">
                <pic:pic xmlns:pic="http://schemas.openxmlformats.org/drawingml/2006/picture">
                  <pic:nvPicPr>
                    <pic:cNvPr id="246" name="Picture box 246"/>
                    <pic:cNvPicPr/>
                  </pic:nvPicPr>
                  <pic:blipFill>
                    <a:blip r:embed="rId197"/>
                    <a:stretch/>
                  </pic:blipFill>
                  <pic:spPr>
                    <a:xfrm>
                      <a:ext cx="768350" cy="255905"/>
                    </a:xfrm>
                    <a:prstGeom prst="rect"/>
                  </pic:spPr>
                </pic:pic>
              </a:graphicData>
            </a:graphic>
          </wp:anchor>
        </w:drawing>
      </w:r>
      <w:r>
        <w:drawing>
          <wp:anchor distT="0" distB="0" distL="0" distR="0" simplePos="0" relativeHeight="62914804" behindDoc="1" locked="0" layoutInCell="1" allowOverlap="1">
            <wp:simplePos x="0" y="0"/>
            <wp:positionH relativeFrom="page">
              <wp:posOffset>6181725</wp:posOffset>
            </wp:positionH>
            <wp:positionV relativeFrom="margin">
              <wp:posOffset>5535930</wp:posOffset>
            </wp:positionV>
            <wp:extent cx="768350" cy="255905"/>
            <wp:wrapNone/>
            <wp:docPr id="247" name="Shape 247"/>
            <a:graphic xmlns:a="http://schemas.openxmlformats.org/drawingml/2006/main">
              <a:graphicData uri="http://schemas.openxmlformats.org/drawingml/2006/picture">
                <pic:pic xmlns:pic="http://schemas.openxmlformats.org/drawingml/2006/picture">
                  <pic:nvPicPr>
                    <pic:cNvPr id="248" name="Picture box 248"/>
                    <pic:cNvPicPr/>
                  </pic:nvPicPr>
                  <pic:blipFill>
                    <a:blip r:embed="rId199"/>
                    <a:stretch/>
                  </pic:blipFill>
                  <pic:spPr>
                    <a:xfrm>
                      <a:ext cx="768350" cy="255905"/>
                    </a:xfrm>
                    <a:prstGeom prst="rect"/>
                  </pic:spPr>
                </pic:pic>
              </a:graphicData>
            </a:graphic>
          </wp:anchor>
        </w:drawing>
      </w:r>
      <w:r>
        <w:drawing>
          <wp:anchor distT="0" distB="0" distL="0" distR="0" simplePos="0" relativeHeight="62914805" behindDoc="1" locked="0" layoutInCell="1" allowOverlap="1">
            <wp:simplePos x="0" y="0"/>
            <wp:positionH relativeFrom="page">
              <wp:posOffset>6181725</wp:posOffset>
            </wp:positionH>
            <wp:positionV relativeFrom="margin">
              <wp:posOffset>5791835</wp:posOffset>
            </wp:positionV>
            <wp:extent cx="768350" cy="250190"/>
            <wp:wrapNone/>
            <wp:docPr id="249" name="Shape 249"/>
            <a:graphic xmlns:a="http://schemas.openxmlformats.org/drawingml/2006/main">
              <a:graphicData uri="http://schemas.openxmlformats.org/drawingml/2006/picture">
                <pic:pic xmlns:pic="http://schemas.openxmlformats.org/drawingml/2006/picture">
                  <pic:nvPicPr>
                    <pic:cNvPr id="250" name="Picture box 250"/>
                    <pic:cNvPicPr/>
                  </pic:nvPicPr>
                  <pic:blipFill>
                    <a:blip r:embed="rId201"/>
                    <a:stretch/>
                  </pic:blipFill>
                  <pic:spPr>
                    <a:xfrm>
                      <a:ext cx="768350" cy="250190"/>
                    </a:xfrm>
                    <a:prstGeom prst="rect"/>
                  </pic:spPr>
                </pic:pic>
              </a:graphicData>
            </a:graphic>
          </wp:anchor>
        </w:drawing>
      </w:r>
      <w:r>
        <w:drawing>
          <wp:anchor distT="0" distB="0" distL="0" distR="0" simplePos="0" relativeHeight="62914806" behindDoc="1" locked="0" layoutInCell="1" allowOverlap="1">
            <wp:simplePos x="0" y="0"/>
            <wp:positionH relativeFrom="page">
              <wp:posOffset>6950075</wp:posOffset>
            </wp:positionH>
            <wp:positionV relativeFrom="margin">
              <wp:posOffset>3804285</wp:posOffset>
            </wp:positionV>
            <wp:extent cx="822960" cy="255905"/>
            <wp:wrapNone/>
            <wp:docPr id="251" name="Shape 251"/>
            <a:graphic xmlns:a="http://schemas.openxmlformats.org/drawingml/2006/main">
              <a:graphicData uri="http://schemas.openxmlformats.org/drawingml/2006/picture">
                <pic:pic xmlns:pic="http://schemas.openxmlformats.org/drawingml/2006/picture">
                  <pic:nvPicPr>
                    <pic:cNvPr id="252" name="Picture box 252"/>
                    <pic:cNvPicPr/>
                  </pic:nvPicPr>
                  <pic:blipFill>
                    <a:blip r:embed="rId203"/>
                    <a:stretch/>
                  </pic:blipFill>
                  <pic:spPr>
                    <a:xfrm>
                      <a:ext cx="822960" cy="255905"/>
                    </a:xfrm>
                    <a:prstGeom prst="rect"/>
                  </pic:spPr>
                </pic:pic>
              </a:graphicData>
            </a:graphic>
          </wp:anchor>
        </w:drawing>
      </w:r>
      <w:r>
        <w:drawing>
          <wp:anchor distT="0" distB="0" distL="0" distR="0" simplePos="0" relativeHeight="62914807" behindDoc="1" locked="0" layoutInCell="1" allowOverlap="1">
            <wp:simplePos x="0" y="0"/>
            <wp:positionH relativeFrom="page">
              <wp:posOffset>6950075</wp:posOffset>
            </wp:positionH>
            <wp:positionV relativeFrom="margin">
              <wp:posOffset>4316730</wp:posOffset>
            </wp:positionV>
            <wp:extent cx="822960" cy="255905"/>
            <wp:wrapNone/>
            <wp:docPr id="253" name="Shape 253"/>
            <a:graphic xmlns:a="http://schemas.openxmlformats.org/drawingml/2006/main">
              <a:graphicData uri="http://schemas.openxmlformats.org/drawingml/2006/picture">
                <pic:pic xmlns:pic="http://schemas.openxmlformats.org/drawingml/2006/picture">
                  <pic:nvPicPr>
                    <pic:cNvPr id="254" name="Picture box 254"/>
                    <pic:cNvPicPr/>
                  </pic:nvPicPr>
                  <pic:blipFill>
                    <a:blip r:embed="rId205"/>
                    <a:stretch/>
                  </pic:blipFill>
                  <pic:spPr>
                    <a:xfrm>
                      <a:ext cx="822960" cy="255905"/>
                    </a:xfrm>
                    <a:prstGeom prst="rect"/>
                  </pic:spPr>
                </pic:pic>
              </a:graphicData>
            </a:graphic>
          </wp:anchor>
        </w:drawing>
      </w:r>
      <w:r>
        <w:drawing>
          <wp:anchor distT="0" distB="0" distL="0" distR="0" simplePos="0" relativeHeight="62914808" behindDoc="1" locked="0" layoutInCell="1" allowOverlap="1">
            <wp:simplePos x="0" y="0"/>
            <wp:positionH relativeFrom="page">
              <wp:posOffset>6950075</wp:posOffset>
            </wp:positionH>
            <wp:positionV relativeFrom="margin">
              <wp:posOffset>4572635</wp:posOffset>
            </wp:positionV>
            <wp:extent cx="822960" cy="250190"/>
            <wp:wrapNone/>
            <wp:docPr id="255" name="Shape 255"/>
            <a:graphic xmlns:a="http://schemas.openxmlformats.org/drawingml/2006/main">
              <a:graphicData uri="http://schemas.openxmlformats.org/drawingml/2006/picture">
                <pic:pic xmlns:pic="http://schemas.openxmlformats.org/drawingml/2006/picture">
                  <pic:nvPicPr>
                    <pic:cNvPr id="256" name="Picture box 256"/>
                    <pic:cNvPicPr/>
                  </pic:nvPicPr>
                  <pic:blipFill>
                    <a:blip r:embed="rId207"/>
                    <a:stretch/>
                  </pic:blipFill>
                  <pic:spPr>
                    <a:xfrm>
                      <a:ext cx="822960" cy="250190"/>
                    </a:xfrm>
                    <a:prstGeom prst="rect"/>
                  </pic:spPr>
                </pic:pic>
              </a:graphicData>
            </a:graphic>
          </wp:anchor>
        </w:drawing>
      </w:r>
      <w:r>
        <w:drawing>
          <wp:anchor distT="0" distB="0" distL="0" distR="0" simplePos="0" relativeHeight="62914809" behindDoc="1" locked="0" layoutInCell="1" allowOverlap="1">
            <wp:simplePos x="0" y="0"/>
            <wp:positionH relativeFrom="page">
              <wp:posOffset>6950075</wp:posOffset>
            </wp:positionH>
            <wp:positionV relativeFrom="margin">
              <wp:posOffset>4825365</wp:posOffset>
            </wp:positionV>
            <wp:extent cx="822960" cy="450850"/>
            <wp:wrapNone/>
            <wp:docPr id="257" name="Shape 257"/>
            <a:graphic xmlns:a="http://schemas.openxmlformats.org/drawingml/2006/main">
              <a:graphicData uri="http://schemas.openxmlformats.org/drawingml/2006/picture">
                <pic:pic xmlns:pic="http://schemas.openxmlformats.org/drawingml/2006/picture">
                  <pic:nvPicPr>
                    <pic:cNvPr id="258" name="Picture box 258"/>
                    <pic:cNvPicPr/>
                  </pic:nvPicPr>
                  <pic:blipFill>
                    <a:blip r:embed="rId209"/>
                    <a:stretch/>
                  </pic:blipFill>
                  <pic:spPr>
                    <a:xfrm>
                      <a:ext cx="822960" cy="450850"/>
                    </a:xfrm>
                    <a:prstGeom prst="rect"/>
                  </pic:spPr>
                </pic:pic>
              </a:graphicData>
            </a:graphic>
          </wp:anchor>
        </w:drawing>
      </w:r>
      <w:r>
        <w:drawing>
          <wp:anchor distT="0" distB="0" distL="0" distR="0" simplePos="0" relativeHeight="62914810" behindDoc="1" locked="0" layoutInCell="1" allowOverlap="1">
            <wp:simplePos x="0" y="0"/>
            <wp:positionH relativeFrom="page">
              <wp:posOffset>6950075</wp:posOffset>
            </wp:positionH>
            <wp:positionV relativeFrom="margin">
              <wp:posOffset>5279390</wp:posOffset>
            </wp:positionV>
            <wp:extent cx="822960" cy="255905"/>
            <wp:wrapNone/>
            <wp:docPr id="259" name="Shape 259"/>
            <a:graphic xmlns:a="http://schemas.openxmlformats.org/drawingml/2006/main">
              <a:graphicData uri="http://schemas.openxmlformats.org/drawingml/2006/picture">
                <pic:pic xmlns:pic="http://schemas.openxmlformats.org/drawingml/2006/picture">
                  <pic:nvPicPr>
                    <pic:cNvPr id="260" name="Picture box 260"/>
                    <pic:cNvPicPr/>
                  </pic:nvPicPr>
                  <pic:blipFill>
                    <a:blip r:embed="rId211"/>
                    <a:stretch/>
                  </pic:blipFill>
                  <pic:spPr>
                    <a:xfrm>
                      <a:ext cx="822960" cy="255905"/>
                    </a:xfrm>
                    <a:prstGeom prst="rect"/>
                  </pic:spPr>
                </pic:pic>
              </a:graphicData>
            </a:graphic>
          </wp:anchor>
        </w:drawing>
      </w:r>
      <w:r>
        <w:drawing>
          <wp:anchor distT="0" distB="0" distL="0" distR="0" simplePos="0" relativeHeight="62914811" behindDoc="1" locked="0" layoutInCell="1" allowOverlap="1">
            <wp:simplePos x="0" y="0"/>
            <wp:positionH relativeFrom="page">
              <wp:posOffset>7773035</wp:posOffset>
            </wp:positionH>
            <wp:positionV relativeFrom="margin">
              <wp:posOffset>2840990</wp:posOffset>
            </wp:positionV>
            <wp:extent cx="433070" cy="255905"/>
            <wp:wrapNone/>
            <wp:docPr id="261" name="Shape 261"/>
            <a:graphic xmlns:a="http://schemas.openxmlformats.org/drawingml/2006/main">
              <a:graphicData uri="http://schemas.openxmlformats.org/drawingml/2006/picture">
                <pic:pic xmlns:pic="http://schemas.openxmlformats.org/drawingml/2006/picture">
                  <pic:nvPicPr>
                    <pic:cNvPr id="262" name="Picture box 262"/>
                    <pic:cNvPicPr/>
                  </pic:nvPicPr>
                  <pic:blipFill>
                    <a:blip r:embed="rId213"/>
                    <a:stretch/>
                  </pic:blipFill>
                  <pic:spPr>
                    <a:xfrm>
                      <a:ext cx="433070" cy="255905"/>
                    </a:xfrm>
                    <a:prstGeom prst="rect"/>
                  </pic:spPr>
                </pic:pic>
              </a:graphicData>
            </a:graphic>
          </wp:anchor>
        </w:drawing>
      </w:r>
      <w:r>
        <w:drawing>
          <wp:anchor distT="0" distB="0" distL="0" distR="0" simplePos="0" relativeHeight="62914812" behindDoc="1" locked="0" layoutInCell="1" allowOverlap="1">
            <wp:simplePos x="0" y="0"/>
            <wp:positionH relativeFrom="page">
              <wp:posOffset>7773035</wp:posOffset>
            </wp:positionH>
            <wp:positionV relativeFrom="margin">
              <wp:posOffset>3097530</wp:posOffset>
            </wp:positionV>
            <wp:extent cx="433070" cy="450850"/>
            <wp:wrapNone/>
            <wp:docPr id="263" name="Shape 263"/>
            <a:graphic xmlns:a="http://schemas.openxmlformats.org/drawingml/2006/main">
              <a:graphicData uri="http://schemas.openxmlformats.org/drawingml/2006/picture">
                <pic:pic xmlns:pic="http://schemas.openxmlformats.org/drawingml/2006/picture">
                  <pic:nvPicPr>
                    <pic:cNvPr id="264" name="Picture box 264"/>
                    <pic:cNvPicPr/>
                  </pic:nvPicPr>
                  <pic:blipFill>
                    <a:blip r:embed="rId215"/>
                    <a:stretch/>
                  </pic:blipFill>
                  <pic:spPr>
                    <a:xfrm>
                      <a:ext cx="433070" cy="450850"/>
                    </a:xfrm>
                    <a:prstGeom prst="rect"/>
                  </pic:spPr>
                </pic:pic>
              </a:graphicData>
            </a:graphic>
          </wp:anchor>
        </w:drawing>
      </w:r>
      <w:r>
        <w:drawing>
          <wp:anchor distT="0" distB="0" distL="0" distR="0" simplePos="0" relativeHeight="62914813" behindDoc="1" locked="0" layoutInCell="1" allowOverlap="1">
            <wp:simplePos x="0" y="0"/>
            <wp:positionH relativeFrom="page">
              <wp:posOffset>7773035</wp:posOffset>
            </wp:positionH>
            <wp:positionV relativeFrom="margin">
              <wp:posOffset>3551555</wp:posOffset>
            </wp:positionV>
            <wp:extent cx="433070" cy="250190"/>
            <wp:wrapNone/>
            <wp:docPr id="265" name="Shape 265"/>
            <a:graphic xmlns:a="http://schemas.openxmlformats.org/drawingml/2006/main">
              <a:graphicData uri="http://schemas.openxmlformats.org/drawingml/2006/picture">
                <pic:pic xmlns:pic="http://schemas.openxmlformats.org/drawingml/2006/picture">
                  <pic:nvPicPr>
                    <pic:cNvPr id="266" name="Picture box 266"/>
                    <pic:cNvPicPr/>
                  </pic:nvPicPr>
                  <pic:blipFill>
                    <a:blip r:embed="rId217"/>
                    <a:stretch/>
                  </pic:blipFill>
                  <pic:spPr>
                    <a:xfrm>
                      <a:ext cx="433070" cy="250190"/>
                    </a:xfrm>
                    <a:prstGeom prst="rect"/>
                  </pic:spPr>
                </pic:pic>
              </a:graphicData>
            </a:graphic>
          </wp:anchor>
        </w:drawing>
      </w:r>
      <w:r>
        <w:drawing>
          <wp:anchor distT="0" distB="0" distL="0" distR="0" simplePos="0" relativeHeight="62914814" behindDoc="1" locked="0" layoutInCell="1" allowOverlap="1">
            <wp:simplePos x="0" y="0"/>
            <wp:positionH relativeFrom="page">
              <wp:posOffset>7773035</wp:posOffset>
            </wp:positionH>
            <wp:positionV relativeFrom="margin">
              <wp:posOffset>3804285</wp:posOffset>
            </wp:positionV>
            <wp:extent cx="433070" cy="255905"/>
            <wp:wrapNone/>
            <wp:docPr id="267" name="Shape 267"/>
            <a:graphic xmlns:a="http://schemas.openxmlformats.org/drawingml/2006/main">
              <a:graphicData uri="http://schemas.openxmlformats.org/drawingml/2006/picture">
                <pic:pic xmlns:pic="http://schemas.openxmlformats.org/drawingml/2006/picture">
                  <pic:nvPicPr>
                    <pic:cNvPr id="268" name="Picture box 268"/>
                    <pic:cNvPicPr/>
                  </pic:nvPicPr>
                  <pic:blipFill>
                    <a:blip r:embed="rId219"/>
                    <a:stretch/>
                  </pic:blipFill>
                  <pic:spPr>
                    <a:xfrm>
                      <a:ext cx="433070" cy="255905"/>
                    </a:xfrm>
                    <a:prstGeom prst="rect"/>
                  </pic:spPr>
                </pic:pic>
              </a:graphicData>
            </a:graphic>
          </wp:anchor>
        </w:drawing>
      </w:r>
      <w:r>
        <w:drawing>
          <wp:anchor distT="0" distB="0" distL="0" distR="0" simplePos="0" relativeHeight="62914815" behindDoc="1" locked="0" layoutInCell="1" allowOverlap="1">
            <wp:simplePos x="0" y="0"/>
            <wp:positionH relativeFrom="page">
              <wp:posOffset>7773035</wp:posOffset>
            </wp:positionH>
            <wp:positionV relativeFrom="margin">
              <wp:posOffset>4060190</wp:posOffset>
            </wp:positionV>
            <wp:extent cx="433070" cy="255905"/>
            <wp:wrapNone/>
            <wp:docPr id="269" name="Shape 269"/>
            <a:graphic xmlns:a="http://schemas.openxmlformats.org/drawingml/2006/main">
              <a:graphicData uri="http://schemas.openxmlformats.org/drawingml/2006/picture">
                <pic:pic xmlns:pic="http://schemas.openxmlformats.org/drawingml/2006/picture">
                  <pic:nvPicPr>
                    <pic:cNvPr id="270" name="Picture box 270"/>
                    <pic:cNvPicPr/>
                  </pic:nvPicPr>
                  <pic:blipFill>
                    <a:blip r:embed="rId221"/>
                    <a:stretch/>
                  </pic:blipFill>
                  <pic:spPr>
                    <a:xfrm>
                      <a:ext cx="433070" cy="255905"/>
                    </a:xfrm>
                    <a:prstGeom prst="rect"/>
                  </pic:spPr>
                </pic:pic>
              </a:graphicData>
            </a:graphic>
          </wp:anchor>
        </w:drawing>
      </w:r>
      <w:r>
        <w:drawing>
          <wp:anchor distT="0" distB="0" distL="0" distR="0" simplePos="0" relativeHeight="62914816" behindDoc="1" locked="0" layoutInCell="1" allowOverlap="1">
            <wp:simplePos x="0" y="0"/>
            <wp:positionH relativeFrom="page">
              <wp:posOffset>7773035</wp:posOffset>
            </wp:positionH>
            <wp:positionV relativeFrom="margin">
              <wp:posOffset>4316730</wp:posOffset>
            </wp:positionV>
            <wp:extent cx="433070" cy="255905"/>
            <wp:wrapNone/>
            <wp:docPr id="271" name="Shape 271"/>
            <a:graphic xmlns:a="http://schemas.openxmlformats.org/drawingml/2006/main">
              <a:graphicData uri="http://schemas.openxmlformats.org/drawingml/2006/picture">
                <pic:pic xmlns:pic="http://schemas.openxmlformats.org/drawingml/2006/picture">
                  <pic:nvPicPr>
                    <pic:cNvPr id="272" name="Picture box 272"/>
                    <pic:cNvPicPr/>
                  </pic:nvPicPr>
                  <pic:blipFill>
                    <a:blip r:embed="rId223"/>
                    <a:stretch/>
                  </pic:blipFill>
                  <pic:spPr>
                    <a:xfrm>
                      <a:ext cx="433070" cy="255905"/>
                    </a:xfrm>
                    <a:prstGeom prst="rect"/>
                  </pic:spPr>
                </pic:pic>
              </a:graphicData>
            </a:graphic>
          </wp:anchor>
        </w:drawing>
      </w:r>
      <w:r>
        <w:drawing>
          <wp:anchor distT="0" distB="0" distL="0" distR="0" simplePos="0" relativeHeight="62914817" behindDoc="1" locked="0" layoutInCell="1" allowOverlap="1">
            <wp:simplePos x="0" y="0"/>
            <wp:positionH relativeFrom="page">
              <wp:posOffset>7773035</wp:posOffset>
            </wp:positionH>
            <wp:positionV relativeFrom="margin">
              <wp:posOffset>4572635</wp:posOffset>
            </wp:positionV>
            <wp:extent cx="433070" cy="250190"/>
            <wp:wrapNone/>
            <wp:docPr id="273" name="Shape 273"/>
            <a:graphic xmlns:a="http://schemas.openxmlformats.org/drawingml/2006/main">
              <a:graphicData uri="http://schemas.openxmlformats.org/drawingml/2006/picture">
                <pic:pic xmlns:pic="http://schemas.openxmlformats.org/drawingml/2006/picture">
                  <pic:nvPicPr>
                    <pic:cNvPr id="274" name="Picture box 274"/>
                    <pic:cNvPicPr/>
                  </pic:nvPicPr>
                  <pic:blipFill>
                    <a:blip r:embed="rId225"/>
                    <a:stretch/>
                  </pic:blipFill>
                  <pic:spPr>
                    <a:xfrm>
                      <a:ext cx="433070" cy="250190"/>
                    </a:xfrm>
                    <a:prstGeom prst="rect"/>
                  </pic:spPr>
                </pic:pic>
              </a:graphicData>
            </a:graphic>
          </wp:anchor>
        </w:drawing>
      </w:r>
      <w:r>
        <w:drawing>
          <wp:anchor distT="0" distB="0" distL="0" distR="0" simplePos="0" relativeHeight="62914818" behindDoc="1" locked="0" layoutInCell="1" allowOverlap="1">
            <wp:simplePos x="0" y="0"/>
            <wp:positionH relativeFrom="page">
              <wp:posOffset>7773035</wp:posOffset>
            </wp:positionH>
            <wp:positionV relativeFrom="margin">
              <wp:posOffset>4825365</wp:posOffset>
            </wp:positionV>
            <wp:extent cx="433070" cy="450850"/>
            <wp:wrapNone/>
            <wp:docPr id="275" name="Shape 275"/>
            <a:graphic xmlns:a="http://schemas.openxmlformats.org/drawingml/2006/main">
              <a:graphicData uri="http://schemas.openxmlformats.org/drawingml/2006/picture">
                <pic:pic xmlns:pic="http://schemas.openxmlformats.org/drawingml/2006/picture">
                  <pic:nvPicPr>
                    <pic:cNvPr id="276" name="Picture box 276"/>
                    <pic:cNvPicPr/>
                  </pic:nvPicPr>
                  <pic:blipFill>
                    <a:blip r:embed="rId227"/>
                    <a:stretch/>
                  </pic:blipFill>
                  <pic:spPr>
                    <a:xfrm>
                      <a:ext cx="433070" cy="450850"/>
                    </a:xfrm>
                    <a:prstGeom prst="rect"/>
                  </pic:spPr>
                </pic:pic>
              </a:graphicData>
            </a:graphic>
          </wp:anchor>
        </w:drawing>
      </w:r>
      <w:r>
        <w:drawing>
          <wp:anchor distT="0" distB="0" distL="0" distR="0" simplePos="0" relativeHeight="62914819" behindDoc="1" locked="0" layoutInCell="1" allowOverlap="1">
            <wp:simplePos x="0" y="0"/>
            <wp:positionH relativeFrom="page">
              <wp:posOffset>7773035</wp:posOffset>
            </wp:positionH>
            <wp:positionV relativeFrom="margin">
              <wp:posOffset>5279390</wp:posOffset>
            </wp:positionV>
            <wp:extent cx="433070" cy="255905"/>
            <wp:wrapNone/>
            <wp:docPr id="277" name="Shape 277"/>
            <a:graphic xmlns:a="http://schemas.openxmlformats.org/drawingml/2006/main">
              <a:graphicData uri="http://schemas.openxmlformats.org/drawingml/2006/picture">
                <pic:pic xmlns:pic="http://schemas.openxmlformats.org/drawingml/2006/picture">
                  <pic:nvPicPr>
                    <pic:cNvPr id="278" name="Picture box 278"/>
                    <pic:cNvPicPr/>
                  </pic:nvPicPr>
                  <pic:blipFill>
                    <a:blip r:embed="rId229"/>
                    <a:stretch/>
                  </pic:blipFill>
                  <pic:spPr>
                    <a:xfrm>
                      <a:ext cx="433070" cy="255905"/>
                    </a:xfrm>
                    <a:prstGeom prst="rect"/>
                  </pic:spPr>
                </pic:pic>
              </a:graphicData>
            </a:graphic>
          </wp:anchor>
        </w:drawing>
      </w:r>
      <w:r>
        <w:drawing>
          <wp:anchor distT="0" distB="0" distL="0" distR="0" simplePos="0" relativeHeight="62914820" behindDoc="1" locked="0" layoutInCell="1" allowOverlap="1">
            <wp:simplePos x="0" y="0"/>
            <wp:positionH relativeFrom="page">
              <wp:posOffset>7773035</wp:posOffset>
            </wp:positionH>
            <wp:positionV relativeFrom="margin">
              <wp:posOffset>5535930</wp:posOffset>
            </wp:positionV>
            <wp:extent cx="433070" cy="255905"/>
            <wp:wrapNone/>
            <wp:docPr id="279" name="Shape 279"/>
            <a:graphic xmlns:a="http://schemas.openxmlformats.org/drawingml/2006/main">
              <a:graphicData uri="http://schemas.openxmlformats.org/drawingml/2006/picture">
                <pic:pic xmlns:pic="http://schemas.openxmlformats.org/drawingml/2006/picture">
                  <pic:nvPicPr>
                    <pic:cNvPr id="280" name="Picture box 280"/>
                    <pic:cNvPicPr/>
                  </pic:nvPicPr>
                  <pic:blipFill>
                    <a:blip r:embed="rId231"/>
                    <a:stretch/>
                  </pic:blipFill>
                  <pic:spPr>
                    <a:xfrm>
                      <a:ext cx="433070" cy="255905"/>
                    </a:xfrm>
                    <a:prstGeom prst="rect"/>
                  </pic:spPr>
                </pic:pic>
              </a:graphicData>
            </a:graphic>
          </wp:anchor>
        </w:drawing>
      </w:r>
      <w:r>
        <w:drawing>
          <wp:anchor distT="0" distB="0" distL="0" distR="0" simplePos="0" relativeHeight="62914821" behindDoc="1" locked="0" layoutInCell="1" allowOverlap="1">
            <wp:simplePos x="0" y="0"/>
            <wp:positionH relativeFrom="page">
              <wp:posOffset>7773035</wp:posOffset>
            </wp:positionH>
            <wp:positionV relativeFrom="margin">
              <wp:posOffset>5791835</wp:posOffset>
            </wp:positionV>
            <wp:extent cx="433070" cy="250190"/>
            <wp:wrapNone/>
            <wp:docPr id="281" name="Shape 281"/>
            <a:graphic xmlns:a="http://schemas.openxmlformats.org/drawingml/2006/main">
              <a:graphicData uri="http://schemas.openxmlformats.org/drawingml/2006/picture">
                <pic:pic xmlns:pic="http://schemas.openxmlformats.org/drawingml/2006/picture">
                  <pic:nvPicPr>
                    <pic:cNvPr id="282" name="Picture box 282"/>
                    <pic:cNvPicPr/>
                  </pic:nvPicPr>
                  <pic:blipFill>
                    <a:blip r:embed="rId233"/>
                    <a:stretch/>
                  </pic:blipFill>
                  <pic:spPr>
                    <a:xfrm>
                      <a:ext cx="433070" cy="250190"/>
                    </a:xfrm>
                    <a:prstGeom prst="rect"/>
                  </pic:spPr>
                </pic:pic>
              </a:graphicData>
            </a:graphic>
          </wp:anchor>
        </w:drawing>
      </w:r>
      <w:r>
        <w:drawing>
          <wp:anchor distT="0" distB="0" distL="0" distR="0" simplePos="0" relativeHeight="62914822" behindDoc="1" locked="0" layoutInCell="1" allowOverlap="1">
            <wp:simplePos x="0" y="0"/>
            <wp:positionH relativeFrom="page">
              <wp:posOffset>8208645</wp:posOffset>
            </wp:positionH>
            <wp:positionV relativeFrom="margin">
              <wp:posOffset>3804285</wp:posOffset>
            </wp:positionV>
            <wp:extent cx="731520" cy="255905"/>
            <wp:wrapNone/>
            <wp:docPr id="283" name="Shape 283"/>
            <a:graphic xmlns:a="http://schemas.openxmlformats.org/drawingml/2006/main">
              <a:graphicData uri="http://schemas.openxmlformats.org/drawingml/2006/picture">
                <pic:pic xmlns:pic="http://schemas.openxmlformats.org/drawingml/2006/picture">
                  <pic:nvPicPr>
                    <pic:cNvPr id="284" name="Picture box 284"/>
                    <pic:cNvPicPr/>
                  </pic:nvPicPr>
                  <pic:blipFill>
                    <a:blip r:embed="rId235"/>
                    <a:stretch/>
                  </pic:blipFill>
                  <pic:spPr>
                    <a:xfrm>
                      <a:ext cx="731520" cy="255905"/>
                    </a:xfrm>
                    <a:prstGeom prst="rect"/>
                  </pic:spPr>
                </pic:pic>
              </a:graphicData>
            </a:graphic>
          </wp:anchor>
        </w:drawing>
      </w:r>
      <w:r>
        <w:drawing>
          <wp:anchor distT="0" distB="0" distL="0" distR="0" simplePos="0" relativeHeight="62914823" behindDoc="1" locked="0" layoutInCell="1" allowOverlap="1">
            <wp:simplePos x="0" y="0"/>
            <wp:positionH relativeFrom="page">
              <wp:posOffset>8208645</wp:posOffset>
            </wp:positionH>
            <wp:positionV relativeFrom="margin">
              <wp:posOffset>4825365</wp:posOffset>
            </wp:positionV>
            <wp:extent cx="731520" cy="450850"/>
            <wp:wrapNone/>
            <wp:docPr id="285" name="Shape 285"/>
            <a:graphic xmlns:a="http://schemas.openxmlformats.org/drawingml/2006/main">
              <a:graphicData uri="http://schemas.openxmlformats.org/drawingml/2006/picture">
                <pic:pic xmlns:pic="http://schemas.openxmlformats.org/drawingml/2006/picture">
                  <pic:nvPicPr>
                    <pic:cNvPr id="286" name="Picture box 286"/>
                    <pic:cNvPicPr/>
                  </pic:nvPicPr>
                  <pic:blipFill>
                    <a:blip r:embed="rId237"/>
                    <a:stretch/>
                  </pic:blipFill>
                  <pic:spPr>
                    <a:xfrm>
                      <a:ext cx="731520" cy="450850"/>
                    </a:xfrm>
                    <a:prstGeom prst="rect"/>
                  </pic:spPr>
                </pic:pic>
              </a:graphicData>
            </a:graphic>
          </wp:anchor>
        </w:drawing>
      </w:r>
      <w:r>
        <w:drawing>
          <wp:anchor distT="0" distB="0" distL="0" distR="0" simplePos="0" relativeHeight="62914824" behindDoc="1" locked="0" layoutInCell="1" allowOverlap="1">
            <wp:simplePos x="0" y="0"/>
            <wp:positionH relativeFrom="page">
              <wp:posOffset>8208645</wp:posOffset>
            </wp:positionH>
            <wp:positionV relativeFrom="margin">
              <wp:posOffset>5279390</wp:posOffset>
            </wp:positionV>
            <wp:extent cx="731520" cy="255905"/>
            <wp:wrapNone/>
            <wp:docPr id="287" name="Shape 287"/>
            <a:graphic xmlns:a="http://schemas.openxmlformats.org/drawingml/2006/main">
              <a:graphicData uri="http://schemas.openxmlformats.org/drawingml/2006/picture">
                <pic:pic xmlns:pic="http://schemas.openxmlformats.org/drawingml/2006/picture">
                  <pic:nvPicPr>
                    <pic:cNvPr id="288" name="Picture box 288"/>
                    <pic:cNvPicPr/>
                  </pic:nvPicPr>
                  <pic:blipFill>
                    <a:blip r:embed="rId239"/>
                    <a:stretch/>
                  </pic:blipFill>
                  <pic:spPr>
                    <a:xfrm>
                      <a:ext cx="731520" cy="255905"/>
                    </a:xfrm>
                    <a:prstGeom prst="rect"/>
                  </pic:spPr>
                </pic:pic>
              </a:graphicData>
            </a:graphic>
          </wp:anchor>
        </w:drawing>
      </w:r>
      <w:r>
        <w:drawing>
          <wp:anchor distT="0" distB="0" distL="0" distR="0" simplePos="0" relativeHeight="62914825" behindDoc="1" locked="0" layoutInCell="1" allowOverlap="1">
            <wp:simplePos x="0" y="0"/>
            <wp:positionH relativeFrom="page">
              <wp:posOffset>8208645</wp:posOffset>
            </wp:positionH>
            <wp:positionV relativeFrom="margin">
              <wp:posOffset>5535930</wp:posOffset>
            </wp:positionV>
            <wp:extent cx="731520" cy="255905"/>
            <wp:wrapNone/>
            <wp:docPr id="289" name="Shape 289"/>
            <a:graphic xmlns:a="http://schemas.openxmlformats.org/drawingml/2006/main">
              <a:graphicData uri="http://schemas.openxmlformats.org/drawingml/2006/picture">
                <pic:pic xmlns:pic="http://schemas.openxmlformats.org/drawingml/2006/picture">
                  <pic:nvPicPr>
                    <pic:cNvPr id="290" name="Picture box 290"/>
                    <pic:cNvPicPr/>
                  </pic:nvPicPr>
                  <pic:blipFill>
                    <a:blip r:embed="rId241"/>
                    <a:stretch/>
                  </pic:blipFill>
                  <pic:spPr>
                    <a:xfrm>
                      <a:ext cx="731520" cy="255905"/>
                    </a:xfrm>
                    <a:prstGeom prst="rect"/>
                  </pic:spPr>
                </pic:pic>
              </a:graphicData>
            </a:graphic>
          </wp:anchor>
        </w:drawing>
      </w:r>
      <w:r>
        <w:drawing>
          <wp:anchor distT="0" distB="0" distL="0" distR="0" simplePos="0" relativeHeight="62914826" behindDoc="1" locked="0" layoutInCell="1" allowOverlap="1">
            <wp:simplePos x="0" y="0"/>
            <wp:positionH relativeFrom="page">
              <wp:posOffset>8208645</wp:posOffset>
            </wp:positionH>
            <wp:positionV relativeFrom="margin">
              <wp:posOffset>5791835</wp:posOffset>
            </wp:positionV>
            <wp:extent cx="731520" cy="250190"/>
            <wp:wrapNone/>
            <wp:docPr id="291" name="Shape 291"/>
            <a:graphic xmlns:a="http://schemas.openxmlformats.org/drawingml/2006/main">
              <a:graphicData uri="http://schemas.openxmlformats.org/drawingml/2006/picture">
                <pic:pic xmlns:pic="http://schemas.openxmlformats.org/drawingml/2006/picture">
                  <pic:nvPicPr>
                    <pic:cNvPr id="292" name="Picture box 292"/>
                    <pic:cNvPicPr/>
                  </pic:nvPicPr>
                  <pic:blipFill>
                    <a:blip r:embed="rId243"/>
                    <a:stretch/>
                  </pic:blipFill>
                  <pic:spPr>
                    <a:xfrm>
                      <a:ext cx="731520" cy="250190"/>
                    </a:xfrm>
                    <a:prstGeom prst="rect"/>
                  </pic:spPr>
                </pic:pic>
              </a:graphicData>
            </a:graphic>
          </wp:anchor>
        </w:drawing>
      </w:r>
      <w:r>
        <w:drawing>
          <wp:anchor distT="0" distB="0" distL="0" distR="0" simplePos="0" relativeHeight="62914827" behindDoc="1" locked="0" layoutInCell="1" allowOverlap="1">
            <wp:simplePos x="0" y="0"/>
            <wp:positionH relativeFrom="page">
              <wp:posOffset>8943340</wp:posOffset>
            </wp:positionH>
            <wp:positionV relativeFrom="margin">
              <wp:posOffset>3804285</wp:posOffset>
            </wp:positionV>
            <wp:extent cx="895985" cy="255905"/>
            <wp:wrapNone/>
            <wp:docPr id="293" name="Shape 293"/>
            <a:graphic xmlns:a="http://schemas.openxmlformats.org/drawingml/2006/main">
              <a:graphicData uri="http://schemas.openxmlformats.org/drawingml/2006/picture">
                <pic:pic xmlns:pic="http://schemas.openxmlformats.org/drawingml/2006/picture">
                  <pic:nvPicPr>
                    <pic:cNvPr id="294" name="Picture box 294"/>
                    <pic:cNvPicPr/>
                  </pic:nvPicPr>
                  <pic:blipFill>
                    <a:blip r:embed="rId245"/>
                    <a:stretch/>
                  </pic:blipFill>
                  <pic:spPr>
                    <a:xfrm>
                      <a:ext cx="895985" cy="255905"/>
                    </a:xfrm>
                    <a:prstGeom prst="rect"/>
                  </pic:spPr>
                </pic:pic>
              </a:graphicData>
            </a:graphic>
          </wp:anchor>
        </w:drawing>
      </w:r>
      <w:r>
        <w:drawing>
          <wp:anchor distT="0" distB="0" distL="0" distR="0" simplePos="0" relativeHeight="62914828" behindDoc="1" locked="0" layoutInCell="1" allowOverlap="1">
            <wp:simplePos x="0" y="0"/>
            <wp:positionH relativeFrom="page">
              <wp:posOffset>8943340</wp:posOffset>
            </wp:positionH>
            <wp:positionV relativeFrom="margin">
              <wp:posOffset>4825365</wp:posOffset>
            </wp:positionV>
            <wp:extent cx="895985" cy="450850"/>
            <wp:wrapNone/>
            <wp:docPr id="295" name="Shape 295"/>
            <a:graphic xmlns:a="http://schemas.openxmlformats.org/drawingml/2006/main">
              <a:graphicData uri="http://schemas.openxmlformats.org/drawingml/2006/picture">
                <pic:pic xmlns:pic="http://schemas.openxmlformats.org/drawingml/2006/picture">
                  <pic:nvPicPr>
                    <pic:cNvPr id="296" name="Picture box 296"/>
                    <pic:cNvPicPr/>
                  </pic:nvPicPr>
                  <pic:blipFill>
                    <a:blip r:embed="rId247"/>
                    <a:stretch/>
                  </pic:blipFill>
                  <pic:spPr>
                    <a:xfrm>
                      <a:ext cx="895985" cy="450850"/>
                    </a:xfrm>
                    <a:prstGeom prst="rect"/>
                  </pic:spPr>
                </pic:pic>
              </a:graphicData>
            </a:graphic>
          </wp:anchor>
        </w:drawing>
      </w:r>
      <w:r>
        <w:drawing>
          <wp:anchor distT="0" distB="0" distL="0" distR="0" simplePos="0" relativeHeight="62914829" behindDoc="1" locked="0" layoutInCell="1" allowOverlap="1">
            <wp:simplePos x="0" y="0"/>
            <wp:positionH relativeFrom="page">
              <wp:posOffset>8943340</wp:posOffset>
            </wp:positionH>
            <wp:positionV relativeFrom="margin">
              <wp:posOffset>5279390</wp:posOffset>
            </wp:positionV>
            <wp:extent cx="895985" cy="255905"/>
            <wp:wrapNone/>
            <wp:docPr id="297" name="Shape 297"/>
            <a:graphic xmlns:a="http://schemas.openxmlformats.org/drawingml/2006/main">
              <a:graphicData uri="http://schemas.openxmlformats.org/drawingml/2006/picture">
                <pic:pic xmlns:pic="http://schemas.openxmlformats.org/drawingml/2006/picture">
                  <pic:nvPicPr>
                    <pic:cNvPr id="298" name="Picture box 298"/>
                    <pic:cNvPicPr/>
                  </pic:nvPicPr>
                  <pic:blipFill>
                    <a:blip r:embed="rId249"/>
                    <a:stretch/>
                  </pic:blipFill>
                  <pic:spPr>
                    <a:xfrm>
                      <a:ext cx="895985" cy="255905"/>
                    </a:xfrm>
                    <a:prstGeom prst="rect"/>
                  </pic:spPr>
                </pic:pic>
              </a:graphicData>
            </a:graphic>
          </wp:anchor>
        </w:drawing>
      </w:r>
      <w:r>
        <w:drawing>
          <wp:anchor distT="0" distB="0" distL="0" distR="0" simplePos="0" relativeHeight="62914830" behindDoc="1" locked="0" layoutInCell="1" allowOverlap="1">
            <wp:simplePos x="0" y="0"/>
            <wp:positionH relativeFrom="page">
              <wp:posOffset>8943340</wp:posOffset>
            </wp:positionH>
            <wp:positionV relativeFrom="margin">
              <wp:posOffset>5791835</wp:posOffset>
            </wp:positionV>
            <wp:extent cx="895985" cy="396240"/>
            <wp:wrapNone/>
            <wp:docPr id="299" name="Shape 299"/>
            <a:graphic xmlns:a="http://schemas.openxmlformats.org/drawingml/2006/main">
              <a:graphicData uri="http://schemas.openxmlformats.org/drawingml/2006/picture">
                <pic:pic xmlns:pic="http://schemas.openxmlformats.org/drawingml/2006/picture">
                  <pic:nvPicPr>
                    <pic:cNvPr id="300" name="Picture box 300"/>
                    <pic:cNvPicPr/>
                  </pic:nvPicPr>
                  <pic:blipFill>
                    <a:blip r:embed="rId251"/>
                    <a:stretch/>
                  </pic:blipFill>
                  <pic:spPr>
                    <a:xfrm>
                      <a:ext cx="895985" cy="39624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69" w:line="1" w:lineRule="exact"/>
      </w:pPr>
    </w:p>
    <w:p>
      <w:pPr>
        <w:widowControl w:val="0"/>
        <w:spacing w:line="1" w:lineRule="exact"/>
        <w:sectPr>
          <w:headerReference w:type="default" r:id="rId253"/>
          <w:footerReference w:type="default" r:id="rId254"/>
          <w:footnotePr>
            <w:pos w:val="pageBottom"/>
            <w:numFmt w:val="decimal"/>
            <w:numRestart w:val="continuous"/>
          </w:footnotePr>
          <w:pgSz w:w="16840" w:h="11900" w:orient="landscape"/>
          <w:pgMar w:top="1147" w:right="1345" w:bottom="1013" w:left="1422" w:header="0" w:footer="585" w:gutter="0"/>
          <w:cols w:space="720"/>
          <w:noEndnote/>
          <w:rtlGutter w:val="0"/>
          <w:docGrid w:linePitch="360"/>
        </w:sectPr>
      </w:pPr>
    </w:p>
    <w:tbl>
      <w:tblPr>
        <w:tblOverlap w:val="never"/>
        <w:jc w:val="center"/>
        <w:tblLayout w:type="fixed"/>
      </w:tblPr>
      <w:tblGrid>
        <w:gridCol w:w="2376"/>
        <w:gridCol w:w="1603"/>
        <w:gridCol w:w="1272"/>
        <w:gridCol w:w="994"/>
        <w:gridCol w:w="874"/>
        <w:gridCol w:w="1181"/>
        <w:gridCol w:w="1210"/>
        <w:gridCol w:w="1296"/>
        <w:gridCol w:w="686"/>
        <w:gridCol w:w="1157"/>
        <w:gridCol w:w="1426"/>
      </w:tblGrid>
      <w:tr>
        <w:trPr>
          <w:trHeight w:val="437"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0"/>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r>
      <w:tr>
        <w:trPr>
          <w:trHeight w:val="398"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少数股东权益</w:t>
            </w:r>
          </w:p>
        </w:tc>
        <w:tc>
          <w:tcPr>
            <w:vMerge w:val="restart"/>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所有者权益合计</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实收资本（或股本）</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一般风险准备</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-5,880,000.00</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（五）所有者权益内部结转</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98,000,000.00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.资本公积转增资本（或股 本）</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98,000,000.00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196,000,000.00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312,243,231.67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19,654,958.51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152,967,510.19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4,010,574.32</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684,876,274.69</w:t>
            </w:r>
          </w:p>
        </w:tc>
      </w:tr>
    </w:tbl>
    <w:p>
      <w:pPr>
        <w:spacing w:lineRule="exact" w:line="1"/>
        <w:rPr>
          <w:sz w:val="2"/>
          <w:szCs w:val="2"/>
        </w:rPr>
      </w:pPr>
      <w:r>
        <w:br w:type="page"/>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上年金额</w:t>
      </w:r>
    </w:p>
    <w:p>
      <w:pPr>
        <w:pStyle w:val="Style31"/>
        <w:keepNext w:val="0"/>
        <w:keepLines w:val="0"/>
        <w:widowControl w:val="0"/>
        <w:shd w:val="clear" w:color="auto" w:fill="auto"/>
        <w:bidi w:val="0"/>
        <w:spacing w:before="0" w:after="0" w:line="240" w:lineRule="auto"/>
        <w:ind w:left="13133"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2376"/>
        <w:gridCol w:w="1603"/>
        <w:gridCol w:w="1272"/>
        <w:gridCol w:w="994"/>
        <w:gridCol w:w="874"/>
        <w:gridCol w:w="1181"/>
        <w:gridCol w:w="1277"/>
        <w:gridCol w:w="1296"/>
        <w:gridCol w:w="686"/>
        <w:gridCol w:w="1157"/>
        <w:gridCol w:w="1627"/>
      </w:tblGrid>
      <w:tr>
        <w:trPr>
          <w:trHeight w:val="403"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0"/>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上年金额</w:t>
            </w:r>
          </w:p>
        </w:tc>
      </w:tr>
      <w:tr>
        <w:trPr>
          <w:trHeight w:val="403"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少数股东权益</w:t>
            </w:r>
          </w:p>
        </w:tc>
        <w:tc>
          <w:tcPr>
            <w:vMerge w:val="restart"/>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180" w:firstLine="0"/>
              <w:jc w:val="right"/>
              <w:rPr>
                <w:sz w:val="17"/>
                <w:szCs w:val="17"/>
              </w:rPr>
            </w:pPr>
            <w:r>
              <w:rPr>
                <w:color w:val="000000"/>
                <w:spacing w:val="0"/>
                <w:w w:val="100"/>
                <w:position w:val="0"/>
                <w:sz w:val="17"/>
                <w:szCs w:val="17"/>
              </w:rPr>
              <w:t>所有者权益合计</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实收资本（或股本）</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一般风险准备</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一、上年年末余额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73,500,000.00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81,986,568.17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10,804,841.18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82,543,570.65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248,834,980.00</w:t>
            </w:r>
          </w:p>
        </w:tc>
      </w:tr>
      <w:tr>
        <w:trPr>
          <w:trHeight w:val="71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380"/>
              <w:jc w:val="left"/>
              <w:rPr>
                <w:sz w:val="17"/>
                <w:szCs w:val="17"/>
              </w:rPr>
            </w:pPr>
            <w:r>
              <w:rPr>
                <w:color w:val="000000"/>
                <w:spacing w:val="0"/>
                <w:w w:val="100"/>
                <w:position w:val="0"/>
                <w:sz w:val="17"/>
                <w:szCs w:val="17"/>
              </w:rPr>
              <w:t>加：同一控制下企业合并 产生的追溯调整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二、本年年初余额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73,500,000.00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81,986,568.17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10,804,841.18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82,543,570.65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248,834,980.00</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50" w:lineRule="exact"/>
              <w:ind w:left="0" w:right="0" w:firstLine="0"/>
              <w:jc w:val="left"/>
              <w:rPr>
                <w:sz w:val="17"/>
                <w:szCs w:val="17"/>
              </w:rPr>
            </w:pPr>
            <w:r>
              <w:rPr>
                <w:color w:val="000000"/>
                <w:spacing w:val="0"/>
                <w:w w:val="100"/>
                <w:position w:val="0"/>
                <w:sz w:val="17"/>
                <w:szCs w:val="17"/>
              </w:rPr>
              <w:t>三、本期增减变动金额（减少 以号填列）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24,500,000.00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328,256,663.50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5,531,011.39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47,659,762.74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407,947,437.63</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58,090,774.13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58,090,774.13</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58,090,774.13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58,090,774.13</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（三）所有者投入和减少资本</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24,500,000.00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328,256,663.50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354,756,663.50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.所有者投入资本</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24,500,000.00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328,256,663.50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354,756,663.50</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5,531,011.39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-10,431,011.39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-4,900,000.00</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5,531,011.39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-5,531,011.39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p>
      <w:pPr>
        <w:widowControl w:val="0"/>
        <w:spacing w:line="1" w:lineRule="exact"/>
      </w:pPr>
      <w:r>
        <mc:AlternateContent>
          <mc:Choice Requires="wps">
            <w:drawing>
              <wp:anchor distT="152400" distB="0" distL="114300" distR="5146675" simplePos="0" relativeHeight="125829414" behindDoc="0" locked="0" layoutInCell="1" allowOverlap="1">
                <wp:simplePos x="0" y="0"/>
                <wp:positionH relativeFrom="page">
                  <wp:posOffset>848360</wp:posOffset>
                </wp:positionH>
                <wp:positionV relativeFrom="margin">
                  <wp:posOffset>4892675</wp:posOffset>
                </wp:positionV>
                <wp:extent cx="1054735" cy="149225"/>
                <wp:wrapTopAndBottom/>
                <wp:docPr id="304" name="Shape 304"/>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法定代表人：柯宗贵</w:t>
                            </w:r>
                          </w:p>
                        </w:txbxContent>
                      </wps:txbx>
                      <wps:bodyPr wrap="none" lIns="0" tIns="0" rIns="0" bIns="0">
                        <a:noAutoFit/>
                      </wps:bodyPr>
                    </wps:wsp>
                  </a:graphicData>
                </a:graphic>
              </wp:anchor>
            </w:drawing>
          </mc:Choice>
          <mc:Fallback>
            <w:pict>
              <v:shape id="_x0000_s1330" type="#_x0000_t202" style="position:absolute;margin-left:66.799999999999997pt;margin-top:385.25pt;width:83.049999999999997pt;height:11.75pt;z-index:-125829339;mso-wrap-distance-left:9.pt;mso-wrap-distance-top:12.pt;mso-wrap-distance-right:405.25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法定代表人：柯宗贵</w:t>
                      </w:r>
                    </w:p>
                  </w:txbxContent>
                </v:textbox>
                <w10:wrap type="topAndBottom" anchorx="page" anchory="margin"/>
              </v:shape>
            </w:pict>
          </mc:Fallback>
        </mc:AlternateContent>
      </w:r>
      <w:r>
        <mc:AlternateContent>
          <mc:Choice Requires="wps">
            <w:drawing>
              <wp:anchor distT="152400" distB="3175" distL="2348230" distR="2458720" simplePos="0" relativeHeight="125829416" behindDoc="0" locked="0" layoutInCell="1" allowOverlap="1">
                <wp:simplePos x="0" y="0"/>
                <wp:positionH relativeFrom="page">
                  <wp:posOffset>3082290</wp:posOffset>
                </wp:positionH>
                <wp:positionV relativeFrom="margin">
                  <wp:posOffset>4892675</wp:posOffset>
                </wp:positionV>
                <wp:extent cx="1508760" cy="146050"/>
                <wp:wrapTopAndBottom/>
                <wp:docPr id="306" name="Shape 306"/>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主管会计工作负责人：魏树华</w:t>
                            </w:r>
                          </w:p>
                        </w:txbxContent>
                      </wps:txbx>
                      <wps:bodyPr wrap="none" lIns="0" tIns="0" rIns="0" bIns="0">
                        <a:noAutoFit/>
                      </wps:bodyPr>
                    </wps:wsp>
                  </a:graphicData>
                </a:graphic>
              </wp:anchor>
            </w:drawing>
          </mc:Choice>
          <mc:Fallback>
            <w:pict>
              <v:shape id="_x0000_s1332" type="#_x0000_t202" style="position:absolute;margin-left:242.70000000000002pt;margin-top:385.25pt;width:118.8pt;height:11.5pt;z-index:-125829337;mso-wrap-distance-left:184.90000000000001pt;mso-wrap-distance-top:12.pt;mso-wrap-distance-right:193.59999999999999pt;mso-wrap-distance-bottom:0.25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主管会计工作负责人：魏树华</w:t>
                      </w:r>
                    </w:p>
                  </w:txbxContent>
                </v:textbox>
                <w10:wrap type="topAndBottom" anchorx="page" anchory="margin"/>
              </v:shape>
            </w:pict>
          </mc:Fallback>
        </mc:AlternateContent>
      </w:r>
      <w:r>
        <mc:AlternateContent>
          <mc:Choice Requires="wps">
            <w:drawing>
              <wp:anchor distT="152400" distB="0" distL="5030470" distR="114935" simplePos="0" relativeHeight="125829418" behindDoc="0" locked="0" layoutInCell="1" allowOverlap="1">
                <wp:simplePos x="0" y="0"/>
                <wp:positionH relativeFrom="page">
                  <wp:posOffset>5764530</wp:posOffset>
                </wp:positionH>
                <wp:positionV relativeFrom="margin">
                  <wp:posOffset>4892675</wp:posOffset>
                </wp:positionV>
                <wp:extent cx="1170305" cy="149225"/>
                <wp:wrapTopAndBottom/>
                <wp:docPr id="308" name="Shape 308"/>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会计机构负责人：景丽</w:t>
                            </w:r>
                          </w:p>
                        </w:txbxContent>
                      </wps:txbx>
                      <wps:bodyPr wrap="none" lIns="0" tIns="0" rIns="0" bIns="0">
                        <a:noAutoFit/>
                      </wps:bodyPr>
                    </wps:wsp>
                  </a:graphicData>
                </a:graphic>
              </wp:anchor>
            </w:drawing>
          </mc:Choice>
          <mc:Fallback>
            <w:pict>
              <v:shape id="_x0000_s1334" type="#_x0000_t202" style="position:absolute;margin-left:453.90000000000003pt;margin-top:385.25pt;width:92.150000000000006pt;height:11.75pt;z-index:-125829335;mso-wrap-distance-left:396.10000000000002pt;mso-wrap-distance-top:12.pt;mso-wrap-distance-right:9.0500000000000007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会计机构负责人：景丽</w:t>
                      </w:r>
                    </w:p>
                  </w:txbxContent>
                </v:textbox>
                <w10:wrap type="topAndBottom" anchorx="page" anchory="margin"/>
              </v:shape>
            </w:pict>
          </mc:Fallback>
        </mc:AlternateContent>
      </w:r>
    </w:p>
    <w:tbl>
      <w:tblPr>
        <w:tblOverlap w:val="never"/>
        <w:jc w:val="center"/>
        <w:tblLayout w:type="fixed"/>
      </w:tblPr>
      <w:tblGrid>
        <w:gridCol w:w="2376"/>
        <w:gridCol w:w="1603"/>
        <w:gridCol w:w="1272"/>
        <w:gridCol w:w="994"/>
        <w:gridCol w:w="874"/>
        <w:gridCol w:w="1181"/>
        <w:gridCol w:w="1277"/>
        <w:gridCol w:w="1296"/>
        <w:gridCol w:w="686"/>
        <w:gridCol w:w="1157"/>
        <w:gridCol w:w="1627"/>
      </w:tblGrid>
      <w:tr>
        <w:trPr>
          <w:trHeight w:val="437"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0"/>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上年金额</w:t>
            </w:r>
          </w:p>
        </w:tc>
      </w:tr>
      <w:tr>
        <w:trPr>
          <w:trHeight w:val="398"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少数股东权益</w:t>
            </w:r>
          </w:p>
        </w:tc>
        <w:tc>
          <w:tcPr>
            <w:vMerge w:val="restart"/>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所有者权益合计</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实收资本（或股本）</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一般风险准备</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-4,900,000.00</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98,000,000.00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410,243,231.67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16,335,852.57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130,203,333.39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656,782,417.63</w:t>
            </w:r>
          </w:p>
        </w:tc>
      </w:tr>
    </w:tbl>
    <w:p>
      <w:pPr>
        <w:spacing w:lineRule="exact" w:line="1"/>
        <w:rPr>
          <w:sz w:val="2"/>
          <w:szCs w:val="2"/>
        </w:rPr>
      </w:pPr>
      <w:r>
        <w:br w:type="page"/>
      </w:r>
    </w:p>
    <w:p>
      <w:pPr>
        <w:pStyle w:val="Style38"/>
        <w:keepNext/>
        <w:keepLines/>
        <w:widowControl w:val="0"/>
        <w:shd w:val="clear" w:color="auto" w:fill="auto"/>
        <w:bidi w:val="0"/>
        <w:spacing w:before="0" w:after="400" w:line="240" w:lineRule="auto"/>
        <w:ind w:left="0" w:right="0" w:firstLine="0"/>
        <w:jc w:val="left"/>
      </w:pPr>
      <w:bookmarkStart w:id="453" w:name="bookmark453"/>
      <w:bookmarkStart w:id="454" w:name="bookmark454"/>
      <w:bookmarkStart w:id="455" w:name="bookmark455"/>
      <w:bookmarkStart w:id="456" w:name="bookmark456"/>
      <w:r>
        <w:rPr>
          <w:rFonts w:ascii="Times New Roman" w:eastAsia="Times New Roman" w:hAnsi="Times New Roman" w:cs="Times New Roman"/>
          <w:color w:val="000000"/>
          <w:spacing w:val="0"/>
          <w:w w:val="100"/>
          <w:position w:val="0"/>
        </w:rPr>
        <w:t>8</w:t>
      </w:r>
      <w:bookmarkEnd w:id="455"/>
      <w:r>
        <w:rPr>
          <w:color w:val="000000"/>
          <w:spacing w:val="0"/>
          <w:w w:val="100"/>
          <w:position w:val="0"/>
        </w:rPr>
        <w:t>、母公司所有者权益变动表</w:t>
      </w:r>
      <w:bookmarkEnd w:id="453"/>
      <w:bookmarkEnd w:id="454"/>
      <w:bookmarkEnd w:id="456"/>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编制单位：蓝盾信息安全技术股份有限公司</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31"/>
        <w:keepNext w:val="0"/>
        <w:keepLines w:val="0"/>
        <w:widowControl w:val="0"/>
        <w:shd w:val="clear" w:color="auto" w:fill="auto"/>
        <w:bidi w:val="0"/>
        <w:spacing w:before="0" w:after="0" w:line="240" w:lineRule="auto"/>
        <w:ind w:left="13133"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3552"/>
        <w:gridCol w:w="1637"/>
        <w:gridCol w:w="1483"/>
        <w:gridCol w:w="883"/>
        <w:gridCol w:w="888"/>
        <w:gridCol w:w="1344"/>
        <w:gridCol w:w="1421"/>
        <w:gridCol w:w="1416"/>
        <w:gridCol w:w="1426"/>
      </w:tblGrid>
      <w:tr>
        <w:trPr>
          <w:trHeight w:val="408"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8"/>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实收资本（或股本）</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减：库存股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专项储备</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一般风险准备</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240" w:firstLine="0"/>
              <w:jc w:val="right"/>
              <w:rPr>
                <w:sz w:val="17"/>
                <w:szCs w:val="17"/>
              </w:rPr>
            </w:pPr>
            <w:r>
              <w:rPr>
                <w:color w:val="000000"/>
                <w:spacing w:val="0"/>
                <w:w w:val="100"/>
                <w:position w:val="0"/>
                <w:sz w:val="17"/>
                <w:szCs w:val="17"/>
              </w:rPr>
              <w:t>未分配利润</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所有者权益合计</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一、上年年末余额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98,000,000.00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410,243,231.67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16,335,852.57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127,422,673.20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652,001,757.44</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二、本年年初余额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98,000,000.00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410,243,231.67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16,335,852.57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127,422,673.20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652,001,757.44</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三、本期增减变动金额（减少以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98,000,000.00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3,319,105.94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23,991,953.46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27,311,059.40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33,191,059.40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33,191,059.40</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33,191,059.40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33,191,059.40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3,319,105.94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-9,199,105.94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-5,880,000.00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3,319,105.94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-3,319,105.94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.对所有者（或股东）的分配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-5,880,000.00</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-5,880,000.00</w:t>
            </w:r>
          </w:p>
        </w:tc>
      </w:tr>
    </w:tbl>
    <w:p>
      <w:pPr>
        <w:widowControl w:val="0"/>
        <w:spacing w:line="1" w:lineRule="exact"/>
      </w:pPr>
      <w:r>
        <w:br w:type="page"/>
      </w:r>
    </w:p>
    <w:tbl>
      <w:tblPr>
        <w:tblOverlap w:val="never"/>
        <w:jc w:val="center"/>
        <w:tblLayout w:type="fixed"/>
      </w:tblPr>
      <w:tblGrid>
        <w:gridCol w:w="3552"/>
        <w:gridCol w:w="1637"/>
        <w:gridCol w:w="1483"/>
        <w:gridCol w:w="883"/>
        <w:gridCol w:w="888"/>
        <w:gridCol w:w="1344"/>
        <w:gridCol w:w="1421"/>
        <w:gridCol w:w="1416"/>
        <w:gridCol w:w="1426"/>
      </w:tblGrid>
      <w:tr>
        <w:trPr>
          <w:trHeight w:val="437"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8"/>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实收资本（或股本）</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减：库存股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专项储备</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一般风险准备</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未分配利润</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所有者权益合计</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（五）所有者权益内部结转</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98,000,000.00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.资本公积转增资本（或股本）</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98,000,000.00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196,000,000.00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312,243,231.67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19,654,958.51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151,414,626.66</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679,312,816.84</w:t>
            </w:r>
          </w:p>
        </w:tc>
      </w:tr>
    </w:tbl>
    <w:p>
      <w:pPr>
        <w:sectPr>
          <w:headerReference w:type="default" r:id="rId255"/>
          <w:footerReference w:type="default" r:id="rId256"/>
          <w:footnotePr>
            <w:pos w:val="pageBottom"/>
            <w:numFmt w:val="decimal"/>
            <w:numRestart w:val="continuous"/>
          </w:footnotePr>
          <w:pgSz w:w="16840" w:h="11900" w:orient="landscape"/>
          <w:pgMar w:top="1138" w:right="1152" w:bottom="1412" w:left="1346" w:header="0" w:footer="3" w:gutter="0"/>
          <w:cols w:space="720"/>
          <w:noEndnote/>
          <w:rtlGutter w:val="0"/>
          <w:docGrid w:linePitch="360"/>
        </w:sectPr>
      </w:pPr>
    </w:p>
    <w:p>
      <w:pPr>
        <w:pStyle w:val="Style27"/>
        <w:keepNext w:val="0"/>
        <w:keepLines w:val="0"/>
        <w:framePr w:w="758" w:h="230" w:wrap="none" w:hAnchor="page" w:x="1423" w:y="26"/>
        <w:widowControl w:val="0"/>
        <w:shd w:val="clear" w:color="auto" w:fill="auto"/>
        <w:bidi w:val="0"/>
        <w:spacing w:before="0" w:after="0" w:line="240" w:lineRule="auto"/>
        <w:ind w:left="0" w:right="0" w:firstLine="0"/>
        <w:jc w:val="left"/>
      </w:pPr>
      <w:r>
        <w:rPr>
          <w:color w:val="000000"/>
          <w:spacing w:val="0"/>
          <w:w w:val="100"/>
          <w:position w:val="0"/>
        </w:rPr>
        <w:t>上年金额</w:t>
      </w:r>
    </w:p>
    <w:p>
      <w:pPr>
        <w:pStyle w:val="Style27"/>
        <w:keepNext w:val="0"/>
        <w:keepLines w:val="0"/>
        <w:framePr w:w="758" w:h="230" w:wrap="none" w:hAnchor="page" w:x="14565" w:y="376"/>
        <w:widowControl w:val="0"/>
        <w:shd w:val="clear" w:color="auto" w:fill="auto"/>
        <w:bidi w:val="0"/>
        <w:spacing w:before="0" w:after="0" w:line="240" w:lineRule="auto"/>
        <w:ind w:left="0" w:right="0" w:firstLine="0"/>
        <w:jc w:val="left"/>
      </w:pPr>
      <w:r>
        <w:rPr>
          <w:color w:val="000000"/>
          <w:spacing w:val="0"/>
          <w:w w:val="100"/>
          <w:position w:val="0"/>
        </w:rPr>
        <w:t>单位：元</w:t>
      </w:r>
    </w:p>
    <w:p>
      <w:pPr>
        <w:pStyle w:val="Style27"/>
        <w:keepNext w:val="0"/>
        <w:keepLines w:val="0"/>
        <w:framePr w:w="1483" w:h="226" w:wrap="none" w:hAnchor="page" w:x="1451" w:y="1586"/>
        <w:widowControl w:val="0"/>
        <w:shd w:val="clear" w:color="auto" w:fill="auto"/>
        <w:bidi w:val="0"/>
        <w:spacing w:before="0" w:after="0" w:line="240" w:lineRule="auto"/>
        <w:ind w:left="0" w:right="0" w:firstLine="0"/>
        <w:jc w:val="left"/>
      </w:pPr>
      <w:r>
        <w:rPr>
          <w:color w:val="000000"/>
          <w:spacing w:val="0"/>
          <w:w w:val="100"/>
          <w:position w:val="0"/>
        </w:rPr>
        <w:t>一、上年年末余额</w:t>
      </w:r>
    </w:p>
    <w:p>
      <w:pPr>
        <w:pStyle w:val="Style27"/>
        <w:keepNext w:val="0"/>
        <w:keepLines w:val="0"/>
        <w:framePr w:w="398" w:h="230" w:wrap="none" w:hAnchor="page" w:x="3016" w:y="986"/>
        <w:widowControl w:val="0"/>
        <w:shd w:val="clear" w:color="auto" w:fill="auto"/>
        <w:bidi w:val="0"/>
        <w:spacing w:before="0" w:after="0" w:line="240" w:lineRule="auto"/>
        <w:ind w:left="0" w:right="0" w:firstLine="0"/>
        <w:jc w:val="left"/>
      </w:pPr>
      <w:r>
        <w:rPr>
          <w:color w:val="000000"/>
          <w:spacing w:val="0"/>
          <w:w w:val="100"/>
          <w:position w:val="0"/>
        </w:rPr>
        <w:t>项目</w:t>
      </w:r>
    </w:p>
    <w:p>
      <w:pPr>
        <w:pStyle w:val="Style27"/>
        <w:keepNext w:val="0"/>
        <w:keepLines w:val="0"/>
        <w:framePr w:w="763" w:h="230" w:wrap="none" w:hAnchor="page" w:x="9875" w:y="779"/>
        <w:widowControl w:val="0"/>
        <w:shd w:val="clear" w:color="auto" w:fill="auto"/>
        <w:bidi w:val="0"/>
        <w:spacing w:before="0" w:after="0" w:line="240" w:lineRule="auto"/>
        <w:ind w:left="0" w:right="0" w:firstLine="0"/>
        <w:jc w:val="left"/>
      </w:pPr>
      <w:r>
        <w:rPr>
          <w:color w:val="000000"/>
          <w:spacing w:val="0"/>
          <w:w w:val="100"/>
          <w:position w:val="0"/>
        </w:rPr>
        <w:t>上年金额</w:t>
      </w:r>
    </w:p>
    <w:p>
      <w:pPr>
        <w:pStyle w:val="Style27"/>
        <w:keepNext w:val="0"/>
        <w:keepLines w:val="0"/>
        <w:framePr w:w="1483" w:h="226" w:wrap="none" w:hAnchor="page" w:x="1811" w:y="1984"/>
        <w:widowControl w:val="0"/>
        <w:shd w:val="clear" w:color="auto" w:fill="auto"/>
        <w:bidi w:val="0"/>
        <w:spacing w:before="0" w:after="0" w:line="240" w:lineRule="auto"/>
        <w:ind w:left="0" w:right="0" w:firstLine="0"/>
        <w:jc w:val="left"/>
      </w:pPr>
      <w:r>
        <w:rPr>
          <w:color w:val="000000"/>
          <w:spacing w:val="0"/>
          <w:w w:val="100"/>
          <w:position w:val="0"/>
        </w:rPr>
        <w:t>加：会计政策变更</w:t>
      </w:r>
    </w:p>
    <w:p>
      <w:pPr>
        <w:pStyle w:val="Style27"/>
        <w:keepNext w:val="0"/>
        <w:keepLines w:val="0"/>
        <w:framePr w:w="1123" w:h="230" w:wrap="none" w:hAnchor="page" w:x="2171" w:y="2387"/>
        <w:widowControl w:val="0"/>
        <w:shd w:val="clear" w:color="auto" w:fill="auto"/>
        <w:bidi w:val="0"/>
        <w:spacing w:before="0" w:after="0" w:line="240" w:lineRule="auto"/>
        <w:ind w:left="0" w:right="0" w:firstLine="0"/>
        <w:jc w:val="left"/>
      </w:pPr>
      <w:r>
        <w:rPr>
          <w:color w:val="000000"/>
          <w:spacing w:val="0"/>
          <w:w w:val="100"/>
          <w:position w:val="0"/>
        </w:rPr>
        <w:t>前期差错更正</w:t>
      </w:r>
    </w:p>
    <w:p>
      <w:pPr>
        <w:pStyle w:val="Style27"/>
        <w:keepNext w:val="0"/>
        <w:keepLines w:val="0"/>
        <w:framePr w:w="403" w:h="235" w:wrap="none" w:hAnchor="page" w:x="2171" w:y="2791"/>
        <w:widowControl w:val="0"/>
        <w:shd w:val="clear" w:color="auto" w:fill="auto"/>
        <w:bidi w:val="0"/>
        <w:spacing w:before="0" w:after="0" w:line="240" w:lineRule="auto"/>
        <w:ind w:left="0" w:right="0" w:firstLine="0"/>
        <w:jc w:val="left"/>
      </w:pPr>
      <w:r>
        <w:rPr>
          <w:color w:val="000000"/>
          <w:spacing w:val="0"/>
          <w:w w:val="100"/>
          <w:position w:val="0"/>
        </w:rPr>
        <w:t>其他</w:t>
      </w:r>
    </w:p>
    <w:p>
      <w:pPr>
        <w:pStyle w:val="Style27"/>
        <w:keepNext w:val="0"/>
        <w:keepLines w:val="0"/>
        <w:framePr w:w="1478" w:h="235" w:wrap="none" w:hAnchor="page" w:x="1451" w:y="3194"/>
        <w:widowControl w:val="0"/>
        <w:shd w:val="clear" w:color="auto" w:fill="auto"/>
        <w:bidi w:val="0"/>
        <w:spacing w:before="0" w:after="0" w:line="240" w:lineRule="auto"/>
        <w:ind w:left="0" w:right="0" w:firstLine="0"/>
        <w:jc w:val="left"/>
      </w:pPr>
      <w:r>
        <w:rPr>
          <w:color w:val="000000"/>
          <w:spacing w:val="0"/>
          <w:w w:val="100"/>
          <w:position w:val="0"/>
        </w:rPr>
        <w:t>二、本年年初余额</w:t>
      </w:r>
    </w:p>
    <w:p>
      <w:pPr>
        <w:pStyle w:val="Style27"/>
        <w:keepNext w:val="0"/>
        <w:keepLines w:val="0"/>
        <w:framePr w:w="3533" w:h="250" w:wrap="none" w:hAnchor="page" w:x="1451" w:y="3592"/>
        <w:widowControl w:val="0"/>
        <w:shd w:val="clear" w:color="auto" w:fill="auto"/>
        <w:bidi w:val="0"/>
        <w:spacing w:before="0" w:after="0" w:line="240" w:lineRule="auto"/>
        <w:ind w:left="0" w:right="0" w:firstLine="0"/>
        <w:jc w:val="left"/>
      </w:pPr>
      <w:r>
        <w:rPr>
          <w:color w:val="000000"/>
          <w:spacing w:val="0"/>
          <w:w w:val="100"/>
          <w:position w:val="0"/>
        </w:rPr>
        <w:t>三、本期增减变动金额（减少以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p>
      <w:pPr>
        <w:pStyle w:val="Style27"/>
        <w:keepNext w:val="0"/>
        <w:keepLines w:val="0"/>
        <w:framePr w:w="1022" w:h="235" w:wrap="none" w:hAnchor="page" w:x="1547" w:y="3995"/>
        <w:widowControl w:val="0"/>
        <w:shd w:val="clear" w:color="auto" w:fill="auto"/>
        <w:bidi w:val="0"/>
        <w:spacing w:before="0" w:after="0" w:line="240" w:lineRule="auto"/>
        <w:ind w:left="0" w:right="0" w:firstLine="0"/>
        <w:jc w:val="left"/>
      </w:pPr>
      <w:r>
        <w:rPr>
          <w:color w:val="000000"/>
          <w:spacing w:val="0"/>
          <w:w w:val="100"/>
          <w:position w:val="0"/>
        </w:rPr>
        <w:t>（一）净利润</w:t>
      </w:r>
    </w:p>
    <w:p>
      <w:pPr>
        <w:pStyle w:val="Style27"/>
        <w:keepNext w:val="0"/>
        <w:keepLines w:val="0"/>
        <w:framePr w:w="1565" w:h="235" w:wrap="none" w:hAnchor="page" w:x="1547" w:y="4399"/>
        <w:widowControl w:val="0"/>
        <w:shd w:val="clear" w:color="auto" w:fill="auto"/>
        <w:bidi w:val="0"/>
        <w:spacing w:before="0" w:after="0" w:line="240" w:lineRule="auto"/>
        <w:ind w:left="0" w:right="0" w:firstLine="0"/>
        <w:jc w:val="left"/>
      </w:pPr>
      <w:r>
        <w:rPr>
          <w:color w:val="000000"/>
          <w:spacing w:val="0"/>
          <w:w w:val="100"/>
          <w:position w:val="0"/>
        </w:rPr>
        <w:t>（二）其他综合收益</w:t>
      </w:r>
    </w:p>
    <w:p>
      <w:pPr>
        <w:pStyle w:val="Style27"/>
        <w:keepNext w:val="0"/>
        <w:keepLines w:val="0"/>
        <w:framePr w:w="2021" w:h="226" w:wrap="none" w:hAnchor="page" w:x="1451" w:y="4802"/>
        <w:widowControl w:val="0"/>
        <w:shd w:val="clear" w:color="auto" w:fill="auto"/>
        <w:bidi w:val="0"/>
        <w:spacing w:before="0" w:after="0" w:line="240" w:lineRule="auto"/>
        <w:ind w:left="0" w:right="0" w:firstLine="0"/>
        <w:jc w:val="left"/>
      </w:pPr>
      <w:r>
        <w:rPr>
          <w:color w:val="000000"/>
          <w:spacing w:val="0"/>
          <w:w w:val="100"/>
          <w:position w:val="0"/>
        </w:rPr>
        <w:t>上述（一）和（二）小计</w:t>
      </w:r>
    </w:p>
    <w:p>
      <w:pPr>
        <w:pStyle w:val="Style27"/>
        <w:keepNext w:val="0"/>
        <w:keepLines w:val="0"/>
        <w:framePr w:w="2285" w:h="235" w:wrap="none" w:hAnchor="page" w:x="1547" w:y="520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p>
      <w:pPr>
        <w:pStyle w:val="Style27"/>
        <w:keepNext w:val="0"/>
        <w:keepLines w:val="0"/>
        <w:framePr w:w="1560" w:h="250" w:wrap="none" w:hAnchor="page" w:x="1461" w:y="560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p>
      <w:pPr>
        <w:pStyle w:val="Style27"/>
        <w:keepNext w:val="0"/>
        <w:keepLines w:val="0"/>
        <w:framePr w:w="2842" w:h="235" w:wrap="none" w:hAnchor="page" w:x="1442" w:y="6007"/>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.股份支付计入所有者权益的金额</w:t>
      </w:r>
    </w:p>
    <w:p>
      <w:pPr>
        <w:pStyle w:val="Style27"/>
        <w:keepNext w:val="0"/>
        <w:keepLines w:val="0"/>
        <w:framePr w:w="672" w:h="240" w:wrap="none" w:hAnchor="page" w:x="1451" w:y="641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p>
      <w:pPr>
        <w:pStyle w:val="Style27"/>
        <w:keepNext w:val="0"/>
        <w:keepLines w:val="0"/>
        <w:framePr w:w="1205" w:h="235" w:wrap="none" w:hAnchor="page" w:x="1547" w:y="6808"/>
        <w:widowControl w:val="0"/>
        <w:shd w:val="clear" w:color="auto" w:fill="auto"/>
        <w:bidi w:val="0"/>
        <w:spacing w:before="0" w:after="0" w:line="240" w:lineRule="auto"/>
        <w:ind w:left="0" w:right="0" w:firstLine="0"/>
        <w:jc w:val="left"/>
      </w:pPr>
      <w:r>
        <w:rPr>
          <w:color w:val="000000"/>
          <w:spacing w:val="0"/>
          <w:w w:val="100"/>
          <w:position w:val="0"/>
        </w:rPr>
        <w:t>（四）利润分配</w:t>
      </w:r>
    </w:p>
    <w:p>
      <w:pPr>
        <w:pStyle w:val="Style27"/>
        <w:keepNext w:val="0"/>
        <w:keepLines w:val="0"/>
        <w:framePr w:w="1382" w:h="245" w:wrap="none" w:hAnchor="page" w:x="1461" w:y="721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p>
      <w:pPr>
        <w:pStyle w:val="Style27"/>
        <w:keepNext w:val="0"/>
        <w:keepLines w:val="0"/>
        <w:framePr w:w="1762" w:h="235" w:wrap="none" w:hAnchor="page" w:x="1442" w:y="7615"/>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p>
      <w:pPr>
        <w:pStyle w:val="Style27"/>
        <w:keepNext w:val="0"/>
        <w:keepLines w:val="0"/>
        <w:framePr w:w="2472" w:h="240" w:wrap="none" w:hAnchor="page" w:x="1451" w:y="8018"/>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.对所有者（或股东）的分配</w:t>
      </w:r>
    </w:p>
    <w:p>
      <w:pPr>
        <w:pStyle w:val="Style27"/>
        <w:keepNext w:val="0"/>
        <w:keepLines w:val="0"/>
        <w:framePr w:w="682" w:h="240" w:wrap="none" w:hAnchor="page" w:x="1442" w:y="8416"/>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p>
      <w:pPr>
        <w:pStyle w:val="Style27"/>
        <w:keepNext w:val="0"/>
        <w:keepLines w:val="0"/>
        <w:framePr w:w="2102" w:h="230" w:wrap="none" w:hAnchor="page" w:x="1547" w:y="8819"/>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p>
      <w:pPr>
        <w:pStyle w:val="Style27"/>
        <w:keepNext w:val="0"/>
        <w:keepLines w:val="0"/>
        <w:framePr w:w="2640" w:h="250" w:wrap="none" w:hAnchor="page" w:x="1461" w:y="922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.资本公积转增资本（或股本）</w:t>
      </w:r>
    </w:p>
    <w:p>
      <w:pPr>
        <w:pStyle w:val="Style27"/>
        <w:keepNext w:val="0"/>
        <w:keepLines w:val="0"/>
        <w:framePr w:w="1651" w:h="235" w:wrap="none" w:hAnchor="page" w:x="5013" w:y="1183"/>
        <w:widowControl w:val="0"/>
        <w:shd w:val="clear" w:color="auto" w:fill="auto"/>
        <w:bidi w:val="0"/>
        <w:spacing w:before="0" w:after="0" w:line="240" w:lineRule="auto"/>
        <w:ind w:left="0" w:right="0" w:firstLine="0"/>
        <w:jc w:val="left"/>
      </w:pPr>
      <w:r>
        <w:rPr>
          <w:color w:val="000000"/>
          <w:spacing w:val="0"/>
          <w:w w:val="100"/>
          <w:position w:val="0"/>
        </w:rPr>
        <w:t>实收资本（或股本）</w:t>
      </w:r>
    </w:p>
    <w:p>
      <w:pPr>
        <w:pStyle w:val="Style50"/>
        <w:keepNext w:val="0"/>
        <w:keepLines w:val="0"/>
        <w:framePr w:w="1080" w:h="226" w:wrap="none" w:hAnchor="page" w:x="5599" w:y="1595"/>
        <w:widowControl w:val="0"/>
        <w:shd w:val="clear" w:color="auto" w:fill="auto"/>
        <w:bidi w:val="0"/>
        <w:spacing w:before="0" w:after="0" w:line="240" w:lineRule="auto"/>
        <w:ind w:left="0" w:right="0" w:firstLine="0"/>
        <w:jc w:val="left"/>
      </w:pPr>
      <w:r>
        <w:rPr>
          <w:color w:val="000000"/>
          <w:spacing w:val="0"/>
          <w:w w:val="100"/>
          <w:position w:val="0"/>
        </w:rPr>
        <w:t>73,500,000.00</w:t>
      </w:r>
    </w:p>
    <w:p>
      <w:pPr>
        <w:pStyle w:val="Style50"/>
        <w:keepNext w:val="0"/>
        <w:keepLines w:val="0"/>
        <w:framePr w:w="1080" w:h="226" w:wrap="none" w:hAnchor="page" w:x="5599" w:y="3203"/>
        <w:widowControl w:val="0"/>
        <w:shd w:val="clear" w:color="auto" w:fill="auto"/>
        <w:bidi w:val="0"/>
        <w:spacing w:before="0" w:after="0" w:line="240" w:lineRule="auto"/>
        <w:ind w:left="0" w:right="0" w:firstLine="0"/>
        <w:jc w:val="left"/>
      </w:pPr>
      <w:r>
        <w:rPr>
          <w:color w:val="000000"/>
          <w:spacing w:val="0"/>
          <w:w w:val="100"/>
          <w:position w:val="0"/>
        </w:rPr>
        <w:t>73,500,000.00</w:t>
      </w:r>
    </w:p>
    <w:p>
      <w:pPr>
        <w:pStyle w:val="Style50"/>
        <w:keepNext w:val="0"/>
        <w:keepLines w:val="0"/>
        <w:framePr w:w="1085" w:h="226" w:wrap="none" w:hAnchor="page" w:x="5594" w:y="3602"/>
        <w:widowControl w:val="0"/>
        <w:shd w:val="clear" w:color="auto" w:fill="auto"/>
        <w:bidi w:val="0"/>
        <w:spacing w:before="0" w:after="0" w:line="240" w:lineRule="auto"/>
        <w:ind w:left="0" w:right="0" w:firstLine="0"/>
        <w:jc w:val="left"/>
      </w:pPr>
      <w:r>
        <w:rPr>
          <w:color w:val="000000"/>
          <w:spacing w:val="0"/>
          <w:w w:val="100"/>
          <w:position w:val="0"/>
        </w:rPr>
        <w:t>24,500,000.00</w:t>
      </w:r>
    </w:p>
    <w:p>
      <w:pPr>
        <w:pStyle w:val="Style50"/>
        <w:keepNext w:val="0"/>
        <w:keepLines w:val="0"/>
        <w:framePr w:w="1085" w:h="226" w:wrap="none" w:hAnchor="page" w:x="5594" w:y="5210"/>
        <w:widowControl w:val="0"/>
        <w:shd w:val="clear" w:color="auto" w:fill="auto"/>
        <w:bidi w:val="0"/>
        <w:spacing w:before="0" w:after="0" w:line="240" w:lineRule="auto"/>
        <w:ind w:left="0" w:right="0" w:firstLine="0"/>
        <w:jc w:val="left"/>
      </w:pPr>
      <w:r>
        <w:rPr>
          <w:color w:val="000000"/>
          <w:spacing w:val="0"/>
          <w:w w:val="100"/>
          <w:position w:val="0"/>
        </w:rPr>
        <w:t>24,500,000.00</w:t>
      </w:r>
    </w:p>
    <w:p>
      <w:pPr>
        <w:pStyle w:val="Style50"/>
        <w:keepNext w:val="0"/>
        <w:keepLines w:val="0"/>
        <w:framePr w:w="1085" w:h="226" w:wrap="none" w:hAnchor="page" w:x="5594" w:y="5613"/>
        <w:widowControl w:val="0"/>
        <w:shd w:val="clear" w:color="auto" w:fill="auto"/>
        <w:bidi w:val="0"/>
        <w:spacing w:before="0" w:after="0" w:line="240" w:lineRule="auto"/>
        <w:ind w:left="0" w:right="0" w:firstLine="0"/>
        <w:jc w:val="left"/>
      </w:pPr>
      <w:r>
        <w:rPr>
          <w:color w:val="000000"/>
          <w:spacing w:val="0"/>
          <w:w w:val="100"/>
          <w:position w:val="0"/>
        </w:rPr>
        <w:t>24,500,000.00</w:t>
      </w:r>
    </w:p>
    <w:p>
      <w:pPr>
        <w:pStyle w:val="Style27"/>
        <w:keepNext w:val="0"/>
        <w:keepLines w:val="0"/>
        <w:framePr w:w="758" w:h="235" w:wrap="none" w:hAnchor="page" w:x="7019" w:y="1183"/>
        <w:widowControl w:val="0"/>
        <w:shd w:val="clear" w:color="auto" w:fill="auto"/>
        <w:bidi w:val="0"/>
        <w:spacing w:before="0" w:after="0" w:line="240" w:lineRule="auto"/>
        <w:ind w:left="0" w:right="0" w:firstLine="0"/>
        <w:jc w:val="left"/>
      </w:pPr>
      <w:r>
        <w:rPr>
          <w:color w:val="000000"/>
          <w:spacing w:val="0"/>
          <w:w w:val="100"/>
          <w:position w:val="0"/>
        </w:rPr>
        <w:t>资本公积</w:t>
      </w:r>
    </w:p>
    <w:p>
      <w:pPr>
        <w:pStyle w:val="Style27"/>
        <w:keepNext w:val="0"/>
        <w:keepLines w:val="0"/>
        <w:framePr w:w="869" w:h="235" w:wrap="none" w:hAnchor="page" w:x="8114" w:y="1183"/>
        <w:widowControl w:val="0"/>
        <w:shd w:val="clear" w:color="auto" w:fill="auto"/>
        <w:bidi w:val="0"/>
        <w:spacing w:before="0" w:after="0" w:line="240" w:lineRule="auto"/>
        <w:ind w:left="0" w:right="0" w:firstLine="0"/>
        <w:jc w:val="center"/>
      </w:pPr>
      <w:r>
        <w:rPr>
          <w:color w:val="000000"/>
          <w:spacing w:val="0"/>
          <w:w w:val="100"/>
          <w:position w:val="0"/>
        </w:rPr>
        <w:t>减：库存股</w:t>
      </w:r>
    </w:p>
    <w:p>
      <w:pPr>
        <w:pStyle w:val="Style27"/>
        <w:keepNext w:val="0"/>
        <w:keepLines w:val="0"/>
        <w:framePr w:w="763" w:h="226" w:wrap="none" w:hAnchor="page" w:x="9050" w:y="1183"/>
        <w:widowControl w:val="0"/>
        <w:shd w:val="clear" w:color="auto" w:fill="auto"/>
        <w:bidi w:val="0"/>
        <w:spacing w:before="0" w:after="0" w:line="240" w:lineRule="auto"/>
        <w:ind w:left="0" w:right="0" w:firstLine="0"/>
        <w:jc w:val="left"/>
      </w:pPr>
      <w:r>
        <w:rPr>
          <w:color w:val="000000"/>
          <w:spacing w:val="0"/>
          <w:w w:val="100"/>
          <w:position w:val="0"/>
        </w:rPr>
        <w:t>专项储备</w:t>
      </w:r>
    </w:p>
    <w:p>
      <w:pPr>
        <w:pStyle w:val="Style27"/>
        <w:keepNext w:val="0"/>
        <w:keepLines w:val="0"/>
        <w:framePr w:w="763" w:h="235" w:wrap="none" w:hAnchor="page" w:x="10168" w:y="1183"/>
        <w:widowControl w:val="0"/>
        <w:shd w:val="clear" w:color="auto" w:fill="auto"/>
        <w:bidi w:val="0"/>
        <w:spacing w:before="0" w:after="0" w:line="240" w:lineRule="auto"/>
        <w:ind w:left="0" w:right="0" w:firstLine="0"/>
        <w:jc w:val="left"/>
      </w:pPr>
      <w:r>
        <w:rPr>
          <w:color w:val="000000"/>
          <w:spacing w:val="0"/>
          <w:w w:val="100"/>
          <w:position w:val="0"/>
        </w:rPr>
        <w:t>盈余公积</w:t>
      </w:r>
    </w:p>
    <w:p>
      <w:pPr>
        <w:pStyle w:val="Style27"/>
        <w:keepNext w:val="0"/>
        <w:keepLines w:val="0"/>
        <w:framePr w:w="1123" w:h="230" w:wrap="none" w:hAnchor="page" w:x="11272" w:y="1183"/>
        <w:widowControl w:val="0"/>
        <w:shd w:val="clear" w:color="auto" w:fill="auto"/>
        <w:bidi w:val="0"/>
        <w:spacing w:before="0" w:after="0" w:line="240" w:lineRule="auto"/>
        <w:ind w:left="0" w:right="0" w:firstLine="0"/>
        <w:jc w:val="left"/>
      </w:pPr>
      <w:r>
        <w:rPr>
          <w:color w:val="000000"/>
          <w:spacing w:val="0"/>
          <w:w w:val="100"/>
          <w:position w:val="0"/>
        </w:rPr>
        <w:t>一般风险准备</w:t>
      </w:r>
    </w:p>
    <w:p>
      <w:pPr>
        <w:pStyle w:val="Style27"/>
        <w:keepNext w:val="0"/>
        <w:keepLines w:val="0"/>
        <w:framePr w:w="931" w:h="230" w:wrap="none" w:hAnchor="page" w:x="12741" w:y="1183"/>
        <w:widowControl w:val="0"/>
        <w:shd w:val="clear" w:color="auto" w:fill="auto"/>
        <w:bidi w:val="0"/>
        <w:spacing w:before="0" w:after="0" w:line="240" w:lineRule="auto"/>
        <w:ind w:left="0" w:right="0" w:firstLine="0"/>
        <w:jc w:val="left"/>
      </w:pPr>
      <w:r>
        <w:rPr>
          <w:color w:val="000000"/>
          <w:spacing w:val="0"/>
          <w:w w:val="100"/>
          <w:position w:val="0"/>
        </w:rPr>
        <w:t>未分配利润</w:t>
      </w:r>
    </w:p>
    <w:p>
      <w:pPr>
        <w:pStyle w:val="Style27"/>
        <w:keepNext w:val="0"/>
        <w:keepLines w:val="0"/>
        <w:framePr w:w="1301" w:h="230" w:wrap="none" w:hAnchor="page" w:x="14099" w:y="1183"/>
        <w:widowControl w:val="0"/>
        <w:shd w:val="clear" w:color="auto" w:fill="auto"/>
        <w:bidi w:val="0"/>
        <w:spacing w:before="0" w:after="0" w:line="240" w:lineRule="auto"/>
        <w:ind w:left="0" w:right="0" w:firstLine="0"/>
        <w:jc w:val="left"/>
      </w:pPr>
      <w:r>
        <w:rPr>
          <w:color w:val="000000"/>
          <w:spacing w:val="0"/>
          <w:w w:val="100"/>
          <w:position w:val="0"/>
        </w:rPr>
        <w:t>所有者权益合计</w:t>
      </w:r>
    </w:p>
    <w:p>
      <w:pPr>
        <w:pStyle w:val="Style50"/>
        <w:keepNext w:val="0"/>
        <w:keepLines w:val="0"/>
        <w:framePr w:w="1075" w:h="226" w:wrap="none" w:hAnchor="page" w:x="7024" w:y="1595"/>
        <w:widowControl w:val="0"/>
        <w:shd w:val="clear" w:color="auto" w:fill="auto"/>
        <w:bidi w:val="0"/>
        <w:spacing w:before="0" w:after="0" w:line="240" w:lineRule="auto"/>
        <w:ind w:left="0" w:right="0" w:firstLine="0"/>
        <w:jc w:val="left"/>
      </w:pPr>
      <w:r>
        <w:rPr>
          <w:color w:val="000000"/>
          <w:spacing w:val="0"/>
          <w:w w:val="100"/>
          <w:position w:val="0"/>
        </w:rPr>
        <w:t>81,986,568.17</w:t>
      </w:r>
    </w:p>
    <w:p>
      <w:pPr>
        <w:pStyle w:val="Style50"/>
        <w:keepNext w:val="0"/>
        <w:keepLines w:val="0"/>
        <w:framePr w:w="1066" w:h="226" w:wrap="none" w:hAnchor="page" w:x="10154" w:y="1595"/>
        <w:widowControl w:val="0"/>
        <w:shd w:val="clear" w:color="auto" w:fill="auto"/>
        <w:bidi w:val="0"/>
        <w:spacing w:before="0" w:after="0" w:line="240" w:lineRule="auto"/>
        <w:ind w:left="0" w:right="0" w:firstLine="0"/>
        <w:jc w:val="left"/>
      </w:pPr>
      <w:r>
        <w:rPr>
          <w:color w:val="000000"/>
          <w:spacing w:val="0"/>
          <w:w w:val="100"/>
          <w:position w:val="0"/>
        </w:rPr>
        <w:t>10,804,841.18</w:t>
      </w:r>
    </w:p>
    <w:p>
      <w:pPr>
        <w:pStyle w:val="Style50"/>
        <w:keepNext w:val="0"/>
        <w:keepLines w:val="0"/>
        <w:framePr w:w="1075" w:h="226" w:wrap="none" w:hAnchor="page" w:x="12885" w:y="1595"/>
        <w:widowControl w:val="0"/>
        <w:shd w:val="clear" w:color="auto" w:fill="auto"/>
        <w:bidi w:val="0"/>
        <w:spacing w:before="0" w:after="0" w:line="240" w:lineRule="auto"/>
        <w:ind w:left="0" w:right="0" w:firstLine="0"/>
        <w:jc w:val="right"/>
      </w:pPr>
      <w:r>
        <w:rPr>
          <w:color w:val="000000"/>
          <w:spacing w:val="0"/>
          <w:w w:val="100"/>
          <w:position w:val="0"/>
        </w:rPr>
        <w:t>82,543,570.65</w:t>
      </w:r>
    </w:p>
    <w:p>
      <w:pPr>
        <w:pStyle w:val="Style50"/>
        <w:keepNext w:val="0"/>
        <w:keepLines w:val="0"/>
        <w:framePr w:w="1176" w:h="226" w:wrap="none" w:hAnchor="page" w:x="14344" w:y="1595"/>
        <w:widowControl w:val="0"/>
        <w:shd w:val="clear" w:color="auto" w:fill="auto"/>
        <w:bidi w:val="0"/>
        <w:spacing w:before="0" w:after="0" w:line="240" w:lineRule="auto"/>
        <w:ind w:left="0" w:right="0" w:firstLine="0"/>
        <w:jc w:val="right"/>
      </w:pPr>
      <w:r>
        <w:rPr>
          <w:color w:val="000000"/>
          <w:spacing w:val="0"/>
          <w:w w:val="100"/>
          <w:position w:val="0"/>
        </w:rPr>
        <w:t>248,834,980.00</w:t>
      </w:r>
    </w:p>
    <w:p>
      <w:pPr>
        <w:pStyle w:val="Style50"/>
        <w:keepNext w:val="0"/>
        <w:keepLines w:val="0"/>
        <w:framePr w:w="1075" w:h="226" w:wrap="none" w:hAnchor="page" w:x="7024" w:y="3203"/>
        <w:widowControl w:val="0"/>
        <w:shd w:val="clear" w:color="auto" w:fill="auto"/>
        <w:bidi w:val="0"/>
        <w:spacing w:before="0" w:after="0" w:line="240" w:lineRule="auto"/>
        <w:ind w:left="0" w:right="0" w:firstLine="0"/>
        <w:jc w:val="left"/>
      </w:pPr>
      <w:r>
        <w:rPr>
          <w:color w:val="000000"/>
          <w:spacing w:val="0"/>
          <w:w w:val="100"/>
          <w:position w:val="0"/>
        </w:rPr>
        <w:t>81,986,568.17</w:t>
      </w:r>
    </w:p>
    <w:p>
      <w:pPr>
        <w:pStyle w:val="Style50"/>
        <w:keepNext w:val="0"/>
        <w:keepLines w:val="0"/>
        <w:framePr w:w="1162" w:h="226" w:wrap="none" w:hAnchor="page" w:x="6933" w:y="3602"/>
        <w:widowControl w:val="0"/>
        <w:shd w:val="clear" w:color="auto" w:fill="auto"/>
        <w:bidi w:val="0"/>
        <w:spacing w:before="0" w:after="0" w:line="240" w:lineRule="auto"/>
        <w:ind w:left="0" w:right="0" w:firstLine="0"/>
        <w:jc w:val="left"/>
      </w:pPr>
      <w:r>
        <w:rPr>
          <w:color w:val="000000"/>
          <w:spacing w:val="0"/>
          <w:w w:val="100"/>
          <w:position w:val="0"/>
        </w:rPr>
        <w:t>328,256,663.50</w:t>
      </w:r>
    </w:p>
    <w:p>
      <w:pPr>
        <w:pStyle w:val="Style50"/>
        <w:keepNext w:val="0"/>
        <w:keepLines w:val="0"/>
        <w:framePr w:w="1162" w:h="226" w:wrap="none" w:hAnchor="page" w:x="6933" w:y="5210"/>
        <w:widowControl w:val="0"/>
        <w:shd w:val="clear" w:color="auto" w:fill="auto"/>
        <w:bidi w:val="0"/>
        <w:spacing w:before="0" w:after="0" w:line="240" w:lineRule="auto"/>
        <w:ind w:left="0" w:right="0" w:firstLine="0"/>
        <w:jc w:val="left"/>
      </w:pPr>
      <w:r>
        <w:rPr>
          <w:color w:val="000000"/>
          <w:spacing w:val="0"/>
          <w:w w:val="100"/>
          <w:position w:val="0"/>
        </w:rPr>
        <w:t>328,256,663.50</w:t>
      </w:r>
    </w:p>
    <w:p>
      <w:pPr>
        <w:pStyle w:val="Style50"/>
        <w:keepNext w:val="0"/>
        <w:keepLines w:val="0"/>
        <w:framePr w:w="1162" w:h="226" w:wrap="none" w:hAnchor="page" w:x="6933" w:y="5613"/>
        <w:widowControl w:val="0"/>
        <w:shd w:val="clear" w:color="auto" w:fill="auto"/>
        <w:bidi w:val="0"/>
        <w:spacing w:before="0" w:after="0" w:line="240" w:lineRule="auto"/>
        <w:ind w:left="0" w:right="0" w:firstLine="0"/>
        <w:jc w:val="left"/>
      </w:pPr>
      <w:r>
        <w:rPr>
          <w:color w:val="000000"/>
          <w:spacing w:val="0"/>
          <w:w w:val="100"/>
          <w:position w:val="0"/>
        </w:rPr>
        <w:t>328,256,663.50</w:t>
      </w:r>
    </w:p>
    <w:p>
      <w:pPr>
        <w:pStyle w:val="Style50"/>
        <w:keepNext w:val="0"/>
        <w:keepLines w:val="0"/>
        <w:framePr w:w="1066" w:h="226" w:wrap="none" w:hAnchor="page" w:x="10154" w:y="3203"/>
        <w:widowControl w:val="0"/>
        <w:shd w:val="clear" w:color="auto" w:fill="auto"/>
        <w:bidi w:val="0"/>
        <w:spacing w:before="0" w:after="0" w:line="240" w:lineRule="auto"/>
        <w:ind w:left="0" w:right="0" w:firstLine="0"/>
        <w:jc w:val="left"/>
      </w:pPr>
      <w:r>
        <w:rPr>
          <w:color w:val="000000"/>
          <w:spacing w:val="0"/>
          <w:w w:val="100"/>
          <w:position w:val="0"/>
        </w:rPr>
        <w:t>10,804,841.18</w:t>
      </w:r>
    </w:p>
    <w:p>
      <w:pPr>
        <w:pStyle w:val="Style50"/>
        <w:keepNext w:val="0"/>
        <w:keepLines w:val="0"/>
        <w:framePr w:w="1075" w:h="226" w:wrap="none" w:hAnchor="page" w:x="12885" w:y="3203"/>
        <w:widowControl w:val="0"/>
        <w:shd w:val="clear" w:color="auto" w:fill="auto"/>
        <w:bidi w:val="0"/>
        <w:spacing w:before="0" w:after="0" w:line="240" w:lineRule="auto"/>
        <w:ind w:left="0" w:right="0" w:firstLine="0"/>
        <w:jc w:val="right"/>
      </w:pPr>
      <w:r>
        <w:rPr>
          <w:color w:val="000000"/>
          <w:spacing w:val="0"/>
          <w:w w:val="100"/>
          <w:position w:val="0"/>
        </w:rPr>
        <w:t>82,543,570.65</w:t>
      </w:r>
    </w:p>
    <w:p>
      <w:pPr>
        <w:pStyle w:val="Style50"/>
        <w:keepNext w:val="0"/>
        <w:keepLines w:val="0"/>
        <w:framePr w:w="1176" w:h="226" w:wrap="none" w:hAnchor="page" w:x="14344" w:y="3203"/>
        <w:widowControl w:val="0"/>
        <w:shd w:val="clear" w:color="auto" w:fill="auto"/>
        <w:bidi w:val="0"/>
        <w:spacing w:before="0" w:after="0" w:line="240" w:lineRule="auto"/>
        <w:ind w:left="0" w:right="0" w:firstLine="0"/>
        <w:jc w:val="right"/>
      </w:pPr>
      <w:r>
        <w:rPr>
          <w:color w:val="000000"/>
          <w:spacing w:val="0"/>
          <w:w w:val="100"/>
          <w:position w:val="0"/>
        </w:rPr>
        <w:t>248,834,980.00</w:t>
      </w:r>
    </w:p>
    <w:p>
      <w:pPr>
        <w:pStyle w:val="Style50"/>
        <w:keepNext w:val="0"/>
        <w:keepLines w:val="0"/>
        <w:framePr w:w="979" w:h="226" w:wrap="none" w:hAnchor="page" w:x="10240" w:y="3602"/>
        <w:widowControl w:val="0"/>
        <w:shd w:val="clear" w:color="auto" w:fill="auto"/>
        <w:bidi w:val="0"/>
        <w:spacing w:before="0" w:after="0" w:line="240" w:lineRule="auto"/>
        <w:ind w:left="0" w:right="0" w:firstLine="0"/>
        <w:jc w:val="left"/>
      </w:pPr>
      <w:r>
        <w:rPr>
          <w:color w:val="000000"/>
          <w:spacing w:val="0"/>
          <w:w w:val="100"/>
          <w:position w:val="0"/>
        </w:rPr>
        <w:t>5,531,011.39</w:t>
      </w:r>
    </w:p>
    <w:p>
      <w:pPr>
        <w:pStyle w:val="Style50"/>
        <w:keepNext w:val="0"/>
        <w:keepLines w:val="0"/>
        <w:framePr w:w="1085" w:h="226" w:wrap="none" w:hAnchor="page" w:x="12875" w:y="3602"/>
        <w:widowControl w:val="0"/>
        <w:shd w:val="clear" w:color="auto" w:fill="auto"/>
        <w:bidi w:val="0"/>
        <w:spacing w:before="0" w:after="0" w:line="240" w:lineRule="auto"/>
        <w:ind w:left="0" w:right="0" w:firstLine="0"/>
        <w:jc w:val="right"/>
      </w:pPr>
      <w:r>
        <w:rPr>
          <w:color w:val="000000"/>
          <w:spacing w:val="0"/>
          <w:w w:val="100"/>
          <w:position w:val="0"/>
        </w:rPr>
        <w:t>44,879,102.55</w:t>
      </w:r>
    </w:p>
    <w:p>
      <w:pPr>
        <w:pStyle w:val="Style50"/>
        <w:keepNext w:val="0"/>
        <w:keepLines w:val="0"/>
        <w:framePr w:w="1176" w:h="226" w:wrap="none" w:hAnchor="page" w:x="14344" w:y="3602"/>
        <w:widowControl w:val="0"/>
        <w:shd w:val="clear" w:color="auto" w:fill="auto"/>
        <w:bidi w:val="0"/>
        <w:spacing w:before="0" w:after="0" w:line="240" w:lineRule="auto"/>
        <w:ind w:left="0" w:right="0" w:firstLine="0"/>
        <w:jc w:val="right"/>
      </w:pPr>
      <w:r>
        <w:rPr>
          <w:color w:val="000000"/>
          <w:spacing w:val="0"/>
          <w:w w:val="100"/>
          <w:position w:val="0"/>
        </w:rPr>
        <w:t>403,166,777.44</w:t>
      </w:r>
    </w:p>
    <w:p>
      <w:pPr>
        <w:pStyle w:val="Style50"/>
        <w:keepNext w:val="0"/>
        <w:keepLines w:val="0"/>
        <w:framePr w:w="1070" w:h="226" w:wrap="none" w:hAnchor="page" w:x="12890" w:y="4005"/>
        <w:widowControl w:val="0"/>
        <w:shd w:val="clear" w:color="auto" w:fill="auto"/>
        <w:bidi w:val="0"/>
        <w:spacing w:before="0" w:after="0" w:line="240" w:lineRule="auto"/>
        <w:ind w:left="0" w:right="0" w:firstLine="0"/>
        <w:jc w:val="right"/>
      </w:pPr>
      <w:r>
        <w:rPr>
          <w:color w:val="000000"/>
          <w:spacing w:val="0"/>
          <w:w w:val="100"/>
          <w:position w:val="0"/>
        </w:rPr>
        <w:t>55,310,113.94</w:t>
      </w:r>
    </w:p>
    <w:p>
      <w:pPr>
        <w:pStyle w:val="Style50"/>
        <w:keepNext w:val="0"/>
        <w:keepLines w:val="0"/>
        <w:framePr w:w="1070" w:h="226" w:wrap="none" w:hAnchor="page" w:x="14450" w:y="4005"/>
        <w:widowControl w:val="0"/>
        <w:shd w:val="clear" w:color="auto" w:fill="auto"/>
        <w:bidi w:val="0"/>
        <w:spacing w:before="0" w:after="0" w:line="240" w:lineRule="auto"/>
        <w:ind w:left="0" w:right="0" w:firstLine="0"/>
        <w:jc w:val="right"/>
      </w:pPr>
      <w:r>
        <w:rPr>
          <w:color w:val="000000"/>
          <w:spacing w:val="0"/>
          <w:w w:val="100"/>
          <w:position w:val="0"/>
        </w:rPr>
        <w:t>55,310,113.94</w:t>
      </w:r>
    </w:p>
    <w:p>
      <w:pPr>
        <w:pStyle w:val="Style50"/>
        <w:keepNext w:val="0"/>
        <w:keepLines w:val="0"/>
        <w:framePr w:w="1070" w:h="226" w:wrap="none" w:hAnchor="page" w:x="12890" w:y="4811"/>
        <w:widowControl w:val="0"/>
        <w:shd w:val="clear" w:color="auto" w:fill="auto"/>
        <w:bidi w:val="0"/>
        <w:spacing w:before="0" w:after="0" w:line="240" w:lineRule="auto"/>
        <w:ind w:left="0" w:right="0" w:firstLine="0"/>
        <w:jc w:val="right"/>
      </w:pPr>
      <w:r>
        <w:rPr>
          <w:color w:val="000000"/>
          <w:spacing w:val="0"/>
          <w:w w:val="100"/>
          <w:position w:val="0"/>
        </w:rPr>
        <w:t>55,310,113.94</w:t>
      </w:r>
    </w:p>
    <w:p>
      <w:pPr>
        <w:pStyle w:val="Style50"/>
        <w:keepNext w:val="0"/>
        <w:keepLines w:val="0"/>
        <w:framePr w:w="1070" w:h="226" w:wrap="none" w:hAnchor="page" w:x="14450" w:y="4811"/>
        <w:widowControl w:val="0"/>
        <w:shd w:val="clear" w:color="auto" w:fill="auto"/>
        <w:bidi w:val="0"/>
        <w:spacing w:before="0" w:after="0" w:line="240" w:lineRule="auto"/>
        <w:ind w:left="0" w:right="0" w:firstLine="0"/>
        <w:jc w:val="right"/>
      </w:pPr>
      <w:r>
        <w:rPr>
          <w:color w:val="000000"/>
          <w:spacing w:val="0"/>
          <w:w w:val="100"/>
          <w:position w:val="0"/>
        </w:rPr>
        <w:t>55,310,113.94</w:t>
      </w:r>
    </w:p>
    <w:p>
      <w:pPr>
        <w:pStyle w:val="Style50"/>
        <w:keepNext w:val="0"/>
        <w:keepLines w:val="0"/>
        <w:framePr w:w="1166" w:h="226" w:wrap="none" w:hAnchor="page" w:x="14354" w:y="5210"/>
        <w:widowControl w:val="0"/>
        <w:shd w:val="clear" w:color="auto" w:fill="auto"/>
        <w:bidi w:val="0"/>
        <w:spacing w:before="0" w:after="0" w:line="240" w:lineRule="auto"/>
        <w:ind w:left="0" w:right="0" w:firstLine="0"/>
        <w:jc w:val="right"/>
      </w:pPr>
      <w:r>
        <w:rPr>
          <w:color w:val="000000"/>
          <w:spacing w:val="0"/>
          <w:w w:val="100"/>
          <w:position w:val="0"/>
        </w:rPr>
        <w:t>352,756,663.50</w:t>
      </w:r>
    </w:p>
    <w:p>
      <w:pPr>
        <w:pStyle w:val="Style50"/>
        <w:keepNext w:val="0"/>
        <w:keepLines w:val="0"/>
        <w:framePr w:w="1166" w:h="226" w:wrap="none" w:hAnchor="page" w:x="14354" w:y="5613"/>
        <w:widowControl w:val="0"/>
        <w:shd w:val="clear" w:color="auto" w:fill="auto"/>
        <w:bidi w:val="0"/>
        <w:spacing w:before="0" w:after="0" w:line="240" w:lineRule="auto"/>
        <w:ind w:left="0" w:right="0" w:firstLine="0"/>
        <w:jc w:val="right"/>
      </w:pPr>
      <w:r>
        <w:rPr>
          <w:color w:val="000000"/>
          <w:spacing w:val="0"/>
          <w:w w:val="100"/>
          <w:position w:val="0"/>
        </w:rPr>
        <w:t>352,756,663.50</w:t>
      </w:r>
    </w:p>
    <w:p>
      <w:pPr>
        <w:pStyle w:val="Style50"/>
        <w:keepNext w:val="0"/>
        <w:keepLines w:val="0"/>
        <w:framePr w:w="979" w:h="226" w:wrap="none" w:hAnchor="page" w:x="10240" w:y="6818"/>
        <w:widowControl w:val="0"/>
        <w:shd w:val="clear" w:color="auto" w:fill="auto"/>
        <w:bidi w:val="0"/>
        <w:spacing w:before="0" w:after="0" w:line="240" w:lineRule="auto"/>
        <w:ind w:left="0" w:right="0" w:firstLine="0"/>
        <w:jc w:val="left"/>
      </w:pPr>
      <w:r>
        <w:rPr>
          <w:color w:val="000000"/>
          <w:spacing w:val="0"/>
          <w:w w:val="100"/>
          <w:position w:val="0"/>
        </w:rPr>
        <w:t>5,531,011.39</w:t>
      </w:r>
    </w:p>
    <w:p>
      <w:pPr>
        <w:pStyle w:val="Style50"/>
        <w:keepNext w:val="0"/>
        <w:keepLines w:val="0"/>
        <w:framePr w:w="1133" w:h="226" w:wrap="none" w:hAnchor="page" w:x="12827" w:y="6818"/>
        <w:widowControl w:val="0"/>
        <w:shd w:val="clear" w:color="auto" w:fill="auto"/>
        <w:bidi w:val="0"/>
        <w:spacing w:before="0" w:after="0" w:line="240" w:lineRule="auto"/>
        <w:ind w:left="0" w:right="0" w:firstLine="0"/>
        <w:jc w:val="left"/>
      </w:pPr>
      <w:r>
        <w:rPr>
          <w:color w:val="000000"/>
          <w:spacing w:val="0"/>
          <w:w w:val="100"/>
          <w:position w:val="0"/>
        </w:rPr>
        <w:t>-10,431,011.39</w:t>
      </w:r>
    </w:p>
    <w:p>
      <w:pPr>
        <w:pStyle w:val="Style50"/>
        <w:keepNext w:val="0"/>
        <w:keepLines w:val="0"/>
        <w:framePr w:w="1051" w:h="226" w:wrap="none" w:hAnchor="page" w:x="14469" w:y="6818"/>
        <w:widowControl w:val="0"/>
        <w:shd w:val="clear" w:color="auto" w:fill="auto"/>
        <w:bidi w:val="0"/>
        <w:spacing w:before="0" w:after="0" w:line="240" w:lineRule="auto"/>
        <w:ind w:left="0" w:right="0" w:firstLine="0"/>
        <w:jc w:val="left"/>
      </w:pPr>
      <w:r>
        <w:rPr>
          <w:color w:val="000000"/>
          <w:spacing w:val="0"/>
          <w:w w:val="100"/>
          <w:position w:val="0"/>
        </w:rPr>
        <w:t>-4,900,000.00</w:t>
      </w:r>
    </w:p>
    <w:p>
      <w:pPr>
        <w:pStyle w:val="Style50"/>
        <w:keepNext w:val="0"/>
        <w:keepLines w:val="0"/>
        <w:framePr w:w="979" w:h="226" w:wrap="none" w:hAnchor="page" w:x="10240" w:y="7221"/>
        <w:widowControl w:val="0"/>
        <w:shd w:val="clear" w:color="auto" w:fill="auto"/>
        <w:bidi w:val="0"/>
        <w:spacing w:before="0" w:after="0" w:line="240" w:lineRule="auto"/>
        <w:ind w:left="0" w:right="0" w:firstLine="0"/>
        <w:jc w:val="left"/>
      </w:pPr>
      <w:r>
        <w:rPr>
          <w:color w:val="000000"/>
          <w:spacing w:val="0"/>
          <w:w w:val="100"/>
          <w:position w:val="0"/>
        </w:rPr>
        <w:t>5,531,011.39</w:t>
      </w:r>
    </w:p>
    <w:p>
      <w:pPr>
        <w:pStyle w:val="Style50"/>
        <w:keepNext w:val="0"/>
        <w:keepLines w:val="0"/>
        <w:framePr w:w="1042" w:h="226" w:wrap="none" w:hAnchor="page" w:x="12919" w:y="7221"/>
        <w:widowControl w:val="0"/>
        <w:shd w:val="clear" w:color="auto" w:fill="auto"/>
        <w:bidi w:val="0"/>
        <w:spacing w:before="0" w:after="0" w:line="240" w:lineRule="auto"/>
        <w:ind w:left="0" w:right="0" w:firstLine="0"/>
        <w:jc w:val="left"/>
      </w:pPr>
      <w:r>
        <w:rPr>
          <w:color w:val="000000"/>
          <w:spacing w:val="0"/>
          <w:w w:val="100"/>
          <w:position w:val="0"/>
        </w:rPr>
        <w:t>-5,531,011.39</w:t>
      </w:r>
    </w:p>
    <w:p>
      <w:pPr>
        <w:pStyle w:val="Style50"/>
        <w:keepNext w:val="0"/>
        <w:keepLines w:val="0"/>
        <w:framePr w:w="1051" w:h="226" w:wrap="none" w:hAnchor="page" w:x="12909" w:y="8027"/>
        <w:widowControl w:val="0"/>
        <w:shd w:val="clear" w:color="auto" w:fill="auto"/>
        <w:bidi w:val="0"/>
        <w:spacing w:before="0" w:after="0" w:line="240" w:lineRule="auto"/>
        <w:ind w:left="0" w:right="0" w:firstLine="0"/>
        <w:jc w:val="left"/>
      </w:pPr>
      <w:r>
        <w:rPr>
          <w:color w:val="000000"/>
          <w:spacing w:val="0"/>
          <w:w w:val="100"/>
          <w:position w:val="0"/>
        </w:rPr>
        <w:t>-4,900,000.00</w:t>
      </w:r>
    </w:p>
    <w:p>
      <w:pPr>
        <w:pStyle w:val="Style50"/>
        <w:keepNext w:val="0"/>
        <w:keepLines w:val="0"/>
        <w:framePr w:w="1051" w:h="226" w:wrap="none" w:hAnchor="page" w:x="14469" w:y="8027"/>
        <w:widowControl w:val="0"/>
        <w:shd w:val="clear" w:color="auto" w:fill="auto"/>
        <w:bidi w:val="0"/>
        <w:spacing w:before="0" w:after="0" w:line="240" w:lineRule="auto"/>
        <w:ind w:left="0" w:right="0" w:firstLine="0"/>
        <w:jc w:val="left"/>
      </w:pPr>
      <w:r>
        <w:rPr>
          <w:color w:val="000000"/>
          <w:spacing w:val="0"/>
          <w:w w:val="100"/>
          <w:position w:val="0"/>
        </w:rPr>
        <w:t>-4,900,000.00</w:t>
      </w:r>
    </w:p>
    <w:p>
      <w:pPr>
        <w:widowControl w:val="0"/>
        <w:spacing w:line="360" w:lineRule="exact"/>
      </w:pPr>
      <w:r>
        <w:drawing>
          <wp:anchor distT="0" distB="0" distL="0" distR="0" simplePos="0" relativeHeight="62914837" behindDoc="1" locked="0" layoutInCell="1" allowOverlap="1">
            <wp:simplePos x="0" y="0"/>
            <wp:positionH relativeFrom="page">
              <wp:posOffset>3167380</wp:posOffset>
            </wp:positionH>
            <wp:positionV relativeFrom="margin">
              <wp:posOffset>1207770</wp:posOffset>
            </wp:positionV>
            <wp:extent cx="1078865" cy="255905"/>
            <wp:wrapNone/>
            <wp:docPr id="314" name="Shape 314"/>
            <a:graphic xmlns:a="http://schemas.openxmlformats.org/drawingml/2006/main">
              <a:graphicData uri="http://schemas.openxmlformats.org/drawingml/2006/picture">
                <pic:pic xmlns:pic="http://schemas.openxmlformats.org/drawingml/2006/picture">
                  <pic:nvPicPr>
                    <pic:cNvPr id="315" name="Picture box 315"/>
                    <pic:cNvPicPr/>
                  </pic:nvPicPr>
                  <pic:blipFill>
                    <a:blip r:embed="rId257"/>
                    <a:stretch/>
                  </pic:blipFill>
                  <pic:spPr>
                    <a:xfrm>
                      <a:ext cx="1078865" cy="255905"/>
                    </a:xfrm>
                    <a:prstGeom prst="rect"/>
                  </pic:spPr>
                </pic:pic>
              </a:graphicData>
            </a:graphic>
          </wp:anchor>
        </w:drawing>
      </w:r>
      <w:r>
        <w:drawing>
          <wp:anchor distT="0" distB="0" distL="0" distR="0" simplePos="0" relativeHeight="62914838" behindDoc="1" locked="0" layoutInCell="1" allowOverlap="1">
            <wp:simplePos x="0" y="0"/>
            <wp:positionH relativeFrom="page">
              <wp:posOffset>3167380</wp:posOffset>
            </wp:positionH>
            <wp:positionV relativeFrom="margin">
              <wp:posOffset>1463675</wp:posOffset>
            </wp:positionV>
            <wp:extent cx="1078865" cy="250190"/>
            <wp:wrapNone/>
            <wp:docPr id="316" name="Shape 316"/>
            <a:graphic xmlns:a="http://schemas.openxmlformats.org/drawingml/2006/main">
              <a:graphicData uri="http://schemas.openxmlformats.org/drawingml/2006/picture">
                <pic:pic xmlns:pic="http://schemas.openxmlformats.org/drawingml/2006/picture">
                  <pic:nvPicPr>
                    <pic:cNvPr id="317" name="Picture box 317"/>
                    <pic:cNvPicPr/>
                  </pic:nvPicPr>
                  <pic:blipFill>
                    <a:blip r:embed="rId259"/>
                    <a:stretch/>
                  </pic:blipFill>
                  <pic:spPr>
                    <a:xfrm>
                      <a:ext cx="1078865" cy="250190"/>
                    </a:xfrm>
                    <a:prstGeom prst="rect"/>
                  </pic:spPr>
                </pic:pic>
              </a:graphicData>
            </a:graphic>
          </wp:anchor>
        </w:drawing>
      </w:r>
      <w:r>
        <w:drawing>
          <wp:anchor distT="0" distB="0" distL="0" distR="0" simplePos="0" relativeHeight="62914839" behindDoc="1" locked="0" layoutInCell="1" allowOverlap="1">
            <wp:simplePos x="0" y="0"/>
            <wp:positionH relativeFrom="page">
              <wp:posOffset>3167380</wp:posOffset>
            </wp:positionH>
            <wp:positionV relativeFrom="margin">
              <wp:posOffset>1716405</wp:posOffset>
            </wp:positionV>
            <wp:extent cx="1078865" cy="255905"/>
            <wp:wrapNone/>
            <wp:docPr id="318" name="Shape 318"/>
            <a:graphic xmlns:a="http://schemas.openxmlformats.org/drawingml/2006/main">
              <a:graphicData uri="http://schemas.openxmlformats.org/drawingml/2006/picture">
                <pic:pic xmlns:pic="http://schemas.openxmlformats.org/drawingml/2006/picture">
                  <pic:nvPicPr>
                    <pic:cNvPr id="319" name="Picture box 319"/>
                    <pic:cNvPicPr/>
                  </pic:nvPicPr>
                  <pic:blipFill>
                    <a:blip r:embed="rId261"/>
                    <a:stretch/>
                  </pic:blipFill>
                  <pic:spPr>
                    <a:xfrm>
                      <a:ext cx="1078865" cy="255905"/>
                    </a:xfrm>
                    <a:prstGeom prst="rect"/>
                  </pic:spPr>
                </pic:pic>
              </a:graphicData>
            </a:graphic>
          </wp:anchor>
        </w:drawing>
      </w:r>
      <w:r>
        <w:drawing>
          <wp:anchor distT="0" distB="0" distL="0" distR="0" simplePos="0" relativeHeight="62914840" behindDoc="1" locked="0" layoutInCell="1" allowOverlap="1">
            <wp:simplePos x="0" y="0"/>
            <wp:positionH relativeFrom="page">
              <wp:posOffset>3167380</wp:posOffset>
            </wp:positionH>
            <wp:positionV relativeFrom="margin">
              <wp:posOffset>2484755</wp:posOffset>
            </wp:positionV>
            <wp:extent cx="1078865" cy="250190"/>
            <wp:wrapNone/>
            <wp:docPr id="320" name="Shape 320"/>
            <a:graphic xmlns:a="http://schemas.openxmlformats.org/drawingml/2006/main">
              <a:graphicData uri="http://schemas.openxmlformats.org/drawingml/2006/picture">
                <pic:pic xmlns:pic="http://schemas.openxmlformats.org/drawingml/2006/picture">
                  <pic:nvPicPr>
                    <pic:cNvPr id="321" name="Picture box 321"/>
                    <pic:cNvPicPr/>
                  </pic:nvPicPr>
                  <pic:blipFill>
                    <a:blip r:embed="rId263"/>
                    <a:stretch/>
                  </pic:blipFill>
                  <pic:spPr>
                    <a:xfrm>
                      <a:ext cx="1078865" cy="250190"/>
                    </a:xfrm>
                    <a:prstGeom prst="rect"/>
                  </pic:spPr>
                </pic:pic>
              </a:graphicData>
            </a:graphic>
          </wp:anchor>
        </w:drawing>
      </w:r>
      <w:r>
        <w:drawing>
          <wp:anchor distT="0" distB="0" distL="0" distR="0" simplePos="0" relativeHeight="62914841" behindDoc="1" locked="0" layoutInCell="1" allowOverlap="1">
            <wp:simplePos x="0" y="0"/>
            <wp:positionH relativeFrom="page">
              <wp:posOffset>3167380</wp:posOffset>
            </wp:positionH>
            <wp:positionV relativeFrom="margin">
              <wp:posOffset>2737485</wp:posOffset>
            </wp:positionV>
            <wp:extent cx="1078865" cy="255905"/>
            <wp:wrapNone/>
            <wp:docPr id="322" name="Shape 322"/>
            <a:graphic xmlns:a="http://schemas.openxmlformats.org/drawingml/2006/main">
              <a:graphicData uri="http://schemas.openxmlformats.org/drawingml/2006/picture">
                <pic:pic xmlns:pic="http://schemas.openxmlformats.org/drawingml/2006/picture">
                  <pic:nvPicPr>
                    <pic:cNvPr id="323" name="Picture box 323"/>
                    <pic:cNvPicPr/>
                  </pic:nvPicPr>
                  <pic:blipFill>
                    <a:blip r:embed="rId265"/>
                    <a:stretch/>
                  </pic:blipFill>
                  <pic:spPr>
                    <a:xfrm>
                      <a:ext cx="1078865" cy="255905"/>
                    </a:xfrm>
                    <a:prstGeom prst="rect"/>
                  </pic:spPr>
                </pic:pic>
              </a:graphicData>
            </a:graphic>
          </wp:anchor>
        </w:drawing>
      </w:r>
      <w:r>
        <w:drawing>
          <wp:anchor distT="0" distB="0" distL="0" distR="0" simplePos="0" relativeHeight="62914842" behindDoc="1" locked="0" layoutInCell="1" allowOverlap="1">
            <wp:simplePos x="0" y="0"/>
            <wp:positionH relativeFrom="page">
              <wp:posOffset>3167380</wp:posOffset>
            </wp:positionH>
            <wp:positionV relativeFrom="margin">
              <wp:posOffset>2993390</wp:posOffset>
            </wp:positionV>
            <wp:extent cx="1078865" cy="255905"/>
            <wp:wrapNone/>
            <wp:docPr id="324" name="Shape 324"/>
            <a:graphic xmlns:a="http://schemas.openxmlformats.org/drawingml/2006/main">
              <a:graphicData uri="http://schemas.openxmlformats.org/drawingml/2006/picture">
                <pic:pic xmlns:pic="http://schemas.openxmlformats.org/drawingml/2006/picture">
                  <pic:nvPicPr>
                    <pic:cNvPr id="325" name="Picture box 325"/>
                    <pic:cNvPicPr/>
                  </pic:nvPicPr>
                  <pic:blipFill>
                    <a:blip r:embed="rId267"/>
                    <a:stretch/>
                  </pic:blipFill>
                  <pic:spPr>
                    <a:xfrm>
                      <a:ext cx="1078865" cy="255905"/>
                    </a:xfrm>
                    <a:prstGeom prst="rect"/>
                  </pic:spPr>
                </pic:pic>
              </a:graphicData>
            </a:graphic>
          </wp:anchor>
        </w:drawing>
      </w:r>
      <w:r>
        <w:drawing>
          <wp:anchor distT="0" distB="0" distL="0" distR="0" simplePos="0" relativeHeight="62914843" behindDoc="1" locked="0" layoutInCell="1" allowOverlap="1">
            <wp:simplePos x="0" y="0"/>
            <wp:positionH relativeFrom="page">
              <wp:posOffset>3167380</wp:posOffset>
            </wp:positionH>
            <wp:positionV relativeFrom="margin">
              <wp:posOffset>3758565</wp:posOffset>
            </wp:positionV>
            <wp:extent cx="1078865" cy="255905"/>
            <wp:wrapNone/>
            <wp:docPr id="326" name="Shape 326"/>
            <a:graphic xmlns:a="http://schemas.openxmlformats.org/drawingml/2006/main">
              <a:graphicData uri="http://schemas.openxmlformats.org/drawingml/2006/picture">
                <pic:pic xmlns:pic="http://schemas.openxmlformats.org/drawingml/2006/picture">
                  <pic:nvPicPr>
                    <pic:cNvPr id="327" name="Picture box 327"/>
                    <pic:cNvPicPr/>
                  </pic:nvPicPr>
                  <pic:blipFill>
                    <a:blip r:embed="rId269"/>
                    <a:stretch/>
                  </pic:blipFill>
                  <pic:spPr>
                    <a:xfrm>
                      <a:ext cx="1078865" cy="255905"/>
                    </a:xfrm>
                    <a:prstGeom prst="rect"/>
                  </pic:spPr>
                </pic:pic>
              </a:graphicData>
            </a:graphic>
          </wp:anchor>
        </w:drawing>
      </w:r>
      <w:r>
        <w:drawing>
          <wp:anchor distT="0" distB="0" distL="0" distR="0" simplePos="0" relativeHeight="62914844" behindDoc="1" locked="0" layoutInCell="1" allowOverlap="1">
            <wp:simplePos x="0" y="0"/>
            <wp:positionH relativeFrom="page">
              <wp:posOffset>3167380</wp:posOffset>
            </wp:positionH>
            <wp:positionV relativeFrom="margin">
              <wp:posOffset>4014470</wp:posOffset>
            </wp:positionV>
            <wp:extent cx="1078865" cy="255905"/>
            <wp:wrapNone/>
            <wp:docPr id="328" name="Shape 328"/>
            <a:graphic xmlns:a="http://schemas.openxmlformats.org/drawingml/2006/main">
              <a:graphicData uri="http://schemas.openxmlformats.org/drawingml/2006/picture">
                <pic:pic xmlns:pic="http://schemas.openxmlformats.org/drawingml/2006/picture">
                  <pic:nvPicPr>
                    <pic:cNvPr id="329" name="Picture box 329"/>
                    <pic:cNvPicPr/>
                  </pic:nvPicPr>
                  <pic:blipFill>
                    <a:blip r:embed="rId271"/>
                    <a:stretch/>
                  </pic:blipFill>
                  <pic:spPr>
                    <a:xfrm>
                      <a:ext cx="1078865" cy="255905"/>
                    </a:xfrm>
                    <a:prstGeom prst="rect"/>
                  </pic:spPr>
                </pic:pic>
              </a:graphicData>
            </a:graphic>
          </wp:anchor>
        </w:drawing>
      </w:r>
      <w:r>
        <w:drawing>
          <wp:anchor distT="0" distB="0" distL="0" distR="0" simplePos="0" relativeHeight="62914845" behindDoc="1" locked="0" layoutInCell="1" allowOverlap="1">
            <wp:simplePos x="0" y="0"/>
            <wp:positionH relativeFrom="page">
              <wp:posOffset>3167380</wp:posOffset>
            </wp:positionH>
            <wp:positionV relativeFrom="margin">
              <wp:posOffset>4271010</wp:posOffset>
            </wp:positionV>
            <wp:extent cx="1078865" cy="255905"/>
            <wp:wrapNone/>
            <wp:docPr id="330" name="Shape 330"/>
            <a:graphic xmlns:a="http://schemas.openxmlformats.org/drawingml/2006/main">
              <a:graphicData uri="http://schemas.openxmlformats.org/drawingml/2006/picture">
                <pic:pic xmlns:pic="http://schemas.openxmlformats.org/drawingml/2006/picture">
                  <pic:nvPicPr>
                    <pic:cNvPr id="331" name="Picture box 331"/>
                    <pic:cNvPicPr/>
                  </pic:nvPicPr>
                  <pic:blipFill>
                    <a:blip r:embed="rId273"/>
                    <a:stretch/>
                  </pic:blipFill>
                  <pic:spPr>
                    <a:xfrm>
                      <a:ext cx="1078865" cy="255905"/>
                    </a:xfrm>
                    <a:prstGeom prst="rect"/>
                  </pic:spPr>
                </pic:pic>
              </a:graphicData>
            </a:graphic>
          </wp:anchor>
        </w:drawing>
      </w:r>
      <w:r>
        <w:drawing>
          <wp:anchor distT="0" distB="0" distL="0" distR="0" simplePos="0" relativeHeight="62914846" behindDoc="1" locked="0" layoutInCell="1" allowOverlap="1">
            <wp:simplePos x="0" y="0"/>
            <wp:positionH relativeFrom="page">
              <wp:posOffset>3167380</wp:posOffset>
            </wp:positionH>
            <wp:positionV relativeFrom="margin">
              <wp:posOffset>4526915</wp:posOffset>
            </wp:positionV>
            <wp:extent cx="1078865" cy="250190"/>
            <wp:wrapNone/>
            <wp:docPr id="332" name="Shape 332"/>
            <a:graphic xmlns:a="http://schemas.openxmlformats.org/drawingml/2006/main">
              <a:graphicData uri="http://schemas.openxmlformats.org/drawingml/2006/picture">
                <pic:pic xmlns:pic="http://schemas.openxmlformats.org/drawingml/2006/picture">
                  <pic:nvPicPr>
                    <pic:cNvPr id="333" name="Picture box 333"/>
                    <pic:cNvPicPr/>
                  </pic:nvPicPr>
                  <pic:blipFill>
                    <a:blip r:embed="rId275"/>
                    <a:stretch/>
                  </pic:blipFill>
                  <pic:spPr>
                    <a:xfrm>
                      <a:ext cx="1078865" cy="250190"/>
                    </a:xfrm>
                    <a:prstGeom prst="rect"/>
                  </pic:spPr>
                </pic:pic>
              </a:graphicData>
            </a:graphic>
          </wp:anchor>
        </w:drawing>
      </w:r>
      <w:r>
        <w:drawing>
          <wp:anchor distT="0" distB="0" distL="0" distR="0" simplePos="0" relativeHeight="62914847" behindDoc="1" locked="0" layoutInCell="1" allowOverlap="1">
            <wp:simplePos x="0" y="0"/>
            <wp:positionH relativeFrom="page">
              <wp:posOffset>3167380</wp:posOffset>
            </wp:positionH>
            <wp:positionV relativeFrom="margin">
              <wp:posOffset>4779645</wp:posOffset>
            </wp:positionV>
            <wp:extent cx="1078865" cy="255905"/>
            <wp:wrapNone/>
            <wp:docPr id="334" name="Shape 334"/>
            <a:graphic xmlns:a="http://schemas.openxmlformats.org/drawingml/2006/main">
              <a:graphicData uri="http://schemas.openxmlformats.org/drawingml/2006/picture">
                <pic:pic xmlns:pic="http://schemas.openxmlformats.org/drawingml/2006/picture">
                  <pic:nvPicPr>
                    <pic:cNvPr id="335" name="Picture box 335"/>
                    <pic:cNvPicPr/>
                  </pic:nvPicPr>
                  <pic:blipFill>
                    <a:blip r:embed="rId277"/>
                    <a:stretch/>
                  </pic:blipFill>
                  <pic:spPr>
                    <a:xfrm>
                      <a:ext cx="1078865" cy="255905"/>
                    </a:xfrm>
                    <a:prstGeom prst="rect"/>
                  </pic:spPr>
                </pic:pic>
              </a:graphicData>
            </a:graphic>
          </wp:anchor>
        </w:drawing>
      </w:r>
      <w:r>
        <w:drawing>
          <wp:anchor distT="0" distB="0" distL="0" distR="0" simplePos="0" relativeHeight="62914848" behindDoc="1" locked="0" layoutInCell="1" allowOverlap="1">
            <wp:simplePos x="0" y="0"/>
            <wp:positionH relativeFrom="page">
              <wp:posOffset>3167380</wp:posOffset>
            </wp:positionH>
            <wp:positionV relativeFrom="margin">
              <wp:posOffset>5035550</wp:posOffset>
            </wp:positionV>
            <wp:extent cx="1078865" cy="255905"/>
            <wp:wrapNone/>
            <wp:docPr id="336" name="Shape 336"/>
            <a:graphic xmlns:a="http://schemas.openxmlformats.org/drawingml/2006/main">
              <a:graphicData uri="http://schemas.openxmlformats.org/drawingml/2006/picture">
                <pic:pic xmlns:pic="http://schemas.openxmlformats.org/drawingml/2006/picture">
                  <pic:nvPicPr>
                    <pic:cNvPr id="337" name="Picture box 337"/>
                    <pic:cNvPicPr/>
                  </pic:nvPicPr>
                  <pic:blipFill>
                    <a:blip r:embed="rId279"/>
                    <a:stretch/>
                  </pic:blipFill>
                  <pic:spPr>
                    <a:xfrm>
                      <a:ext cx="1078865" cy="255905"/>
                    </a:xfrm>
                    <a:prstGeom prst="rect"/>
                  </pic:spPr>
                </pic:pic>
              </a:graphicData>
            </a:graphic>
          </wp:anchor>
        </w:drawing>
      </w:r>
      <w:r>
        <w:drawing>
          <wp:anchor distT="0" distB="0" distL="0" distR="0" simplePos="0" relativeHeight="62914849" behindDoc="1" locked="0" layoutInCell="1" allowOverlap="1">
            <wp:simplePos x="0" y="0"/>
            <wp:positionH relativeFrom="page">
              <wp:posOffset>3167380</wp:posOffset>
            </wp:positionH>
            <wp:positionV relativeFrom="margin">
              <wp:posOffset>5292090</wp:posOffset>
            </wp:positionV>
            <wp:extent cx="1078865" cy="255905"/>
            <wp:wrapNone/>
            <wp:docPr id="338" name="Shape 338"/>
            <a:graphic xmlns:a="http://schemas.openxmlformats.org/drawingml/2006/main">
              <a:graphicData uri="http://schemas.openxmlformats.org/drawingml/2006/picture">
                <pic:pic xmlns:pic="http://schemas.openxmlformats.org/drawingml/2006/picture">
                  <pic:nvPicPr>
                    <pic:cNvPr id="339" name="Picture box 339"/>
                    <pic:cNvPicPr/>
                  </pic:nvPicPr>
                  <pic:blipFill>
                    <a:blip r:embed="rId281"/>
                    <a:stretch/>
                  </pic:blipFill>
                  <pic:spPr>
                    <a:xfrm>
                      <a:ext cx="1078865" cy="255905"/>
                    </a:xfrm>
                    <a:prstGeom prst="rect"/>
                  </pic:spPr>
                </pic:pic>
              </a:graphicData>
            </a:graphic>
          </wp:anchor>
        </w:drawing>
      </w:r>
      <w:r>
        <w:drawing>
          <wp:anchor distT="0" distB="0" distL="0" distR="0" simplePos="0" relativeHeight="62914850" behindDoc="1" locked="0" layoutInCell="1" allowOverlap="1">
            <wp:simplePos x="0" y="0"/>
            <wp:positionH relativeFrom="page">
              <wp:posOffset>3167380</wp:posOffset>
            </wp:positionH>
            <wp:positionV relativeFrom="margin">
              <wp:posOffset>5547995</wp:posOffset>
            </wp:positionV>
            <wp:extent cx="1078865" cy="250190"/>
            <wp:wrapNone/>
            <wp:docPr id="340" name="Shape 340"/>
            <a:graphic xmlns:a="http://schemas.openxmlformats.org/drawingml/2006/main">
              <a:graphicData uri="http://schemas.openxmlformats.org/drawingml/2006/picture">
                <pic:pic xmlns:pic="http://schemas.openxmlformats.org/drawingml/2006/picture">
                  <pic:nvPicPr>
                    <pic:cNvPr id="341" name="Picture box 341"/>
                    <pic:cNvPicPr/>
                  </pic:nvPicPr>
                  <pic:blipFill>
                    <a:blip r:embed="rId283"/>
                    <a:stretch/>
                  </pic:blipFill>
                  <pic:spPr>
                    <a:xfrm>
                      <a:ext cx="1078865" cy="250190"/>
                    </a:xfrm>
                    <a:prstGeom prst="rect"/>
                  </pic:spPr>
                </pic:pic>
              </a:graphicData>
            </a:graphic>
          </wp:anchor>
        </w:drawing>
      </w:r>
      <w:r>
        <w:drawing>
          <wp:anchor distT="0" distB="0" distL="0" distR="0" simplePos="0" relativeHeight="62914851" behindDoc="1" locked="0" layoutInCell="1" allowOverlap="1">
            <wp:simplePos x="0" y="0"/>
            <wp:positionH relativeFrom="page">
              <wp:posOffset>3167380</wp:posOffset>
            </wp:positionH>
            <wp:positionV relativeFrom="margin">
              <wp:posOffset>5800725</wp:posOffset>
            </wp:positionV>
            <wp:extent cx="1078865" cy="255905"/>
            <wp:wrapNone/>
            <wp:docPr id="342" name="Shape 342"/>
            <a:graphic xmlns:a="http://schemas.openxmlformats.org/drawingml/2006/main">
              <a:graphicData uri="http://schemas.openxmlformats.org/drawingml/2006/picture">
                <pic:pic xmlns:pic="http://schemas.openxmlformats.org/drawingml/2006/picture">
                  <pic:nvPicPr>
                    <pic:cNvPr id="343" name="Picture box 343"/>
                    <pic:cNvPicPr/>
                  </pic:nvPicPr>
                  <pic:blipFill>
                    <a:blip r:embed="rId285"/>
                    <a:stretch/>
                  </pic:blipFill>
                  <pic:spPr>
                    <a:xfrm>
                      <a:ext cx="1078865" cy="255905"/>
                    </a:xfrm>
                    <a:prstGeom prst="rect"/>
                  </pic:spPr>
                </pic:pic>
              </a:graphicData>
            </a:graphic>
          </wp:anchor>
        </w:drawing>
      </w:r>
      <w:r>
        <w:drawing>
          <wp:anchor distT="0" distB="0" distL="0" distR="0" simplePos="0" relativeHeight="62914852" behindDoc="1" locked="0" layoutInCell="1" allowOverlap="1">
            <wp:simplePos x="0" y="0"/>
            <wp:positionH relativeFrom="page">
              <wp:posOffset>5148580</wp:posOffset>
            </wp:positionH>
            <wp:positionV relativeFrom="margin">
              <wp:posOffset>951230</wp:posOffset>
            </wp:positionV>
            <wp:extent cx="560705" cy="255905"/>
            <wp:wrapNone/>
            <wp:docPr id="344" name="Shape 344"/>
            <a:graphic xmlns:a="http://schemas.openxmlformats.org/drawingml/2006/main">
              <a:graphicData uri="http://schemas.openxmlformats.org/drawingml/2006/picture">
                <pic:pic xmlns:pic="http://schemas.openxmlformats.org/drawingml/2006/picture">
                  <pic:nvPicPr>
                    <pic:cNvPr id="345" name="Picture box 345"/>
                    <pic:cNvPicPr/>
                  </pic:nvPicPr>
                  <pic:blipFill>
                    <a:blip r:embed="rId287"/>
                    <a:stretch/>
                  </pic:blipFill>
                  <pic:spPr>
                    <a:xfrm>
                      <a:ext cx="560705" cy="255905"/>
                    </a:xfrm>
                    <a:prstGeom prst="rect"/>
                  </pic:spPr>
                </pic:pic>
              </a:graphicData>
            </a:graphic>
          </wp:anchor>
        </w:drawing>
      </w:r>
      <w:r>
        <w:drawing>
          <wp:anchor distT="0" distB="0" distL="0" distR="0" simplePos="0" relativeHeight="62914853" behindDoc="1" locked="0" layoutInCell="1" allowOverlap="1">
            <wp:simplePos x="0" y="0"/>
            <wp:positionH relativeFrom="page">
              <wp:posOffset>5709285</wp:posOffset>
            </wp:positionH>
            <wp:positionV relativeFrom="margin">
              <wp:posOffset>951230</wp:posOffset>
            </wp:positionV>
            <wp:extent cx="560705" cy="255905"/>
            <wp:wrapNone/>
            <wp:docPr id="346" name="Shape 346"/>
            <a:graphic xmlns:a="http://schemas.openxmlformats.org/drawingml/2006/main">
              <a:graphicData uri="http://schemas.openxmlformats.org/drawingml/2006/picture">
                <pic:pic xmlns:pic="http://schemas.openxmlformats.org/drawingml/2006/picture">
                  <pic:nvPicPr>
                    <pic:cNvPr id="347" name="Picture box 347"/>
                    <pic:cNvPicPr/>
                  </pic:nvPicPr>
                  <pic:blipFill>
                    <a:blip r:embed="rId289"/>
                    <a:stretch/>
                  </pic:blipFill>
                  <pic:spPr>
                    <a:xfrm>
                      <a:ext cx="560705" cy="255905"/>
                    </a:xfrm>
                    <a:prstGeom prst="rect"/>
                  </pic:spPr>
                </pic:pic>
              </a:graphicData>
            </a:graphic>
          </wp:anchor>
        </w:drawing>
      </w:r>
      <w:r>
        <w:drawing>
          <wp:anchor distT="0" distB="0" distL="0" distR="0" simplePos="0" relativeHeight="62914854" behindDoc="1" locked="0" layoutInCell="1" allowOverlap="1">
            <wp:simplePos x="0" y="0"/>
            <wp:positionH relativeFrom="page">
              <wp:posOffset>7126605</wp:posOffset>
            </wp:positionH>
            <wp:positionV relativeFrom="margin">
              <wp:posOffset>951230</wp:posOffset>
            </wp:positionV>
            <wp:extent cx="774065" cy="255905"/>
            <wp:wrapNone/>
            <wp:docPr id="348" name="Shape 348"/>
            <a:graphic xmlns:a="http://schemas.openxmlformats.org/drawingml/2006/main">
              <a:graphicData uri="http://schemas.openxmlformats.org/drawingml/2006/picture">
                <pic:pic xmlns:pic="http://schemas.openxmlformats.org/drawingml/2006/picture">
                  <pic:nvPicPr>
                    <pic:cNvPr id="349" name="Picture box 349"/>
                    <pic:cNvPicPr/>
                  </pic:nvPicPr>
                  <pic:blipFill>
                    <a:blip r:embed="rId291"/>
                    <a:stretch/>
                  </pic:blipFill>
                  <pic:spPr>
                    <a:xfrm>
                      <a:ext cx="774065" cy="255905"/>
                    </a:xfrm>
                    <a:prstGeom prst="rect"/>
                  </pic:spPr>
                </pic:pic>
              </a:graphicData>
            </a:graphic>
          </wp:anchor>
        </w:drawing>
      </w:r>
      <w:r>
        <w:drawing>
          <wp:anchor distT="0" distB="0" distL="0" distR="0" simplePos="0" relativeHeight="62914855" behindDoc="1" locked="0" layoutInCell="1" allowOverlap="1">
            <wp:simplePos x="0" y="0"/>
            <wp:positionH relativeFrom="page">
              <wp:posOffset>4246245</wp:posOffset>
            </wp:positionH>
            <wp:positionV relativeFrom="margin">
              <wp:posOffset>1207770</wp:posOffset>
            </wp:positionV>
            <wp:extent cx="902335" cy="255905"/>
            <wp:wrapNone/>
            <wp:docPr id="350" name="Shape 350"/>
            <a:graphic xmlns:a="http://schemas.openxmlformats.org/drawingml/2006/main">
              <a:graphicData uri="http://schemas.openxmlformats.org/drawingml/2006/picture">
                <pic:pic xmlns:pic="http://schemas.openxmlformats.org/drawingml/2006/picture">
                  <pic:nvPicPr>
                    <pic:cNvPr id="351" name="Picture box 351"/>
                    <pic:cNvPicPr/>
                  </pic:nvPicPr>
                  <pic:blipFill>
                    <a:blip r:embed="rId293"/>
                    <a:stretch/>
                  </pic:blipFill>
                  <pic:spPr>
                    <a:xfrm>
                      <a:ext cx="902335" cy="255905"/>
                    </a:xfrm>
                    <a:prstGeom prst="rect"/>
                  </pic:spPr>
                </pic:pic>
              </a:graphicData>
            </a:graphic>
          </wp:anchor>
        </w:drawing>
      </w:r>
      <w:r>
        <w:drawing>
          <wp:anchor distT="0" distB="0" distL="0" distR="0" simplePos="0" relativeHeight="62914856" behindDoc="1" locked="0" layoutInCell="1" allowOverlap="1">
            <wp:simplePos x="0" y="0"/>
            <wp:positionH relativeFrom="page">
              <wp:posOffset>4246245</wp:posOffset>
            </wp:positionH>
            <wp:positionV relativeFrom="margin">
              <wp:posOffset>1463675</wp:posOffset>
            </wp:positionV>
            <wp:extent cx="902335" cy="250190"/>
            <wp:wrapNone/>
            <wp:docPr id="352" name="Shape 352"/>
            <a:graphic xmlns:a="http://schemas.openxmlformats.org/drawingml/2006/main">
              <a:graphicData uri="http://schemas.openxmlformats.org/drawingml/2006/picture">
                <pic:pic xmlns:pic="http://schemas.openxmlformats.org/drawingml/2006/picture">
                  <pic:nvPicPr>
                    <pic:cNvPr id="353" name="Picture box 353"/>
                    <pic:cNvPicPr/>
                  </pic:nvPicPr>
                  <pic:blipFill>
                    <a:blip r:embed="rId295"/>
                    <a:stretch/>
                  </pic:blipFill>
                  <pic:spPr>
                    <a:xfrm>
                      <a:ext cx="902335" cy="250190"/>
                    </a:xfrm>
                    <a:prstGeom prst="rect"/>
                  </pic:spPr>
                </pic:pic>
              </a:graphicData>
            </a:graphic>
          </wp:anchor>
        </w:drawing>
      </w:r>
      <w:r>
        <w:drawing>
          <wp:anchor distT="0" distB="0" distL="0" distR="0" simplePos="0" relativeHeight="62914857" behindDoc="1" locked="0" layoutInCell="1" allowOverlap="1">
            <wp:simplePos x="0" y="0"/>
            <wp:positionH relativeFrom="page">
              <wp:posOffset>4246245</wp:posOffset>
            </wp:positionH>
            <wp:positionV relativeFrom="margin">
              <wp:posOffset>1716405</wp:posOffset>
            </wp:positionV>
            <wp:extent cx="902335" cy="255905"/>
            <wp:wrapNone/>
            <wp:docPr id="354" name="Shape 354"/>
            <a:graphic xmlns:a="http://schemas.openxmlformats.org/drawingml/2006/main">
              <a:graphicData uri="http://schemas.openxmlformats.org/drawingml/2006/picture">
                <pic:pic xmlns:pic="http://schemas.openxmlformats.org/drawingml/2006/picture">
                  <pic:nvPicPr>
                    <pic:cNvPr id="355" name="Picture box 355"/>
                    <pic:cNvPicPr/>
                  </pic:nvPicPr>
                  <pic:blipFill>
                    <a:blip r:embed="rId297"/>
                    <a:stretch/>
                  </pic:blipFill>
                  <pic:spPr>
                    <a:xfrm>
                      <a:ext cx="902335" cy="255905"/>
                    </a:xfrm>
                    <a:prstGeom prst="rect"/>
                  </pic:spPr>
                </pic:pic>
              </a:graphicData>
            </a:graphic>
          </wp:anchor>
        </w:drawing>
      </w:r>
      <w:r>
        <w:drawing>
          <wp:anchor distT="0" distB="0" distL="0" distR="0" simplePos="0" relativeHeight="62914858" behindDoc="1" locked="0" layoutInCell="1" allowOverlap="1">
            <wp:simplePos x="0" y="0"/>
            <wp:positionH relativeFrom="page">
              <wp:posOffset>4246245</wp:posOffset>
            </wp:positionH>
            <wp:positionV relativeFrom="margin">
              <wp:posOffset>2484755</wp:posOffset>
            </wp:positionV>
            <wp:extent cx="902335" cy="250190"/>
            <wp:wrapNone/>
            <wp:docPr id="356" name="Shape 356"/>
            <a:graphic xmlns:a="http://schemas.openxmlformats.org/drawingml/2006/main">
              <a:graphicData uri="http://schemas.openxmlformats.org/drawingml/2006/picture">
                <pic:pic xmlns:pic="http://schemas.openxmlformats.org/drawingml/2006/picture">
                  <pic:nvPicPr>
                    <pic:cNvPr id="357" name="Picture box 357"/>
                    <pic:cNvPicPr/>
                  </pic:nvPicPr>
                  <pic:blipFill>
                    <a:blip r:embed="rId299"/>
                    <a:stretch/>
                  </pic:blipFill>
                  <pic:spPr>
                    <a:xfrm>
                      <a:ext cx="902335" cy="250190"/>
                    </a:xfrm>
                    <a:prstGeom prst="rect"/>
                  </pic:spPr>
                </pic:pic>
              </a:graphicData>
            </a:graphic>
          </wp:anchor>
        </w:drawing>
      </w:r>
      <w:r>
        <w:drawing>
          <wp:anchor distT="0" distB="0" distL="0" distR="0" simplePos="0" relativeHeight="62914859" behindDoc="1" locked="0" layoutInCell="1" allowOverlap="1">
            <wp:simplePos x="0" y="0"/>
            <wp:positionH relativeFrom="page">
              <wp:posOffset>4246245</wp:posOffset>
            </wp:positionH>
            <wp:positionV relativeFrom="margin">
              <wp:posOffset>2737485</wp:posOffset>
            </wp:positionV>
            <wp:extent cx="902335" cy="255905"/>
            <wp:wrapNone/>
            <wp:docPr id="358" name="Shape 358"/>
            <a:graphic xmlns:a="http://schemas.openxmlformats.org/drawingml/2006/main">
              <a:graphicData uri="http://schemas.openxmlformats.org/drawingml/2006/picture">
                <pic:pic xmlns:pic="http://schemas.openxmlformats.org/drawingml/2006/picture">
                  <pic:nvPicPr>
                    <pic:cNvPr id="359" name="Picture box 359"/>
                    <pic:cNvPicPr/>
                  </pic:nvPicPr>
                  <pic:blipFill>
                    <a:blip r:embed="rId301"/>
                    <a:stretch/>
                  </pic:blipFill>
                  <pic:spPr>
                    <a:xfrm>
                      <a:ext cx="902335" cy="255905"/>
                    </a:xfrm>
                    <a:prstGeom prst="rect"/>
                  </pic:spPr>
                </pic:pic>
              </a:graphicData>
            </a:graphic>
          </wp:anchor>
        </w:drawing>
      </w:r>
      <w:r>
        <w:drawing>
          <wp:anchor distT="0" distB="0" distL="0" distR="0" simplePos="0" relativeHeight="62914860" behindDoc="1" locked="0" layoutInCell="1" allowOverlap="1">
            <wp:simplePos x="0" y="0"/>
            <wp:positionH relativeFrom="page">
              <wp:posOffset>4246245</wp:posOffset>
            </wp:positionH>
            <wp:positionV relativeFrom="margin">
              <wp:posOffset>2993390</wp:posOffset>
            </wp:positionV>
            <wp:extent cx="902335" cy="255905"/>
            <wp:wrapNone/>
            <wp:docPr id="360" name="Shape 360"/>
            <a:graphic xmlns:a="http://schemas.openxmlformats.org/drawingml/2006/main">
              <a:graphicData uri="http://schemas.openxmlformats.org/drawingml/2006/picture">
                <pic:pic xmlns:pic="http://schemas.openxmlformats.org/drawingml/2006/picture">
                  <pic:nvPicPr>
                    <pic:cNvPr id="361" name="Picture box 361"/>
                    <pic:cNvPicPr/>
                  </pic:nvPicPr>
                  <pic:blipFill>
                    <a:blip r:embed="rId303"/>
                    <a:stretch/>
                  </pic:blipFill>
                  <pic:spPr>
                    <a:xfrm>
                      <a:ext cx="902335" cy="255905"/>
                    </a:xfrm>
                    <a:prstGeom prst="rect"/>
                  </pic:spPr>
                </pic:pic>
              </a:graphicData>
            </a:graphic>
          </wp:anchor>
        </w:drawing>
      </w:r>
      <w:r>
        <w:drawing>
          <wp:anchor distT="0" distB="0" distL="0" distR="0" simplePos="0" relativeHeight="62914861" behindDoc="1" locked="0" layoutInCell="1" allowOverlap="1">
            <wp:simplePos x="0" y="0"/>
            <wp:positionH relativeFrom="page">
              <wp:posOffset>4246245</wp:posOffset>
            </wp:positionH>
            <wp:positionV relativeFrom="margin">
              <wp:posOffset>3758565</wp:posOffset>
            </wp:positionV>
            <wp:extent cx="902335" cy="255905"/>
            <wp:wrapNone/>
            <wp:docPr id="362" name="Shape 362"/>
            <a:graphic xmlns:a="http://schemas.openxmlformats.org/drawingml/2006/main">
              <a:graphicData uri="http://schemas.openxmlformats.org/drawingml/2006/picture">
                <pic:pic xmlns:pic="http://schemas.openxmlformats.org/drawingml/2006/picture">
                  <pic:nvPicPr>
                    <pic:cNvPr id="363" name="Picture box 363"/>
                    <pic:cNvPicPr/>
                  </pic:nvPicPr>
                  <pic:blipFill>
                    <a:blip r:embed="rId305"/>
                    <a:stretch/>
                  </pic:blipFill>
                  <pic:spPr>
                    <a:xfrm>
                      <a:ext cx="902335" cy="255905"/>
                    </a:xfrm>
                    <a:prstGeom prst="rect"/>
                  </pic:spPr>
                </pic:pic>
              </a:graphicData>
            </a:graphic>
          </wp:anchor>
        </w:drawing>
      </w:r>
      <w:r>
        <w:drawing>
          <wp:anchor distT="0" distB="0" distL="0" distR="0" simplePos="0" relativeHeight="62914862" behindDoc="1" locked="0" layoutInCell="1" allowOverlap="1">
            <wp:simplePos x="0" y="0"/>
            <wp:positionH relativeFrom="page">
              <wp:posOffset>4246245</wp:posOffset>
            </wp:positionH>
            <wp:positionV relativeFrom="margin">
              <wp:posOffset>4014470</wp:posOffset>
            </wp:positionV>
            <wp:extent cx="902335" cy="255905"/>
            <wp:wrapNone/>
            <wp:docPr id="364" name="Shape 364"/>
            <a:graphic xmlns:a="http://schemas.openxmlformats.org/drawingml/2006/main">
              <a:graphicData uri="http://schemas.openxmlformats.org/drawingml/2006/picture">
                <pic:pic xmlns:pic="http://schemas.openxmlformats.org/drawingml/2006/picture">
                  <pic:nvPicPr>
                    <pic:cNvPr id="365" name="Picture box 365"/>
                    <pic:cNvPicPr/>
                  </pic:nvPicPr>
                  <pic:blipFill>
                    <a:blip r:embed="rId307"/>
                    <a:stretch/>
                  </pic:blipFill>
                  <pic:spPr>
                    <a:xfrm>
                      <a:ext cx="902335" cy="255905"/>
                    </a:xfrm>
                    <a:prstGeom prst="rect"/>
                  </pic:spPr>
                </pic:pic>
              </a:graphicData>
            </a:graphic>
          </wp:anchor>
        </w:drawing>
      </w:r>
      <w:r>
        <w:drawing>
          <wp:anchor distT="0" distB="0" distL="0" distR="0" simplePos="0" relativeHeight="62914863" behindDoc="1" locked="0" layoutInCell="1" allowOverlap="1">
            <wp:simplePos x="0" y="0"/>
            <wp:positionH relativeFrom="page">
              <wp:posOffset>4246245</wp:posOffset>
            </wp:positionH>
            <wp:positionV relativeFrom="margin">
              <wp:posOffset>4271010</wp:posOffset>
            </wp:positionV>
            <wp:extent cx="902335" cy="255905"/>
            <wp:wrapNone/>
            <wp:docPr id="366" name="Shape 366"/>
            <a:graphic xmlns:a="http://schemas.openxmlformats.org/drawingml/2006/main">
              <a:graphicData uri="http://schemas.openxmlformats.org/drawingml/2006/picture">
                <pic:pic xmlns:pic="http://schemas.openxmlformats.org/drawingml/2006/picture">
                  <pic:nvPicPr>
                    <pic:cNvPr id="367" name="Picture box 367"/>
                    <pic:cNvPicPr/>
                  </pic:nvPicPr>
                  <pic:blipFill>
                    <a:blip r:embed="rId309"/>
                    <a:stretch/>
                  </pic:blipFill>
                  <pic:spPr>
                    <a:xfrm>
                      <a:ext cx="902335" cy="255905"/>
                    </a:xfrm>
                    <a:prstGeom prst="rect"/>
                  </pic:spPr>
                </pic:pic>
              </a:graphicData>
            </a:graphic>
          </wp:anchor>
        </w:drawing>
      </w:r>
      <w:r>
        <w:drawing>
          <wp:anchor distT="0" distB="0" distL="0" distR="0" simplePos="0" relativeHeight="62914864" behindDoc="1" locked="0" layoutInCell="1" allowOverlap="1">
            <wp:simplePos x="0" y="0"/>
            <wp:positionH relativeFrom="page">
              <wp:posOffset>4246245</wp:posOffset>
            </wp:positionH>
            <wp:positionV relativeFrom="margin">
              <wp:posOffset>4526915</wp:posOffset>
            </wp:positionV>
            <wp:extent cx="902335" cy="250190"/>
            <wp:wrapNone/>
            <wp:docPr id="368" name="Shape 368"/>
            <a:graphic xmlns:a="http://schemas.openxmlformats.org/drawingml/2006/main">
              <a:graphicData uri="http://schemas.openxmlformats.org/drawingml/2006/picture">
                <pic:pic xmlns:pic="http://schemas.openxmlformats.org/drawingml/2006/picture">
                  <pic:nvPicPr>
                    <pic:cNvPr id="369" name="Picture box 369"/>
                    <pic:cNvPicPr/>
                  </pic:nvPicPr>
                  <pic:blipFill>
                    <a:blip r:embed="rId311"/>
                    <a:stretch/>
                  </pic:blipFill>
                  <pic:spPr>
                    <a:xfrm>
                      <a:ext cx="902335" cy="250190"/>
                    </a:xfrm>
                    <a:prstGeom prst="rect"/>
                  </pic:spPr>
                </pic:pic>
              </a:graphicData>
            </a:graphic>
          </wp:anchor>
        </w:drawing>
      </w:r>
      <w:r>
        <w:drawing>
          <wp:anchor distT="0" distB="0" distL="0" distR="0" simplePos="0" relativeHeight="62914865" behindDoc="1" locked="0" layoutInCell="1" allowOverlap="1">
            <wp:simplePos x="0" y="0"/>
            <wp:positionH relativeFrom="page">
              <wp:posOffset>4246245</wp:posOffset>
            </wp:positionH>
            <wp:positionV relativeFrom="margin">
              <wp:posOffset>4779645</wp:posOffset>
            </wp:positionV>
            <wp:extent cx="902335" cy="255905"/>
            <wp:wrapNone/>
            <wp:docPr id="370" name="Shape 370"/>
            <a:graphic xmlns:a="http://schemas.openxmlformats.org/drawingml/2006/main">
              <a:graphicData uri="http://schemas.openxmlformats.org/drawingml/2006/picture">
                <pic:pic xmlns:pic="http://schemas.openxmlformats.org/drawingml/2006/picture">
                  <pic:nvPicPr>
                    <pic:cNvPr id="371" name="Picture box 371"/>
                    <pic:cNvPicPr/>
                  </pic:nvPicPr>
                  <pic:blipFill>
                    <a:blip r:embed="rId313"/>
                    <a:stretch/>
                  </pic:blipFill>
                  <pic:spPr>
                    <a:xfrm>
                      <a:ext cx="902335" cy="255905"/>
                    </a:xfrm>
                    <a:prstGeom prst="rect"/>
                  </pic:spPr>
                </pic:pic>
              </a:graphicData>
            </a:graphic>
          </wp:anchor>
        </w:drawing>
      </w:r>
      <w:r>
        <w:drawing>
          <wp:anchor distT="0" distB="0" distL="0" distR="0" simplePos="0" relativeHeight="62914866" behindDoc="1" locked="0" layoutInCell="1" allowOverlap="1">
            <wp:simplePos x="0" y="0"/>
            <wp:positionH relativeFrom="page">
              <wp:posOffset>4246245</wp:posOffset>
            </wp:positionH>
            <wp:positionV relativeFrom="margin">
              <wp:posOffset>5035550</wp:posOffset>
            </wp:positionV>
            <wp:extent cx="902335" cy="255905"/>
            <wp:wrapNone/>
            <wp:docPr id="372" name="Shape 372"/>
            <a:graphic xmlns:a="http://schemas.openxmlformats.org/drawingml/2006/main">
              <a:graphicData uri="http://schemas.openxmlformats.org/drawingml/2006/picture">
                <pic:pic xmlns:pic="http://schemas.openxmlformats.org/drawingml/2006/picture">
                  <pic:nvPicPr>
                    <pic:cNvPr id="373" name="Picture box 373"/>
                    <pic:cNvPicPr/>
                  </pic:nvPicPr>
                  <pic:blipFill>
                    <a:blip r:embed="rId315"/>
                    <a:stretch/>
                  </pic:blipFill>
                  <pic:spPr>
                    <a:xfrm>
                      <a:ext cx="902335" cy="255905"/>
                    </a:xfrm>
                    <a:prstGeom prst="rect"/>
                  </pic:spPr>
                </pic:pic>
              </a:graphicData>
            </a:graphic>
          </wp:anchor>
        </w:drawing>
      </w:r>
      <w:r>
        <w:drawing>
          <wp:anchor distT="0" distB="0" distL="0" distR="0" simplePos="0" relativeHeight="62914867" behindDoc="1" locked="0" layoutInCell="1" allowOverlap="1">
            <wp:simplePos x="0" y="0"/>
            <wp:positionH relativeFrom="page">
              <wp:posOffset>4246245</wp:posOffset>
            </wp:positionH>
            <wp:positionV relativeFrom="margin">
              <wp:posOffset>5292090</wp:posOffset>
            </wp:positionV>
            <wp:extent cx="902335" cy="255905"/>
            <wp:wrapNone/>
            <wp:docPr id="374" name="Shape 374"/>
            <a:graphic xmlns:a="http://schemas.openxmlformats.org/drawingml/2006/main">
              <a:graphicData uri="http://schemas.openxmlformats.org/drawingml/2006/picture">
                <pic:pic xmlns:pic="http://schemas.openxmlformats.org/drawingml/2006/picture">
                  <pic:nvPicPr>
                    <pic:cNvPr id="375" name="Picture box 375"/>
                    <pic:cNvPicPr/>
                  </pic:nvPicPr>
                  <pic:blipFill>
                    <a:blip r:embed="rId317"/>
                    <a:stretch/>
                  </pic:blipFill>
                  <pic:spPr>
                    <a:xfrm>
                      <a:ext cx="902335" cy="255905"/>
                    </a:xfrm>
                    <a:prstGeom prst="rect"/>
                  </pic:spPr>
                </pic:pic>
              </a:graphicData>
            </a:graphic>
          </wp:anchor>
        </w:drawing>
      </w:r>
      <w:r>
        <w:drawing>
          <wp:anchor distT="0" distB="0" distL="0" distR="0" simplePos="0" relativeHeight="62914868" behindDoc="1" locked="0" layoutInCell="1" allowOverlap="1">
            <wp:simplePos x="0" y="0"/>
            <wp:positionH relativeFrom="page">
              <wp:posOffset>4246245</wp:posOffset>
            </wp:positionH>
            <wp:positionV relativeFrom="margin">
              <wp:posOffset>5547995</wp:posOffset>
            </wp:positionV>
            <wp:extent cx="902335" cy="250190"/>
            <wp:wrapNone/>
            <wp:docPr id="376" name="Shape 376"/>
            <a:graphic xmlns:a="http://schemas.openxmlformats.org/drawingml/2006/main">
              <a:graphicData uri="http://schemas.openxmlformats.org/drawingml/2006/picture">
                <pic:pic xmlns:pic="http://schemas.openxmlformats.org/drawingml/2006/picture">
                  <pic:nvPicPr>
                    <pic:cNvPr id="377" name="Picture box 377"/>
                    <pic:cNvPicPr/>
                  </pic:nvPicPr>
                  <pic:blipFill>
                    <a:blip r:embed="rId319"/>
                    <a:stretch/>
                  </pic:blipFill>
                  <pic:spPr>
                    <a:xfrm>
                      <a:ext cx="902335" cy="250190"/>
                    </a:xfrm>
                    <a:prstGeom prst="rect"/>
                  </pic:spPr>
                </pic:pic>
              </a:graphicData>
            </a:graphic>
          </wp:anchor>
        </w:drawing>
      </w:r>
      <w:r>
        <w:drawing>
          <wp:anchor distT="0" distB="0" distL="0" distR="0" simplePos="0" relativeHeight="62914869" behindDoc="1" locked="0" layoutInCell="1" allowOverlap="1">
            <wp:simplePos x="0" y="0"/>
            <wp:positionH relativeFrom="page">
              <wp:posOffset>4246245</wp:posOffset>
            </wp:positionH>
            <wp:positionV relativeFrom="margin">
              <wp:posOffset>5800725</wp:posOffset>
            </wp:positionV>
            <wp:extent cx="902335" cy="255905"/>
            <wp:wrapNone/>
            <wp:docPr id="378" name="Shape 378"/>
            <a:graphic xmlns:a="http://schemas.openxmlformats.org/drawingml/2006/main">
              <a:graphicData uri="http://schemas.openxmlformats.org/drawingml/2006/picture">
                <pic:pic xmlns:pic="http://schemas.openxmlformats.org/drawingml/2006/picture">
                  <pic:nvPicPr>
                    <pic:cNvPr id="379" name="Picture box 379"/>
                    <pic:cNvPicPr/>
                  </pic:nvPicPr>
                  <pic:blipFill>
                    <a:blip r:embed="rId321"/>
                    <a:stretch/>
                  </pic:blipFill>
                  <pic:spPr>
                    <a:xfrm>
                      <a:ext cx="902335" cy="255905"/>
                    </a:xfrm>
                    <a:prstGeom prst="rect"/>
                  </pic:spPr>
                </pic:pic>
              </a:graphicData>
            </a:graphic>
          </wp:anchor>
        </w:drawing>
      </w:r>
      <w:r>
        <w:drawing>
          <wp:anchor distT="0" distB="0" distL="0" distR="0" simplePos="0" relativeHeight="62914870" behindDoc="1" locked="0" layoutInCell="1" allowOverlap="1">
            <wp:simplePos x="0" y="0"/>
            <wp:positionH relativeFrom="page">
              <wp:posOffset>5148580</wp:posOffset>
            </wp:positionH>
            <wp:positionV relativeFrom="margin">
              <wp:posOffset>1207770</wp:posOffset>
            </wp:positionV>
            <wp:extent cx="560705" cy="255905"/>
            <wp:wrapNone/>
            <wp:docPr id="380" name="Shape 380"/>
            <a:graphic xmlns:a="http://schemas.openxmlformats.org/drawingml/2006/main">
              <a:graphicData uri="http://schemas.openxmlformats.org/drawingml/2006/picture">
                <pic:pic xmlns:pic="http://schemas.openxmlformats.org/drawingml/2006/picture">
                  <pic:nvPicPr>
                    <pic:cNvPr id="381" name="Picture box 381"/>
                    <pic:cNvPicPr/>
                  </pic:nvPicPr>
                  <pic:blipFill>
                    <a:blip r:embed="rId323"/>
                    <a:stretch/>
                  </pic:blipFill>
                  <pic:spPr>
                    <a:xfrm>
                      <a:ext cx="560705" cy="255905"/>
                    </a:xfrm>
                    <a:prstGeom prst="rect"/>
                  </pic:spPr>
                </pic:pic>
              </a:graphicData>
            </a:graphic>
          </wp:anchor>
        </w:drawing>
      </w:r>
      <w:r>
        <w:drawing>
          <wp:anchor distT="0" distB="0" distL="0" distR="0" simplePos="0" relativeHeight="62914871" behindDoc="1" locked="0" layoutInCell="1" allowOverlap="1">
            <wp:simplePos x="0" y="0"/>
            <wp:positionH relativeFrom="page">
              <wp:posOffset>5709285</wp:posOffset>
            </wp:positionH>
            <wp:positionV relativeFrom="margin">
              <wp:posOffset>1207770</wp:posOffset>
            </wp:positionV>
            <wp:extent cx="560705" cy="255905"/>
            <wp:wrapNone/>
            <wp:docPr id="382" name="Shape 382"/>
            <a:graphic xmlns:a="http://schemas.openxmlformats.org/drawingml/2006/main">
              <a:graphicData uri="http://schemas.openxmlformats.org/drawingml/2006/picture">
                <pic:pic xmlns:pic="http://schemas.openxmlformats.org/drawingml/2006/picture">
                  <pic:nvPicPr>
                    <pic:cNvPr id="383" name="Picture box 383"/>
                    <pic:cNvPicPr/>
                  </pic:nvPicPr>
                  <pic:blipFill>
                    <a:blip r:embed="rId325"/>
                    <a:stretch/>
                  </pic:blipFill>
                  <pic:spPr>
                    <a:xfrm>
                      <a:ext cx="560705" cy="255905"/>
                    </a:xfrm>
                    <a:prstGeom prst="rect"/>
                  </pic:spPr>
                </pic:pic>
              </a:graphicData>
            </a:graphic>
          </wp:anchor>
        </w:drawing>
      </w:r>
      <w:r>
        <w:drawing>
          <wp:anchor distT="0" distB="0" distL="0" distR="0" simplePos="0" relativeHeight="62914872" behindDoc="1" locked="0" layoutInCell="1" allowOverlap="1">
            <wp:simplePos x="0" y="0"/>
            <wp:positionH relativeFrom="page">
              <wp:posOffset>6269990</wp:posOffset>
            </wp:positionH>
            <wp:positionV relativeFrom="margin">
              <wp:posOffset>1207770</wp:posOffset>
            </wp:positionV>
            <wp:extent cx="853440" cy="255905"/>
            <wp:wrapNone/>
            <wp:docPr id="384" name="Shape 384"/>
            <a:graphic xmlns:a="http://schemas.openxmlformats.org/drawingml/2006/main">
              <a:graphicData uri="http://schemas.openxmlformats.org/drawingml/2006/picture">
                <pic:pic xmlns:pic="http://schemas.openxmlformats.org/drawingml/2006/picture">
                  <pic:nvPicPr>
                    <pic:cNvPr id="385" name="Picture box 385"/>
                    <pic:cNvPicPr/>
                  </pic:nvPicPr>
                  <pic:blipFill>
                    <a:blip r:embed="rId327"/>
                    <a:stretch/>
                  </pic:blipFill>
                  <pic:spPr>
                    <a:xfrm>
                      <a:ext cx="853440" cy="255905"/>
                    </a:xfrm>
                    <a:prstGeom prst="rect"/>
                  </pic:spPr>
                </pic:pic>
              </a:graphicData>
            </a:graphic>
          </wp:anchor>
        </w:drawing>
      </w:r>
      <w:r>
        <w:drawing>
          <wp:anchor distT="0" distB="0" distL="0" distR="0" simplePos="0" relativeHeight="62914873" behindDoc="1" locked="0" layoutInCell="1" allowOverlap="1">
            <wp:simplePos x="0" y="0"/>
            <wp:positionH relativeFrom="page">
              <wp:posOffset>7126605</wp:posOffset>
            </wp:positionH>
            <wp:positionV relativeFrom="margin">
              <wp:posOffset>1207770</wp:posOffset>
            </wp:positionV>
            <wp:extent cx="774065" cy="255905"/>
            <wp:wrapNone/>
            <wp:docPr id="386" name="Shape 386"/>
            <a:graphic xmlns:a="http://schemas.openxmlformats.org/drawingml/2006/main">
              <a:graphicData uri="http://schemas.openxmlformats.org/drawingml/2006/picture">
                <pic:pic xmlns:pic="http://schemas.openxmlformats.org/drawingml/2006/picture">
                  <pic:nvPicPr>
                    <pic:cNvPr id="387" name="Picture box 387"/>
                    <pic:cNvPicPr/>
                  </pic:nvPicPr>
                  <pic:blipFill>
                    <a:blip r:embed="rId329"/>
                    <a:stretch/>
                  </pic:blipFill>
                  <pic:spPr>
                    <a:xfrm>
                      <a:ext cx="774065" cy="255905"/>
                    </a:xfrm>
                    <a:prstGeom prst="rect"/>
                  </pic:spPr>
                </pic:pic>
              </a:graphicData>
            </a:graphic>
          </wp:anchor>
        </w:drawing>
      </w:r>
      <w:r>
        <w:drawing>
          <wp:anchor distT="0" distB="0" distL="0" distR="0" simplePos="0" relativeHeight="62914874" behindDoc="1" locked="0" layoutInCell="1" allowOverlap="1">
            <wp:simplePos x="0" y="0"/>
            <wp:positionH relativeFrom="page">
              <wp:posOffset>7900670</wp:posOffset>
            </wp:positionH>
            <wp:positionV relativeFrom="margin">
              <wp:posOffset>1207770</wp:posOffset>
            </wp:positionV>
            <wp:extent cx="969010" cy="255905"/>
            <wp:wrapNone/>
            <wp:docPr id="388" name="Shape 388"/>
            <a:graphic xmlns:a="http://schemas.openxmlformats.org/drawingml/2006/main">
              <a:graphicData uri="http://schemas.openxmlformats.org/drawingml/2006/picture">
                <pic:pic xmlns:pic="http://schemas.openxmlformats.org/drawingml/2006/picture">
                  <pic:nvPicPr>
                    <pic:cNvPr id="389" name="Picture box 389"/>
                    <pic:cNvPicPr/>
                  </pic:nvPicPr>
                  <pic:blipFill>
                    <a:blip r:embed="rId331"/>
                    <a:stretch/>
                  </pic:blipFill>
                  <pic:spPr>
                    <a:xfrm>
                      <a:ext cx="969010" cy="255905"/>
                    </a:xfrm>
                    <a:prstGeom prst="rect"/>
                  </pic:spPr>
                </pic:pic>
              </a:graphicData>
            </a:graphic>
          </wp:anchor>
        </w:drawing>
      </w:r>
      <w:r>
        <w:drawing>
          <wp:anchor distT="0" distB="0" distL="0" distR="0" simplePos="0" relativeHeight="62914875" behindDoc="1" locked="0" layoutInCell="1" allowOverlap="1">
            <wp:simplePos x="0" y="0"/>
            <wp:positionH relativeFrom="page">
              <wp:posOffset>8870315</wp:posOffset>
            </wp:positionH>
            <wp:positionV relativeFrom="margin">
              <wp:posOffset>1207770</wp:posOffset>
            </wp:positionV>
            <wp:extent cx="987425" cy="255905"/>
            <wp:wrapNone/>
            <wp:docPr id="390" name="Shape 390"/>
            <a:graphic xmlns:a="http://schemas.openxmlformats.org/drawingml/2006/main">
              <a:graphicData uri="http://schemas.openxmlformats.org/drawingml/2006/picture">
                <pic:pic xmlns:pic="http://schemas.openxmlformats.org/drawingml/2006/picture">
                  <pic:nvPicPr>
                    <pic:cNvPr id="391" name="Picture box 391"/>
                    <pic:cNvPicPr/>
                  </pic:nvPicPr>
                  <pic:blipFill>
                    <a:blip r:embed="rId333"/>
                    <a:stretch/>
                  </pic:blipFill>
                  <pic:spPr>
                    <a:xfrm>
                      <a:ext cx="987425" cy="255905"/>
                    </a:xfrm>
                    <a:prstGeom prst="rect"/>
                  </pic:spPr>
                </pic:pic>
              </a:graphicData>
            </a:graphic>
          </wp:anchor>
        </w:drawing>
      </w:r>
      <w:r>
        <w:drawing>
          <wp:anchor distT="0" distB="0" distL="0" distR="0" simplePos="0" relativeHeight="62914876" behindDoc="1" locked="0" layoutInCell="1" allowOverlap="1">
            <wp:simplePos x="0" y="0"/>
            <wp:positionH relativeFrom="page">
              <wp:posOffset>5148580</wp:posOffset>
            </wp:positionH>
            <wp:positionV relativeFrom="margin">
              <wp:posOffset>1463675</wp:posOffset>
            </wp:positionV>
            <wp:extent cx="560705" cy="250190"/>
            <wp:wrapNone/>
            <wp:docPr id="392" name="Shape 392"/>
            <a:graphic xmlns:a="http://schemas.openxmlformats.org/drawingml/2006/main">
              <a:graphicData uri="http://schemas.openxmlformats.org/drawingml/2006/picture">
                <pic:pic xmlns:pic="http://schemas.openxmlformats.org/drawingml/2006/picture">
                  <pic:nvPicPr>
                    <pic:cNvPr id="393" name="Picture box 393"/>
                    <pic:cNvPicPr/>
                  </pic:nvPicPr>
                  <pic:blipFill>
                    <a:blip r:embed="rId335"/>
                    <a:stretch/>
                  </pic:blipFill>
                  <pic:spPr>
                    <a:xfrm>
                      <a:ext cx="560705" cy="250190"/>
                    </a:xfrm>
                    <a:prstGeom prst="rect"/>
                  </pic:spPr>
                </pic:pic>
              </a:graphicData>
            </a:graphic>
          </wp:anchor>
        </w:drawing>
      </w:r>
      <w:r>
        <w:drawing>
          <wp:anchor distT="0" distB="0" distL="0" distR="0" simplePos="0" relativeHeight="62914877" behindDoc="1" locked="0" layoutInCell="1" allowOverlap="1">
            <wp:simplePos x="0" y="0"/>
            <wp:positionH relativeFrom="page">
              <wp:posOffset>5709285</wp:posOffset>
            </wp:positionH>
            <wp:positionV relativeFrom="margin">
              <wp:posOffset>1463675</wp:posOffset>
            </wp:positionV>
            <wp:extent cx="560705" cy="250190"/>
            <wp:wrapNone/>
            <wp:docPr id="394" name="Shape 394"/>
            <a:graphic xmlns:a="http://schemas.openxmlformats.org/drawingml/2006/main">
              <a:graphicData uri="http://schemas.openxmlformats.org/drawingml/2006/picture">
                <pic:pic xmlns:pic="http://schemas.openxmlformats.org/drawingml/2006/picture">
                  <pic:nvPicPr>
                    <pic:cNvPr id="395" name="Picture box 395"/>
                    <pic:cNvPicPr/>
                  </pic:nvPicPr>
                  <pic:blipFill>
                    <a:blip r:embed="rId337"/>
                    <a:stretch/>
                  </pic:blipFill>
                  <pic:spPr>
                    <a:xfrm>
                      <a:ext cx="560705" cy="250190"/>
                    </a:xfrm>
                    <a:prstGeom prst="rect"/>
                  </pic:spPr>
                </pic:pic>
              </a:graphicData>
            </a:graphic>
          </wp:anchor>
        </w:drawing>
      </w:r>
      <w:r>
        <w:drawing>
          <wp:anchor distT="0" distB="0" distL="0" distR="0" simplePos="0" relativeHeight="62914878" behindDoc="1" locked="0" layoutInCell="1" allowOverlap="1">
            <wp:simplePos x="0" y="0"/>
            <wp:positionH relativeFrom="page">
              <wp:posOffset>6269990</wp:posOffset>
            </wp:positionH>
            <wp:positionV relativeFrom="margin">
              <wp:posOffset>1463675</wp:posOffset>
            </wp:positionV>
            <wp:extent cx="853440" cy="250190"/>
            <wp:wrapNone/>
            <wp:docPr id="396" name="Shape 396"/>
            <a:graphic xmlns:a="http://schemas.openxmlformats.org/drawingml/2006/main">
              <a:graphicData uri="http://schemas.openxmlformats.org/drawingml/2006/picture">
                <pic:pic xmlns:pic="http://schemas.openxmlformats.org/drawingml/2006/picture">
                  <pic:nvPicPr>
                    <pic:cNvPr id="397" name="Picture box 397"/>
                    <pic:cNvPicPr/>
                  </pic:nvPicPr>
                  <pic:blipFill>
                    <a:blip r:embed="rId339"/>
                    <a:stretch/>
                  </pic:blipFill>
                  <pic:spPr>
                    <a:xfrm>
                      <a:ext cx="853440" cy="250190"/>
                    </a:xfrm>
                    <a:prstGeom prst="rect"/>
                  </pic:spPr>
                </pic:pic>
              </a:graphicData>
            </a:graphic>
          </wp:anchor>
        </w:drawing>
      </w:r>
      <w:r>
        <w:drawing>
          <wp:anchor distT="0" distB="0" distL="0" distR="0" simplePos="0" relativeHeight="62914879" behindDoc="1" locked="0" layoutInCell="1" allowOverlap="1">
            <wp:simplePos x="0" y="0"/>
            <wp:positionH relativeFrom="page">
              <wp:posOffset>7126605</wp:posOffset>
            </wp:positionH>
            <wp:positionV relativeFrom="margin">
              <wp:posOffset>1463675</wp:posOffset>
            </wp:positionV>
            <wp:extent cx="774065" cy="250190"/>
            <wp:wrapNone/>
            <wp:docPr id="398" name="Shape 398"/>
            <a:graphic xmlns:a="http://schemas.openxmlformats.org/drawingml/2006/main">
              <a:graphicData uri="http://schemas.openxmlformats.org/drawingml/2006/picture">
                <pic:pic xmlns:pic="http://schemas.openxmlformats.org/drawingml/2006/picture">
                  <pic:nvPicPr>
                    <pic:cNvPr id="399" name="Picture box 399"/>
                    <pic:cNvPicPr/>
                  </pic:nvPicPr>
                  <pic:blipFill>
                    <a:blip r:embed="rId341"/>
                    <a:stretch/>
                  </pic:blipFill>
                  <pic:spPr>
                    <a:xfrm>
                      <a:ext cx="774065" cy="250190"/>
                    </a:xfrm>
                    <a:prstGeom prst="rect"/>
                  </pic:spPr>
                </pic:pic>
              </a:graphicData>
            </a:graphic>
          </wp:anchor>
        </w:drawing>
      </w:r>
      <w:r>
        <w:drawing>
          <wp:anchor distT="0" distB="0" distL="0" distR="0" simplePos="0" relativeHeight="62914880" behindDoc="1" locked="0" layoutInCell="1" allowOverlap="1">
            <wp:simplePos x="0" y="0"/>
            <wp:positionH relativeFrom="page">
              <wp:posOffset>7900670</wp:posOffset>
            </wp:positionH>
            <wp:positionV relativeFrom="margin">
              <wp:posOffset>1463675</wp:posOffset>
            </wp:positionV>
            <wp:extent cx="969010" cy="250190"/>
            <wp:wrapNone/>
            <wp:docPr id="400" name="Shape 400"/>
            <a:graphic xmlns:a="http://schemas.openxmlformats.org/drawingml/2006/main">
              <a:graphicData uri="http://schemas.openxmlformats.org/drawingml/2006/picture">
                <pic:pic xmlns:pic="http://schemas.openxmlformats.org/drawingml/2006/picture">
                  <pic:nvPicPr>
                    <pic:cNvPr id="401" name="Picture box 401"/>
                    <pic:cNvPicPr/>
                  </pic:nvPicPr>
                  <pic:blipFill>
                    <a:blip r:embed="rId343"/>
                    <a:stretch/>
                  </pic:blipFill>
                  <pic:spPr>
                    <a:xfrm>
                      <a:ext cx="969010" cy="250190"/>
                    </a:xfrm>
                    <a:prstGeom prst="rect"/>
                  </pic:spPr>
                </pic:pic>
              </a:graphicData>
            </a:graphic>
          </wp:anchor>
        </w:drawing>
      </w:r>
      <w:r>
        <w:drawing>
          <wp:anchor distT="0" distB="0" distL="0" distR="0" simplePos="0" relativeHeight="62914881" behindDoc="1" locked="0" layoutInCell="1" allowOverlap="1">
            <wp:simplePos x="0" y="0"/>
            <wp:positionH relativeFrom="page">
              <wp:posOffset>8870315</wp:posOffset>
            </wp:positionH>
            <wp:positionV relativeFrom="margin">
              <wp:posOffset>1463675</wp:posOffset>
            </wp:positionV>
            <wp:extent cx="987425" cy="250190"/>
            <wp:wrapNone/>
            <wp:docPr id="402" name="Shape 402"/>
            <a:graphic xmlns:a="http://schemas.openxmlformats.org/drawingml/2006/main">
              <a:graphicData uri="http://schemas.openxmlformats.org/drawingml/2006/picture">
                <pic:pic xmlns:pic="http://schemas.openxmlformats.org/drawingml/2006/picture">
                  <pic:nvPicPr>
                    <pic:cNvPr id="403" name="Picture box 403"/>
                    <pic:cNvPicPr/>
                  </pic:nvPicPr>
                  <pic:blipFill>
                    <a:blip r:embed="rId345"/>
                    <a:stretch/>
                  </pic:blipFill>
                  <pic:spPr>
                    <a:xfrm>
                      <a:ext cx="987425" cy="250190"/>
                    </a:xfrm>
                    <a:prstGeom prst="rect"/>
                  </pic:spPr>
                </pic:pic>
              </a:graphicData>
            </a:graphic>
          </wp:anchor>
        </w:drawing>
      </w:r>
      <w:r>
        <w:drawing>
          <wp:anchor distT="0" distB="0" distL="0" distR="0" simplePos="0" relativeHeight="62914882" behindDoc="1" locked="0" layoutInCell="1" allowOverlap="1">
            <wp:simplePos x="0" y="0"/>
            <wp:positionH relativeFrom="page">
              <wp:posOffset>5148580</wp:posOffset>
            </wp:positionH>
            <wp:positionV relativeFrom="margin">
              <wp:posOffset>1716405</wp:posOffset>
            </wp:positionV>
            <wp:extent cx="560705" cy="255905"/>
            <wp:wrapNone/>
            <wp:docPr id="404" name="Shape 404"/>
            <a:graphic xmlns:a="http://schemas.openxmlformats.org/drawingml/2006/main">
              <a:graphicData uri="http://schemas.openxmlformats.org/drawingml/2006/picture">
                <pic:pic xmlns:pic="http://schemas.openxmlformats.org/drawingml/2006/picture">
                  <pic:nvPicPr>
                    <pic:cNvPr id="405" name="Picture box 405"/>
                    <pic:cNvPicPr/>
                  </pic:nvPicPr>
                  <pic:blipFill>
                    <a:blip r:embed="rId347"/>
                    <a:stretch/>
                  </pic:blipFill>
                  <pic:spPr>
                    <a:xfrm>
                      <a:ext cx="560705" cy="255905"/>
                    </a:xfrm>
                    <a:prstGeom prst="rect"/>
                  </pic:spPr>
                </pic:pic>
              </a:graphicData>
            </a:graphic>
          </wp:anchor>
        </w:drawing>
      </w:r>
      <w:r>
        <w:drawing>
          <wp:anchor distT="0" distB="0" distL="0" distR="0" simplePos="0" relativeHeight="62914883" behindDoc="1" locked="0" layoutInCell="1" allowOverlap="1">
            <wp:simplePos x="0" y="0"/>
            <wp:positionH relativeFrom="page">
              <wp:posOffset>5709285</wp:posOffset>
            </wp:positionH>
            <wp:positionV relativeFrom="margin">
              <wp:posOffset>1716405</wp:posOffset>
            </wp:positionV>
            <wp:extent cx="560705" cy="255905"/>
            <wp:wrapNone/>
            <wp:docPr id="406" name="Shape 406"/>
            <a:graphic xmlns:a="http://schemas.openxmlformats.org/drawingml/2006/main">
              <a:graphicData uri="http://schemas.openxmlformats.org/drawingml/2006/picture">
                <pic:pic xmlns:pic="http://schemas.openxmlformats.org/drawingml/2006/picture">
                  <pic:nvPicPr>
                    <pic:cNvPr id="407" name="Picture box 407"/>
                    <pic:cNvPicPr/>
                  </pic:nvPicPr>
                  <pic:blipFill>
                    <a:blip r:embed="rId349"/>
                    <a:stretch/>
                  </pic:blipFill>
                  <pic:spPr>
                    <a:xfrm>
                      <a:ext cx="560705" cy="255905"/>
                    </a:xfrm>
                    <a:prstGeom prst="rect"/>
                  </pic:spPr>
                </pic:pic>
              </a:graphicData>
            </a:graphic>
          </wp:anchor>
        </w:drawing>
      </w:r>
      <w:r>
        <w:drawing>
          <wp:anchor distT="0" distB="0" distL="0" distR="0" simplePos="0" relativeHeight="62914884" behindDoc="1" locked="0" layoutInCell="1" allowOverlap="1">
            <wp:simplePos x="0" y="0"/>
            <wp:positionH relativeFrom="page">
              <wp:posOffset>6269990</wp:posOffset>
            </wp:positionH>
            <wp:positionV relativeFrom="margin">
              <wp:posOffset>1716405</wp:posOffset>
            </wp:positionV>
            <wp:extent cx="853440" cy="255905"/>
            <wp:wrapNone/>
            <wp:docPr id="408" name="Shape 408"/>
            <a:graphic xmlns:a="http://schemas.openxmlformats.org/drawingml/2006/main">
              <a:graphicData uri="http://schemas.openxmlformats.org/drawingml/2006/picture">
                <pic:pic xmlns:pic="http://schemas.openxmlformats.org/drawingml/2006/picture">
                  <pic:nvPicPr>
                    <pic:cNvPr id="409" name="Picture box 409"/>
                    <pic:cNvPicPr/>
                  </pic:nvPicPr>
                  <pic:blipFill>
                    <a:blip r:embed="rId351"/>
                    <a:stretch/>
                  </pic:blipFill>
                  <pic:spPr>
                    <a:xfrm>
                      <a:ext cx="853440" cy="255905"/>
                    </a:xfrm>
                    <a:prstGeom prst="rect"/>
                  </pic:spPr>
                </pic:pic>
              </a:graphicData>
            </a:graphic>
          </wp:anchor>
        </w:drawing>
      </w:r>
      <w:r>
        <w:drawing>
          <wp:anchor distT="0" distB="0" distL="0" distR="0" simplePos="0" relativeHeight="62914885" behindDoc="1" locked="0" layoutInCell="1" allowOverlap="1">
            <wp:simplePos x="0" y="0"/>
            <wp:positionH relativeFrom="page">
              <wp:posOffset>7126605</wp:posOffset>
            </wp:positionH>
            <wp:positionV relativeFrom="margin">
              <wp:posOffset>1716405</wp:posOffset>
            </wp:positionV>
            <wp:extent cx="774065" cy="255905"/>
            <wp:wrapNone/>
            <wp:docPr id="410" name="Shape 410"/>
            <a:graphic xmlns:a="http://schemas.openxmlformats.org/drawingml/2006/main">
              <a:graphicData uri="http://schemas.openxmlformats.org/drawingml/2006/picture">
                <pic:pic xmlns:pic="http://schemas.openxmlformats.org/drawingml/2006/picture">
                  <pic:nvPicPr>
                    <pic:cNvPr id="411" name="Picture box 411"/>
                    <pic:cNvPicPr/>
                  </pic:nvPicPr>
                  <pic:blipFill>
                    <a:blip r:embed="rId353"/>
                    <a:stretch/>
                  </pic:blipFill>
                  <pic:spPr>
                    <a:xfrm>
                      <a:ext cx="774065" cy="255905"/>
                    </a:xfrm>
                    <a:prstGeom prst="rect"/>
                  </pic:spPr>
                </pic:pic>
              </a:graphicData>
            </a:graphic>
          </wp:anchor>
        </w:drawing>
      </w:r>
      <w:r>
        <w:drawing>
          <wp:anchor distT="0" distB="0" distL="0" distR="0" simplePos="0" relativeHeight="62914886" behindDoc="1" locked="0" layoutInCell="1" allowOverlap="1">
            <wp:simplePos x="0" y="0"/>
            <wp:positionH relativeFrom="page">
              <wp:posOffset>7900670</wp:posOffset>
            </wp:positionH>
            <wp:positionV relativeFrom="margin">
              <wp:posOffset>1716405</wp:posOffset>
            </wp:positionV>
            <wp:extent cx="969010" cy="255905"/>
            <wp:wrapNone/>
            <wp:docPr id="412" name="Shape 412"/>
            <a:graphic xmlns:a="http://schemas.openxmlformats.org/drawingml/2006/main">
              <a:graphicData uri="http://schemas.openxmlformats.org/drawingml/2006/picture">
                <pic:pic xmlns:pic="http://schemas.openxmlformats.org/drawingml/2006/picture">
                  <pic:nvPicPr>
                    <pic:cNvPr id="413" name="Picture box 413"/>
                    <pic:cNvPicPr/>
                  </pic:nvPicPr>
                  <pic:blipFill>
                    <a:blip r:embed="rId355"/>
                    <a:stretch/>
                  </pic:blipFill>
                  <pic:spPr>
                    <a:xfrm>
                      <a:ext cx="969010" cy="255905"/>
                    </a:xfrm>
                    <a:prstGeom prst="rect"/>
                  </pic:spPr>
                </pic:pic>
              </a:graphicData>
            </a:graphic>
          </wp:anchor>
        </w:drawing>
      </w:r>
      <w:r>
        <w:drawing>
          <wp:anchor distT="0" distB="0" distL="0" distR="0" simplePos="0" relativeHeight="62914887" behindDoc="1" locked="0" layoutInCell="1" allowOverlap="1">
            <wp:simplePos x="0" y="0"/>
            <wp:positionH relativeFrom="page">
              <wp:posOffset>8870315</wp:posOffset>
            </wp:positionH>
            <wp:positionV relativeFrom="margin">
              <wp:posOffset>1716405</wp:posOffset>
            </wp:positionV>
            <wp:extent cx="987425" cy="255905"/>
            <wp:wrapNone/>
            <wp:docPr id="414" name="Shape 414"/>
            <a:graphic xmlns:a="http://schemas.openxmlformats.org/drawingml/2006/main">
              <a:graphicData uri="http://schemas.openxmlformats.org/drawingml/2006/picture">
                <pic:pic xmlns:pic="http://schemas.openxmlformats.org/drawingml/2006/picture">
                  <pic:nvPicPr>
                    <pic:cNvPr id="415" name="Picture box 415"/>
                    <pic:cNvPicPr/>
                  </pic:nvPicPr>
                  <pic:blipFill>
                    <a:blip r:embed="rId357"/>
                    <a:stretch/>
                  </pic:blipFill>
                  <pic:spPr>
                    <a:xfrm>
                      <a:ext cx="987425" cy="255905"/>
                    </a:xfrm>
                    <a:prstGeom prst="rect"/>
                  </pic:spPr>
                </pic:pic>
              </a:graphicData>
            </a:graphic>
          </wp:anchor>
        </w:drawing>
      </w:r>
      <w:r>
        <w:drawing>
          <wp:anchor distT="0" distB="0" distL="0" distR="0" simplePos="0" relativeHeight="62914888" behindDoc="1" locked="0" layoutInCell="1" allowOverlap="1">
            <wp:simplePos x="0" y="0"/>
            <wp:positionH relativeFrom="page">
              <wp:posOffset>5148580</wp:posOffset>
            </wp:positionH>
            <wp:positionV relativeFrom="margin">
              <wp:posOffset>1972310</wp:posOffset>
            </wp:positionV>
            <wp:extent cx="560705" cy="255905"/>
            <wp:wrapNone/>
            <wp:docPr id="416" name="Shape 416"/>
            <a:graphic xmlns:a="http://schemas.openxmlformats.org/drawingml/2006/main">
              <a:graphicData uri="http://schemas.openxmlformats.org/drawingml/2006/picture">
                <pic:pic xmlns:pic="http://schemas.openxmlformats.org/drawingml/2006/picture">
                  <pic:nvPicPr>
                    <pic:cNvPr id="417" name="Picture box 417"/>
                    <pic:cNvPicPr/>
                  </pic:nvPicPr>
                  <pic:blipFill>
                    <a:blip r:embed="rId359"/>
                    <a:stretch/>
                  </pic:blipFill>
                  <pic:spPr>
                    <a:xfrm>
                      <a:ext cx="560705" cy="255905"/>
                    </a:xfrm>
                    <a:prstGeom prst="rect"/>
                  </pic:spPr>
                </pic:pic>
              </a:graphicData>
            </a:graphic>
          </wp:anchor>
        </w:drawing>
      </w:r>
      <w:r>
        <w:drawing>
          <wp:anchor distT="0" distB="0" distL="0" distR="0" simplePos="0" relativeHeight="62914889" behindDoc="1" locked="0" layoutInCell="1" allowOverlap="1">
            <wp:simplePos x="0" y="0"/>
            <wp:positionH relativeFrom="page">
              <wp:posOffset>5709285</wp:posOffset>
            </wp:positionH>
            <wp:positionV relativeFrom="margin">
              <wp:posOffset>1972310</wp:posOffset>
            </wp:positionV>
            <wp:extent cx="560705" cy="255905"/>
            <wp:wrapNone/>
            <wp:docPr id="418" name="Shape 418"/>
            <a:graphic xmlns:a="http://schemas.openxmlformats.org/drawingml/2006/main">
              <a:graphicData uri="http://schemas.openxmlformats.org/drawingml/2006/picture">
                <pic:pic xmlns:pic="http://schemas.openxmlformats.org/drawingml/2006/picture">
                  <pic:nvPicPr>
                    <pic:cNvPr id="419" name="Picture box 419"/>
                    <pic:cNvPicPr/>
                  </pic:nvPicPr>
                  <pic:blipFill>
                    <a:blip r:embed="rId361"/>
                    <a:stretch/>
                  </pic:blipFill>
                  <pic:spPr>
                    <a:xfrm>
                      <a:ext cx="560705" cy="255905"/>
                    </a:xfrm>
                    <a:prstGeom prst="rect"/>
                  </pic:spPr>
                </pic:pic>
              </a:graphicData>
            </a:graphic>
          </wp:anchor>
        </w:drawing>
      </w:r>
      <w:r>
        <w:drawing>
          <wp:anchor distT="0" distB="0" distL="0" distR="0" simplePos="0" relativeHeight="62914890" behindDoc="1" locked="0" layoutInCell="1" allowOverlap="1">
            <wp:simplePos x="0" y="0"/>
            <wp:positionH relativeFrom="page">
              <wp:posOffset>7126605</wp:posOffset>
            </wp:positionH>
            <wp:positionV relativeFrom="margin">
              <wp:posOffset>1972310</wp:posOffset>
            </wp:positionV>
            <wp:extent cx="774065" cy="255905"/>
            <wp:wrapNone/>
            <wp:docPr id="420" name="Shape 420"/>
            <a:graphic xmlns:a="http://schemas.openxmlformats.org/drawingml/2006/main">
              <a:graphicData uri="http://schemas.openxmlformats.org/drawingml/2006/picture">
                <pic:pic xmlns:pic="http://schemas.openxmlformats.org/drawingml/2006/picture">
                  <pic:nvPicPr>
                    <pic:cNvPr id="421" name="Picture box 421"/>
                    <pic:cNvPicPr/>
                  </pic:nvPicPr>
                  <pic:blipFill>
                    <a:blip r:embed="rId363"/>
                    <a:stretch/>
                  </pic:blipFill>
                  <pic:spPr>
                    <a:xfrm>
                      <a:ext cx="774065" cy="255905"/>
                    </a:xfrm>
                    <a:prstGeom prst="rect"/>
                  </pic:spPr>
                </pic:pic>
              </a:graphicData>
            </a:graphic>
          </wp:anchor>
        </w:drawing>
      </w:r>
      <w:r>
        <w:drawing>
          <wp:anchor distT="0" distB="0" distL="0" distR="0" simplePos="0" relativeHeight="62914891" behindDoc="1" locked="0" layoutInCell="1" allowOverlap="1">
            <wp:simplePos x="0" y="0"/>
            <wp:positionH relativeFrom="page">
              <wp:posOffset>5148580</wp:posOffset>
            </wp:positionH>
            <wp:positionV relativeFrom="margin">
              <wp:posOffset>2228850</wp:posOffset>
            </wp:positionV>
            <wp:extent cx="560705" cy="255905"/>
            <wp:wrapNone/>
            <wp:docPr id="422" name="Shape 422"/>
            <a:graphic xmlns:a="http://schemas.openxmlformats.org/drawingml/2006/main">
              <a:graphicData uri="http://schemas.openxmlformats.org/drawingml/2006/picture">
                <pic:pic xmlns:pic="http://schemas.openxmlformats.org/drawingml/2006/picture">
                  <pic:nvPicPr>
                    <pic:cNvPr id="423" name="Picture box 423"/>
                    <pic:cNvPicPr/>
                  </pic:nvPicPr>
                  <pic:blipFill>
                    <a:blip r:embed="rId365"/>
                    <a:stretch/>
                  </pic:blipFill>
                  <pic:spPr>
                    <a:xfrm>
                      <a:ext cx="560705" cy="255905"/>
                    </a:xfrm>
                    <a:prstGeom prst="rect"/>
                  </pic:spPr>
                </pic:pic>
              </a:graphicData>
            </a:graphic>
          </wp:anchor>
        </w:drawing>
      </w:r>
      <w:r>
        <w:drawing>
          <wp:anchor distT="0" distB="0" distL="0" distR="0" simplePos="0" relativeHeight="62914892" behindDoc="1" locked="0" layoutInCell="1" allowOverlap="1">
            <wp:simplePos x="0" y="0"/>
            <wp:positionH relativeFrom="page">
              <wp:posOffset>5709285</wp:posOffset>
            </wp:positionH>
            <wp:positionV relativeFrom="margin">
              <wp:posOffset>2228850</wp:posOffset>
            </wp:positionV>
            <wp:extent cx="560705" cy="255905"/>
            <wp:wrapNone/>
            <wp:docPr id="424" name="Shape 424"/>
            <a:graphic xmlns:a="http://schemas.openxmlformats.org/drawingml/2006/main">
              <a:graphicData uri="http://schemas.openxmlformats.org/drawingml/2006/picture">
                <pic:pic xmlns:pic="http://schemas.openxmlformats.org/drawingml/2006/picture">
                  <pic:nvPicPr>
                    <pic:cNvPr id="425" name="Picture box 425"/>
                    <pic:cNvPicPr/>
                  </pic:nvPicPr>
                  <pic:blipFill>
                    <a:blip r:embed="rId367"/>
                    <a:stretch/>
                  </pic:blipFill>
                  <pic:spPr>
                    <a:xfrm>
                      <a:ext cx="560705" cy="255905"/>
                    </a:xfrm>
                    <a:prstGeom prst="rect"/>
                  </pic:spPr>
                </pic:pic>
              </a:graphicData>
            </a:graphic>
          </wp:anchor>
        </w:drawing>
      </w:r>
      <w:r>
        <w:drawing>
          <wp:anchor distT="0" distB="0" distL="0" distR="0" simplePos="0" relativeHeight="62914893" behindDoc="1" locked="0" layoutInCell="1" allowOverlap="1">
            <wp:simplePos x="0" y="0"/>
            <wp:positionH relativeFrom="page">
              <wp:posOffset>7126605</wp:posOffset>
            </wp:positionH>
            <wp:positionV relativeFrom="margin">
              <wp:posOffset>2228850</wp:posOffset>
            </wp:positionV>
            <wp:extent cx="774065" cy="255905"/>
            <wp:wrapNone/>
            <wp:docPr id="426" name="Shape 426"/>
            <a:graphic xmlns:a="http://schemas.openxmlformats.org/drawingml/2006/main">
              <a:graphicData uri="http://schemas.openxmlformats.org/drawingml/2006/picture">
                <pic:pic xmlns:pic="http://schemas.openxmlformats.org/drawingml/2006/picture">
                  <pic:nvPicPr>
                    <pic:cNvPr id="427" name="Picture box 427"/>
                    <pic:cNvPicPr/>
                  </pic:nvPicPr>
                  <pic:blipFill>
                    <a:blip r:embed="rId369"/>
                    <a:stretch/>
                  </pic:blipFill>
                  <pic:spPr>
                    <a:xfrm>
                      <a:ext cx="774065" cy="255905"/>
                    </a:xfrm>
                    <a:prstGeom prst="rect"/>
                  </pic:spPr>
                </pic:pic>
              </a:graphicData>
            </a:graphic>
          </wp:anchor>
        </w:drawing>
      </w:r>
      <w:r>
        <w:drawing>
          <wp:anchor distT="0" distB="0" distL="0" distR="0" simplePos="0" relativeHeight="62914894" behindDoc="1" locked="0" layoutInCell="1" allowOverlap="1">
            <wp:simplePos x="0" y="0"/>
            <wp:positionH relativeFrom="page">
              <wp:posOffset>5148580</wp:posOffset>
            </wp:positionH>
            <wp:positionV relativeFrom="margin">
              <wp:posOffset>2484755</wp:posOffset>
            </wp:positionV>
            <wp:extent cx="560705" cy="250190"/>
            <wp:wrapNone/>
            <wp:docPr id="428" name="Shape 428"/>
            <a:graphic xmlns:a="http://schemas.openxmlformats.org/drawingml/2006/main">
              <a:graphicData uri="http://schemas.openxmlformats.org/drawingml/2006/picture">
                <pic:pic xmlns:pic="http://schemas.openxmlformats.org/drawingml/2006/picture">
                  <pic:nvPicPr>
                    <pic:cNvPr id="429" name="Picture box 429"/>
                    <pic:cNvPicPr/>
                  </pic:nvPicPr>
                  <pic:blipFill>
                    <a:blip r:embed="rId371"/>
                    <a:stretch/>
                  </pic:blipFill>
                  <pic:spPr>
                    <a:xfrm>
                      <a:ext cx="560705" cy="250190"/>
                    </a:xfrm>
                    <a:prstGeom prst="rect"/>
                  </pic:spPr>
                </pic:pic>
              </a:graphicData>
            </a:graphic>
          </wp:anchor>
        </w:drawing>
      </w:r>
      <w:r>
        <w:drawing>
          <wp:anchor distT="0" distB="0" distL="0" distR="0" simplePos="0" relativeHeight="62914895" behindDoc="1" locked="0" layoutInCell="1" allowOverlap="1">
            <wp:simplePos x="0" y="0"/>
            <wp:positionH relativeFrom="page">
              <wp:posOffset>5709285</wp:posOffset>
            </wp:positionH>
            <wp:positionV relativeFrom="margin">
              <wp:posOffset>2484755</wp:posOffset>
            </wp:positionV>
            <wp:extent cx="560705" cy="250190"/>
            <wp:wrapNone/>
            <wp:docPr id="430" name="Shape 430"/>
            <a:graphic xmlns:a="http://schemas.openxmlformats.org/drawingml/2006/main">
              <a:graphicData uri="http://schemas.openxmlformats.org/drawingml/2006/picture">
                <pic:pic xmlns:pic="http://schemas.openxmlformats.org/drawingml/2006/picture">
                  <pic:nvPicPr>
                    <pic:cNvPr id="431" name="Picture box 431"/>
                    <pic:cNvPicPr/>
                  </pic:nvPicPr>
                  <pic:blipFill>
                    <a:blip r:embed="rId373"/>
                    <a:stretch/>
                  </pic:blipFill>
                  <pic:spPr>
                    <a:xfrm>
                      <a:ext cx="560705" cy="250190"/>
                    </a:xfrm>
                    <a:prstGeom prst="rect"/>
                  </pic:spPr>
                </pic:pic>
              </a:graphicData>
            </a:graphic>
          </wp:anchor>
        </w:drawing>
      </w:r>
      <w:r>
        <w:drawing>
          <wp:anchor distT="0" distB="0" distL="0" distR="0" simplePos="0" relativeHeight="62914896" behindDoc="1" locked="0" layoutInCell="1" allowOverlap="1">
            <wp:simplePos x="0" y="0"/>
            <wp:positionH relativeFrom="page">
              <wp:posOffset>6269990</wp:posOffset>
            </wp:positionH>
            <wp:positionV relativeFrom="margin">
              <wp:posOffset>2484755</wp:posOffset>
            </wp:positionV>
            <wp:extent cx="853440" cy="250190"/>
            <wp:wrapNone/>
            <wp:docPr id="432" name="Shape 432"/>
            <a:graphic xmlns:a="http://schemas.openxmlformats.org/drawingml/2006/main">
              <a:graphicData uri="http://schemas.openxmlformats.org/drawingml/2006/picture">
                <pic:pic xmlns:pic="http://schemas.openxmlformats.org/drawingml/2006/picture">
                  <pic:nvPicPr>
                    <pic:cNvPr id="433" name="Picture box 433"/>
                    <pic:cNvPicPr/>
                  </pic:nvPicPr>
                  <pic:blipFill>
                    <a:blip r:embed="rId375"/>
                    <a:stretch/>
                  </pic:blipFill>
                  <pic:spPr>
                    <a:xfrm>
                      <a:ext cx="853440" cy="250190"/>
                    </a:xfrm>
                    <a:prstGeom prst="rect"/>
                  </pic:spPr>
                </pic:pic>
              </a:graphicData>
            </a:graphic>
          </wp:anchor>
        </w:drawing>
      </w:r>
      <w:r>
        <w:drawing>
          <wp:anchor distT="0" distB="0" distL="0" distR="0" simplePos="0" relativeHeight="62914897" behindDoc="1" locked="0" layoutInCell="1" allowOverlap="1">
            <wp:simplePos x="0" y="0"/>
            <wp:positionH relativeFrom="page">
              <wp:posOffset>7126605</wp:posOffset>
            </wp:positionH>
            <wp:positionV relativeFrom="margin">
              <wp:posOffset>2484755</wp:posOffset>
            </wp:positionV>
            <wp:extent cx="774065" cy="250190"/>
            <wp:wrapNone/>
            <wp:docPr id="434" name="Shape 434"/>
            <a:graphic xmlns:a="http://schemas.openxmlformats.org/drawingml/2006/main">
              <a:graphicData uri="http://schemas.openxmlformats.org/drawingml/2006/picture">
                <pic:pic xmlns:pic="http://schemas.openxmlformats.org/drawingml/2006/picture">
                  <pic:nvPicPr>
                    <pic:cNvPr id="435" name="Picture box 435"/>
                    <pic:cNvPicPr/>
                  </pic:nvPicPr>
                  <pic:blipFill>
                    <a:blip r:embed="rId377"/>
                    <a:stretch/>
                  </pic:blipFill>
                  <pic:spPr>
                    <a:xfrm>
                      <a:ext cx="774065" cy="250190"/>
                    </a:xfrm>
                    <a:prstGeom prst="rect"/>
                  </pic:spPr>
                </pic:pic>
              </a:graphicData>
            </a:graphic>
          </wp:anchor>
        </w:drawing>
      </w:r>
      <w:r>
        <w:drawing>
          <wp:anchor distT="0" distB="0" distL="0" distR="0" simplePos="0" relativeHeight="62914898" behindDoc="1" locked="0" layoutInCell="1" allowOverlap="1">
            <wp:simplePos x="0" y="0"/>
            <wp:positionH relativeFrom="page">
              <wp:posOffset>5148580</wp:posOffset>
            </wp:positionH>
            <wp:positionV relativeFrom="margin">
              <wp:posOffset>2737485</wp:posOffset>
            </wp:positionV>
            <wp:extent cx="560705" cy="255905"/>
            <wp:wrapNone/>
            <wp:docPr id="436" name="Shape 436"/>
            <a:graphic xmlns:a="http://schemas.openxmlformats.org/drawingml/2006/main">
              <a:graphicData uri="http://schemas.openxmlformats.org/drawingml/2006/picture">
                <pic:pic xmlns:pic="http://schemas.openxmlformats.org/drawingml/2006/picture">
                  <pic:nvPicPr>
                    <pic:cNvPr id="437" name="Picture box 437"/>
                    <pic:cNvPicPr/>
                  </pic:nvPicPr>
                  <pic:blipFill>
                    <a:blip r:embed="rId379"/>
                    <a:stretch/>
                  </pic:blipFill>
                  <pic:spPr>
                    <a:xfrm>
                      <a:ext cx="560705" cy="255905"/>
                    </a:xfrm>
                    <a:prstGeom prst="rect"/>
                  </pic:spPr>
                </pic:pic>
              </a:graphicData>
            </a:graphic>
          </wp:anchor>
        </w:drawing>
      </w:r>
      <w:r>
        <w:drawing>
          <wp:anchor distT="0" distB="0" distL="0" distR="0" simplePos="0" relativeHeight="62914899" behindDoc="1" locked="0" layoutInCell="1" allowOverlap="1">
            <wp:simplePos x="0" y="0"/>
            <wp:positionH relativeFrom="page">
              <wp:posOffset>5709285</wp:posOffset>
            </wp:positionH>
            <wp:positionV relativeFrom="margin">
              <wp:posOffset>2737485</wp:posOffset>
            </wp:positionV>
            <wp:extent cx="560705" cy="255905"/>
            <wp:wrapNone/>
            <wp:docPr id="438" name="Shape 438"/>
            <a:graphic xmlns:a="http://schemas.openxmlformats.org/drawingml/2006/main">
              <a:graphicData uri="http://schemas.openxmlformats.org/drawingml/2006/picture">
                <pic:pic xmlns:pic="http://schemas.openxmlformats.org/drawingml/2006/picture">
                  <pic:nvPicPr>
                    <pic:cNvPr id="439" name="Picture box 439"/>
                    <pic:cNvPicPr/>
                  </pic:nvPicPr>
                  <pic:blipFill>
                    <a:blip r:embed="rId381"/>
                    <a:stretch/>
                  </pic:blipFill>
                  <pic:spPr>
                    <a:xfrm>
                      <a:ext cx="560705" cy="255905"/>
                    </a:xfrm>
                    <a:prstGeom prst="rect"/>
                  </pic:spPr>
                </pic:pic>
              </a:graphicData>
            </a:graphic>
          </wp:anchor>
        </w:drawing>
      </w:r>
      <w:r>
        <w:drawing>
          <wp:anchor distT="0" distB="0" distL="0" distR="0" simplePos="0" relativeHeight="62914900" behindDoc="1" locked="0" layoutInCell="1" allowOverlap="1">
            <wp:simplePos x="0" y="0"/>
            <wp:positionH relativeFrom="page">
              <wp:posOffset>6269990</wp:posOffset>
            </wp:positionH>
            <wp:positionV relativeFrom="margin">
              <wp:posOffset>2737485</wp:posOffset>
            </wp:positionV>
            <wp:extent cx="853440" cy="255905"/>
            <wp:wrapNone/>
            <wp:docPr id="440" name="Shape 440"/>
            <a:graphic xmlns:a="http://schemas.openxmlformats.org/drawingml/2006/main">
              <a:graphicData uri="http://schemas.openxmlformats.org/drawingml/2006/picture">
                <pic:pic xmlns:pic="http://schemas.openxmlformats.org/drawingml/2006/picture">
                  <pic:nvPicPr>
                    <pic:cNvPr id="441" name="Picture box 441"/>
                    <pic:cNvPicPr/>
                  </pic:nvPicPr>
                  <pic:blipFill>
                    <a:blip r:embed="rId383"/>
                    <a:stretch/>
                  </pic:blipFill>
                  <pic:spPr>
                    <a:xfrm>
                      <a:ext cx="853440" cy="255905"/>
                    </a:xfrm>
                    <a:prstGeom prst="rect"/>
                  </pic:spPr>
                </pic:pic>
              </a:graphicData>
            </a:graphic>
          </wp:anchor>
        </w:drawing>
      </w:r>
      <w:r>
        <w:drawing>
          <wp:anchor distT="0" distB="0" distL="0" distR="0" simplePos="0" relativeHeight="62914901" behindDoc="1" locked="0" layoutInCell="1" allowOverlap="1">
            <wp:simplePos x="0" y="0"/>
            <wp:positionH relativeFrom="page">
              <wp:posOffset>7126605</wp:posOffset>
            </wp:positionH>
            <wp:positionV relativeFrom="margin">
              <wp:posOffset>2737485</wp:posOffset>
            </wp:positionV>
            <wp:extent cx="774065" cy="255905"/>
            <wp:wrapNone/>
            <wp:docPr id="442" name="Shape 442"/>
            <a:graphic xmlns:a="http://schemas.openxmlformats.org/drawingml/2006/main">
              <a:graphicData uri="http://schemas.openxmlformats.org/drawingml/2006/picture">
                <pic:pic xmlns:pic="http://schemas.openxmlformats.org/drawingml/2006/picture">
                  <pic:nvPicPr>
                    <pic:cNvPr id="443" name="Picture box 443"/>
                    <pic:cNvPicPr/>
                  </pic:nvPicPr>
                  <pic:blipFill>
                    <a:blip r:embed="rId385"/>
                    <a:stretch/>
                  </pic:blipFill>
                  <pic:spPr>
                    <a:xfrm>
                      <a:ext cx="774065" cy="255905"/>
                    </a:xfrm>
                    <a:prstGeom prst="rect"/>
                  </pic:spPr>
                </pic:pic>
              </a:graphicData>
            </a:graphic>
          </wp:anchor>
        </w:drawing>
      </w:r>
      <w:r>
        <w:drawing>
          <wp:anchor distT="0" distB="0" distL="0" distR="0" simplePos="0" relativeHeight="62914902" behindDoc="1" locked="0" layoutInCell="1" allowOverlap="1">
            <wp:simplePos x="0" y="0"/>
            <wp:positionH relativeFrom="page">
              <wp:posOffset>7900670</wp:posOffset>
            </wp:positionH>
            <wp:positionV relativeFrom="margin">
              <wp:posOffset>2737485</wp:posOffset>
            </wp:positionV>
            <wp:extent cx="969010" cy="255905"/>
            <wp:wrapNone/>
            <wp:docPr id="444" name="Shape 444"/>
            <a:graphic xmlns:a="http://schemas.openxmlformats.org/drawingml/2006/main">
              <a:graphicData uri="http://schemas.openxmlformats.org/drawingml/2006/picture">
                <pic:pic xmlns:pic="http://schemas.openxmlformats.org/drawingml/2006/picture">
                  <pic:nvPicPr>
                    <pic:cNvPr id="445" name="Picture box 445"/>
                    <pic:cNvPicPr/>
                  </pic:nvPicPr>
                  <pic:blipFill>
                    <a:blip r:embed="rId387"/>
                    <a:stretch/>
                  </pic:blipFill>
                  <pic:spPr>
                    <a:xfrm>
                      <a:ext cx="969010" cy="255905"/>
                    </a:xfrm>
                    <a:prstGeom prst="rect"/>
                  </pic:spPr>
                </pic:pic>
              </a:graphicData>
            </a:graphic>
          </wp:anchor>
        </w:drawing>
      </w:r>
      <w:r>
        <w:drawing>
          <wp:anchor distT="0" distB="0" distL="0" distR="0" simplePos="0" relativeHeight="62914903" behindDoc="1" locked="0" layoutInCell="1" allowOverlap="1">
            <wp:simplePos x="0" y="0"/>
            <wp:positionH relativeFrom="page">
              <wp:posOffset>8870315</wp:posOffset>
            </wp:positionH>
            <wp:positionV relativeFrom="margin">
              <wp:posOffset>2737485</wp:posOffset>
            </wp:positionV>
            <wp:extent cx="987425" cy="255905"/>
            <wp:wrapNone/>
            <wp:docPr id="446" name="Shape 446"/>
            <a:graphic xmlns:a="http://schemas.openxmlformats.org/drawingml/2006/main">
              <a:graphicData uri="http://schemas.openxmlformats.org/drawingml/2006/picture">
                <pic:pic xmlns:pic="http://schemas.openxmlformats.org/drawingml/2006/picture">
                  <pic:nvPicPr>
                    <pic:cNvPr id="447" name="Picture box 447"/>
                    <pic:cNvPicPr/>
                  </pic:nvPicPr>
                  <pic:blipFill>
                    <a:blip r:embed="rId389"/>
                    <a:stretch/>
                  </pic:blipFill>
                  <pic:spPr>
                    <a:xfrm>
                      <a:ext cx="987425" cy="255905"/>
                    </a:xfrm>
                    <a:prstGeom prst="rect"/>
                  </pic:spPr>
                </pic:pic>
              </a:graphicData>
            </a:graphic>
          </wp:anchor>
        </w:drawing>
      </w:r>
      <w:r>
        <w:drawing>
          <wp:anchor distT="0" distB="0" distL="0" distR="0" simplePos="0" relativeHeight="62914904" behindDoc="1" locked="0" layoutInCell="1" allowOverlap="1">
            <wp:simplePos x="0" y="0"/>
            <wp:positionH relativeFrom="page">
              <wp:posOffset>5148580</wp:posOffset>
            </wp:positionH>
            <wp:positionV relativeFrom="margin">
              <wp:posOffset>2993390</wp:posOffset>
            </wp:positionV>
            <wp:extent cx="560705" cy="255905"/>
            <wp:wrapNone/>
            <wp:docPr id="448" name="Shape 448"/>
            <a:graphic xmlns:a="http://schemas.openxmlformats.org/drawingml/2006/main">
              <a:graphicData uri="http://schemas.openxmlformats.org/drawingml/2006/picture">
                <pic:pic xmlns:pic="http://schemas.openxmlformats.org/drawingml/2006/picture">
                  <pic:nvPicPr>
                    <pic:cNvPr id="449" name="Picture box 449"/>
                    <pic:cNvPicPr/>
                  </pic:nvPicPr>
                  <pic:blipFill>
                    <a:blip r:embed="rId391"/>
                    <a:stretch/>
                  </pic:blipFill>
                  <pic:spPr>
                    <a:xfrm>
                      <a:ext cx="560705" cy="255905"/>
                    </a:xfrm>
                    <a:prstGeom prst="rect"/>
                  </pic:spPr>
                </pic:pic>
              </a:graphicData>
            </a:graphic>
          </wp:anchor>
        </w:drawing>
      </w:r>
      <w:r>
        <w:drawing>
          <wp:anchor distT="0" distB="0" distL="0" distR="0" simplePos="0" relativeHeight="62914905" behindDoc="1" locked="0" layoutInCell="1" allowOverlap="1">
            <wp:simplePos x="0" y="0"/>
            <wp:positionH relativeFrom="page">
              <wp:posOffset>5709285</wp:posOffset>
            </wp:positionH>
            <wp:positionV relativeFrom="margin">
              <wp:posOffset>2993390</wp:posOffset>
            </wp:positionV>
            <wp:extent cx="560705" cy="255905"/>
            <wp:wrapNone/>
            <wp:docPr id="450" name="Shape 450"/>
            <a:graphic xmlns:a="http://schemas.openxmlformats.org/drawingml/2006/main">
              <a:graphicData uri="http://schemas.openxmlformats.org/drawingml/2006/picture">
                <pic:pic xmlns:pic="http://schemas.openxmlformats.org/drawingml/2006/picture">
                  <pic:nvPicPr>
                    <pic:cNvPr id="451" name="Picture box 451"/>
                    <pic:cNvPicPr/>
                  </pic:nvPicPr>
                  <pic:blipFill>
                    <a:blip r:embed="rId393"/>
                    <a:stretch/>
                  </pic:blipFill>
                  <pic:spPr>
                    <a:xfrm>
                      <a:ext cx="560705" cy="255905"/>
                    </a:xfrm>
                    <a:prstGeom prst="rect"/>
                  </pic:spPr>
                </pic:pic>
              </a:graphicData>
            </a:graphic>
          </wp:anchor>
        </w:drawing>
      </w:r>
      <w:r>
        <w:drawing>
          <wp:anchor distT="0" distB="0" distL="0" distR="0" simplePos="0" relativeHeight="62914906" behindDoc="1" locked="0" layoutInCell="1" allowOverlap="1">
            <wp:simplePos x="0" y="0"/>
            <wp:positionH relativeFrom="page">
              <wp:posOffset>6269990</wp:posOffset>
            </wp:positionH>
            <wp:positionV relativeFrom="margin">
              <wp:posOffset>2993390</wp:posOffset>
            </wp:positionV>
            <wp:extent cx="853440" cy="255905"/>
            <wp:wrapNone/>
            <wp:docPr id="452" name="Shape 452"/>
            <a:graphic xmlns:a="http://schemas.openxmlformats.org/drawingml/2006/main">
              <a:graphicData uri="http://schemas.openxmlformats.org/drawingml/2006/picture">
                <pic:pic xmlns:pic="http://schemas.openxmlformats.org/drawingml/2006/picture">
                  <pic:nvPicPr>
                    <pic:cNvPr id="453" name="Picture box 453"/>
                    <pic:cNvPicPr/>
                  </pic:nvPicPr>
                  <pic:blipFill>
                    <a:blip r:embed="rId395"/>
                    <a:stretch/>
                  </pic:blipFill>
                  <pic:spPr>
                    <a:xfrm>
                      <a:ext cx="853440" cy="255905"/>
                    </a:xfrm>
                    <a:prstGeom prst="rect"/>
                  </pic:spPr>
                </pic:pic>
              </a:graphicData>
            </a:graphic>
          </wp:anchor>
        </w:drawing>
      </w:r>
      <w:r>
        <w:drawing>
          <wp:anchor distT="0" distB="0" distL="0" distR="0" simplePos="0" relativeHeight="62914907" behindDoc="1" locked="0" layoutInCell="1" allowOverlap="1">
            <wp:simplePos x="0" y="0"/>
            <wp:positionH relativeFrom="page">
              <wp:posOffset>7126605</wp:posOffset>
            </wp:positionH>
            <wp:positionV relativeFrom="margin">
              <wp:posOffset>2993390</wp:posOffset>
            </wp:positionV>
            <wp:extent cx="774065" cy="255905"/>
            <wp:wrapNone/>
            <wp:docPr id="454" name="Shape 454"/>
            <a:graphic xmlns:a="http://schemas.openxmlformats.org/drawingml/2006/main">
              <a:graphicData uri="http://schemas.openxmlformats.org/drawingml/2006/picture">
                <pic:pic xmlns:pic="http://schemas.openxmlformats.org/drawingml/2006/picture">
                  <pic:nvPicPr>
                    <pic:cNvPr id="455" name="Picture box 455"/>
                    <pic:cNvPicPr/>
                  </pic:nvPicPr>
                  <pic:blipFill>
                    <a:blip r:embed="rId397"/>
                    <a:stretch/>
                  </pic:blipFill>
                  <pic:spPr>
                    <a:xfrm>
                      <a:ext cx="774065" cy="255905"/>
                    </a:xfrm>
                    <a:prstGeom prst="rect"/>
                  </pic:spPr>
                </pic:pic>
              </a:graphicData>
            </a:graphic>
          </wp:anchor>
        </w:drawing>
      </w:r>
      <w:r>
        <w:drawing>
          <wp:anchor distT="0" distB="0" distL="0" distR="0" simplePos="0" relativeHeight="62914908" behindDoc="1" locked="0" layoutInCell="1" allowOverlap="1">
            <wp:simplePos x="0" y="0"/>
            <wp:positionH relativeFrom="page">
              <wp:posOffset>5148580</wp:posOffset>
            </wp:positionH>
            <wp:positionV relativeFrom="margin">
              <wp:posOffset>3249930</wp:posOffset>
            </wp:positionV>
            <wp:extent cx="560705" cy="255905"/>
            <wp:wrapNone/>
            <wp:docPr id="456" name="Shape 456"/>
            <a:graphic xmlns:a="http://schemas.openxmlformats.org/drawingml/2006/main">
              <a:graphicData uri="http://schemas.openxmlformats.org/drawingml/2006/picture">
                <pic:pic xmlns:pic="http://schemas.openxmlformats.org/drawingml/2006/picture">
                  <pic:nvPicPr>
                    <pic:cNvPr id="457" name="Picture box 457"/>
                    <pic:cNvPicPr/>
                  </pic:nvPicPr>
                  <pic:blipFill>
                    <a:blip r:embed="rId399"/>
                    <a:stretch/>
                  </pic:blipFill>
                  <pic:spPr>
                    <a:xfrm>
                      <a:ext cx="560705" cy="255905"/>
                    </a:xfrm>
                    <a:prstGeom prst="rect"/>
                  </pic:spPr>
                </pic:pic>
              </a:graphicData>
            </a:graphic>
          </wp:anchor>
        </w:drawing>
      </w:r>
      <w:r>
        <w:drawing>
          <wp:anchor distT="0" distB="0" distL="0" distR="0" simplePos="0" relativeHeight="62914909" behindDoc="1" locked="0" layoutInCell="1" allowOverlap="1">
            <wp:simplePos x="0" y="0"/>
            <wp:positionH relativeFrom="page">
              <wp:posOffset>5709285</wp:posOffset>
            </wp:positionH>
            <wp:positionV relativeFrom="margin">
              <wp:posOffset>3249930</wp:posOffset>
            </wp:positionV>
            <wp:extent cx="560705" cy="255905"/>
            <wp:wrapNone/>
            <wp:docPr id="458" name="Shape 458"/>
            <a:graphic xmlns:a="http://schemas.openxmlformats.org/drawingml/2006/main">
              <a:graphicData uri="http://schemas.openxmlformats.org/drawingml/2006/picture">
                <pic:pic xmlns:pic="http://schemas.openxmlformats.org/drawingml/2006/picture">
                  <pic:nvPicPr>
                    <pic:cNvPr id="459" name="Picture box 459"/>
                    <pic:cNvPicPr/>
                  </pic:nvPicPr>
                  <pic:blipFill>
                    <a:blip r:embed="rId401"/>
                    <a:stretch/>
                  </pic:blipFill>
                  <pic:spPr>
                    <a:xfrm>
                      <a:ext cx="560705" cy="255905"/>
                    </a:xfrm>
                    <a:prstGeom prst="rect"/>
                  </pic:spPr>
                </pic:pic>
              </a:graphicData>
            </a:graphic>
          </wp:anchor>
        </w:drawing>
      </w:r>
      <w:r>
        <w:drawing>
          <wp:anchor distT="0" distB="0" distL="0" distR="0" simplePos="0" relativeHeight="62914910" behindDoc="1" locked="0" layoutInCell="1" allowOverlap="1">
            <wp:simplePos x="0" y="0"/>
            <wp:positionH relativeFrom="page">
              <wp:posOffset>6269990</wp:posOffset>
            </wp:positionH>
            <wp:positionV relativeFrom="margin">
              <wp:posOffset>3249930</wp:posOffset>
            </wp:positionV>
            <wp:extent cx="853440" cy="255905"/>
            <wp:wrapNone/>
            <wp:docPr id="460" name="Shape 460"/>
            <a:graphic xmlns:a="http://schemas.openxmlformats.org/drawingml/2006/main">
              <a:graphicData uri="http://schemas.openxmlformats.org/drawingml/2006/picture">
                <pic:pic xmlns:pic="http://schemas.openxmlformats.org/drawingml/2006/picture">
                  <pic:nvPicPr>
                    <pic:cNvPr id="461" name="Picture box 461"/>
                    <pic:cNvPicPr/>
                  </pic:nvPicPr>
                  <pic:blipFill>
                    <a:blip r:embed="rId403"/>
                    <a:stretch/>
                  </pic:blipFill>
                  <pic:spPr>
                    <a:xfrm>
                      <a:ext cx="853440" cy="255905"/>
                    </a:xfrm>
                    <a:prstGeom prst="rect"/>
                  </pic:spPr>
                </pic:pic>
              </a:graphicData>
            </a:graphic>
          </wp:anchor>
        </w:drawing>
      </w:r>
      <w:r>
        <w:drawing>
          <wp:anchor distT="0" distB="0" distL="0" distR="0" simplePos="0" relativeHeight="62914911" behindDoc="1" locked="0" layoutInCell="1" allowOverlap="1">
            <wp:simplePos x="0" y="0"/>
            <wp:positionH relativeFrom="page">
              <wp:posOffset>7126605</wp:posOffset>
            </wp:positionH>
            <wp:positionV relativeFrom="margin">
              <wp:posOffset>3249930</wp:posOffset>
            </wp:positionV>
            <wp:extent cx="774065" cy="255905"/>
            <wp:wrapNone/>
            <wp:docPr id="462" name="Shape 462"/>
            <a:graphic xmlns:a="http://schemas.openxmlformats.org/drawingml/2006/main">
              <a:graphicData uri="http://schemas.openxmlformats.org/drawingml/2006/picture">
                <pic:pic xmlns:pic="http://schemas.openxmlformats.org/drawingml/2006/picture">
                  <pic:nvPicPr>
                    <pic:cNvPr id="463" name="Picture box 463"/>
                    <pic:cNvPicPr/>
                  </pic:nvPicPr>
                  <pic:blipFill>
                    <a:blip r:embed="rId405"/>
                    <a:stretch/>
                  </pic:blipFill>
                  <pic:spPr>
                    <a:xfrm>
                      <a:ext cx="774065" cy="255905"/>
                    </a:xfrm>
                    <a:prstGeom prst="rect"/>
                  </pic:spPr>
                </pic:pic>
              </a:graphicData>
            </a:graphic>
          </wp:anchor>
        </w:drawing>
      </w:r>
      <w:r>
        <w:drawing>
          <wp:anchor distT="0" distB="0" distL="0" distR="0" simplePos="0" relativeHeight="62914912" behindDoc="1" locked="0" layoutInCell="1" allowOverlap="1">
            <wp:simplePos x="0" y="0"/>
            <wp:positionH relativeFrom="page">
              <wp:posOffset>7900670</wp:posOffset>
            </wp:positionH>
            <wp:positionV relativeFrom="margin">
              <wp:posOffset>3249930</wp:posOffset>
            </wp:positionV>
            <wp:extent cx="969010" cy="255905"/>
            <wp:wrapNone/>
            <wp:docPr id="464" name="Shape 464"/>
            <a:graphic xmlns:a="http://schemas.openxmlformats.org/drawingml/2006/main">
              <a:graphicData uri="http://schemas.openxmlformats.org/drawingml/2006/picture">
                <pic:pic xmlns:pic="http://schemas.openxmlformats.org/drawingml/2006/picture">
                  <pic:nvPicPr>
                    <pic:cNvPr id="465" name="Picture box 465"/>
                    <pic:cNvPicPr/>
                  </pic:nvPicPr>
                  <pic:blipFill>
                    <a:blip r:embed="rId407"/>
                    <a:stretch/>
                  </pic:blipFill>
                  <pic:spPr>
                    <a:xfrm>
                      <a:ext cx="969010" cy="255905"/>
                    </a:xfrm>
                    <a:prstGeom prst="rect"/>
                  </pic:spPr>
                </pic:pic>
              </a:graphicData>
            </a:graphic>
          </wp:anchor>
        </w:drawing>
      </w:r>
      <w:r>
        <w:drawing>
          <wp:anchor distT="0" distB="0" distL="0" distR="0" simplePos="0" relativeHeight="62914913" behindDoc="1" locked="0" layoutInCell="1" allowOverlap="1">
            <wp:simplePos x="0" y="0"/>
            <wp:positionH relativeFrom="page">
              <wp:posOffset>5148580</wp:posOffset>
            </wp:positionH>
            <wp:positionV relativeFrom="margin">
              <wp:posOffset>3505835</wp:posOffset>
            </wp:positionV>
            <wp:extent cx="560705" cy="250190"/>
            <wp:wrapNone/>
            <wp:docPr id="466" name="Shape 466"/>
            <a:graphic xmlns:a="http://schemas.openxmlformats.org/drawingml/2006/main">
              <a:graphicData uri="http://schemas.openxmlformats.org/drawingml/2006/picture">
                <pic:pic xmlns:pic="http://schemas.openxmlformats.org/drawingml/2006/picture">
                  <pic:nvPicPr>
                    <pic:cNvPr id="467" name="Picture box 467"/>
                    <pic:cNvPicPr/>
                  </pic:nvPicPr>
                  <pic:blipFill>
                    <a:blip r:embed="rId409"/>
                    <a:stretch/>
                  </pic:blipFill>
                  <pic:spPr>
                    <a:xfrm>
                      <a:ext cx="560705" cy="250190"/>
                    </a:xfrm>
                    <a:prstGeom prst="rect"/>
                  </pic:spPr>
                </pic:pic>
              </a:graphicData>
            </a:graphic>
          </wp:anchor>
        </w:drawing>
      </w:r>
      <w:r>
        <w:drawing>
          <wp:anchor distT="0" distB="0" distL="0" distR="0" simplePos="0" relativeHeight="62914914" behindDoc="1" locked="0" layoutInCell="1" allowOverlap="1">
            <wp:simplePos x="0" y="0"/>
            <wp:positionH relativeFrom="page">
              <wp:posOffset>5709285</wp:posOffset>
            </wp:positionH>
            <wp:positionV relativeFrom="margin">
              <wp:posOffset>3505835</wp:posOffset>
            </wp:positionV>
            <wp:extent cx="560705" cy="250190"/>
            <wp:wrapNone/>
            <wp:docPr id="468" name="Shape 468"/>
            <a:graphic xmlns:a="http://schemas.openxmlformats.org/drawingml/2006/main">
              <a:graphicData uri="http://schemas.openxmlformats.org/drawingml/2006/picture">
                <pic:pic xmlns:pic="http://schemas.openxmlformats.org/drawingml/2006/picture">
                  <pic:nvPicPr>
                    <pic:cNvPr id="469" name="Picture box 469"/>
                    <pic:cNvPicPr/>
                  </pic:nvPicPr>
                  <pic:blipFill>
                    <a:blip r:embed="rId411"/>
                    <a:stretch/>
                  </pic:blipFill>
                  <pic:spPr>
                    <a:xfrm>
                      <a:ext cx="560705" cy="250190"/>
                    </a:xfrm>
                    <a:prstGeom prst="rect"/>
                  </pic:spPr>
                </pic:pic>
              </a:graphicData>
            </a:graphic>
          </wp:anchor>
        </w:drawing>
      </w:r>
      <w:r>
        <w:drawing>
          <wp:anchor distT="0" distB="0" distL="0" distR="0" simplePos="0" relativeHeight="62914915" behindDoc="1" locked="0" layoutInCell="1" allowOverlap="1">
            <wp:simplePos x="0" y="0"/>
            <wp:positionH relativeFrom="page">
              <wp:posOffset>6269990</wp:posOffset>
            </wp:positionH>
            <wp:positionV relativeFrom="margin">
              <wp:posOffset>3505835</wp:posOffset>
            </wp:positionV>
            <wp:extent cx="853440" cy="250190"/>
            <wp:wrapNone/>
            <wp:docPr id="470" name="Shape 470"/>
            <a:graphic xmlns:a="http://schemas.openxmlformats.org/drawingml/2006/main">
              <a:graphicData uri="http://schemas.openxmlformats.org/drawingml/2006/picture">
                <pic:pic xmlns:pic="http://schemas.openxmlformats.org/drawingml/2006/picture">
                  <pic:nvPicPr>
                    <pic:cNvPr id="471" name="Picture box 471"/>
                    <pic:cNvPicPr/>
                  </pic:nvPicPr>
                  <pic:blipFill>
                    <a:blip r:embed="rId413"/>
                    <a:stretch/>
                  </pic:blipFill>
                  <pic:spPr>
                    <a:xfrm>
                      <a:ext cx="853440" cy="250190"/>
                    </a:xfrm>
                    <a:prstGeom prst="rect"/>
                  </pic:spPr>
                </pic:pic>
              </a:graphicData>
            </a:graphic>
          </wp:anchor>
        </w:drawing>
      </w:r>
      <w:r>
        <w:drawing>
          <wp:anchor distT="0" distB="0" distL="0" distR="0" simplePos="0" relativeHeight="62914916" behindDoc="1" locked="0" layoutInCell="1" allowOverlap="1">
            <wp:simplePos x="0" y="0"/>
            <wp:positionH relativeFrom="page">
              <wp:posOffset>7126605</wp:posOffset>
            </wp:positionH>
            <wp:positionV relativeFrom="margin">
              <wp:posOffset>3505835</wp:posOffset>
            </wp:positionV>
            <wp:extent cx="774065" cy="250190"/>
            <wp:wrapNone/>
            <wp:docPr id="472" name="Shape 472"/>
            <a:graphic xmlns:a="http://schemas.openxmlformats.org/drawingml/2006/main">
              <a:graphicData uri="http://schemas.openxmlformats.org/drawingml/2006/picture">
                <pic:pic xmlns:pic="http://schemas.openxmlformats.org/drawingml/2006/picture">
                  <pic:nvPicPr>
                    <pic:cNvPr id="473" name="Picture box 473"/>
                    <pic:cNvPicPr/>
                  </pic:nvPicPr>
                  <pic:blipFill>
                    <a:blip r:embed="rId415"/>
                    <a:stretch/>
                  </pic:blipFill>
                  <pic:spPr>
                    <a:xfrm>
                      <a:ext cx="774065" cy="250190"/>
                    </a:xfrm>
                    <a:prstGeom prst="rect"/>
                  </pic:spPr>
                </pic:pic>
              </a:graphicData>
            </a:graphic>
          </wp:anchor>
        </w:drawing>
      </w:r>
      <w:r>
        <w:drawing>
          <wp:anchor distT="0" distB="0" distL="0" distR="0" simplePos="0" relativeHeight="62914917" behindDoc="1" locked="0" layoutInCell="1" allowOverlap="1">
            <wp:simplePos x="0" y="0"/>
            <wp:positionH relativeFrom="page">
              <wp:posOffset>7900670</wp:posOffset>
            </wp:positionH>
            <wp:positionV relativeFrom="margin">
              <wp:posOffset>3505835</wp:posOffset>
            </wp:positionV>
            <wp:extent cx="969010" cy="250190"/>
            <wp:wrapNone/>
            <wp:docPr id="474" name="Shape 474"/>
            <a:graphic xmlns:a="http://schemas.openxmlformats.org/drawingml/2006/main">
              <a:graphicData uri="http://schemas.openxmlformats.org/drawingml/2006/picture">
                <pic:pic xmlns:pic="http://schemas.openxmlformats.org/drawingml/2006/picture">
                  <pic:nvPicPr>
                    <pic:cNvPr id="475" name="Picture box 475"/>
                    <pic:cNvPicPr/>
                  </pic:nvPicPr>
                  <pic:blipFill>
                    <a:blip r:embed="rId417"/>
                    <a:stretch/>
                  </pic:blipFill>
                  <pic:spPr>
                    <a:xfrm>
                      <a:ext cx="969010" cy="250190"/>
                    </a:xfrm>
                    <a:prstGeom prst="rect"/>
                  </pic:spPr>
                </pic:pic>
              </a:graphicData>
            </a:graphic>
          </wp:anchor>
        </w:drawing>
      </w:r>
      <w:r>
        <w:drawing>
          <wp:anchor distT="0" distB="0" distL="0" distR="0" simplePos="0" relativeHeight="62914918" behindDoc="1" locked="0" layoutInCell="1" allowOverlap="1">
            <wp:simplePos x="0" y="0"/>
            <wp:positionH relativeFrom="page">
              <wp:posOffset>5148580</wp:posOffset>
            </wp:positionH>
            <wp:positionV relativeFrom="margin">
              <wp:posOffset>3758565</wp:posOffset>
            </wp:positionV>
            <wp:extent cx="560705" cy="255905"/>
            <wp:wrapNone/>
            <wp:docPr id="476" name="Shape 476"/>
            <a:graphic xmlns:a="http://schemas.openxmlformats.org/drawingml/2006/main">
              <a:graphicData uri="http://schemas.openxmlformats.org/drawingml/2006/picture">
                <pic:pic xmlns:pic="http://schemas.openxmlformats.org/drawingml/2006/picture">
                  <pic:nvPicPr>
                    <pic:cNvPr id="477" name="Picture box 477"/>
                    <pic:cNvPicPr/>
                  </pic:nvPicPr>
                  <pic:blipFill>
                    <a:blip r:embed="rId419"/>
                    <a:stretch/>
                  </pic:blipFill>
                  <pic:spPr>
                    <a:xfrm>
                      <a:ext cx="560705" cy="255905"/>
                    </a:xfrm>
                    <a:prstGeom prst="rect"/>
                  </pic:spPr>
                </pic:pic>
              </a:graphicData>
            </a:graphic>
          </wp:anchor>
        </w:drawing>
      </w:r>
      <w:r>
        <w:drawing>
          <wp:anchor distT="0" distB="0" distL="0" distR="0" simplePos="0" relativeHeight="62914919" behindDoc="1" locked="0" layoutInCell="1" allowOverlap="1">
            <wp:simplePos x="0" y="0"/>
            <wp:positionH relativeFrom="page">
              <wp:posOffset>5709285</wp:posOffset>
            </wp:positionH>
            <wp:positionV relativeFrom="margin">
              <wp:posOffset>3758565</wp:posOffset>
            </wp:positionV>
            <wp:extent cx="560705" cy="255905"/>
            <wp:wrapNone/>
            <wp:docPr id="478" name="Shape 478"/>
            <a:graphic xmlns:a="http://schemas.openxmlformats.org/drawingml/2006/main">
              <a:graphicData uri="http://schemas.openxmlformats.org/drawingml/2006/picture">
                <pic:pic xmlns:pic="http://schemas.openxmlformats.org/drawingml/2006/picture">
                  <pic:nvPicPr>
                    <pic:cNvPr id="479" name="Picture box 479"/>
                    <pic:cNvPicPr/>
                  </pic:nvPicPr>
                  <pic:blipFill>
                    <a:blip r:embed="rId421"/>
                    <a:stretch/>
                  </pic:blipFill>
                  <pic:spPr>
                    <a:xfrm>
                      <a:ext cx="560705" cy="255905"/>
                    </a:xfrm>
                    <a:prstGeom prst="rect"/>
                  </pic:spPr>
                </pic:pic>
              </a:graphicData>
            </a:graphic>
          </wp:anchor>
        </w:drawing>
      </w:r>
      <w:r>
        <w:drawing>
          <wp:anchor distT="0" distB="0" distL="0" distR="0" simplePos="0" relativeHeight="62914920" behindDoc="1" locked="0" layoutInCell="1" allowOverlap="1">
            <wp:simplePos x="0" y="0"/>
            <wp:positionH relativeFrom="page">
              <wp:posOffset>6269990</wp:posOffset>
            </wp:positionH>
            <wp:positionV relativeFrom="margin">
              <wp:posOffset>3758565</wp:posOffset>
            </wp:positionV>
            <wp:extent cx="853440" cy="255905"/>
            <wp:wrapNone/>
            <wp:docPr id="480" name="Shape 480"/>
            <a:graphic xmlns:a="http://schemas.openxmlformats.org/drawingml/2006/main">
              <a:graphicData uri="http://schemas.openxmlformats.org/drawingml/2006/picture">
                <pic:pic xmlns:pic="http://schemas.openxmlformats.org/drawingml/2006/picture">
                  <pic:nvPicPr>
                    <pic:cNvPr id="481" name="Picture box 481"/>
                    <pic:cNvPicPr/>
                  </pic:nvPicPr>
                  <pic:blipFill>
                    <a:blip r:embed="rId423"/>
                    <a:stretch/>
                  </pic:blipFill>
                  <pic:spPr>
                    <a:xfrm>
                      <a:ext cx="853440" cy="255905"/>
                    </a:xfrm>
                    <a:prstGeom prst="rect"/>
                  </pic:spPr>
                </pic:pic>
              </a:graphicData>
            </a:graphic>
          </wp:anchor>
        </w:drawing>
      </w:r>
      <w:r>
        <w:drawing>
          <wp:anchor distT="0" distB="0" distL="0" distR="0" simplePos="0" relativeHeight="62914921" behindDoc="1" locked="0" layoutInCell="1" allowOverlap="1">
            <wp:simplePos x="0" y="0"/>
            <wp:positionH relativeFrom="page">
              <wp:posOffset>7126605</wp:posOffset>
            </wp:positionH>
            <wp:positionV relativeFrom="margin">
              <wp:posOffset>3758565</wp:posOffset>
            </wp:positionV>
            <wp:extent cx="774065" cy="255905"/>
            <wp:wrapNone/>
            <wp:docPr id="482" name="Shape 482"/>
            <a:graphic xmlns:a="http://schemas.openxmlformats.org/drawingml/2006/main">
              <a:graphicData uri="http://schemas.openxmlformats.org/drawingml/2006/picture">
                <pic:pic xmlns:pic="http://schemas.openxmlformats.org/drawingml/2006/picture">
                  <pic:nvPicPr>
                    <pic:cNvPr id="483" name="Picture box 483"/>
                    <pic:cNvPicPr/>
                  </pic:nvPicPr>
                  <pic:blipFill>
                    <a:blip r:embed="rId425"/>
                    <a:stretch/>
                  </pic:blipFill>
                  <pic:spPr>
                    <a:xfrm>
                      <a:ext cx="774065" cy="255905"/>
                    </a:xfrm>
                    <a:prstGeom prst="rect"/>
                  </pic:spPr>
                </pic:pic>
              </a:graphicData>
            </a:graphic>
          </wp:anchor>
        </w:drawing>
      </w:r>
      <w:r>
        <w:drawing>
          <wp:anchor distT="0" distB="0" distL="0" distR="0" simplePos="0" relativeHeight="62914922" behindDoc="1" locked="0" layoutInCell="1" allowOverlap="1">
            <wp:simplePos x="0" y="0"/>
            <wp:positionH relativeFrom="page">
              <wp:posOffset>7900670</wp:posOffset>
            </wp:positionH>
            <wp:positionV relativeFrom="margin">
              <wp:posOffset>3758565</wp:posOffset>
            </wp:positionV>
            <wp:extent cx="969010" cy="255905"/>
            <wp:wrapNone/>
            <wp:docPr id="484" name="Shape 484"/>
            <a:graphic xmlns:a="http://schemas.openxmlformats.org/drawingml/2006/main">
              <a:graphicData uri="http://schemas.openxmlformats.org/drawingml/2006/picture">
                <pic:pic xmlns:pic="http://schemas.openxmlformats.org/drawingml/2006/picture">
                  <pic:nvPicPr>
                    <pic:cNvPr id="485" name="Picture box 485"/>
                    <pic:cNvPicPr/>
                  </pic:nvPicPr>
                  <pic:blipFill>
                    <a:blip r:embed="rId427"/>
                    <a:stretch/>
                  </pic:blipFill>
                  <pic:spPr>
                    <a:xfrm>
                      <a:ext cx="969010" cy="255905"/>
                    </a:xfrm>
                    <a:prstGeom prst="rect"/>
                  </pic:spPr>
                </pic:pic>
              </a:graphicData>
            </a:graphic>
          </wp:anchor>
        </w:drawing>
      </w:r>
      <w:r>
        <w:drawing>
          <wp:anchor distT="0" distB="0" distL="0" distR="0" simplePos="0" relativeHeight="62914923" behindDoc="1" locked="0" layoutInCell="1" allowOverlap="1">
            <wp:simplePos x="0" y="0"/>
            <wp:positionH relativeFrom="page">
              <wp:posOffset>8870315</wp:posOffset>
            </wp:positionH>
            <wp:positionV relativeFrom="margin">
              <wp:posOffset>3758565</wp:posOffset>
            </wp:positionV>
            <wp:extent cx="987425" cy="255905"/>
            <wp:wrapNone/>
            <wp:docPr id="486" name="Shape 486"/>
            <a:graphic xmlns:a="http://schemas.openxmlformats.org/drawingml/2006/main">
              <a:graphicData uri="http://schemas.openxmlformats.org/drawingml/2006/picture">
                <pic:pic xmlns:pic="http://schemas.openxmlformats.org/drawingml/2006/picture">
                  <pic:nvPicPr>
                    <pic:cNvPr id="487" name="Picture box 487"/>
                    <pic:cNvPicPr/>
                  </pic:nvPicPr>
                  <pic:blipFill>
                    <a:blip r:embed="rId429"/>
                    <a:stretch/>
                  </pic:blipFill>
                  <pic:spPr>
                    <a:xfrm>
                      <a:ext cx="987425" cy="255905"/>
                    </a:xfrm>
                    <a:prstGeom prst="rect"/>
                  </pic:spPr>
                </pic:pic>
              </a:graphicData>
            </a:graphic>
          </wp:anchor>
        </w:drawing>
      </w:r>
      <w:r>
        <w:drawing>
          <wp:anchor distT="0" distB="0" distL="0" distR="0" simplePos="0" relativeHeight="62914924" behindDoc="1" locked="0" layoutInCell="1" allowOverlap="1">
            <wp:simplePos x="0" y="0"/>
            <wp:positionH relativeFrom="page">
              <wp:posOffset>5148580</wp:posOffset>
            </wp:positionH>
            <wp:positionV relativeFrom="margin">
              <wp:posOffset>4014470</wp:posOffset>
            </wp:positionV>
            <wp:extent cx="560705" cy="255905"/>
            <wp:wrapNone/>
            <wp:docPr id="488" name="Shape 488"/>
            <a:graphic xmlns:a="http://schemas.openxmlformats.org/drawingml/2006/main">
              <a:graphicData uri="http://schemas.openxmlformats.org/drawingml/2006/picture">
                <pic:pic xmlns:pic="http://schemas.openxmlformats.org/drawingml/2006/picture">
                  <pic:nvPicPr>
                    <pic:cNvPr id="489" name="Picture box 489"/>
                    <pic:cNvPicPr/>
                  </pic:nvPicPr>
                  <pic:blipFill>
                    <a:blip r:embed="rId431"/>
                    <a:stretch/>
                  </pic:blipFill>
                  <pic:spPr>
                    <a:xfrm>
                      <a:ext cx="560705" cy="255905"/>
                    </a:xfrm>
                    <a:prstGeom prst="rect"/>
                  </pic:spPr>
                </pic:pic>
              </a:graphicData>
            </a:graphic>
          </wp:anchor>
        </w:drawing>
      </w:r>
      <w:r>
        <w:drawing>
          <wp:anchor distT="0" distB="0" distL="0" distR="0" simplePos="0" relativeHeight="62914925" behindDoc="1" locked="0" layoutInCell="1" allowOverlap="1">
            <wp:simplePos x="0" y="0"/>
            <wp:positionH relativeFrom="page">
              <wp:posOffset>5709285</wp:posOffset>
            </wp:positionH>
            <wp:positionV relativeFrom="margin">
              <wp:posOffset>4014470</wp:posOffset>
            </wp:positionV>
            <wp:extent cx="560705" cy="255905"/>
            <wp:wrapNone/>
            <wp:docPr id="490" name="Shape 490"/>
            <a:graphic xmlns:a="http://schemas.openxmlformats.org/drawingml/2006/main">
              <a:graphicData uri="http://schemas.openxmlformats.org/drawingml/2006/picture">
                <pic:pic xmlns:pic="http://schemas.openxmlformats.org/drawingml/2006/picture">
                  <pic:nvPicPr>
                    <pic:cNvPr id="491" name="Picture box 491"/>
                    <pic:cNvPicPr/>
                  </pic:nvPicPr>
                  <pic:blipFill>
                    <a:blip r:embed="rId433"/>
                    <a:stretch/>
                  </pic:blipFill>
                  <pic:spPr>
                    <a:xfrm>
                      <a:ext cx="560705" cy="255905"/>
                    </a:xfrm>
                    <a:prstGeom prst="rect"/>
                  </pic:spPr>
                </pic:pic>
              </a:graphicData>
            </a:graphic>
          </wp:anchor>
        </w:drawing>
      </w:r>
      <w:r>
        <w:drawing>
          <wp:anchor distT="0" distB="0" distL="0" distR="0" simplePos="0" relativeHeight="62914926" behindDoc="1" locked="0" layoutInCell="1" allowOverlap="1">
            <wp:simplePos x="0" y="0"/>
            <wp:positionH relativeFrom="page">
              <wp:posOffset>6269990</wp:posOffset>
            </wp:positionH>
            <wp:positionV relativeFrom="margin">
              <wp:posOffset>4014470</wp:posOffset>
            </wp:positionV>
            <wp:extent cx="853440" cy="255905"/>
            <wp:wrapNone/>
            <wp:docPr id="492" name="Shape 492"/>
            <a:graphic xmlns:a="http://schemas.openxmlformats.org/drawingml/2006/main">
              <a:graphicData uri="http://schemas.openxmlformats.org/drawingml/2006/picture">
                <pic:pic xmlns:pic="http://schemas.openxmlformats.org/drawingml/2006/picture">
                  <pic:nvPicPr>
                    <pic:cNvPr id="493" name="Picture box 493"/>
                    <pic:cNvPicPr/>
                  </pic:nvPicPr>
                  <pic:blipFill>
                    <a:blip r:embed="rId435"/>
                    <a:stretch/>
                  </pic:blipFill>
                  <pic:spPr>
                    <a:xfrm>
                      <a:ext cx="853440" cy="255905"/>
                    </a:xfrm>
                    <a:prstGeom prst="rect"/>
                  </pic:spPr>
                </pic:pic>
              </a:graphicData>
            </a:graphic>
          </wp:anchor>
        </w:drawing>
      </w:r>
      <w:r>
        <w:drawing>
          <wp:anchor distT="0" distB="0" distL="0" distR="0" simplePos="0" relativeHeight="62914927" behindDoc="1" locked="0" layoutInCell="1" allowOverlap="1">
            <wp:simplePos x="0" y="0"/>
            <wp:positionH relativeFrom="page">
              <wp:posOffset>7126605</wp:posOffset>
            </wp:positionH>
            <wp:positionV relativeFrom="margin">
              <wp:posOffset>4014470</wp:posOffset>
            </wp:positionV>
            <wp:extent cx="774065" cy="255905"/>
            <wp:wrapNone/>
            <wp:docPr id="494" name="Shape 494"/>
            <a:graphic xmlns:a="http://schemas.openxmlformats.org/drawingml/2006/main">
              <a:graphicData uri="http://schemas.openxmlformats.org/drawingml/2006/picture">
                <pic:pic xmlns:pic="http://schemas.openxmlformats.org/drawingml/2006/picture">
                  <pic:nvPicPr>
                    <pic:cNvPr id="495" name="Picture box 495"/>
                    <pic:cNvPicPr/>
                  </pic:nvPicPr>
                  <pic:blipFill>
                    <a:blip r:embed="rId437"/>
                    <a:stretch/>
                  </pic:blipFill>
                  <pic:spPr>
                    <a:xfrm>
                      <a:ext cx="774065" cy="255905"/>
                    </a:xfrm>
                    <a:prstGeom prst="rect"/>
                  </pic:spPr>
                </pic:pic>
              </a:graphicData>
            </a:graphic>
          </wp:anchor>
        </w:drawing>
      </w:r>
      <w:r>
        <w:drawing>
          <wp:anchor distT="0" distB="0" distL="0" distR="0" simplePos="0" relativeHeight="62914928" behindDoc="1" locked="0" layoutInCell="1" allowOverlap="1">
            <wp:simplePos x="0" y="0"/>
            <wp:positionH relativeFrom="page">
              <wp:posOffset>7900670</wp:posOffset>
            </wp:positionH>
            <wp:positionV relativeFrom="margin">
              <wp:posOffset>4014470</wp:posOffset>
            </wp:positionV>
            <wp:extent cx="969010" cy="255905"/>
            <wp:wrapNone/>
            <wp:docPr id="496" name="Shape 496"/>
            <a:graphic xmlns:a="http://schemas.openxmlformats.org/drawingml/2006/main">
              <a:graphicData uri="http://schemas.openxmlformats.org/drawingml/2006/picture">
                <pic:pic xmlns:pic="http://schemas.openxmlformats.org/drawingml/2006/picture">
                  <pic:nvPicPr>
                    <pic:cNvPr id="497" name="Picture box 497"/>
                    <pic:cNvPicPr/>
                  </pic:nvPicPr>
                  <pic:blipFill>
                    <a:blip r:embed="rId439"/>
                    <a:stretch/>
                  </pic:blipFill>
                  <pic:spPr>
                    <a:xfrm>
                      <a:ext cx="969010" cy="255905"/>
                    </a:xfrm>
                    <a:prstGeom prst="rect"/>
                  </pic:spPr>
                </pic:pic>
              </a:graphicData>
            </a:graphic>
          </wp:anchor>
        </w:drawing>
      </w:r>
      <w:r>
        <w:drawing>
          <wp:anchor distT="0" distB="0" distL="0" distR="0" simplePos="0" relativeHeight="62914929" behindDoc="1" locked="0" layoutInCell="1" allowOverlap="1">
            <wp:simplePos x="0" y="0"/>
            <wp:positionH relativeFrom="page">
              <wp:posOffset>8870315</wp:posOffset>
            </wp:positionH>
            <wp:positionV relativeFrom="margin">
              <wp:posOffset>4014470</wp:posOffset>
            </wp:positionV>
            <wp:extent cx="987425" cy="255905"/>
            <wp:wrapNone/>
            <wp:docPr id="498" name="Shape 498"/>
            <a:graphic xmlns:a="http://schemas.openxmlformats.org/drawingml/2006/main">
              <a:graphicData uri="http://schemas.openxmlformats.org/drawingml/2006/picture">
                <pic:pic xmlns:pic="http://schemas.openxmlformats.org/drawingml/2006/picture">
                  <pic:nvPicPr>
                    <pic:cNvPr id="499" name="Picture box 499"/>
                    <pic:cNvPicPr/>
                  </pic:nvPicPr>
                  <pic:blipFill>
                    <a:blip r:embed="rId441"/>
                    <a:stretch/>
                  </pic:blipFill>
                  <pic:spPr>
                    <a:xfrm>
                      <a:ext cx="987425" cy="255905"/>
                    </a:xfrm>
                    <a:prstGeom prst="rect"/>
                  </pic:spPr>
                </pic:pic>
              </a:graphicData>
            </a:graphic>
          </wp:anchor>
        </w:drawing>
      </w:r>
      <w:r>
        <w:drawing>
          <wp:anchor distT="0" distB="0" distL="0" distR="0" simplePos="0" relativeHeight="62914930" behindDoc="1" locked="0" layoutInCell="1" allowOverlap="1">
            <wp:simplePos x="0" y="0"/>
            <wp:positionH relativeFrom="page">
              <wp:posOffset>5148580</wp:posOffset>
            </wp:positionH>
            <wp:positionV relativeFrom="margin">
              <wp:posOffset>4271010</wp:posOffset>
            </wp:positionV>
            <wp:extent cx="560705" cy="255905"/>
            <wp:wrapNone/>
            <wp:docPr id="500" name="Shape 500"/>
            <a:graphic xmlns:a="http://schemas.openxmlformats.org/drawingml/2006/main">
              <a:graphicData uri="http://schemas.openxmlformats.org/drawingml/2006/picture">
                <pic:pic xmlns:pic="http://schemas.openxmlformats.org/drawingml/2006/picture">
                  <pic:nvPicPr>
                    <pic:cNvPr id="501" name="Picture box 501"/>
                    <pic:cNvPicPr/>
                  </pic:nvPicPr>
                  <pic:blipFill>
                    <a:blip r:embed="rId443"/>
                    <a:stretch/>
                  </pic:blipFill>
                  <pic:spPr>
                    <a:xfrm>
                      <a:ext cx="560705" cy="255905"/>
                    </a:xfrm>
                    <a:prstGeom prst="rect"/>
                  </pic:spPr>
                </pic:pic>
              </a:graphicData>
            </a:graphic>
          </wp:anchor>
        </w:drawing>
      </w:r>
      <w:r>
        <w:drawing>
          <wp:anchor distT="0" distB="0" distL="0" distR="0" simplePos="0" relativeHeight="62914931" behindDoc="1" locked="0" layoutInCell="1" allowOverlap="1">
            <wp:simplePos x="0" y="0"/>
            <wp:positionH relativeFrom="page">
              <wp:posOffset>5709285</wp:posOffset>
            </wp:positionH>
            <wp:positionV relativeFrom="margin">
              <wp:posOffset>4271010</wp:posOffset>
            </wp:positionV>
            <wp:extent cx="560705" cy="255905"/>
            <wp:wrapNone/>
            <wp:docPr id="502" name="Shape 502"/>
            <a:graphic xmlns:a="http://schemas.openxmlformats.org/drawingml/2006/main">
              <a:graphicData uri="http://schemas.openxmlformats.org/drawingml/2006/picture">
                <pic:pic xmlns:pic="http://schemas.openxmlformats.org/drawingml/2006/picture">
                  <pic:nvPicPr>
                    <pic:cNvPr id="503" name="Picture box 503"/>
                    <pic:cNvPicPr/>
                  </pic:nvPicPr>
                  <pic:blipFill>
                    <a:blip r:embed="rId445"/>
                    <a:stretch/>
                  </pic:blipFill>
                  <pic:spPr>
                    <a:xfrm>
                      <a:ext cx="560705" cy="255905"/>
                    </a:xfrm>
                    <a:prstGeom prst="rect"/>
                  </pic:spPr>
                </pic:pic>
              </a:graphicData>
            </a:graphic>
          </wp:anchor>
        </w:drawing>
      </w:r>
      <w:r>
        <w:drawing>
          <wp:anchor distT="0" distB="0" distL="0" distR="0" simplePos="0" relativeHeight="62914932" behindDoc="1" locked="0" layoutInCell="1" allowOverlap="1">
            <wp:simplePos x="0" y="0"/>
            <wp:positionH relativeFrom="page">
              <wp:posOffset>7126605</wp:posOffset>
            </wp:positionH>
            <wp:positionV relativeFrom="margin">
              <wp:posOffset>4271010</wp:posOffset>
            </wp:positionV>
            <wp:extent cx="774065" cy="255905"/>
            <wp:wrapNone/>
            <wp:docPr id="504" name="Shape 504"/>
            <a:graphic xmlns:a="http://schemas.openxmlformats.org/drawingml/2006/main">
              <a:graphicData uri="http://schemas.openxmlformats.org/drawingml/2006/picture">
                <pic:pic xmlns:pic="http://schemas.openxmlformats.org/drawingml/2006/picture">
                  <pic:nvPicPr>
                    <pic:cNvPr id="505" name="Picture box 505"/>
                    <pic:cNvPicPr/>
                  </pic:nvPicPr>
                  <pic:blipFill>
                    <a:blip r:embed="rId447"/>
                    <a:stretch/>
                  </pic:blipFill>
                  <pic:spPr>
                    <a:xfrm>
                      <a:ext cx="774065" cy="255905"/>
                    </a:xfrm>
                    <a:prstGeom prst="rect"/>
                  </pic:spPr>
                </pic:pic>
              </a:graphicData>
            </a:graphic>
          </wp:anchor>
        </w:drawing>
      </w:r>
      <w:r>
        <w:drawing>
          <wp:anchor distT="0" distB="0" distL="0" distR="0" simplePos="0" relativeHeight="62914933" behindDoc="1" locked="0" layoutInCell="1" allowOverlap="1">
            <wp:simplePos x="0" y="0"/>
            <wp:positionH relativeFrom="page">
              <wp:posOffset>5148580</wp:posOffset>
            </wp:positionH>
            <wp:positionV relativeFrom="margin">
              <wp:posOffset>4526915</wp:posOffset>
            </wp:positionV>
            <wp:extent cx="560705" cy="250190"/>
            <wp:wrapNone/>
            <wp:docPr id="506" name="Shape 506"/>
            <a:graphic xmlns:a="http://schemas.openxmlformats.org/drawingml/2006/main">
              <a:graphicData uri="http://schemas.openxmlformats.org/drawingml/2006/picture">
                <pic:pic xmlns:pic="http://schemas.openxmlformats.org/drawingml/2006/picture">
                  <pic:nvPicPr>
                    <pic:cNvPr id="507" name="Picture box 507"/>
                    <pic:cNvPicPr/>
                  </pic:nvPicPr>
                  <pic:blipFill>
                    <a:blip r:embed="rId449"/>
                    <a:stretch/>
                  </pic:blipFill>
                  <pic:spPr>
                    <a:xfrm>
                      <a:ext cx="560705" cy="250190"/>
                    </a:xfrm>
                    <a:prstGeom prst="rect"/>
                  </pic:spPr>
                </pic:pic>
              </a:graphicData>
            </a:graphic>
          </wp:anchor>
        </w:drawing>
      </w:r>
      <w:r>
        <w:drawing>
          <wp:anchor distT="0" distB="0" distL="0" distR="0" simplePos="0" relativeHeight="62914934" behindDoc="1" locked="0" layoutInCell="1" allowOverlap="1">
            <wp:simplePos x="0" y="0"/>
            <wp:positionH relativeFrom="page">
              <wp:posOffset>5709285</wp:posOffset>
            </wp:positionH>
            <wp:positionV relativeFrom="margin">
              <wp:posOffset>4526915</wp:posOffset>
            </wp:positionV>
            <wp:extent cx="560705" cy="250190"/>
            <wp:wrapNone/>
            <wp:docPr id="508" name="Shape 508"/>
            <a:graphic xmlns:a="http://schemas.openxmlformats.org/drawingml/2006/main">
              <a:graphicData uri="http://schemas.openxmlformats.org/drawingml/2006/picture">
                <pic:pic xmlns:pic="http://schemas.openxmlformats.org/drawingml/2006/picture">
                  <pic:nvPicPr>
                    <pic:cNvPr id="509" name="Picture box 509"/>
                    <pic:cNvPicPr/>
                  </pic:nvPicPr>
                  <pic:blipFill>
                    <a:blip r:embed="rId451"/>
                    <a:stretch/>
                  </pic:blipFill>
                  <pic:spPr>
                    <a:xfrm>
                      <a:ext cx="560705" cy="250190"/>
                    </a:xfrm>
                    <a:prstGeom prst="rect"/>
                  </pic:spPr>
                </pic:pic>
              </a:graphicData>
            </a:graphic>
          </wp:anchor>
        </w:drawing>
      </w:r>
      <w:r>
        <w:drawing>
          <wp:anchor distT="0" distB="0" distL="0" distR="0" simplePos="0" relativeHeight="62914935" behindDoc="1" locked="0" layoutInCell="1" allowOverlap="1">
            <wp:simplePos x="0" y="0"/>
            <wp:positionH relativeFrom="page">
              <wp:posOffset>7126605</wp:posOffset>
            </wp:positionH>
            <wp:positionV relativeFrom="margin">
              <wp:posOffset>4526915</wp:posOffset>
            </wp:positionV>
            <wp:extent cx="774065" cy="250190"/>
            <wp:wrapNone/>
            <wp:docPr id="510" name="Shape 510"/>
            <a:graphic xmlns:a="http://schemas.openxmlformats.org/drawingml/2006/main">
              <a:graphicData uri="http://schemas.openxmlformats.org/drawingml/2006/picture">
                <pic:pic xmlns:pic="http://schemas.openxmlformats.org/drawingml/2006/picture">
                  <pic:nvPicPr>
                    <pic:cNvPr id="511" name="Picture box 511"/>
                    <pic:cNvPicPr/>
                  </pic:nvPicPr>
                  <pic:blipFill>
                    <a:blip r:embed="rId453"/>
                    <a:stretch/>
                  </pic:blipFill>
                  <pic:spPr>
                    <a:xfrm>
                      <a:ext cx="774065" cy="250190"/>
                    </a:xfrm>
                    <a:prstGeom prst="rect"/>
                  </pic:spPr>
                </pic:pic>
              </a:graphicData>
            </a:graphic>
          </wp:anchor>
        </w:drawing>
      </w:r>
      <w:r>
        <w:drawing>
          <wp:anchor distT="0" distB="0" distL="0" distR="0" simplePos="0" relativeHeight="62914936" behindDoc="1" locked="0" layoutInCell="1" allowOverlap="1">
            <wp:simplePos x="0" y="0"/>
            <wp:positionH relativeFrom="page">
              <wp:posOffset>8870315</wp:posOffset>
            </wp:positionH>
            <wp:positionV relativeFrom="margin">
              <wp:posOffset>4526915</wp:posOffset>
            </wp:positionV>
            <wp:extent cx="987425" cy="250190"/>
            <wp:wrapNone/>
            <wp:docPr id="512" name="Shape 512"/>
            <a:graphic xmlns:a="http://schemas.openxmlformats.org/drawingml/2006/main">
              <a:graphicData uri="http://schemas.openxmlformats.org/drawingml/2006/picture">
                <pic:pic xmlns:pic="http://schemas.openxmlformats.org/drawingml/2006/picture">
                  <pic:nvPicPr>
                    <pic:cNvPr id="513" name="Picture box 513"/>
                    <pic:cNvPicPr/>
                  </pic:nvPicPr>
                  <pic:blipFill>
                    <a:blip r:embed="rId455"/>
                    <a:stretch/>
                  </pic:blipFill>
                  <pic:spPr>
                    <a:xfrm>
                      <a:ext cx="987425" cy="250190"/>
                    </a:xfrm>
                    <a:prstGeom prst="rect"/>
                  </pic:spPr>
                </pic:pic>
              </a:graphicData>
            </a:graphic>
          </wp:anchor>
        </w:drawing>
      </w:r>
      <w:r>
        <w:drawing>
          <wp:anchor distT="0" distB="0" distL="0" distR="0" simplePos="0" relativeHeight="62914937" behindDoc="1" locked="0" layoutInCell="1" allowOverlap="1">
            <wp:simplePos x="0" y="0"/>
            <wp:positionH relativeFrom="page">
              <wp:posOffset>5148580</wp:posOffset>
            </wp:positionH>
            <wp:positionV relativeFrom="margin">
              <wp:posOffset>4779645</wp:posOffset>
            </wp:positionV>
            <wp:extent cx="560705" cy="255905"/>
            <wp:wrapNone/>
            <wp:docPr id="514" name="Shape 514"/>
            <a:graphic xmlns:a="http://schemas.openxmlformats.org/drawingml/2006/main">
              <a:graphicData uri="http://schemas.openxmlformats.org/drawingml/2006/picture">
                <pic:pic xmlns:pic="http://schemas.openxmlformats.org/drawingml/2006/picture">
                  <pic:nvPicPr>
                    <pic:cNvPr id="515" name="Picture box 515"/>
                    <pic:cNvPicPr/>
                  </pic:nvPicPr>
                  <pic:blipFill>
                    <a:blip r:embed="rId457"/>
                    <a:stretch/>
                  </pic:blipFill>
                  <pic:spPr>
                    <a:xfrm>
                      <a:ext cx="560705" cy="255905"/>
                    </a:xfrm>
                    <a:prstGeom prst="rect"/>
                  </pic:spPr>
                </pic:pic>
              </a:graphicData>
            </a:graphic>
          </wp:anchor>
        </w:drawing>
      </w:r>
      <w:r>
        <w:drawing>
          <wp:anchor distT="0" distB="0" distL="0" distR="0" simplePos="0" relativeHeight="62914938" behindDoc="1" locked="0" layoutInCell="1" allowOverlap="1">
            <wp:simplePos x="0" y="0"/>
            <wp:positionH relativeFrom="page">
              <wp:posOffset>5709285</wp:posOffset>
            </wp:positionH>
            <wp:positionV relativeFrom="margin">
              <wp:posOffset>4779645</wp:posOffset>
            </wp:positionV>
            <wp:extent cx="560705" cy="255905"/>
            <wp:wrapNone/>
            <wp:docPr id="516" name="Shape 516"/>
            <a:graphic xmlns:a="http://schemas.openxmlformats.org/drawingml/2006/main">
              <a:graphicData uri="http://schemas.openxmlformats.org/drawingml/2006/picture">
                <pic:pic xmlns:pic="http://schemas.openxmlformats.org/drawingml/2006/picture">
                  <pic:nvPicPr>
                    <pic:cNvPr id="517" name="Picture box 517"/>
                    <pic:cNvPicPr/>
                  </pic:nvPicPr>
                  <pic:blipFill>
                    <a:blip r:embed="rId459"/>
                    <a:stretch/>
                  </pic:blipFill>
                  <pic:spPr>
                    <a:xfrm>
                      <a:ext cx="560705" cy="255905"/>
                    </a:xfrm>
                    <a:prstGeom prst="rect"/>
                  </pic:spPr>
                </pic:pic>
              </a:graphicData>
            </a:graphic>
          </wp:anchor>
        </w:drawing>
      </w:r>
      <w:r>
        <w:drawing>
          <wp:anchor distT="0" distB="0" distL="0" distR="0" simplePos="0" relativeHeight="62914939" behindDoc="1" locked="0" layoutInCell="1" allowOverlap="1">
            <wp:simplePos x="0" y="0"/>
            <wp:positionH relativeFrom="page">
              <wp:posOffset>6269990</wp:posOffset>
            </wp:positionH>
            <wp:positionV relativeFrom="margin">
              <wp:posOffset>4779645</wp:posOffset>
            </wp:positionV>
            <wp:extent cx="853440" cy="255905"/>
            <wp:wrapNone/>
            <wp:docPr id="518" name="Shape 518"/>
            <a:graphic xmlns:a="http://schemas.openxmlformats.org/drawingml/2006/main">
              <a:graphicData uri="http://schemas.openxmlformats.org/drawingml/2006/picture">
                <pic:pic xmlns:pic="http://schemas.openxmlformats.org/drawingml/2006/picture">
                  <pic:nvPicPr>
                    <pic:cNvPr id="519" name="Picture box 519"/>
                    <pic:cNvPicPr/>
                  </pic:nvPicPr>
                  <pic:blipFill>
                    <a:blip r:embed="rId461"/>
                    <a:stretch/>
                  </pic:blipFill>
                  <pic:spPr>
                    <a:xfrm>
                      <a:ext cx="853440" cy="255905"/>
                    </a:xfrm>
                    <a:prstGeom prst="rect"/>
                  </pic:spPr>
                </pic:pic>
              </a:graphicData>
            </a:graphic>
          </wp:anchor>
        </w:drawing>
      </w:r>
      <w:r>
        <w:drawing>
          <wp:anchor distT="0" distB="0" distL="0" distR="0" simplePos="0" relativeHeight="62914940" behindDoc="1" locked="0" layoutInCell="1" allowOverlap="1">
            <wp:simplePos x="0" y="0"/>
            <wp:positionH relativeFrom="page">
              <wp:posOffset>7126605</wp:posOffset>
            </wp:positionH>
            <wp:positionV relativeFrom="margin">
              <wp:posOffset>4779645</wp:posOffset>
            </wp:positionV>
            <wp:extent cx="774065" cy="255905"/>
            <wp:wrapNone/>
            <wp:docPr id="520" name="Shape 520"/>
            <a:graphic xmlns:a="http://schemas.openxmlformats.org/drawingml/2006/main">
              <a:graphicData uri="http://schemas.openxmlformats.org/drawingml/2006/picture">
                <pic:pic xmlns:pic="http://schemas.openxmlformats.org/drawingml/2006/picture">
                  <pic:nvPicPr>
                    <pic:cNvPr id="521" name="Picture box 521"/>
                    <pic:cNvPicPr/>
                  </pic:nvPicPr>
                  <pic:blipFill>
                    <a:blip r:embed="rId463"/>
                    <a:stretch/>
                  </pic:blipFill>
                  <pic:spPr>
                    <a:xfrm>
                      <a:ext cx="774065" cy="255905"/>
                    </a:xfrm>
                    <a:prstGeom prst="rect"/>
                  </pic:spPr>
                </pic:pic>
              </a:graphicData>
            </a:graphic>
          </wp:anchor>
        </w:drawing>
      </w:r>
      <w:r>
        <w:drawing>
          <wp:anchor distT="0" distB="0" distL="0" distR="0" simplePos="0" relativeHeight="62914941" behindDoc="1" locked="0" layoutInCell="1" allowOverlap="1">
            <wp:simplePos x="0" y="0"/>
            <wp:positionH relativeFrom="page">
              <wp:posOffset>7900670</wp:posOffset>
            </wp:positionH>
            <wp:positionV relativeFrom="margin">
              <wp:posOffset>4779645</wp:posOffset>
            </wp:positionV>
            <wp:extent cx="969010" cy="255905"/>
            <wp:wrapNone/>
            <wp:docPr id="522" name="Shape 522"/>
            <a:graphic xmlns:a="http://schemas.openxmlformats.org/drawingml/2006/main">
              <a:graphicData uri="http://schemas.openxmlformats.org/drawingml/2006/picture">
                <pic:pic xmlns:pic="http://schemas.openxmlformats.org/drawingml/2006/picture">
                  <pic:nvPicPr>
                    <pic:cNvPr id="523" name="Picture box 523"/>
                    <pic:cNvPicPr/>
                  </pic:nvPicPr>
                  <pic:blipFill>
                    <a:blip r:embed="rId465"/>
                    <a:stretch/>
                  </pic:blipFill>
                  <pic:spPr>
                    <a:xfrm>
                      <a:ext cx="969010" cy="255905"/>
                    </a:xfrm>
                    <a:prstGeom prst="rect"/>
                  </pic:spPr>
                </pic:pic>
              </a:graphicData>
            </a:graphic>
          </wp:anchor>
        </w:drawing>
      </w:r>
      <w:r>
        <w:drawing>
          <wp:anchor distT="0" distB="0" distL="0" distR="0" simplePos="0" relativeHeight="62914942" behindDoc="1" locked="0" layoutInCell="1" allowOverlap="1">
            <wp:simplePos x="0" y="0"/>
            <wp:positionH relativeFrom="page">
              <wp:posOffset>8870315</wp:posOffset>
            </wp:positionH>
            <wp:positionV relativeFrom="margin">
              <wp:posOffset>4779645</wp:posOffset>
            </wp:positionV>
            <wp:extent cx="987425" cy="255905"/>
            <wp:wrapNone/>
            <wp:docPr id="524" name="Shape 524"/>
            <a:graphic xmlns:a="http://schemas.openxmlformats.org/drawingml/2006/main">
              <a:graphicData uri="http://schemas.openxmlformats.org/drawingml/2006/picture">
                <pic:pic xmlns:pic="http://schemas.openxmlformats.org/drawingml/2006/picture">
                  <pic:nvPicPr>
                    <pic:cNvPr id="525" name="Picture box 525"/>
                    <pic:cNvPicPr/>
                  </pic:nvPicPr>
                  <pic:blipFill>
                    <a:blip r:embed="rId467"/>
                    <a:stretch/>
                  </pic:blipFill>
                  <pic:spPr>
                    <a:xfrm>
                      <a:ext cx="987425" cy="255905"/>
                    </a:xfrm>
                    <a:prstGeom prst="rect"/>
                  </pic:spPr>
                </pic:pic>
              </a:graphicData>
            </a:graphic>
          </wp:anchor>
        </w:drawing>
      </w:r>
      <w:r>
        <w:drawing>
          <wp:anchor distT="0" distB="0" distL="0" distR="0" simplePos="0" relativeHeight="62914943" behindDoc="1" locked="0" layoutInCell="1" allowOverlap="1">
            <wp:simplePos x="0" y="0"/>
            <wp:positionH relativeFrom="page">
              <wp:posOffset>5148580</wp:posOffset>
            </wp:positionH>
            <wp:positionV relativeFrom="margin">
              <wp:posOffset>5035550</wp:posOffset>
            </wp:positionV>
            <wp:extent cx="560705" cy="255905"/>
            <wp:wrapNone/>
            <wp:docPr id="526" name="Shape 526"/>
            <a:graphic xmlns:a="http://schemas.openxmlformats.org/drawingml/2006/main">
              <a:graphicData uri="http://schemas.openxmlformats.org/drawingml/2006/picture">
                <pic:pic xmlns:pic="http://schemas.openxmlformats.org/drawingml/2006/picture">
                  <pic:nvPicPr>
                    <pic:cNvPr id="527" name="Picture box 527"/>
                    <pic:cNvPicPr/>
                  </pic:nvPicPr>
                  <pic:blipFill>
                    <a:blip r:embed="rId469"/>
                    <a:stretch/>
                  </pic:blipFill>
                  <pic:spPr>
                    <a:xfrm>
                      <a:ext cx="560705" cy="255905"/>
                    </a:xfrm>
                    <a:prstGeom prst="rect"/>
                  </pic:spPr>
                </pic:pic>
              </a:graphicData>
            </a:graphic>
          </wp:anchor>
        </w:drawing>
      </w:r>
      <w:r>
        <w:drawing>
          <wp:anchor distT="0" distB="0" distL="0" distR="0" simplePos="0" relativeHeight="62914944" behindDoc="1" locked="0" layoutInCell="1" allowOverlap="1">
            <wp:simplePos x="0" y="0"/>
            <wp:positionH relativeFrom="page">
              <wp:posOffset>5709285</wp:posOffset>
            </wp:positionH>
            <wp:positionV relativeFrom="margin">
              <wp:posOffset>5035550</wp:posOffset>
            </wp:positionV>
            <wp:extent cx="560705" cy="255905"/>
            <wp:wrapNone/>
            <wp:docPr id="528" name="Shape 528"/>
            <a:graphic xmlns:a="http://schemas.openxmlformats.org/drawingml/2006/main">
              <a:graphicData uri="http://schemas.openxmlformats.org/drawingml/2006/picture">
                <pic:pic xmlns:pic="http://schemas.openxmlformats.org/drawingml/2006/picture">
                  <pic:nvPicPr>
                    <pic:cNvPr id="529" name="Picture box 529"/>
                    <pic:cNvPicPr/>
                  </pic:nvPicPr>
                  <pic:blipFill>
                    <a:blip r:embed="rId471"/>
                    <a:stretch/>
                  </pic:blipFill>
                  <pic:spPr>
                    <a:xfrm>
                      <a:ext cx="560705" cy="255905"/>
                    </a:xfrm>
                    <a:prstGeom prst="rect"/>
                  </pic:spPr>
                </pic:pic>
              </a:graphicData>
            </a:graphic>
          </wp:anchor>
        </w:drawing>
      </w:r>
      <w:r>
        <w:drawing>
          <wp:anchor distT="0" distB="0" distL="0" distR="0" simplePos="0" relativeHeight="62914945" behindDoc="1" locked="0" layoutInCell="1" allowOverlap="1">
            <wp:simplePos x="0" y="0"/>
            <wp:positionH relativeFrom="page">
              <wp:posOffset>6269990</wp:posOffset>
            </wp:positionH>
            <wp:positionV relativeFrom="margin">
              <wp:posOffset>5035550</wp:posOffset>
            </wp:positionV>
            <wp:extent cx="853440" cy="255905"/>
            <wp:wrapNone/>
            <wp:docPr id="530" name="Shape 530"/>
            <a:graphic xmlns:a="http://schemas.openxmlformats.org/drawingml/2006/main">
              <a:graphicData uri="http://schemas.openxmlformats.org/drawingml/2006/picture">
                <pic:pic xmlns:pic="http://schemas.openxmlformats.org/drawingml/2006/picture">
                  <pic:nvPicPr>
                    <pic:cNvPr id="531" name="Picture box 531"/>
                    <pic:cNvPicPr/>
                  </pic:nvPicPr>
                  <pic:blipFill>
                    <a:blip r:embed="rId473"/>
                    <a:stretch/>
                  </pic:blipFill>
                  <pic:spPr>
                    <a:xfrm>
                      <a:ext cx="853440" cy="255905"/>
                    </a:xfrm>
                    <a:prstGeom prst="rect"/>
                  </pic:spPr>
                </pic:pic>
              </a:graphicData>
            </a:graphic>
          </wp:anchor>
        </w:drawing>
      </w:r>
      <w:r>
        <w:drawing>
          <wp:anchor distT="0" distB="0" distL="0" distR="0" simplePos="0" relativeHeight="62914946" behindDoc="1" locked="0" layoutInCell="1" allowOverlap="1">
            <wp:simplePos x="0" y="0"/>
            <wp:positionH relativeFrom="page">
              <wp:posOffset>7126605</wp:posOffset>
            </wp:positionH>
            <wp:positionV relativeFrom="margin">
              <wp:posOffset>5035550</wp:posOffset>
            </wp:positionV>
            <wp:extent cx="774065" cy="255905"/>
            <wp:wrapNone/>
            <wp:docPr id="532" name="Shape 532"/>
            <a:graphic xmlns:a="http://schemas.openxmlformats.org/drawingml/2006/main">
              <a:graphicData uri="http://schemas.openxmlformats.org/drawingml/2006/picture">
                <pic:pic xmlns:pic="http://schemas.openxmlformats.org/drawingml/2006/picture">
                  <pic:nvPicPr>
                    <pic:cNvPr id="533" name="Picture box 533"/>
                    <pic:cNvPicPr/>
                  </pic:nvPicPr>
                  <pic:blipFill>
                    <a:blip r:embed="rId475"/>
                    <a:stretch/>
                  </pic:blipFill>
                  <pic:spPr>
                    <a:xfrm>
                      <a:ext cx="774065" cy="255905"/>
                    </a:xfrm>
                    <a:prstGeom prst="rect"/>
                  </pic:spPr>
                </pic:pic>
              </a:graphicData>
            </a:graphic>
          </wp:anchor>
        </w:drawing>
      </w:r>
      <w:r>
        <w:drawing>
          <wp:anchor distT="0" distB="0" distL="0" distR="0" simplePos="0" relativeHeight="62914947" behindDoc="1" locked="0" layoutInCell="1" allowOverlap="1">
            <wp:simplePos x="0" y="0"/>
            <wp:positionH relativeFrom="page">
              <wp:posOffset>5148580</wp:posOffset>
            </wp:positionH>
            <wp:positionV relativeFrom="margin">
              <wp:posOffset>5292090</wp:posOffset>
            </wp:positionV>
            <wp:extent cx="560705" cy="255905"/>
            <wp:wrapNone/>
            <wp:docPr id="534" name="Shape 534"/>
            <a:graphic xmlns:a="http://schemas.openxmlformats.org/drawingml/2006/main">
              <a:graphicData uri="http://schemas.openxmlformats.org/drawingml/2006/picture">
                <pic:pic xmlns:pic="http://schemas.openxmlformats.org/drawingml/2006/picture">
                  <pic:nvPicPr>
                    <pic:cNvPr id="535" name="Picture box 535"/>
                    <pic:cNvPicPr/>
                  </pic:nvPicPr>
                  <pic:blipFill>
                    <a:blip r:embed="rId477"/>
                    <a:stretch/>
                  </pic:blipFill>
                  <pic:spPr>
                    <a:xfrm>
                      <a:ext cx="560705" cy="255905"/>
                    </a:xfrm>
                    <a:prstGeom prst="rect"/>
                  </pic:spPr>
                </pic:pic>
              </a:graphicData>
            </a:graphic>
          </wp:anchor>
        </w:drawing>
      </w:r>
      <w:r>
        <w:drawing>
          <wp:anchor distT="0" distB="0" distL="0" distR="0" simplePos="0" relativeHeight="62914948" behindDoc="1" locked="0" layoutInCell="1" allowOverlap="1">
            <wp:simplePos x="0" y="0"/>
            <wp:positionH relativeFrom="page">
              <wp:posOffset>5709285</wp:posOffset>
            </wp:positionH>
            <wp:positionV relativeFrom="margin">
              <wp:posOffset>5292090</wp:posOffset>
            </wp:positionV>
            <wp:extent cx="560705" cy="255905"/>
            <wp:wrapNone/>
            <wp:docPr id="536" name="Shape 536"/>
            <a:graphic xmlns:a="http://schemas.openxmlformats.org/drawingml/2006/main">
              <a:graphicData uri="http://schemas.openxmlformats.org/drawingml/2006/picture">
                <pic:pic xmlns:pic="http://schemas.openxmlformats.org/drawingml/2006/picture">
                  <pic:nvPicPr>
                    <pic:cNvPr id="537" name="Picture box 537"/>
                    <pic:cNvPicPr/>
                  </pic:nvPicPr>
                  <pic:blipFill>
                    <a:blip r:embed="rId479"/>
                    <a:stretch/>
                  </pic:blipFill>
                  <pic:spPr>
                    <a:xfrm>
                      <a:ext cx="560705" cy="255905"/>
                    </a:xfrm>
                    <a:prstGeom prst="rect"/>
                  </pic:spPr>
                </pic:pic>
              </a:graphicData>
            </a:graphic>
          </wp:anchor>
        </w:drawing>
      </w:r>
      <w:r>
        <w:drawing>
          <wp:anchor distT="0" distB="0" distL="0" distR="0" simplePos="0" relativeHeight="62914949" behindDoc="1" locked="0" layoutInCell="1" allowOverlap="1">
            <wp:simplePos x="0" y="0"/>
            <wp:positionH relativeFrom="page">
              <wp:posOffset>6269990</wp:posOffset>
            </wp:positionH>
            <wp:positionV relativeFrom="margin">
              <wp:posOffset>5292090</wp:posOffset>
            </wp:positionV>
            <wp:extent cx="853440" cy="255905"/>
            <wp:wrapNone/>
            <wp:docPr id="538" name="Shape 538"/>
            <a:graphic xmlns:a="http://schemas.openxmlformats.org/drawingml/2006/main">
              <a:graphicData uri="http://schemas.openxmlformats.org/drawingml/2006/picture">
                <pic:pic xmlns:pic="http://schemas.openxmlformats.org/drawingml/2006/picture">
                  <pic:nvPicPr>
                    <pic:cNvPr id="539" name="Picture box 539"/>
                    <pic:cNvPicPr/>
                  </pic:nvPicPr>
                  <pic:blipFill>
                    <a:blip r:embed="rId481"/>
                    <a:stretch/>
                  </pic:blipFill>
                  <pic:spPr>
                    <a:xfrm>
                      <a:ext cx="853440" cy="255905"/>
                    </a:xfrm>
                    <a:prstGeom prst="rect"/>
                  </pic:spPr>
                </pic:pic>
              </a:graphicData>
            </a:graphic>
          </wp:anchor>
        </w:drawing>
      </w:r>
      <w:r>
        <w:drawing>
          <wp:anchor distT="0" distB="0" distL="0" distR="0" simplePos="0" relativeHeight="62914950" behindDoc="1" locked="0" layoutInCell="1" allowOverlap="1">
            <wp:simplePos x="0" y="0"/>
            <wp:positionH relativeFrom="page">
              <wp:posOffset>7126605</wp:posOffset>
            </wp:positionH>
            <wp:positionV relativeFrom="margin">
              <wp:posOffset>5292090</wp:posOffset>
            </wp:positionV>
            <wp:extent cx="774065" cy="255905"/>
            <wp:wrapNone/>
            <wp:docPr id="540" name="Shape 540"/>
            <a:graphic xmlns:a="http://schemas.openxmlformats.org/drawingml/2006/main">
              <a:graphicData uri="http://schemas.openxmlformats.org/drawingml/2006/picture">
                <pic:pic xmlns:pic="http://schemas.openxmlformats.org/drawingml/2006/picture">
                  <pic:nvPicPr>
                    <pic:cNvPr id="541" name="Picture box 541"/>
                    <pic:cNvPicPr/>
                  </pic:nvPicPr>
                  <pic:blipFill>
                    <a:blip r:embed="rId483"/>
                    <a:stretch/>
                  </pic:blipFill>
                  <pic:spPr>
                    <a:xfrm>
                      <a:ext cx="774065" cy="255905"/>
                    </a:xfrm>
                    <a:prstGeom prst="rect"/>
                  </pic:spPr>
                </pic:pic>
              </a:graphicData>
            </a:graphic>
          </wp:anchor>
        </w:drawing>
      </w:r>
      <w:r>
        <w:drawing>
          <wp:anchor distT="0" distB="0" distL="0" distR="0" simplePos="0" relativeHeight="62914951" behindDoc="1" locked="0" layoutInCell="1" allowOverlap="1">
            <wp:simplePos x="0" y="0"/>
            <wp:positionH relativeFrom="page">
              <wp:posOffset>7900670</wp:posOffset>
            </wp:positionH>
            <wp:positionV relativeFrom="margin">
              <wp:posOffset>5292090</wp:posOffset>
            </wp:positionV>
            <wp:extent cx="969010" cy="255905"/>
            <wp:wrapNone/>
            <wp:docPr id="542" name="Shape 542"/>
            <a:graphic xmlns:a="http://schemas.openxmlformats.org/drawingml/2006/main">
              <a:graphicData uri="http://schemas.openxmlformats.org/drawingml/2006/picture">
                <pic:pic xmlns:pic="http://schemas.openxmlformats.org/drawingml/2006/picture">
                  <pic:nvPicPr>
                    <pic:cNvPr id="543" name="Picture box 543"/>
                    <pic:cNvPicPr/>
                  </pic:nvPicPr>
                  <pic:blipFill>
                    <a:blip r:embed="rId485"/>
                    <a:stretch/>
                  </pic:blipFill>
                  <pic:spPr>
                    <a:xfrm>
                      <a:ext cx="969010" cy="255905"/>
                    </a:xfrm>
                    <a:prstGeom prst="rect"/>
                  </pic:spPr>
                </pic:pic>
              </a:graphicData>
            </a:graphic>
          </wp:anchor>
        </w:drawing>
      </w:r>
      <w:r>
        <w:drawing>
          <wp:anchor distT="0" distB="0" distL="0" distR="0" simplePos="0" relativeHeight="62914952" behindDoc="1" locked="0" layoutInCell="1" allowOverlap="1">
            <wp:simplePos x="0" y="0"/>
            <wp:positionH relativeFrom="page">
              <wp:posOffset>8870315</wp:posOffset>
            </wp:positionH>
            <wp:positionV relativeFrom="margin">
              <wp:posOffset>5292090</wp:posOffset>
            </wp:positionV>
            <wp:extent cx="987425" cy="255905"/>
            <wp:wrapNone/>
            <wp:docPr id="544" name="Shape 544"/>
            <a:graphic xmlns:a="http://schemas.openxmlformats.org/drawingml/2006/main">
              <a:graphicData uri="http://schemas.openxmlformats.org/drawingml/2006/picture">
                <pic:pic xmlns:pic="http://schemas.openxmlformats.org/drawingml/2006/picture">
                  <pic:nvPicPr>
                    <pic:cNvPr id="545" name="Picture box 545"/>
                    <pic:cNvPicPr/>
                  </pic:nvPicPr>
                  <pic:blipFill>
                    <a:blip r:embed="rId487"/>
                    <a:stretch/>
                  </pic:blipFill>
                  <pic:spPr>
                    <a:xfrm>
                      <a:ext cx="987425" cy="255905"/>
                    </a:xfrm>
                    <a:prstGeom prst="rect"/>
                  </pic:spPr>
                </pic:pic>
              </a:graphicData>
            </a:graphic>
          </wp:anchor>
        </w:drawing>
      </w:r>
      <w:r>
        <w:drawing>
          <wp:anchor distT="0" distB="0" distL="0" distR="0" simplePos="0" relativeHeight="62914953" behindDoc="1" locked="0" layoutInCell="1" allowOverlap="1">
            <wp:simplePos x="0" y="0"/>
            <wp:positionH relativeFrom="page">
              <wp:posOffset>5148580</wp:posOffset>
            </wp:positionH>
            <wp:positionV relativeFrom="margin">
              <wp:posOffset>5547995</wp:posOffset>
            </wp:positionV>
            <wp:extent cx="560705" cy="250190"/>
            <wp:wrapNone/>
            <wp:docPr id="546" name="Shape 546"/>
            <a:graphic xmlns:a="http://schemas.openxmlformats.org/drawingml/2006/main">
              <a:graphicData uri="http://schemas.openxmlformats.org/drawingml/2006/picture">
                <pic:pic xmlns:pic="http://schemas.openxmlformats.org/drawingml/2006/picture">
                  <pic:nvPicPr>
                    <pic:cNvPr id="547" name="Picture box 547"/>
                    <pic:cNvPicPr/>
                  </pic:nvPicPr>
                  <pic:blipFill>
                    <a:blip r:embed="rId489"/>
                    <a:stretch/>
                  </pic:blipFill>
                  <pic:spPr>
                    <a:xfrm>
                      <a:ext cx="560705" cy="250190"/>
                    </a:xfrm>
                    <a:prstGeom prst="rect"/>
                  </pic:spPr>
                </pic:pic>
              </a:graphicData>
            </a:graphic>
          </wp:anchor>
        </w:drawing>
      </w:r>
      <w:r>
        <w:drawing>
          <wp:anchor distT="0" distB="0" distL="0" distR="0" simplePos="0" relativeHeight="62914954" behindDoc="1" locked="0" layoutInCell="1" allowOverlap="1">
            <wp:simplePos x="0" y="0"/>
            <wp:positionH relativeFrom="page">
              <wp:posOffset>5709285</wp:posOffset>
            </wp:positionH>
            <wp:positionV relativeFrom="margin">
              <wp:posOffset>5547995</wp:posOffset>
            </wp:positionV>
            <wp:extent cx="560705" cy="250190"/>
            <wp:wrapNone/>
            <wp:docPr id="548" name="Shape 548"/>
            <a:graphic xmlns:a="http://schemas.openxmlformats.org/drawingml/2006/main">
              <a:graphicData uri="http://schemas.openxmlformats.org/drawingml/2006/picture">
                <pic:pic xmlns:pic="http://schemas.openxmlformats.org/drawingml/2006/picture">
                  <pic:nvPicPr>
                    <pic:cNvPr id="549" name="Picture box 549"/>
                    <pic:cNvPicPr/>
                  </pic:nvPicPr>
                  <pic:blipFill>
                    <a:blip r:embed="rId491"/>
                    <a:stretch/>
                  </pic:blipFill>
                  <pic:spPr>
                    <a:xfrm>
                      <a:ext cx="560705" cy="250190"/>
                    </a:xfrm>
                    <a:prstGeom prst="rect"/>
                  </pic:spPr>
                </pic:pic>
              </a:graphicData>
            </a:graphic>
          </wp:anchor>
        </w:drawing>
      </w:r>
      <w:r>
        <w:drawing>
          <wp:anchor distT="0" distB="0" distL="0" distR="0" simplePos="0" relativeHeight="62914955" behindDoc="1" locked="0" layoutInCell="1" allowOverlap="1">
            <wp:simplePos x="0" y="0"/>
            <wp:positionH relativeFrom="page">
              <wp:posOffset>6269990</wp:posOffset>
            </wp:positionH>
            <wp:positionV relativeFrom="margin">
              <wp:posOffset>5547995</wp:posOffset>
            </wp:positionV>
            <wp:extent cx="853440" cy="250190"/>
            <wp:wrapNone/>
            <wp:docPr id="550" name="Shape 550"/>
            <a:graphic xmlns:a="http://schemas.openxmlformats.org/drawingml/2006/main">
              <a:graphicData uri="http://schemas.openxmlformats.org/drawingml/2006/picture">
                <pic:pic xmlns:pic="http://schemas.openxmlformats.org/drawingml/2006/picture">
                  <pic:nvPicPr>
                    <pic:cNvPr id="551" name="Picture box 551"/>
                    <pic:cNvPicPr/>
                  </pic:nvPicPr>
                  <pic:blipFill>
                    <a:blip r:embed="rId493"/>
                    <a:stretch/>
                  </pic:blipFill>
                  <pic:spPr>
                    <a:xfrm>
                      <a:ext cx="853440" cy="250190"/>
                    </a:xfrm>
                    <a:prstGeom prst="rect"/>
                  </pic:spPr>
                </pic:pic>
              </a:graphicData>
            </a:graphic>
          </wp:anchor>
        </w:drawing>
      </w:r>
      <w:r>
        <w:drawing>
          <wp:anchor distT="0" distB="0" distL="0" distR="0" simplePos="0" relativeHeight="62914956" behindDoc="1" locked="0" layoutInCell="1" allowOverlap="1">
            <wp:simplePos x="0" y="0"/>
            <wp:positionH relativeFrom="page">
              <wp:posOffset>7126605</wp:posOffset>
            </wp:positionH>
            <wp:positionV relativeFrom="margin">
              <wp:posOffset>5547995</wp:posOffset>
            </wp:positionV>
            <wp:extent cx="774065" cy="250190"/>
            <wp:wrapNone/>
            <wp:docPr id="552" name="Shape 552"/>
            <a:graphic xmlns:a="http://schemas.openxmlformats.org/drawingml/2006/main">
              <a:graphicData uri="http://schemas.openxmlformats.org/drawingml/2006/picture">
                <pic:pic xmlns:pic="http://schemas.openxmlformats.org/drawingml/2006/picture">
                  <pic:nvPicPr>
                    <pic:cNvPr id="553" name="Picture box 553"/>
                    <pic:cNvPicPr/>
                  </pic:nvPicPr>
                  <pic:blipFill>
                    <a:blip r:embed="rId495"/>
                    <a:stretch/>
                  </pic:blipFill>
                  <pic:spPr>
                    <a:xfrm>
                      <a:ext cx="774065" cy="250190"/>
                    </a:xfrm>
                    <a:prstGeom prst="rect"/>
                  </pic:spPr>
                </pic:pic>
              </a:graphicData>
            </a:graphic>
          </wp:anchor>
        </w:drawing>
      </w:r>
      <w:r>
        <w:drawing>
          <wp:anchor distT="0" distB="0" distL="0" distR="0" simplePos="0" relativeHeight="62914957" behindDoc="1" locked="0" layoutInCell="1" allowOverlap="1">
            <wp:simplePos x="0" y="0"/>
            <wp:positionH relativeFrom="page">
              <wp:posOffset>7900670</wp:posOffset>
            </wp:positionH>
            <wp:positionV relativeFrom="margin">
              <wp:posOffset>5547995</wp:posOffset>
            </wp:positionV>
            <wp:extent cx="969010" cy="250190"/>
            <wp:wrapNone/>
            <wp:docPr id="554" name="Shape 554"/>
            <a:graphic xmlns:a="http://schemas.openxmlformats.org/drawingml/2006/main">
              <a:graphicData uri="http://schemas.openxmlformats.org/drawingml/2006/picture">
                <pic:pic xmlns:pic="http://schemas.openxmlformats.org/drawingml/2006/picture">
                  <pic:nvPicPr>
                    <pic:cNvPr id="555" name="Picture box 555"/>
                    <pic:cNvPicPr/>
                  </pic:nvPicPr>
                  <pic:blipFill>
                    <a:blip r:embed="rId497"/>
                    <a:stretch/>
                  </pic:blipFill>
                  <pic:spPr>
                    <a:xfrm>
                      <a:ext cx="969010" cy="250190"/>
                    </a:xfrm>
                    <a:prstGeom prst="rect"/>
                  </pic:spPr>
                </pic:pic>
              </a:graphicData>
            </a:graphic>
          </wp:anchor>
        </w:drawing>
      </w:r>
      <w:r>
        <w:drawing>
          <wp:anchor distT="0" distB="0" distL="0" distR="0" simplePos="0" relativeHeight="62914958" behindDoc="1" locked="0" layoutInCell="1" allowOverlap="1">
            <wp:simplePos x="0" y="0"/>
            <wp:positionH relativeFrom="page">
              <wp:posOffset>8870315</wp:posOffset>
            </wp:positionH>
            <wp:positionV relativeFrom="margin">
              <wp:posOffset>5547995</wp:posOffset>
            </wp:positionV>
            <wp:extent cx="987425" cy="250190"/>
            <wp:wrapNone/>
            <wp:docPr id="556" name="Shape 556"/>
            <a:graphic xmlns:a="http://schemas.openxmlformats.org/drawingml/2006/main">
              <a:graphicData uri="http://schemas.openxmlformats.org/drawingml/2006/picture">
                <pic:pic xmlns:pic="http://schemas.openxmlformats.org/drawingml/2006/picture">
                  <pic:nvPicPr>
                    <pic:cNvPr id="557" name="Picture box 557"/>
                    <pic:cNvPicPr/>
                  </pic:nvPicPr>
                  <pic:blipFill>
                    <a:blip r:embed="rId499"/>
                    <a:stretch/>
                  </pic:blipFill>
                  <pic:spPr>
                    <a:xfrm>
                      <a:ext cx="987425" cy="250190"/>
                    </a:xfrm>
                    <a:prstGeom prst="rect"/>
                  </pic:spPr>
                </pic:pic>
              </a:graphicData>
            </a:graphic>
          </wp:anchor>
        </w:drawing>
      </w:r>
      <w:r>
        <w:drawing>
          <wp:anchor distT="0" distB="0" distL="0" distR="0" simplePos="0" relativeHeight="62914959" behindDoc="1" locked="0" layoutInCell="1" allowOverlap="1">
            <wp:simplePos x="0" y="0"/>
            <wp:positionH relativeFrom="page">
              <wp:posOffset>5148580</wp:posOffset>
            </wp:positionH>
            <wp:positionV relativeFrom="margin">
              <wp:posOffset>5800725</wp:posOffset>
            </wp:positionV>
            <wp:extent cx="560705" cy="255905"/>
            <wp:wrapNone/>
            <wp:docPr id="558" name="Shape 558"/>
            <a:graphic xmlns:a="http://schemas.openxmlformats.org/drawingml/2006/main">
              <a:graphicData uri="http://schemas.openxmlformats.org/drawingml/2006/picture">
                <pic:pic xmlns:pic="http://schemas.openxmlformats.org/drawingml/2006/picture">
                  <pic:nvPicPr>
                    <pic:cNvPr id="559" name="Picture box 559"/>
                    <pic:cNvPicPr/>
                  </pic:nvPicPr>
                  <pic:blipFill>
                    <a:blip r:embed="rId501"/>
                    <a:stretch/>
                  </pic:blipFill>
                  <pic:spPr>
                    <a:xfrm>
                      <a:ext cx="560705" cy="255905"/>
                    </a:xfrm>
                    <a:prstGeom prst="rect"/>
                  </pic:spPr>
                </pic:pic>
              </a:graphicData>
            </a:graphic>
          </wp:anchor>
        </w:drawing>
      </w:r>
      <w:r>
        <w:drawing>
          <wp:anchor distT="0" distB="0" distL="0" distR="0" simplePos="0" relativeHeight="62914960" behindDoc="1" locked="0" layoutInCell="1" allowOverlap="1">
            <wp:simplePos x="0" y="0"/>
            <wp:positionH relativeFrom="page">
              <wp:posOffset>5709285</wp:posOffset>
            </wp:positionH>
            <wp:positionV relativeFrom="margin">
              <wp:posOffset>5800725</wp:posOffset>
            </wp:positionV>
            <wp:extent cx="560705" cy="255905"/>
            <wp:wrapNone/>
            <wp:docPr id="560" name="Shape 560"/>
            <a:graphic xmlns:a="http://schemas.openxmlformats.org/drawingml/2006/main">
              <a:graphicData uri="http://schemas.openxmlformats.org/drawingml/2006/picture">
                <pic:pic xmlns:pic="http://schemas.openxmlformats.org/drawingml/2006/picture">
                  <pic:nvPicPr>
                    <pic:cNvPr id="561" name="Picture box 561"/>
                    <pic:cNvPicPr/>
                  </pic:nvPicPr>
                  <pic:blipFill>
                    <a:blip r:embed="rId503"/>
                    <a:stretch/>
                  </pic:blipFill>
                  <pic:spPr>
                    <a:xfrm>
                      <a:ext cx="560705" cy="255905"/>
                    </a:xfrm>
                    <a:prstGeom prst="rect"/>
                  </pic:spPr>
                </pic:pic>
              </a:graphicData>
            </a:graphic>
          </wp:anchor>
        </w:drawing>
      </w:r>
      <w:r>
        <w:drawing>
          <wp:anchor distT="0" distB="0" distL="0" distR="0" simplePos="0" relativeHeight="62914961" behindDoc="1" locked="0" layoutInCell="1" allowOverlap="1">
            <wp:simplePos x="0" y="0"/>
            <wp:positionH relativeFrom="page">
              <wp:posOffset>6269990</wp:posOffset>
            </wp:positionH>
            <wp:positionV relativeFrom="margin">
              <wp:posOffset>5800725</wp:posOffset>
            </wp:positionV>
            <wp:extent cx="853440" cy="255905"/>
            <wp:wrapNone/>
            <wp:docPr id="562" name="Shape 562"/>
            <a:graphic xmlns:a="http://schemas.openxmlformats.org/drawingml/2006/main">
              <a:graphicData uri="http://schemas.openxmlformats.org/drawingml/2006/picture">
                <pic:pic xmlns:pic="http://schemas.openxmlformats.org/drawingml/2006/picture">
                  <pic:nvPicPr>
                    <pic:cNvPr id="563" name="Picture box 563"/>
                    <pic:cNvPicPr/>
                  </pic:nvPicPr>
                  <pic:blipFill>
                    <a:blip r:embed="rId505"/>
                    <a:stretch/>
                  </pic:blipFill>
                  <pic:spPr>
                    <a:xfrm>
                      <a:ext cx="853440" cy="255905"/>
                    </a:xfrm>
                    <a:prstGeom prst="rect"/>
                  </pic:spPr>
                </pic:pic>
              </a:graphicData>
            </a:graphic>
          </wp:anchor>
        </w:drawing>
      </w:r>
      <w:r>
        <w:drawing>
          <wp:anchor distT="0" distB="0" distL="0" distR="0" simplePos="0" relativeHeight="62914962" behindDoc="1" locked="0" layoutInCell="1" allowOverlap="1">
            <wp:simplePos x="0" y="0"/>
            <wp:positionH relativeFrom="page">
              <wp:posOffset>7126605</wp:posOffset>
            </wp:positionH>
            <wp:positionV relativeFrom="margin">
              <wp:posOffset>5800725</wp:posOffset>
            </wp:positionV>
            <wp:extent cx="774065" cy="255905"/>
            <wp:wrapNone/>
            <wp:docPr id="564" name="Shape 564"/>
            <a:graphic xmlns:a="http://schemas.openxmlformats.org/drawingml/2006/main">
              <a:graphicData uri="http://schemas.openxmlformats.org/drawingml/2006/picture">
                <pic:pic xmlns:pic="http://schemas.openxmlformats.org/drawingml/2006/picture">
                  <pic:nvPicPr>
                    <pic:cNvPr id="565" name="Picture box 565"/>
                    <pic:cNvPicPr/>
                  </pic:nvPicPr>
                  <pic:blipFill>
                    <a:blip r:embed="rId507"/>
                    <a:stretch/>
                  </pic:blipFill>
                  <pic:spPr>
                    <a:xfrm>
                      <a:ext cx="774065" cy="255905"/>
                    </a:xfrm>
                    <a:prstGeom prst="rect"/>
                  </pic:spPr>
                </pic:pic>
              </a:graphicData>
            </a:graphic>
          </wp:anchor>
        </w:drawing>
      </w:r>
      <w:r>
        <w:drawing>
          <wp:anchor distT="0" distB="0" distL="0" distR="0" simplePos="0" relativeHeight="62914963" behindDoc="1" locked="0" layoutInCell="1" allowOverlap="1">
            <wp:simplePos x="0" y="0"/>
            <wp:positionH relativeFrom="page">
              <wp:posOffset>7900670</wp:posOffset>
            </wp:positionH>
            <wp:positionV relativeFrom="margin">
              <wp:posOffset>5800725</wp:posOffset>
            </wp:positionV>
            <wp:extent cx="969010" cy="255905"/>
            <wp:wrapNone/>
            <wp:docPr id="566" name="Shape 566"/>
            <a:graphic xmlns:a="http://schemas.openxmlformats.org/drawingml/2006/main">
              <a:graphicData uri="http://schemas.openxmlformats.org/drawingml/2006/picture">
                <pic:pic xmlns:pic="http://schemas.openxmlformats.org/drawingml/2006/picture">
                  <pic:nvPicPr>
                    <pic:cNvPr id="567" name="Picture box 567"/>
                    <pic:cNvPicPr/>
                  </pic:nvPicPr>
                  <pic:blipFill>
                    <a:blip r:embed="rId509"/>
                    <a:stretch/>
                  </pic:blipFill>
                  <pic:spPr>
                    <a:xfrm>
                      <a:ext cx="969010" cy="255905"/>
                    </a:xfrm>
                    <a:prstGeom prst="rect"/>
                  </pic:spPr>
                </pic:pic>
              </a:graphicData>
            </a:graphic>
          </wp:anchor>
        </w:drawing>
      </w:r>
      <w:r>
        <w:drawing>
          <wp:anchor distT="0" distB="0" distL="0" distR="0" simplePos="0" relativeHeight="62914964" behindDoc="1" locked="0" layoutInCell="1" allowOverlap="1">
            <wp:simplePos x="0" y="0"/>
            <wp:positionH relativeFrom="page">
              <wp:posOffset>8870315</wp:posOffset>
            </wp:positionH>
            <wp:positionV relativeFrom="margin">
              <wp:posOffset>5800725</wp:posOffset>
            </wp:positionV>
            <wp:extent cx="987425" cy="384175"/>
            <wp:wrapNone/>
            <wp:docPr id="568" name="Shape 568"/>
            <a:graphic xmlns:a="http://schemas.openxmlformats.org/drawingml/2006/main">
              <a:graphicData uri="http://schemas.openxmlformats.org/drawingml/2006/picture">
                <pic:pic xmlns:pic="http://schemas.openxmlformats.org/drawingml/2006/picture">
                  <pic:nvPicPr>
                    <pic:cNvPr id="569" name="Picture box 569"/>
                    <pic:cNvPicPr/>
                  </pic:nvPicPr>
                  <pic:blipFill>
                    <a:blip r:embed="rId511"/>
                    <a:stretch/>
                  </pic:blipFill>
                  <pic:spPr>
                    <a:xfrm>
                      <a:ext cx="987425" cy="38417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714" w:line="1" w:lineRule="exact"/>
      </w:pPr>
    </w:p>
    <w:p>
      <w:pPr>
        <w:widowControl w:val="0"/>
        <w:spacing w:line="1" w:lineRule="exact"/>
        <w:sectPr>
          <w:headerReference w:type="default" r:id="rId513"/>
          <w:footerReference w:type="default" r:id="rId514"/>
          <w:footnotePr>
            <w:pos w:val="pageBottom"/>
            <w:numFmt w:val="decimal"/>
            <w:numRestart w:val="continuous"/>
          </w:footnotePr>
          <w:pgSz w:w="16840" w:h="11900" w:orient="landscape"/>
          <w:pgMar w:top="1147" w:right="1316" w:bottom="1013" w:left="1422" w:header="0" w:footer="585" w:gutter="0"/>
          <w:cols w:space="720"/>
          <w:noEndnote/>
          <w:rtlGutter w:val="0"/>
          <w:docGrid w:linePitch="360"/>
        </w:sectPr>
      </w:pPr>
    </w:p>
    <w:tbl>
      <w:tblPr>
        <w:tblOverlap w:val="never"/>
        <w:jc w:val="center"/>
        <w:tblLayout w:type="fixed"/>
      </w:tblPr>
      <w:tblGrid>
        <w:gridCol w:w="3552"/>
        <w:gridCol w:w="1699"/>
        <w:gridCol w:w="1421"/>
        <w:gridCol w:w="883"/>
        <w:gridCol w:w="883"/>
        <w:gridCol w:w="1349"/>
        <w:gridCol w:w="1219"/>
        <w:gridCol w:w="1526"/>
        <w:gridCol w:w="1570"/>
      </w:tblGrid>
      <w:tr>
        <w:trPr>
          <w:trHeight w:val="437"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8"/>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上年金额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实收资本（或股本）</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减：库存股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专项储备</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一般风险准备</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300" w:firstLine="0"/>
              <w:jc w:val="right"/>
              <w:rPr>
                <w:sz w:val="17"/>
                <w:szCs w:val="17"/>
              </w:rPr>
            </w:pPr>
            <w:r>
              <w:rPr>
                <w:color w:val="000000"/>
                <w:spacing w:val="0"/>
                <w:w w:val="100"/>
                <w:position w:val="0"/>
                <w:sz w:val="17"/>
                <w:szCs w:val="17"/>
              </w:rPr>
              <w:t>未分配利润</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所有者权益合计</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98,000,000.00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410,243,231.67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16,335,852.57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127,422,673.20</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652,001,757.44</w:t>
            </w:r>
          </w:p>
        </w:tc>
      </w:tr>
    </w:tbl>
    <w:p>
      <w:pPr>
        <w:sectPr>
          <w:headerReference w:type="default" r:id="rId515"/>
          <w:footerReference w:type="default" r:id="rId516"/>
          <w:footnotePr>
            <w:pos w:val="pageBottom"/>
            <w:numFmt w:val="decimal"/>
            <w:numRestart w:val="continuous"/>
          </w:footnotePr>
          <w:pgSz w:w="16840" w:h="11900" w:orient="landscape"/>
          <w:pgMar w:top="1100" w:right="1306" w:bottom="6163" w:left="1431" w:header="0" w:footer="3" w:gutter="0"/>
          <w:cols w:space="720"/>
          <w:noEndnote/>
          <w:rtlGutter w:val="0"/>
          <w:docGrid w:linePitch="360"/>
        </w:sectPr>
      </w:pPr>
    </w:p>
    <w:p>
      <w:pPr>
        <w:widowControl w:val="0"/>
        <w:spacing w:before="19" w:after="19" w:line="240" w:lineRule="exact"/>
        <w:rPr>
          <w:sz w:val="19"/>
          <w:szCs w:val="19"/>
        </w:rPr>
      </w:pPr>
    </w:p>
    <w:p>
      <w:pPr>
        <w:widowControl w:val="0"/>
        <w:spacing w:line="1" w:lineRule="exact"/>
        <w:sectPr>
          <w:footnotePr>
            <w:pos w:val="pageBottom"/>
            <w:numFmt w:val="decimal"/>
            <w:numRestart w:val="continuous"/>
          </w:footnotePr>
          <w:type w:val="continuous"/>
          <w:pgSz w:w="16840" w:h="11900" w:orient="landscape"/>
          <w:pgMar w:top="1147" w:right="0" w:bottom="1157" w:left="0" w:header="0" w:footer="3" w:gutter="0"/>
          <w:cols w:space="720"/>
          <w:noEndnote/>
          <w:rtlGutter w:val="0"/>
          <w:docGrid w:linePitch="360"/>
        </w:sectPr>
      </w:pPr>
    </w:p>
    <w:p>
      <w:pPr>
        <w:pStyle w:val="Style27"/>
        <w:keepNext w:val="0"/>
        <w:keepLines w:val="0"/>
        <w:framePr w:w="1661" w:h="235" w:wrap="none" w:vAnchor="text" w:hAnchor="page" w:x="1423" w:y="21"/>
        <w:widowControl w:val="0"/>
        <w:shd w:val="clear" w:color="auto" w:fill="auto"/>
        <w:bidi w:val="0"/>
        <w:spacing w:before="0" w:after="0" w:line="240" w:lineRule="auto"/>
        <w:ind w:left="0" w:right="0" w:firstLine="0"/>
        <w:jc w:val="left"/>
      </w:pPr>
      <w:r>
        <w:rPr>
          <w:color w:val="000000"/>
          <w:spacing w:val="0"/>
          <w:w w:val="100"/>
          <w:position w:val="0"/>
        </w:rPr>
        <w:t>法定代表人：柯宗贵</w:t>
      </w:r>
    </w:p>
    <w:p>
      <w:pPr>
        <w:pStyle w:val="Style27"/>
        <w:keepNext w:val="0"/>
        <w:keepLines w:val="0"/>
        <w:framePr w:w="2376" w:h="230" w:wrap="none" w:vAnchor="text" w:hAnchor="page" w:x="4941" w:y="21"/>
        <w:widowControl w:val="0"/>
        <w:shd w:val="clear" w:color="auto" w:fill="auto"/>
        <w:bidi w:val="0"/>
        <w:spacing w:before="0" w:after="0" w:line="240" w:lineRule="auto"/>
        <w:ind w:left="0" w:right="0" w:firstLine="0"/>
        <w:jc w:val="left"/>
      </w:pPr>
      <w:r>
        <w:rPr>
          <w:color w:val="000000"/>
          <w:spacing w:val="0"/>
          <w:w w:val="100"/>
          <w:position w:val="0"/>
        </w:rPr>
        <w:t>主管会计工作负责人：魏树华</w:t>
      </w:r>
    </w:p>
    <w:p>
      <w:pPr>
        <w:pStyle w:val="Style27"/>
        <w:keepNext w:val="0"/>
        <w:keepLines w:val="0"/>
        <w:framePr w:w="1843" w:h="235" w:wrap="none" w:vAnchor="text" w:hAnchor="page" w:x="9165" w:y="21"/>
        <w:widowControl w:val="0"/>
        <w:shd w:val="clear" w:color="auto" w:fill="auto"/>
        <w:bidi w:val="0"/>
        <w:spacing w:before="0" w:after="0" w:line="240" w:lineRule="auto"/>
        <w:ind w:left="0" w:right="0" w:firstLine="0"/>
        <w:jc w:val="left"/>
      </w:pPr>
      <w:r>
        <w:rPr>
          <w:color w:val="000000"/>
          <w:spacing w:val="0"/>
          <w:w w:val="100"/>
          <w:position w:val="0"/>
        </w:rPr>
        <w:t>会计机构负责人：景丽</w:t>
      </w:r>
    </w:p>
    <w:p>
      <w:pPr>
        <w:widowControl w:val="0"/>
        <w:spacing w:after="234" w:line="1" w:lineRule="exact"/>
      </w:pPr>
    </w:p>
    <w:p>
      <w:pPr>
        <w:widowControl w:val="0"/>
        <w:spacing w:line="1" w:lineRule="exact"/>
        <w:sectPr>
          <w:footnotePr>
            <w:pos w:val="pageBottom"/>
            <w:numFmt w:val="decimal"/>
            <w:numRestart w:val="continuous"/>
          </w:footnotePr>
          <w:type w:val="continuous"/>
          <w:pgSz w:w="16840" w:h="11900" w:orient="landscape"/>
          <w:pgMar w:top="1147" w:right="1307" w:bottom="1157" w:left="1422" w:header="0" w:footer="3" w:gutter="0"/>
          <w:cols w:space="720"/>
          <w:noEndnote/>
          <w:rtlGutter w:val="0"/>
          <w:docGrid w:linePitch="360"/>
        </w:sectPr>
      </w:pPr>
    </w:p>
    <w:p>
      <w:pPr>
        <w:pStyle w:val="Style25"/>
        <w:keepNext/>
        <w:keepLines/>
        <w:widowControl w:val="0"/>
        <w:shd w:val="clear" w:color="auto" w:fill="auto"/>
        <w:bidi w:val="0"/>
        <w:spacing w:before="460" w:after="300" w:line="240" w:lineRule="auto"/>
        <w:ind w:left="0" w:right="0" w:firstLine="0"/>
        <w:jc w:val="left"/>
      </w:pPr>
      <w:bookmarkStart w:id="457" w:name="bookmark457"/>
      <w:bookmarkStart w:id="458" w:name="bookmark458"/>
      <w:bookmarkStart w:id="459" w:name="bookmark459"/>
      <w:r>
        <w:rPr>
          <w:color w:val="000000"/>
          <w:spacing w:val="0"/>
          <w:w w:val="100"/>
          <w:position w:val="0"/>
        </w:rPr>
        <w:t>三、公司基本情况</w:t>
      </w:r>
      <w:bookmarkEnd w:id="457"/>
      <w:bookmarkEnd w:id="458"/>
      <w:bookmarkEnd w:id="459"/>
    </w:p>
    <w:p>
      <w:pPr>
        <w:pStyle w:val="Style38"/>
        <w:keepNext/>
        <w:keepLines/>
        <w:widowControl w:val="0"/>
        <w:shd w:val="clear" w:color="auto" w:fill="auto"/>
        <w:tabs>
          <w:tab w:pos="1242" w:val="left"/>
        </w:tabs>
        <w:bidi w:val="0"/>
        <w:spacing w:before="0" w:after="0" w:line="401" w:lineRule="exact"/>
        <w:ind w:left="0" w:right="0"/>
        <w:jc w:val="both"/>
      </w:pPr>
      <w:bookmarkStart w:id="460" w:name="bookmark460"/>
      <w:bookmarkStart w:id="461" w:name="bookmark461"/>
      <w:bookmarkStart w:id="462" w:name="bookmark462"/>
      <w:bookmarkStart w:id="463" w:name="bookmark463"/>
      <w:r>
        <w:rPr>
          <w:color w:val="000000"/>
          <w:spacing w:val="0"/>
          <w:w w:val="100"/>
          <w:position w:val="0"/>
        </w:rPr>
        <w:t>（</w:t>
      </w:r>
      <w:bookmarkEnd w:id="462"/>
      <w:r>
        <w:rPr>
          <w:color w:val="000000"/>
          <w:spacing w:val="0"/>
          <w:w w:val="100"/>
          <w:position w:val="0"/>
        </w:rPr>
        <w:t>一）</w:t>
        <w:tab/>
        <w:t>公司历史沿革</w:t>
      </w:r>
      <w:bookmarkEnd w:id="460"/>
      <w:bookmarkEnd w:id="461"/>
      <w:bookmarkEnd w:id="463"/>
    </w:p>
    <w:p>
      <w:pPr>
        <w:pStyle w:val="Style35"/>
        <w:keepNext w:val="0"/>
        <w:keepLines w:val="0"/>
        <w:widowControl w:val="0"/>
        <w:shd w:val="clear" w:color="auto" w:fill="auto"/>
        <w:bidi w:val="0"/>
        <w:spacing w:before="0" w:after="0" w:line="396" w:lineRule="exact"/>
        <w:ind w:left="0" w:right="0" w:firstLine="440"/>
        <w:jc w:val="both"/>
      </w:pPr>
      <w:r>
        <w:rPr>
          <w:color w:val="000000"/>
          <w:spacing w:val="0"/>
          <w:w w:val="100"/>
          <w:position w:val="0"/>
        </w:rPr>
        <w:t>蓝盾信息安全技术股份有限公司</w:t>
      </w:r>
      <w:r>
        <w:rPr>
          <w:rFonts w:ascii="Arial Narrow" w:eastAsia="Arial Narrow" w:hAnsi="Arial Narrow" w:cs="Arial Narrow"/>
          <w:color w:val="000000"/>
          <w:spacing w:val="0"/>
          <w:w w:val="100"/>
          <w:position w:val="0"/>
        </w:rPr>
        <w:t>（</w:t>
      </w:r>
      <w:r>
        <w:rPr>
          <w:color w:val="000000"/>
          <w:spacing w:val="0"/>
          <w:w w:val="100"/>
          <w:position w:val="0"/>
        </w:rPr>
        <w:t>以下简称</w:t>
      </w:r>
      <w:r>
        <w:rPr>
          <w:rFonts w:ascii="Arial Narrow" w:eastAsia="Arial Narrow" w:hAnsi="Arial Narrow" w:cs="Arial Narrow"/>
          <w:color w:val="000000"/>
          <w:spacing w:val="0"/>
          <w:w w:val="100"/>
          <w:position w:val="0"/>
        </w:rPr>
        <w:t>“</w:t>
      </w:r>
      <w:r>
        <w:rPr>
          <w:color w:val="000000"/>
          <w:spacing w:val="0"/>
          <w:w w:val="100"/>
          <w:position w:val="0"/>
        </w:rPr>
        <w:t>公司</w:t>
      </w:r>
      <w:r>
        <w:rPr>
          <w:rFonts w:ascii="Arial Narrow" w:eastAsia="Arial Narrow" w:hAnsi="Arial Narrow" w:cs="Arial Narrow"/>
          <w:color w:val="000000"/>
          <w:spacing w:val="0"/>
          <w:w w:val="100"/>
          <w:position w:val="0"/>
        </w:rPr>
        <w:t>”）</w:t>
      </w:r>
      <w:r>
        <w:rPr>
          <w:color w:val="000000"/>
          <w:spacing w:val="0"/>
          <w:w w:val="100"/>
          <w:position w:val="0"/>
        </w:rPr>
        <w:t xml:space="preserve">，原名广东天海威数码技术有限公司，注册成立于 </w:t>
      </w:r>
      <w:r>
        <w:rPr>
          <w:rFonts w:ascii="Arial Narrow" w:eastAsia="Arial Narrow" w:hAnsi="Arial Narrow" w:cs="Arial Narrow"/>
          <w:color w:val="000000"/>
          <w:spacing w:val="0"/>
          <w:w w:val="100"/>
          <w:position w:val="0"/>
        </w:rPr>
        <w:t>1999</w:t>
      </w:r>
      <w:r>
        <w:rPr>
          <w:color w:val="000000"/>
          <w:spacing w:val="0"/>
          <w:w w:val="100"/>
          <w:position w:val="0"/>
        </w:rPr>
        <w:t>年</w:t>
      </w:r>
      <w:r>
        <w:rPr>
          <w:rFonts w:ascii="Arial Narrow" w:eastAsia="Arial Narrow" w:hAnsi="Arial Narrow" w:cs="Arial Narrow"/>
          <w:color w:val="000000"/>
          <w:spacing w:val="0"/>
          <w:w w:val="100"/>
          <w:position w:val="0"/>
        </w:rPr>
        <w:t>10</w:t>
      </w:r>
      <w:r>
        <w:rPr>
          <w:color w:val="000000"/>
          <w:spacing w:val="0"/>
          <w:w w:val="100"/>
          <w:position w:val="0"/>
        </w:rPr>
        <w:t>月</w:t>
      </w:r>
      <w:r>
        <w:rPr>
          <w:rFonts w:ascii="Arial Narrow" w:eastAsia="Arial Narrow" w:hAnsi="Arial Narrow" w:cs="Arial Narrow"/>
          <w:color w:val="000000"/>
          <w:spacing w:val="0"/>
          <w:w w:val="100"/>
          <w:position w:val="0"/>
        </w:rPr>
        <w:t>29</w:t>
      </w:r>
      <w:r>
        <w:rPr>
          <w:color w:val="000000"/>
          <w:spacing w:val="0"/>
          <w:w w:val="100"/>
          <w:position w:val="0"/>
        </w:rPr>
        <w:t>日，于</w:t>
      </w:r>
      <w:r>
        <w:rPr>
          <w:rFonts w:ascii="Arial Narrow" w:eastAsia="Arial Narrow" w:hAnsi="Arial Narrow" w:cs="Arial Narrow"/>
          <w:color w:val="000000"/>
          <w:spacing w:val="0"/>
          <w:w w:val="100"/>
          <w:position w:val="0"/>
        </w:rPr>
        <w:t>2009</w:t>
      </w:r>
      <w:r>
        <w:rPr>
          <w:color w:val="000000"/>
          <w:spacing w:val="0"/>
          <w:w w:val="100"/>
          <w:position w:val="0"/>
        </w:rPr>
        <w:t>年</w:t>
      </w:r>
      <w:r>
        <w:rPr>
          <w:rFonts w:ascii="Arial Narrow" w:eastAsia="Arial Narrow" w:hAnsi="Arial Narrow" w:cs="Arial Narrow"/>
          <w:color w:val="000000"/>
          <w:spacing w:val="0"/>
          <w:w w:val="100"/>
          <w:position w:val="0"/>
        </w:rPr>
        <w:t>7</w:t>
      </w:r>
      <w:r>
        <w:rPr>
          <w:color w:val="000000"/>
          <w:spacing w:val="0"/>
          <w:w w:val="100"/>
          <w:position w:val="0"/>
        </w:rPr>
        <w:t>月</w:t>
      </w:r>
      <w:r>
        <w:rPr>
          <w:rFonts w:ascii="Arial Narrow" w:eastAsia="Arial Narrow" w:hAnsi="Arial Narrow" w:cs="Arial Narrow"/>
          <w:color w:val="000000"/>
          <w:spacing w:val="0"/>
          <w:w w:val="100"/>
          <w:position w:val="0"/>
        </w:rPr>
        <w:t>16</w:t>
      </w:r>
      <w:r>
        <w:rPr>
          <w:color w:val="000000"/>
          <w:spacing w:val="0"/>
          <w:w w:val="100"/>
          <w:position w:val="0"/>
        </w:rPr>
        <w:t>日经公司股东同意，公司由有限责任公司整体变更为股份有限公司， 取得广东省工商行政管理局核发的《企业法人营业执照》，注册号为</w:t>
      </w:r>
      <w:r>
        <w:rPr>
          <w:rFonts w:ascii="Arial Narrow" w:eastAsia="Arial Narrow" w:hAnsi="Arial Narrow" w:cs="Arial Narrow"/>
          <w:color w:val="000000"/>
          <w:spacing w:val="0"/>
          <w:w w:val="100"/>
          <w:position w:val="0"/>
        </w:rPr>
        <w:t>440000000030094</w:t>
      </w:r>
      <w:r>
        <w:rPr>
          <w:color w:val="000000"/>
          <w:spacing w:val="0"/>
          <w:w w:val="100"/>
          <w:position w:val="0"/>
        </w:rPr>
        <w:t>。变更后公司注册资 本人民币</w:t>
      </w:r>
      <w:r>
        <w:rPr>
          <w:rFonts w:ascii="Arial Narrow" w:eastAsia="Arial Narrow" w:hAnsi="Arial Narrow" w:cs="Arial Narrow"/>
          <w:color w:val="000000"/>
          <w:spacing w:val="0"/>
          <w:w w:val="100"/>
          <w:position w:val="0"/>
        </w:rPr>
        <w:t>6,500.00</w:t>
      </w:r>
      <w:r>
        <w:rPr>
          <w:color w:val="000000"/>
          <w:spacing w:val="0"/>
          <w:w w:val="100"/>
          <w:position w:val="0"/>
        </w:rPr>
        <w:t>万元，股本为人民币</w:t>
      </w:r>
      <w:r>
        <w:rPr>
          <w:rFonts w:ascii="Arial Narrow" w:eastAsia="Arial Narrow" w:hAnsi="Arial Narrow" w:cs="Arial Narrow"/>
          <w:color w:val="000000"/>
          <w:spacing w:val="0"/>
          <w:w w:val="100"/>
          <w:position w:val="0"/>
        </w:rPr>
        <w:t>6,500.00</w:t>
      </w:r>
      <w:r>
        <w:rPr>
          <w:color w:val="000000"/>
          <w:spacing w:val="0"/>
          <w:w w:val="100"/>
          <w:position w:val="0"/>
        </w:rPr>
        <w:t>万元，业经广东正中珠江会计师事务所有限公司审验并出具 广会所验字</w:t>
      </w:r>
      <w:r>
        <w:rPr>
          <w:rFonts w:ascii="Arial Narrow" w:eastAsia="Arial Narrow" w:hAnsi="Arial Narrow" w:cs="Arial Narrow"/>
          <w:color w:val="000000"/>
          <w:spacing w:val="0"/>
          <w:w w:val="100"/>
          <w:position w:val="0"/>
        </w:rPr>
        <w:t>［</w:t>
      </w:r>
      <w:r>
        <w:rPr>
          <w:rFonts w:ascii="Arial Narrow" w:eastAsia="Arial Narrow" w:hAnsi="Arial Narrow" w:cs="Arial Narrow"/>
          <w:color w:val="000000"/>
          <w:spacing w:val="0"/>
          <w:w w:val="100"/>
          <w:position w:val="0"/>
        </w:rPr>
        <w:t>2009］</w:t>
      </w:r>
      <w:r>
        <w:rPr>
          <w:color w:val="000000"/>
          <w:spacing w:val="0"/>
          <w:w w:val="100"/>
          <w:position w:val="0"/>
        </w:rPr>
        <w:t>第</w:t>
      </w:r>
      <w:r>
        <w:rPr>
          <w:rFonts w:ascii="Arial Narrow" w:eastAsia="Arial Narrow" w:hAnsi="Arial Narrow" w:cs="Arial Narrow"/>
          <w:color w:val="000000"/>
          <w:spacing w:val="0"/>
          <w:w w:val="100"/>
          <w:position w:val="0"/>
        </w:rPr>
        <w:t>09001820055</w:t>
      </w:r>
      <w:r>
        <w:rPr>
          <w:color w:val="000000"/>
          <w:spacing w:val="0"/>
          <w:w w:val="100"/>
          <w:position w:val="0"/>
        </w:rPr>
        <w:t>号验资报告确认。</w:t>
      </w:r>
    </w:p>
    <w:p>
      <w:pPr>
        <w:pStyle w:val="Style35"/>
        <w:keepNext w:val="0"/>
        <w:keepLines w:val="0"/>
        <w:widowControl w:val="0"/>
        <w:shd w:val="clear" w:color="auto" w:fill="auto"/>
        <w:bidi w:val="0"/>
        <w:spacing w:before="0" w:after="0" w:line="401" w:lineRule="exact"/>
        <w:ind w:left="0" w:right="0" w:firstLine="440"/>
        <w:jc w:val="both"/>
      </w:pPr>
      <w:r>
        <w:rPr>
          <w:color w:val="000000"/>
          <w:spacing w:val="0"/>
          <w:w w:val="100"/>
          <w:position w:val="0"/>
        </w:rPr>
        <w:t>根据</w:t>
      </w:r>
      <w:r>
        <w:rPr>
          <w:rFonts w:ascii="Arial Narrow" w:eastAsia="Arial Narrow" w:hAnsi="Arial Narrow" w:cs="Arial Narrow"/>
          <w:color w:val="000000"/>
          <w:spacing w:val="0"/>
          <w:w w:val="100"/>
          <w:position w:val="0"/>
        </w:rPr>
        <w:t>2009</w:t>
      </w:r>
      <w:r>
        <w:rPr>
          <w:color w:val="000000"/>
          <w:spacing w:val="0"/>
          <w:w w:val="100"/>
          <w:position w:val="0"/>
        </w:rPr>
        <w:t>年</w:t>
      </w:r>
      <w:r>
        <w:rPr>
          <w:rFonts w:ascii="Arial Narrow" w:eastAsia="Arial Narrow" w:hAnsi="Arial Narrow" w:cs="Arial Narrow"/>
          <w:color w:val="000000"/>
          <w:spacing w:val="0"/>
          <w:w w:val="100"/>
          <w:position w:val="0"/>
        </w:rPr>
        <w:t>12</w:t>
      </w:r>
      <w:r>
        <w:rPr>
          <w:color w:val="000000"/>
          <w:spacing w:val="0"/>
          <w:w w:val="100"/>
          <w:position w:val="0"/>
        </w:rPr>
        <w:t>月</w:t>
      </w:r>
      <w:r>
        <w:rPr>
          <w:rFonts w:ascii="Arial Narrow" w:eastAsia="Arial Narrow" w:hAnsi="Arial Narrow" w:cs="Arial Narrow"/>
          <w:color w:val="000000"/>
          <w:spacing w:val="0"/>
          <w:w w:val="100"/>
          <w:position w:val="0"/>
        </w:rPr>
        <w:t>2</w:t>
      </w:r>
      <w:r>
        <w:rPr>
          <w:color w:val="000000"/>
          <w:spacing w:val="0"/>
          <w:w w:val="100"/>
          <w:position w:val="0"/>
        </w:rPr>
        <w:t>日股东大会决议和修改后的公司章程的规定</w:t>
      </w:r>
      <w:r>
        <w:rPr>
          <w:color w:val="000000"/>
          <w:spacing w:val="0"/>
          <w:w w:val="100"/>
          <w:position w:val="0"/>
          <w:sz w:val="24"/>
          <w:szCs w:val="24"/>
        </w:rPr>
        <w:t>，</w:t>
      </w:r>
      <w:r>
        <w:rPr>
          <w:color w:val="000000"/>
          <w:spacing w:val="0"/>
          <w:w w:val="100"/>
          <w:position w:val="0"/>
        </w:rPr>
        <w:t>公司新增股东增资扩股</w:t>
      </w:r>
      <w:r>
        <w:rPr>
          <w:rFonts w:ascii="Arial Narrow" w:eastAsia="Arial Narrow" w:hAnsi="Arial Narrow" w:cs="Arial Narrow"/>
          <w:color w:val="000000"/>
          <w:spacing w:val="0"/>
          <w:w w:val="100"/>
          <w:position w:val="0"/>
        </w:rPr>
        <w:t>850</w:t>
      </w:r>
      <w:r>
        <w:rPr>
          <w:color w:val="000000"/>
          <w:spacing w:val="0"/>
          <w:w w:val="100"/>
          <w:position w:val="0"/>
        </w:rPr>
        <w:t>万元，增 加注册资本人民币</w:t>
      </w:r>
      <w:r>
        <w:rPr>
          <w:rFonts w:ascii="Arial Narrow" w:eastAsia="Arial Narrow" w:hAnsi="Arial Narrow" w:cs="Arial Narrow"/>
          <w:color w:val="000000"/>
          <w:spacing w:val="0"/>
          <w:w w:val="100"/>
          <w:position w:val="0"/>
        </w:rPr>
        <w:t>850</w:t>
      </w:r>
      <w:r>
        <w:rPr>
          <w:color w:val="000000"/>
          <w:spacing w:val="0"/>
          <w:w w:val="100"/>
          <w:position w:val="0"/>
        </w:rPr>
        <w:t>万元，变更后的注册资本为人民币</w:t>
      </w:r>
      <w:r>
        <w:rPr>
          <w:rFonts w:ascii="Arial Narrow" w:eastAsia="Arial Narrow" w:hAnsi="Arial Narrow" w:cs="Arial Narrow"/>
          <w:color w:val="000000"/>
          <w:spacing w:val="0"/>
          <w:w w:val="100"/>
          <w:position w:val="0"/>
        </w:rPr>
        <w:t>7,350.00</w:t>
      </w:r>
      <w:r>
        <w:rPr>
          <w:color w:val="000000"/>
          <w:spacing w:val="0"/>
          <w:w w:val="100"/>
          <w:position w:val="0"/>
        </w:rPr>
        <w:t>万元，股本为人民币</w:t>
      </w:r>
      <w:r>
        <w:rPr>
          <w:rFonts w:ascii="Arial Narrow" w:eastAsia="Arial Narrow" w:hAnsi="Arial Narrow" w:cs="Arial Narrow"/>
          <w:color w:val="000000"/>
          <w:spacing w:val="0"/>
          <w:w w:val="100"/>
          <w:position w:val="0"/>
        </w:rPr>
        <w:t>7,350.00</w:t>
      </w:r>
      <w:r>
        <w:rPr>
          <w:color w:val="000000"/>
          <w:spacing w:val="0"/>
          <w:w w:val="100"/>
          <w:position w:val="0"/>
        </w:rPr>
        <w:t>万元，业经 广东正中珠江会计师事务所有限公司审验并出具广会所验字</w:t>
      </w:r>
      <w:r>
        <w:rPr>
          <w:rFonts w:ascii="Arial Narrow" w:eastAsia="Arial Narrow" w:hAnsi="Arial Narrow" w:cs="Arial Narrow"/>
          <w:color w:val="000000"/>
          <w:spacing w:val="0"/>
          <w:w w:val="100"/>
          <w:position w:val="0"/>
        </w:rPr>
        <w:t>［2</w:t>
      </w:r>
      <w:r>
        <w:rPr>
          <w:rFonts w:ascii="Arial Narrow" w:eastAsia="Arial Narrow" w:hAnsi="Arial Narrow" w:cs="Arial Narrow"/>
          <w:color w:val="000000"/>
          <w:spacing w:val="0"/>
          <w:w w:val="100"/>
          <w:position w:val="0"/>
        </w:rPr>
        <w:t>009］09005940018</w:t>
      </w:r>
      <w:r>
        <w:rPr>
          <w:color w:val="000000"/>
          <w:spacing w:val="0"/>
          <w:w w:val="100"/>
          <w:position w:val="0"/>
        </w:rPr>
        <w:t>号验资报告确认。</w:t>
      </w:r>
    </w:p>
    <w:p>
      <w:pPr>
        <w:pStyle w:val="Style35"/>
        <w:keepNext w:val="0"/>
        <w:keepLines w:val="0"/>
        <w:widowControl w:val="0"/>
        <w:shd w:val="clear" w:color="auto" w:fill="auto"/>
        <w:bidi w:val="0"/>
        <w:spacing w:before="0" w:after="0" w:line="403" w:lineRule="exact"/>
        <w:ind w:left="0" w:right="0" w:firstLine="440"/>
        <w:jc w:val="both"/>
      </w:pPr>
      <w:r>
        <w:rPr>
          <w:rFonts w:ascii="Arial Narrow" w:eastAsia="Arial Narrow" w:hAnsi="Arial Narrow" w:cs="Arial Narrow"/>
          <w:color w:val="000000"/>
          <w:spacing w:val="0"/>
          <w:w w:val="100"/>
          <w:position w:val="0"/>
        </w:rPr>
        <w:t>2012</w:t>
      </w:r>
      <w:r>
        <w:rPr>
          <w:color w:val="000000"/>
          <w:spacing w:val="0"/>
          <w:w w:val="100"/>
          <w:position w:val="0"/>
        </w:rPr>
        <w:t>年</w:t>
      </w:r>
      <w:r>
        <w:rPr>
          <w:rFonts w:ascii="Arial Narrow" w:eastAsia="Arial Narrow" w:hAnsi="Arial Narrow" w:cs="Arial Narrow"/>
          <w:color w:val="000000"/>
          <w:spacing w:val="0"/>
          <w:w w:val="100"/>
          <w:position w:val="0"/>
        </w:rPr>
        <w:t>3</w:t>
      </w:r>
      <w:r>
        <w:rPr>
          <w:color w:val="000000"/>
          <w:spacing w:val="0"/>
          <w:w w:val="100"/>
          <w:position w:val="0"/>
        </w:rPr>
        <w:t>月</w:t>
      </w:r>
      <w:r>
        <w:rPr>
          <w:rFonts w:ascii="Arial Narrow" w:eastAsia="Arial Narrow" w:hAnsi="Arial Narrow" w:cs="Arial Narrow"/>
          <w:color w:val="000000"/>
          <w:spacing w:val="0"/>
          <w:w w:val="100"/>
          <w:position w:val="0"/>
        </w:rPr>
        <w:t>15</w:t>
      </w:r>
      <w:r>
        <w:rPr>
          <w:color w:val="000000"/>
          <w:spacing w:val="0"/>
          <w:w w:val="100"/>
          <w:position w:val="0"/>
        </w:rPr>
        <w:t>日，公司在深圳证券交易所创业板成功上市，共募集资金人民币</w:t>
      </w:r>
      <w:r>
        <w:rPr>
          <w:rFonts w:ascii="Arial Narrow" w:eastAsia="Arial Narrow" w:hAnsi="Arial Narrow" w:cs="Arial Narrow"/>
          <w:color w:val="000000"/>
          <w:spacing w:val="0"/>
          <w:w w:val="100"/>
          <w:position w:val="0"/>
        </w:rPr>
        <w:t>392,000,000.00</w:t>
      </w:r>
      <w:r>
        <w:rPr>
          <w:color w:val="000000"/>
          <w:spacing w:val="0"/>
          <w:w w:val="100"/>
          <w:position w:val="0"/>
        </w:rPr>
        <w:t>元，扣 除发行费用</w:t>
      </w:r>
      <w:r>
        <w:rPr>
          <w:rFonts w:ascii="Arial Narrow" w:eastAsia="Arial Narrow" w:hAnsi="Arial Narrow" w:cs="Arial Narrow"/>
          <w:color w:val="000000"/>
          <w:spacing w:val="0"/>
          <w:w w:val="100"/>
          <w:position w:val="0"/>
        </w:rPr>
        <w:t>39,243,336.50</w:t>
      </w:r>
      <w:r>
        <w:rPr>
          <w:color w:val="000000"/>
          <w:spacing w:val="0"/>
          <w:w w:val="100"/>
          <w:position w:val="0"/>
        </w:rPr>
        <w:t>元，募集资金净额</w:t>
      </w:r>
      <w:r>
        <w:rPr>
          <w:rFonts w:ascii="Arial Narrow" w:eastAsia="Arial Narrow" w:hAnsi="Arial Narrow" w:cs="Arial Narrow"/>
          <w:color w:val="000000"/>
          <w:spacing w:val="0"/>
          <w:w w:val="100"/>
          <w:position w:val="0"/>
        </w:rPr>
        <w:t>352,756,663.50</w:t>
      </w:r>
      <w:r>
        <w:rPr>
          <w:color w:val="000000"/>
          <w:spacing w:val="0"/>
          <w:w w:val="100"/>
          <w:position w:val="0"/>
        </w:rPr>
        <w:t>元。募集资金转增资本人民币</w:t>
      </w:r>
      <w:r>
        <w:rPr>
          <w:rFonts w:ascii="Arial Narrow" w:eastAsia="Arial Narrow" w:hAnsi="Arial Narrow" w:cs="Arial Narrow"/>
          <w:color w:val="000000"/>
          <w:spacing w:val="0"/>
          <w:w w:val="100"/>
          <w:position w:val="0"/>
        </w:rPr>
        <w:t>2,450</w:t>
      </w:r>
      <w:r>
        <w:rPr>
          <w:color w:val="000000"/>
          <w:spacing w:val="0"/>
          <w:w w:val="100"/>
          <w:position w:val="0"/>
        </w:rPr>
        <w:t>万元，其余 资金计入资本公积。变更后的注册资本为人民币</w:t>
      </w:r>
      <w:r>
        <w:rPr>
          <w:rFonts w:ascii="Arial Narrow" w:eastAsia="Arial Narrow" w:hAnsi="Arial Narrow" w:cs="Arial Narrow"/>
          <w:color w:val="000000"/>
          <w:spacing w:val="0"/>
          <w:w w:val="100"/>
          <w:position w:val="0"/>
        </w:rPr>
        <w:t>9,800.00</w:t>
      </w:r>
      <w:r>
        <w:rPr>
          <w:color w:val="000000"/>
          <w:spacing w:val="0"/>
          <w:w w:val="100"/>
          <w:position w:val="0"/>
        </w:rPr>
        <w:t>万元，股本为人民币</w:t>
      </w:r>
      <w:r>
        <w:rPr>
          <w:rFonts w:ascii="Arial Narrow" w:eastAsia="Arial Narrow" w:hAnsi="Arial Narrow" w:cs="Arial Narrow"/>
          <w:color w:val="000000"/>
          <w:spacing w:val="0"/>
          <w:w w:val="100"/>
          <w:position w:val="0"/>
        </w:rPr>
        <w:t>9,800.00</w:t>
      </w:r>
      <w:r>
        <w:rPr>
          <w:color w:val="000000"/>
          <w:spacing w:val="0"/>
          <w:w w:val="100"/>
          <w:position w:val="0"/>
        </w:rPr>
        <w:t>万元，业经北京永拓 会计师事务所有限责任公司审验并出具京永验字（</w:t>
      </w:r>
      <w:r>
        <w:rPr>
          <w:rFonts w:ascii="Arial Narrow" w:eastAsia="Arial Narrow" w:hAnsi="Arial Narrow" w:cs="Arial Narrow"/>
          <w:color w:val="000000"/>
          <w:spacing w:val="0"/>
          <w:w w:val="100"/>
          <w:position w:val="0"/>
        </w:rPr>
        <w:t>2012</w:t>
      </w:r>
      <w:r>
        <w:rPr>
          <w:color w:val="000000"/>
          <w:spacing w:val="0"/>
          <w:w w:val="100"/>
          <w:position w:val="0"/>
        </w:rPr>
        <w:t>）第</w:t>
      </w:r>
      <w:r>
        <w:rPr>
          <w:rFonts w:ascii="Arial Narrow" w:eastAsia="Arial Narrow" w:hAnsi="Arial Narrow" w:cs="Arial Narrow"/>
          <w:color w:val="000000"/>
          <w:spacing w:val="0"/>
          <w:w w:val="100"/>
          <w:position w:val="0"/>
        </w:rPr>
        <w:t>21001</w:t>
      </w:r>
      <w:r>
        <w:rPr>
          <w:color w:val="000000"/>
          <w:spacing w:val="0"/>
          <w:w w:val="100"/>
          <w:position w:val="0"/>
        </w:rPr>
        <w:t>号验资报告确认。</w:t>
      </w:r>
    </w:p>
    <w:p>
      <w:pPr>
        <w:pStyle w:val="Style35"/>
        <w:keepNext w:val="0"/>
        <w:keepLines w:val="0"/>
        <w:widowControl w:val="0"/>
        <w:shd w:val="clear" w:color="auto" w:fill="auto"/>
        <w:bidi w:val="0"/>
        <w:spacing w:before="0" w:after="0" w:line="402" w:lineRule="exact"/>
        <w:ind w:left="0" w:right="0" w:firstLine="440"/>
        <w:jc w:val="both"/>
      </w:pPr>
      <w:r>
        <w:rPr>
          <w:rFonts w:ascii="Arial Narrow" w:eastAsia="Arial Narrow" w:hAnsi="Arial Narrow" w:cs="Arial Narrow"/>
          <w:color w:val="000000"/>
          <w:spacing w:val="0"/>
          <w:w w:val="100"/>
          <w:position w:val="0"/>
        </w:rPr>
        <w:t>2013</w:t>
      </w:r>
      <w:r>
        <w:rPr>
          <w:color w:val="000000"/>
          <w:spacing w:val="0"/>
          <w:w w:val="100"/>
          <w:position w:val="0"/>
        </w:rPr>
        <w:t>年</w:t>
      </w:r>
      <w:r>
        <w:rPr>
          <w:rFonts w:ascii="Arial Narrow" w:eastAsia="Arial Narrow" w:hAnsi="Arial Narrow" w:cs="Arial Narrow"/>
          <w:color w:val="000000"/>
          <w:spacing w:val="0"/>
          <w:w w:val="100"/>
          <w:position w:val="0"/>
        </w:rPr>
        <w:t>5</w:t>
      </w:r>
      <w:r>
        <w:rPr>
          <w:color w:val="000000"/>
          <w:spacing w:val="0"/>
          <w:w w:val="100"/>
          <w:position w:val="0"/>
        </w:rPr>
        <w:t>月</w:t>
      </w:r>
      <w:r>
        <w:rPr>
          <w:rFonts w:ascii="Arial Narrow" w:eastAsia="Arial Narrow" w:hAnsi="Arial Narrow" w:cs="Arial Narrow"/>
          <w:color w:val="000000"/>
          <w:spacing w:val="0"/>
          <w:w w:val="100"/>
          <w:position w:val="0"/>
        </w:rPr>
        <w:t>23</w:t>
      </w:r>
      <w:r>
        <w:rPr>
          <w:color w:val="000000"/>
          <w:spacing w:val="0"/>
          <w:w w:val="100"/>
          <w:position w:val="0"/>
        </w:rPr>
        <w:t>日，根据股东大会决议及修改后章程的规定，公司申请新增注册资本人民币</w:t>
      </w:r>
      <w:r>
        <w:rPr>
          <w:rFonts w:ascii="Arial Narrow" w:eastAsia="Arial Narrow" w:hAnsi="Arial Narrow" w:cs="Arial Narrow"/>
          <w:color w:val="000000"/>
          <w:spacing w:val="0"/>
          <w:w w:val="100"/>
          <w:position w:val="0"/>
        </w:rPr>
        <w:t>9,800</w:t>
      </w:r>
      <w:r>
        <w:rPr>
          <w:color w:val="000000"/>
          <w:spacing w:val="0"/>
          <w:w w:val="100"/>
          <w:position w:val="0"/>
        </w:rPr>
        <w:t>万元, 以</w:t>
      </w:r>
      <w:r>
        <w:rPr>
          <w:rFonts w:ascii="Arial Narrow" w:eastAsia="Arial Narrow" w:hAnsi="Arial Narrow" w:cs="Arial Narrow"/>
          <w:color w:val="000000"/>
          <w:spacing w:val="0"/>
          <w:w w:val="100"/>
          <w:position w:val="0"/>
        </w:rPr>
        <w:t>2012</w:t>
      </w:r>
      <w:r>
        <w:rPr>
          <w:color w:val="000000"/>
          <w:spacing w:val="0"/>
          <w:w w:val="100"/>
          <w:position w:val="0"/>
        </w:rPr>
        <w:t>年</w:t>
      </w:r>
      <w:r>
        <w:rPr>
          <w:rFonts w:ascii="Arial Narrow" w:eastAsia="Arial Narrow" w:hAnsi="Arial Narrow" w:cs="Arial Narrow"/>
          <w:color w:val="000000"/>
          <w:spacing w:val="0"/>
          <w:w w:val="100"/>
          <w:position w:val="0"/>
        </w:rPr>
        <w:t>12</w:t>
      </w:r>
      <w:r>
        <w:rPr>
          <w:color w:val="000000"/>
          <w:spacing w:val="0"/>
          <w:w w:val="100"/>
          <w:position w:val="0"/>
        </w:rPr>
        <w:t>月</w:t>
      </w:r>
      <w:r>
        <w:rPr>
          <w:rFonts w:ascii="Arial Narrow" w:eastAsia="Arial Narrow" w:hAnsi="Arial Narrow" w:cs="Arial Narrow"/>
          <w:color w:val="000000"/>
          <w:spacing w:val="0"/>
          <w:w w:val="100"/>
          <w:position w:val="0"/>
        </w:rPr>
        <w:t>31</w:t>
      </w:r>
      <w:r>
        <w:rPr>
          <w:color w:val="000000"/>
          <w:spacing w:val="0"/>
          <w:w w:val="100"/>
          <w:position w:val="0"/>
        </w:rPr>
        <w:t>日公司总股本</w:t>
      </w:r>
      <w:r>
        <w:rPr>
          <w:rFonts w:ascii="Arial Narrow" w:eastAsia="Arial Narrow" w:hAnsi="Arial Narrow" w:cs="Arial Narrow"/>
          <w:color w:val="000000"/>
          <w:spacing w:val="0"/>
          <w:w w:val="100"/>
          <w:position w:val="0"/>
        </w:rPr>
        <w:t>9,800.00</w:t>
      </w:r>
      <w:r>
        <w:rPr>
          <w:color w:val="000000"/>
          <w:spacing w:val="0"/>
          <w:w w:val="100"/>
          <w:position w:val="0"/>
        </w:rPr>
        <w:t>万股为基数，以资本公积向股东每</w:t>
      </w:r>
      <w:r>
        <w:rPr>
          <w:rFonts w:ascii="Arial Narrow" w:eastAsia="Arial Narrow" w:hAnsi="Arial Narrow" w:cs="Arial Narrow"/>
          <w:color w:val="000000"/>
          <w:spacing w:val="0"/>
          <w:w w:val="100"/>
          <w:position w:val="0"/>
        </w:rPr>
        <w:t>10</w:t>
      </w:r>
      <w:r>
        <w:rPr>
          <w:color w:val="000000"/>
          <w:spacing w:val="0"/>
          <w:w w:val="100"/>
          <w:position w:val="0"/>
        </w:rPr>
        <w:t>股转增</w:t>
      </w:r>
      <w:r>
        <w:rPr>
          <w:rFonts w:ascii="Arial Narrow" w:eastAsia="Arial Narrow" w:hAnsi="Arial Narrow" w:cs="Arial Narrow"/>
          <w:color w:val="000000"/>
          <w:spacing w:val="0"/>
          <w:w w:val="100"/>
          <w:position w:val="0"/>
        </w:rPr>
        <w:t>10</w:t>
      </w:r>
      <w:r>
        <w:rPr>
          <w:color w:val="000000"/>
          <w:spacing w:val="0"/>
          <w:w w:val="100"/>
          <w:position w:val="0"/>
        </w:rPr>
        <w:t>股，合计转增股 本</w:t>
      </w:r>
      <w:r>
        <w:rPr>
          <w:rFonts w:ascii="Arial Narrow" w:eastAsia="Arial Narrow" w:hAnsi="Arial Narrow" w:cs="Arial Narrow"/>
          <w:color w:val="000000"/>
          <w:spacing w:val="0"/>
          <w:w w:val="100"/>
          <w:position w:val="0"/>
        </w:rPr>
        <w:t>9,800.00</w:t>
      </w:r>
      <w:r>
        <w:rPr>
          <w:color w:val="000000"/>
          <w:spacing w:val="0"/>
          <w:w w:val="100"/>
          <w:position w:val="0"/>
        </w:rPr>
        <w:t>万股，每股面值</w:t>
      </w:r>
      <w:r>
        <w:rPr>
          <w:rFonts w:ascii="Arial Narrow" w:eastAsia="Arial Narrow" w:hAnsi="Arial Narrow" w:cs="Arial Narrow"/>
          <w:color w:val="000000"/>
          <w:spacing w:val="0"/>
          <w:w w:val="100"/>
          <w:position w:val="0"/>
        </w:rPr>
        <w:t>1</w:t>
      </w:r>
      <w:r>
        <w:rPr>
          <w:color w:val="000000"/>
          <w:spacing w:val="0"/>
          <w:w w:val="100"/>
          <w:position w:val="0"/>
        </w:rPr>
        <w:t>元，合计增加股本</w:t>
      </w:r>
      <w:r>
        <w:rPr>
          <w:rFonts w:ascii="Arial Narrow" w:eastAsia="Arial Narrow" w:hAnsi="Arial Narrow" w:cs="Arial Narrow"/>
          <w:color w:val="000000"/>
          <w:spacing w:val="0"/>
          <w:w w:val="100"/>
          <w:position w:val="0"/>
        </w:rPr>
        <w:t>9,800.00</w:t>
      </w:r>
      <w:r>
        <w:rPr>
          <w:color w:val="000000"/>
          <w:spacing w:val="0"/>
          <w:w w:val="100"/>
          <w:position w:val="0"/>
        </w:rPr>
        <w:t>万元，转增股本后公司总股本变更为</w:t>
      </w:r>
      <w:r>
        <w:rPr>
          <w:rFonts w:ascii="Arial Narrow" w:eastAsia="Arial Narrow" w:hAnsi="Arial Narrow" w:cs="Arial Narrow"/>
          <w:color w:val="000000"/>
          <w:spacing w:val="0"/>
          <w:w w:val="100"/>
          <w:position w:val="0"/>
        </w:rPr>
        <w:t>19,600.00</w:t>
      </w:r>
      <w:r>
        <w:rPr>
          <w:color w:val="000000"/>
          <w:spacing w:val="0"/>
          <w:w w:val="100"/>
          <w:position w:val="0"/>
        </w:rPr>
        <w:t>万 元，业经大华会计师事务所（特殊普通合伙）审验，并出具大华验字</w:t>
      </w:r>
      <w:r>
        <w:rPr>
          <w:rFonts w:ascii="Arial Narrow" w:eastAsia="Arial Narrow" w:hAnsi="Arial Narrow" w:cs="Arial Narrow"/>
          <w:color w:val="000000"/>
          <w:spacing w:val="0"/>
          <w:w w:val="100"/>
          <w:position w:val="0"/>
        </w:rPr>
        <w:t>［</w:t>
      </w:r>
      <w:r>
        <w:rPr>
          <w:rFonts w:ascii="Arial Narrow" w:eastAsia="Arial Narrow" w:hAnsi="Arial Narrow" w:cs="Arial Narrow"/>
          <w:color w:val="000000"/>
          <w:spacing w:val="0"/>
          <w:w w:val="100"/>
          <w:position w:val="0"/>
        </w:rPr>
        <w:t>2013］000235</w:t>
      </w:r>
      <w:r>
        <w:rPr>
          <w:color w:val="000000"/>
          <w:spacing w:val="0"/>
          <w:w w:val="100"/>
          <w:position w:val="0"/>
        </w:rPr>
        <w:t>号验资报告确认。</w:t>
      </w:r>
    </w:p>
    <w:p>
      <w:pPr>
        <w:pStyle w:val="Style35"/>
        <w:keepNext w:val="0"/>
        <w:keepLines w:val="0"/>
        <w:widowControl w:val="0"/>
        <w:shd w:val="clear" w:color="auto" w:fill="auto"/>
        <w:bidi w:val="0"/>
        <w:spacing w:before="0" w:after="300" w:line="401" w:lineRule="exact"/>
        <w:ind w:left="0" w:right="0" w:firstLine="440"/>
        <w:jc w:val="both"/>
      </w:pPr>
      <w:r>
        <w:rPr>
          <w:color w:val="000000"/>
          <w:spacing w:val="0"/>
          <w:w w:val="100"/>
          <w:position w:val="0"/>
        </w:rPr>
        <w:t>公司法定代表人为柯宗贵，注册地址为广州市天河区科韵路</w:t>
      </w:r>
      <w:r>
        <w:rPr>
          <w:rFonts w:ascii="Arial Narrow" w:eastAsia="Arial Narrow" w:hAnsi="Arial Narrow" w:cs="Arial Narrow"/>
          <w:color w:val="000000"/>
          <w:spacing w:val="0"/>
          <w:w w:val="100"/>
          <w:position w:val="0"/>
        </w:rPr>
        <w:t>16</w:t>
      </w:r>
      <w:r>
        <w:rPr>
          <w:color w:val="000000"/>
          <w:spacing w:val="0"/>
          <w:w w:val="100"/>
          <w:position w:val="0"/>
        </w:rPr>
        <w:t>号自编</w:t>
      </w:r>
      <w:r>
        <w:rPr>
          <w:rFonts w:ascii="Arial Narrow" w:eastAsia="Arial Narrow" w:hAnsi="Arial Narrow" w:cs="Arial Narrow"/>
          <w:color w:val="000000"/>
          <w:spacing w:val="0"/>
          <w:w w:val="100"/>
          <w:position w:val="0"/>
        </w:rPr>
        <w:t>1</w:t>
      </w:r>
      <w:r>
        <w:rPr>
          <w:color w:val="000000"/>
          <w:spacing w:val="0"/>
          <w:w w:val="100"/>
          <w:position w:val="0"/>
        </w:rPr>
        <w:t>栋</w:t>
      </w:r>
      <w:r>
        <w:rPr>
          <w:rFonts w:ascii="Arial Narrow" w:eastAsia="Arial Narrow" w:hAnsi="Arial Narrow" w:cs="Arial Narrow"/>
          <w:color w:val="000000"/>
          <w:spacing w:val="0"/>
          <w:w w:val="100"/>
          <w:position w:val="0"/>
        </w:rPr>
        <w:t>2101</w:t>
      </w:r>
      <w:r>
        <w:rPr>
          <w:color w:val="000000"/>
          <w:spacing w:val="0"/>
          <w:w w:val="100"/>
          <w:position w:val="0"/>
        </w:rPr>
        <w:t>。</w:t>
      </w:r>
    </w:p>
    <w:p>
      <w:pPr>
        <w:pStyle w:val="Style38"/>
        <w:keepNext/>
        <w:keepLines/>
        <w:widowControl w:val="0"/>
        <w:shd w:val="clear" w:color="auto" w:fill="auto"/>
        <w:tabs>
          <w:tab w:pos="958" w:val="left"/>
        </w:tabs>
        <w:bidi w:val="0"/>
        <w:spacing w:before="0" w:after="0" w:line="420" w:lineRule="auto"/>
        <w:ind w:left="0" w:right="0"/>
        <w:jc w:val="both"/>
      </w:pPr>
      <w:bookmarkStart w:id="464" w:name="bookmark464"/>
      <w:bookmarkStart w:id="465" w:name="bookmark465"/>
      <w:bookmarkStart w:id="466" w:name="bookmark466"/>
      <w:bookmarkStart w:id="467" w:name="bookmark467"/>
      <w:r>
        <w:rPr>
          <w:rFonts w:ascii="Arial Narrow" w:eastAsia="Arial Narrow" w:hAnsi="Arial Narrow" w:cs="Arial Narrow"/>
          <w:color w:val="000000"/>
          <w:spacing w:val="0"/>
          <w:w w:val="100"/>
          <w:position w:val="0"/>
          <w:sz w:val="20"/>
          <w:szCs w:val="20"/>
        </w:rPr>
        <w:t>（</w:t>
      </w:r>
      <w:bookmarkEnd w:id="466"/>
      <w:r>
        <w:rPr>
          <w:color w:val="000000"/>
          <w:spacing w:val="0"/>
          <w:w w:val="100"/>
          <w:position w:val="0"/>
        </w:rPr>
        <w:t>二</w:t>
      </w:r>
      <w:r>
        <w:rPr>
          <w:color w:val="000000"/>
          <w:spacing w:val="0"/>
          <w:w w:val="100"/>
          <w:position w:val="0"/>
          <w:sz w:val="24"/>
          <w:szCs w:val="24"/>
        </w:rPr>
        <w:t>）</w:t>
      </w:r>
      <w:r>
        <w:rPr>
          <w:rFonts w:ascii="Arial Narrow" w:eastAsia="Arial Narrow" w:hAnsi="Arial Narrow" w:cs="Arial Narrow"/>
          <w:color w:val="000000"/>
          <w:spacing w:val="0"/>
          <w:w w:val="100"/>
          <w:position w:val="0"/>
          <w:sz w:val="20"/>
          <w:szCs w:val="20"/>
        </w:rPr>
        <w:tab/>
      </w:r>
      <w:r>
        <w:rPr>
          <w:color w:val="000000"/>
          <w:spacing w:val="0"/>
          <w:w w:val="100"/>
          <w:position w:val="0"/>
        </w:rPr>
        <w:t>行业性质</w:t>
      </w:r>
      <w:bookmarkEnd w:id="464"/>
      <w:bookmarkEnd w:id="465"/>
      <w:bookmarkEnd w:id="467"/>
    </w:p>
    <w:p>
      <w:pPr>
        <w:pStyle w:val="Style35"/>
        <w:keepNext w:val="0"/>
        <w:keepLines w:val="0"/>
        <w:widowControl w:val="0"/>
        <w:shd w:val="clear" w:color="auto" w:fill="auto"/>
        <w:bidi w:val="0"/>
        <w:spacing w:before="0" w:after="300" w:line="401" w:lineRule="exact"/>
        <w:ind w:left="0" w:right="0" w:firstLine="440"/>
        <w:jc w:val="both"/>
      </w:pPr>
      <w:r>
        <w:rPr>
          <w:color w:val="000000"/>
          <w:spacing w:val="0"/>
          <w:w w:val="100"/>
          <w:position w:val="0"/>
        </w:rPr>
        <w:t>公司属信息技术业。</w:t>
      </w:r>
    </w:p>
    <w:p>
      <w:pPr>
        <w:pStyle w:val="Style38"/>
        <w:keepNext/>
        <w:keepLines/>
        <w:widowControl w:val="0"/>
        <w:shd w:val="clear" w:color="auto" w:fill="auto"/>
        <w:tabs>
          <w:tab w:pos="929" w:val="left"/>
        </w:tabs>
        <w:bidi w:val="0"/>
        <w:spacing w:before="0" w:after="0" w:line="420" w:lineRule="auto"/>
        <w:ind w:left="0" w:right="0"/>
        <w:jc w:val="both"/>
      </w:pPr>
      <w:bookmarkStart w:id="468" w:name="bookmark468"/>
      <w:bookmarkStart w:id="469" w:name="bookmark469"/>
      <w:bookmarkStart w:id="470" w:name="bookmark470"/>
      <w:bookmarkStart w:id="471" w:name="bookmark471"/>
      <w:r>
        <w:rPr>
          <w:rFonts w:ascii="Arial Narrow" w:eastAsia="Arial Narrow" w:hAnsi="Arial Narrow" w:cs="Arial Narrow"/>
          <w:color w:val="000000"/>
          <w:spacing w:val="0"/>
          <w:w w:val="100"/>
          <w:position w:val="0"/>
          <w:sz w:val="20"/>
          <w:szCs w:val="20"/>
        </w:rPr>
        <w:t>（</w:t>
      </w:r>
      <w:bookmarkEnd w:id="470"/>
      <w:r>
        <w:rPr>
          <w:color w:val="000000"/>
          <w:spacing w:val="0"/>
          <w:w w:val="100"/>
          <w:position w:val="0"/>
        </w:rPr>
        <w:t>三</w:t>
      </w:r>
      <w:r>
        <w:rPr>
          <w:color w:val="000000"/>
          <w:spacing w:val="0"/>
          <w:w w:val="100"/>
          <w:position w:val="0"/>
          <w:sz w:val="24"/>
          <w:szCs w:val="24"/>
        </w:rPr>
        <w:t>）</w:t>
      </w:r>
      <w:r>
        <w:rPr>
          <w:rFonts w:ascii="Arial Narrow" w:eastAsia="Arial Narrow" w:hAnsi="Arial Narrow" w:cs="Arial Narrow"/>
          <w:color w:val="000000"/>
          <w:spacing w:val="0"/>
          <w:w w:val="100"/>
          <w:position w:val="0"/>
          <w:sz w:val="20"/>
          <w:szCs w:val="20"/>
        </w:rPr>
        <w:tab/>
      </w:r>
      <w:r>
        <w:rPr>
          <w:color w:val="000000"/>
          <w:spacing w:val="0"/>
          <w:w w:val="100"/>
          <w:position w:val="0"/>
        </w:rPr>
        <w:t>经营范围</w:t>
      </w:r>
      <w:bookmarkEnd w:id="468"/>
      <w:bookmarkEnd w:id="469"/>
      <w:bookmarkEnd w:id="471"/>
    </w:p>
    <w:p>
      <w:pPr>
        <w:pStyle w:val="Style35"/>
        <w:keepNext w:val="0"/>
        <w:keepLines w:val="0"/>
        <w:widowControl w:val="0"/>
        <w:shd w:val="clear" w:color="auto" w:fill="auto"/>
        <w:bidi w:val="0"/>
        <w:spacing w:before="0" w:after="160" w:line="401" w:lineRule="exact"/>
        <w:ind w:left="0" w:right="0" w:firstLine="440"/>
        <w:jc w:val="both"/>
      </w:pPr>
      <w:r>
        <w:rPr>
          <w:color w:val="000000"/>
          <w:spacing w:val="0"/>
          <w:w w:val="100"/>
          <w:position w:val="0"/>
        </w:rPr>
        <w:t>公司的经营范围为：计算机软、硬件开发，计算机信息系统集成、布线，承接网络工程建设项目，信 息技术、数码技术开发、服务，计算机网络技术服务，网络安全信息咨询；销售：计算机及其配套设备， 文化用品，电子产品、广播电视设备（不含卫星电视广播地面接收设备、发射设施）；信息服务业务（仅 限广东省内互联网信息服务，不含新闻、出版、教育、医疗保健、药品、医疗器械、电子公告以及其他按 法律、法规规定需要前置审批或专项审批的服务项目，按有效许可证经营），第二类增值电信业务中的信 息服务业务（不含固定网电话信息服务和互联网信息服务，按有效许可证经营）。</w:t>
      </w:r>
    </w:p>
    <w:p>
      <w:pPr>
        <w:pStyle w:val="Style38"/>
        <w:keepNext/>
        <w:keepLines/>
        <w:widowControl w:val="0"/>
        <w:shd w:val="clear" w:color="auto" w:fill="auto"/>
        <w:tabs>
          <w:tab w:pos="929" w:val="left"/>
        </w:tabs>
        <w:bidi w:val="0"/>
        <w:spacing w:before="0" w:after="0" w:line="401" w:lineRule="exact"/>
        <w:ind w:left="0" w:right="0"/>
        <w:jc w:val="both"/>
      </w:pPr>
      <w:bookmarkStart w:id="472" w:name="bookmark472"/>
      <w:bookmarkStart w:id="473" w:name="bookmark473"/>
      <w:bookmarkStart w:id="474" w:name="bookmark474"/>
      <w:bookmarkStart w:id="475" w:name="bookmark475"/>
      <w:r>
        <w:rPr>
          <w:rFonts w:ascii="Arial Narrow" w:eastAsia="Arial Narrow" w:hAnsi="Arial Narrow" w:cs="Arial Narrow"/>
          <w:color w:val="000000"/>
          <w:spacing w:val="0"/>
          <w:w w:val="100"/>
          <w:position w:val="0"/>
          <w:sz w:val="20"/>
          <w:szCs w:val="20"/>
        </w:rPr>
        <w:t>（</w:t>
      </w:r>
      <w:bookmarkEnd w:id="474"/>
      <w:r>
        <w:rPr>
          <w:color w:val="000000"/>
          <w:spacing w:val="0"/>
          <w:w w:val="100"/>
          <w:position w:val="0"/>
        </w:rPr>
        <w:t>四</w:t>
      </w:r>
      <w:r>
        <w:rPr>
          <w:color w:val="000000"/>
          <w:spacing w:val="0"/>
          <w:w w:val="100"/>
          <w:position w:val="0"/>
          <w:sz w:val="24"/>
          <w:szCs w:val="24"/>
        </w:rPr>
        <w:t>）</w:t>
      </w:r>
      <w:r>
        <w:rPr>
          <w:rFonts w:ascii="Arial Narrow" w:eastAsia="Arial Narrow" w:hAnsi="Arial Narrow" w:cs="Arial Narrow"/>
          <w:color w:val="000000"/>
          <w:spacing w:val="0"/>
          <w:w w:val="100"/>
          <w:position w:val="0"/>
          <w:sz w:val="20"/>
          <w:szCs w:val="20"/>
        </w:rPr>
        <w:tab/>
      </w:r>
      <w:r>
        <w:rPr>
          <w:color w:val="000000"/>
          <w:spacing w:val="0"/>
          <w:w w:val="100"/>
          <w:position w:val="0"/>
        </w:rPr>
        <w:t>主要产品、劳务</w:t>
      </w:r>
      <w:bookmarkEnd w:id="472"/>
      <w:bookmarkEnd w:id="473"/>
      <w:bookmarkEnd w:id="475"/>
    </w:p>
    <w:p>
      <w:pPr>
        <w:pStyle w:val="Style35"/>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公司的业务主要涉及信息安全领域，主要包括：</w:t>
      </w:r>
    </w:p>
    <w:p>
      <w:pPr>
        <w:pStyle w:val="Style35"/>
        <w:keepNext w:val="0"/>
        <w:keepLines w:val="0"/>
        <w:widowControl w:val="0"/>
        <w:shd w:val="clear" w:color="auto" w:fill="auto"/>
        <w:bidi w:val="0"/>
        <w:spacing w:before="0" w:after="0" w:line="401" w:lineRule="exact"/>
        <w:ind w:left="0" w:right="0" w:firstLine="440"/>
        <w:jc w:val="both"/>
      </w:pPr>
      <w:bookmarkStart w:id="476" w:name="bookmark476"/>
      <w:r>
        <w:rPr>
          <w:rFonts w:ascii="Arial Narrow" w:eastAsia="Arial Narrow" w:hAnsi="Arial Narrow" w:cs="Arial Narrow"/>
          <w:color w:val="000000"/>
          <w:spacing w:val="0"/>
          <w:w w:val="100"/>
          <w:position w:val="0"/>
        </w:rPr>
        <w:t>1</w:t>
      </w:r>
      <w:bookmarkEnd w:id="476"/>
      <w:r>
        <w:rPr>
          <w:color w:val="000000"/>
          <w:spacing w:val="0"/>
          <w:w w:val="100"/>
          <w:position w:val="0"/>
        </w:rPr>
        <w:t xml:space="preserve">、安全产品：应用于计算机网络环境中，能够针对网络和系统提供保护和控制，保证网络和系统的 </w:t>
      </w:r>
      <w:r>
        <w:rPr>
          <w:color w:val="000000"/>
          <w:spacing w:val="0"/>
          <w:w w:val="100"/>
          <w:position w:val="0"/>
        </w:rPr>
        <w:t>完整性、可用性的产品。包括防火墙、入侵检测系统、安全扫描系统、安全审计等自行研发的信息安全产 品。</w:t>
      </w:r>
    </w:p>
    <w:p>
      <w:pPr>
        <w:pStyle w:val="Style35"/>
        <w:keepNext w:val="0"/>
        <w:keepLines w:val="0"/>
        <w:widowControl w:val="0"/>
        <w:shd w:val="clear" w:color="auto" w:fill="auto"/>
        <w:tabs>
          <w:tab w:pos="826" w:val="left"/>
        </w:tabs>
        <w:bidi w:val="0"/>
        <w:spacing w:before="0" w:after="200" w:line="413" w:lineRule="exact"/>
        <w:ind w:left="0" w:right="0" w:firstLine="440"/>
        <w:jc w:val="both"/>
      </w:pPr>
      <w:bookmarkStart w:id="477" w:name="bookmark477"/>
      <w:r>
        <w:rPr>
          <w:rFonts w:ascii="Arial Narrow" w:eastAsia="Arial Narrow" w:hAnsi="Arial Narrow" w:cs="Arial Narrow"/>
          <w:color w:val="000000"/>
          <w:spacing w:val="0"/>
          <w:w w:val="100"/>
          <w:position w:val="0"/>
        </w:rPr>
        <w:t>2</w:t>
      </w:r>
      <w:bookmarkEnd w:id="477"/>
      <w:r>
        <w:rPr>
          <w:color w:val="000000"/>
          <w:spacing w:val="0"/>
          <w:w w:val="100"/>
          <w:position w:val="0"/>
        </w:rPr>
        <w:t>、</w:t>
        <w:tab/>
        <w:t>安全集成：基于客户个性化需求，设置或组建信息安全系统。安全集成所需的安全产品及其配套 组件或产品可由公司提供或向第三方采购，安全集成需要较长的安装与测试过程。</w:t>
      </w:r>
    </w:p>
    <w:p>
      <w:pPr>
        <w:pStyle w:val="Style35"/>
        <w:keepNext w:val="0"/>
        <w:keepLines w:val="0"/>
        <w:widowControl w:val="0"/>
        <w:shd w:val="clear" w:color="auto" w:fill="auto"/>
        <w:tabs>
          <w:tab w:pos="826" w:val="left"/>
        </w:tabs>
        <w:bidi w:val="0"/>
        <w:spacing w:before="0" w:after="0" w:line="437" w:lineRule="auto"/>
        <w:ind w:left="0" w:right="0" w:firstLine="440"/>
        <w:jc w:val="left"/>
      </w:pPr>
      <w:bookmarkStart w:id="478" w:name="bookmark478"/>
      <w:r>
        <w:rPr>
          <w:rFonts w:ascii="Arial Narrow" w:eastAsia="Arial Narrow" w:hAnsi="Arial Narrow" w:cs="Arial Narrow"/>
          <w:color w:val="000000"/>
          <w:spacing w:val="0"/>
          <w:w w:val="100"/>
          <w:position w:val="0"/>
        </w:rPr>
        <w:t>3</w:t>
      </w:r>
      <w:bookmarkEnd w:id="478"/>
      <w:r>
        <w:rPr>
          <w:color w:val="000000"/>
          <w:spacing w:val="0"/>
          <w:w w:val="100"/>
          <w:position w:val="0"/>
        </w:rPr>
        <w:t>、</w:t>
        <w:tab/>
        <w:t>安全服务：安全服务指为客户提供的信息安全培训、信息安全等级测评等服务。</w:t>
      </w:r>
    </w:p>
    <w:p>
      <w:pPr>
        <w:pStyle w:val="Style35"/>
        <w:keepNext w:val="0"/>
        <w:keepLines w:val="0"/>
        <w:widowControl w:val="0"/>
        <w:shd w:val="clear" w:color="auto" w:fill="auto"/>
        <w:bidi w:val="0"/>
        <w:spacing w:before="0" w:after="340" w:line="413" w:lineRule="exact"/>
        <w:ind w:left="0" w:right="0" w:firstLine="440"/>
        <w:jc w:val="both"/>
      </w:pPr>
      <w:bookmarkStart w:id="479" w:name="bookmark479"/>
      <w:r>
        <w:rPr>
          <w:rFonts w:ascii="Arial Narrow" w:eastAsia="Arial Narrow" w:hAnsi="Arial Narrow" w:cs="Arial Narrow"/>
          <w:color w:val="000000"/>
          <w:spacing w:val="0"/>
          <w:w w:val="100"/>
          <w:position w:val="0"/>
        </w:rPr>
        <w:t>4</w:t>
      </w:r>
      <w:bookmarkEnd w:id="479"/>
      <w:r>
        <w:rPr>
          <w:color w:val="000000"/>
          <w:spacing w:val="0"/>
          <w:w w:val="100"/>
          <w:position w:val="0"/>
        </w:rPr>
        <w:t>、 安全运营：利用先进的云计算技术，搭建云安全综合运营平台，为客户提供诸如网站安全防护、 云计算安全监控及管理等一系列服务，让客户得到</w:t>
      </w:r>
      <w:r>
        <w:rPr>
          <w:rFonts w:ascii="Arial Narrow" w:eastAsia="Arial Narrow" w:hAnsi="Arial Narrow" w:cs="Arial Narrow"/>
          <w:color w:val="000000"/>
          <w:spacing w:val="0"/>
          <w:w w:val="100"/>
          <w:position w:val="0"/>
        </w:rPr>
        <w:t>"</w:t>
      </w:r>
      <w:r>
        <w:rPr>
          <w:color w:val="000000"/>
          <w:spacing w:val="0"/>
          <w:w w:val="100"/>
          <w:position w:val="0"/>
        </w:rPr>
        <w:t>零部署</w:t>
      </w:r>
      <w:r>
        <w:rPr>
          <w:rFonts w:ascii="Arial Narrow" w:eastAsia="Arial Narrow" w:hAnsi="Arial Narrow" w:cs="Arial Narrow"/>
          <w:color w:val="000000"/>
          <w:spacing w:val="0"/>
          <w:w w:val="100"/>
          <w:position w:val="0"/>
        </w:rPr>
        <w:t>"</w:t>
      </w:r>
      <w:r>
        <w:rPr>
          <w:color w:val="000000"/>
          <w:spacing w:val="0"/>
          <w:w w:val="100"/>
          <w:position w:val="0"/>
        </w:rPr>
        <w:t>、</w:t>
      </w:r>
      <w:r>
        <w:rPr>
          <w:rFonts w:ascii="Arial Narrow" w:eastAsia="Arial Narrow" w:hAnsi="Arial Narrow" w:cs="Arial Narrow"/>
          <w:color w:val="000000"/>
          <w:spacing w:val="0"/>
          <w:w w:val="100"/>
          <w:position w:val="0"/>
        </w:rPr>
        <w:t>"</w:t>
      </w:r>
      <w:r>
        <w:rPr>
          <w:color w:val="000000"/>
          <w:spacing w:val="0"/>
          <w:w w:val="100"/>
          <w:position w:val="0"/>
        </w:rPr>
        <w:t>零维护</w:t>
      </w:r>
      <w:r>
        <w:rPr>
          <w:rFonts w:ascii="Arial Narrow" w:eastAsia="Arial Narrow" w:hAnsi="Arial Narrow" w:cs="Arial Narrow"/>
          <w:color w:val="000000"/>
          <w:spacing w:val="0"/>
          <w:w w:val="100"/>
          <w:position w:val="0"/>
        </w:rPr>
        <w:t>"</w:t>
      </w:r>
      <w:r>
        <w:rPr>
          <w:color w:val="000000"/>
          <w:spacing w:val="0"/>
          <w:w w:val="100"/>
          <w:position w:val="0"/>
        </w:rPr>
        <w:t>等一站式的智能安全防护体验。</w:t>
      </w:r>
    </w:p>
    <w:p>
      <w:pPr>
        <w:pStyle w:val="Style38"/>
        <w:keepNext/>
        <w:keepLines/>
        <w:widowControl w:val="0"/>
        <w:shd w:val="clear" w:color="auto" w:fill="auto"/>
        <w:bidi w:val="0"/>
        <w:spacing w:before="0" w:after="0" w:line="418" w:lineRule="auto"/>
        <w:ind w:left="0" w:right="0"/>
        <w:jc w:val="both"/>
      </w:pPr>
      <w:bookmarkStart w:id="480" w:name="bookmark480"/>
      <w:bookmarkStart w:id="481" w:name="bookmark481"/>
      <w:bookmarkStart w:id="482" w:name="bookmark482"/>
      <w:bookmarkStart w:id="483" w:name="bookmark483"/>
      <w:r>
        <w:rPr>
          <w:rFonts w:ascii="Arial Narrow" w:eastAsia="Arial Narrow" w:hAnsi="Arial Narrow" w:cs="Arial Narrow"/>
          <w:color w:val="000000"/>
          <w:spacing w:val="0"/>
          <w:w w:val="100"/>
          <w:position w:val="0"/>
          <w:sz w:val="20"/>
          <w:szCs w:val="20"/>
        </w:rPr>
        <w:t>（</w:t>
      </w:r>
      <w:bookmarkEnd w:id="482"/>
      <w:r>
        <w:rPr>
          <w:color w:val="000000"/>
          <w:spacing w:val="0"/>
          <w:w w:val="100"/>
          <w:position w:val="0"/>
        </w:rPr>
        <w:t>五</w:t>
      </w:r>
      <w:r>
        <w:rPr>
          <w:color w:val="000000"/>
          <w:spacing w:val="0"/>
          <w:w w:val="100"/>
          <w:position w:val="0"/>
          <w:sz w:val="24"/>
          <w:szCs w:val="24"/>
        </w:rPr>
        <w:t>）</w:t>
      </w:r>
      <w:r>
        <w:rPr>
          <w:color w:val="000000"/>
          <w:spacing w:val="0"/>
          <w:w w:val="100"/>
          <w:position w:val="0"/>
        </w:rPr>
        <w:t>公司基本架构</w:t>
      </w:r>
      <w:bookmarkEnd w:id="480"/>
      <w:bookmarkEnd w:id="481"/>
      <w:bookmarkEnd w:id="483"/>
    </w:p>
    <w:p>
      <w:pPr>
        <w:pStyle w:val="Style35"/>
        <w:keepNext w:val="0"/>
        <w:keepLines w:val="0"/>
        <w:widowControl w:val="0"/>
        <w:shd w:val="clear" w:color="auto" w:fill="auto"/>
        <w:bidi w:val="0"/>
        <w:spacing w:before="0" w:after="680" w:line="398" w:lineRule="exact"/>
        <w:ind w:left="0" w:right="0" w:firstLine="440"/>
        <w:jc w:val="both"/>
      </w:pPr>
      <w:r>
        <w:rPr>
          <w:color w:val="000000"/>
          <w:spacing w:val="0"/>
          <w:w w:val="100"/>
          <w:position w:val="0"/>
        </w:rPr>
        <w:t>公司已根据《公司法》和《章程》的规定，设置了股东大会、董事会、监事会等组织机构，股东大会 是公司的最高权力机构。</w:t>
      </w:r>
    </w:p>
    <w:p>
      <w:pPr>
        <w:pStyle w:val="Style25"/>
        <w:keepNext/>
        <w:keepLines/>
        <w:widowControl w:val="0"/>
        <w:shd w:val="clear" w:color="auto" w:fill="auto"/>
        <w:bidi w:val="0"/>
        <w:spacing w:before="0" w:after="340" w:line="240" w:lineRule="auto"/>
        <w:ind w:left="0" w:right="0" w:firstLine="0"/>
        <w:jc w:val="left"/>
      </w:pPr>
      <w:bookmarkStart w:id="484" w:name="bookmark484"/>
      <w:bookmarkStart w:id="485" w:name="bookmark485"/>
      <w:bookmarkStart w:id="486" w:name="bookmark486"/>
      <w:bookmarkStart w:id="487" w:name="bookmark487"/>
      <w:r>
        <w:rPr>
          <w:color w:val="000000"/>
          <w:spacing w:val="0"/>
          <w:w w:val="100"/>
          <w:position w:val="0"/>
        </w:rPr>
        <w:t>四</w:t>
      </w:r>
      <w:bookmarkEnd w:id="486"/>
      <w:r>
        <w:rPr>
          <w:color w:val="000000"/>
          <w:spacing w:val="0"/>
          <w:w w:val="100"/>
          <w:position w:val="0"/>
        </w:rPr>
        <w:t>、公司主要会计政策、会计估计和前期差错</w:t>
      </w:r>
      <w:bookmarkEnd w:id="484"/>
      <w:bookmarkEnd w:id="485"/>
      <w:bookmarkEnd w:id="487"/>
    </w:p>
    <w:p>
      <w:pPr>
        <w:pStyle w:val="Style38"/>
        <w:keepNext/>
        <w:keepLines/>
        <w:widowControl w:val="0"/>
        <w:shd w:val="clear" w:color="auto" w:fill="auto"/>
        <w:tabs>
          <w:tab w:pos="952" w:val="left"/>
        </w:tabs>
        <w:bidi w:val="0"/>
        <w:spacing w:before="0" w:after="0" w:line="437" w:lineRule="auto"/>
        <w:ind w:left="0" w:right="0"/>
        <w:jc w:val="left"/>
      </w:pPr>
      <w:bookmarkStart w:id="488" w:name="bookmark488"/>
      <w:bookmarkStart w:id="489" w:name="bookmark489"/>
      <w:bookmarkStart w:id="490" w:name="bookmark490"/>
      <w:bookmarkStart w:id="491" w:name="bookmark491"/>
      <w:r>
        <w:rPr>
          <w:rFonts w:ascii="Arial Narrow" w:eastAsia="Arial Narrow" w:hAnsi="Arial Narrow" w:cs="Arial Narrow"/>
          <w:color w:val="000000"/>
          <w:spacing w:val="0"/>
          <w:w w:val="100"/>
          <w:position w:val="0"/>
          <w:sz w:val="20"/>
          <w:szCs w:val="20"/>
        </w:rPr>
        <w:t>（</w:t>
      </w:r>
      <w:bookmarkEnd w:id="490"/>
      <w:r>
        <w:rPr>
          <w:color w:val="000000"/>
          <w:spacing w:val="0"/>
          <w:w w:val="100"/>
          <w:position w:val="0"/>
        </w:rPr>
        <w:t>一</w:t>
      </w:r>
      <w:r>
        <w:rPr>
          <w:color w:val="000000"/>
          <w:spacing w:val="0"/>
          <w:w w:val="100"/>
          <w:position w:val="0"/>
          <w:sz w:val="24"/>
          <w:szCs w:val="24"/>
        </w:rPr>
        <w:t>）</w:t>
      </w:r>
      <w:r>
        <w:rPr>
          <w:rFonts w:ascii="Arial Narrow" w:eastAsia="Arial Narrow" w:hAnsi="Arial Narrow" w:cs="Arial Narrow"/>
          <w:color w:val="000000"/>
          <w:spacing w:val="0"/>
          <w:w w:val="100"/>
          <w:position w:val="0"/>
          <w:sz w:val="20"/>
          <w:szCs w:val="20"/>
        </w:rPr>
        <w:tab/>
      </w:r>
      <w:r>
        <w:rPr>
          <w:color w:val="000000"/>
          <w:spacing w:val="0"/>
          <w:w w:val="100"/>
          <w:position w:val="0"/>
        </w:rPr>
        <w:t>财务报表的编制基础</w:t>
      </w:r>
      <w:bookmarkEnd w:id="488"/>
      <w:bookmarkEnd w:id="489"/>
      <w:bookmarkEnd w:id="491"/>
    </w:p>
    <w:p>
      <w:pPr>
        <w:pStyle w:val="Style35"/>
        <w:keepNext w:val="0"/>
        <w:keepLines w:val="0"/>
        <w:widowControl w:val="0"/>
        <w:shd w:val="clear" w:color="auto" w:fill="auto"/>
        <w:bidi w:val="0"/>
        <w:spacing w:before="0" w:after="300" w:line="467" w:lineRule="exact"/>
        <w:ind w:left="0" w:right="0" w:firstLine="440"/>
        <w:jc w:val="both"/>
      </w:pPr>
      <w:r>
        <w:rPr>
          <w:color w:val="000000"/>
          <w:spacing w:val="0"/>
          <w:w w:val="100"/>
          <w:position w:val="0"/>
        </w:rPr>
        <w:t>公司以持续经营为基础，根据实际发生的交易和事项，按照财政部于</w:t>
      </w:r>
      <w:r>
        <w:rPr>
          <w:rFonts w:ascii="Arial Narrow" w:eastAsia="Arial Narrow" w:hAnsi="Arial Narrow" w:cs="Arial Narrow"/>
          <w:color w:val="000000"/>
          <w:spacing w:val="0"/>
          <w:w w:val="100"/>
          <w:position w:val="0"/>
        </w:rPr>
        <w:t>2006</w:t>
      </w:r>
      <w:r>
        <w:rPr>
          <w:color w:val="000000"/>
          <w:spacing w:val="0"/>
          <w:w w:val="100"/>
          <w:position w:val="0"/>
        </w:rPr>
        <w:t>年</w:t>
      </w:r>
      <w:r>
        <w:rPr>
          <w:rFonts w:ascii="Arial Narrow" w:eastAsia="Arial Narrow" w:hAnsi="Arial Narrow" w:cs="Arial Narrow"/>
          <w:color w:val="000000"/>
          <w:spacing w:val="0"/>
          <w:w w:val="100"/>
          <w:position w:val="0"/>
        </w:rPr>
        <w:t>2</w:t>
      </w:r>
      <w:r>
        <w:rPr>
          <w:color w:val="000000"/>
          <w:spacing w:val="0"/>
          <w:w w:val="100"/>
          <w:position w:val="0"/>
        </w:rPr>
        <w:t>月</w:t>
      </w:r>
      <w:r>
        <w:rPr>
          <w:rFonts w:ascii="Arial Narrow" w:eastAsia="Arial Narrow" w:hAnsi="Arial Narrow" w:cs="Arial Narrow"/>
          <w:color w:val="000000"/>
          <w:spacing w:val="0"/>
          <w:w w:val="100"/>
          <w:position w:val="0"/>
        </w:rPr>
        <w:t>15</w:t>
      </w:r>
      <w:r>
        <w:rPr>
          <w:color w:val="000000"/>
          <w:spacing w:val="0"/>
          <w:w w:val="100"/>
          <w:position w:val="0"/>
        </w:rPr>
        <w:t>日颁布的《企业 会计准则</w:t>
      </w:r>
      <w:r>
        <w:rPr>
          <w:color w:val="000000"/>
          <w:spacing w:val="0"/>
          <w:w w:val="100"/>
          <w:position w:val="0"/>
          <w:sz w:val="24"/>
          <w:szCs w:val="24"/>
        </w:rPr>
        <w:t>一一</w:t>
      </w:r>
      <w:r>
        <w:rPr>
          <w:color w:val="000000"/>
          <w:spacing w:val="0"/>
          <w:w w:val="100"/>
          <w:position w:val="0"/>
        </w:rPr>
        <w:t>基本准则》和</w:t>
      </w:r>
      <w:r>
        <w:rPr>
          <w:rFonts w:ascii="Arial Narrow" w:eastAsia="Arial Narrow" w:hAnsi="Arial Narrow" w:cs="Arial Narrow"/>
          <w:color w:val="000000"/>
          <w:spacing w:val="0"/>
          <w:w w:val="100"/>
          <w:position w:val="0"/>
        </w:rPr>
        <w:t>38</w:t>
      </w:r>
      <w:r>
        <w:rPr>
          <w:color w:val="000000"/>
          <w:spacing w:val="0"/>
          <w:w w:val="100"/>
          <w:position w:val="0"/>
        </w:rPr>
        <w:t>项具体会计准则、其后颁布的企业会计准则应用指南、企业会计准则解释及 其他相关规定</w:t>
      </w:r>
      <w:r>
        <w:rPr>
          <w:rFonts w:ascii="Arial Narrow" w:eastAsia="Arial Narrow" w:hAnsi="Arial Narrow" w:cs="Arial Narrow"/>
          <w:color w:val="000000"/>
          <w:spacing w:val="0"/>
          <w:w w:val="100"/>
          <w:position w:val="0"/>
        </w:rPr>
        <w:t>（</w:t>
      </w:r>
      <w:r>
        <w:rPr>
          <w:color w:val="000000"/>
          <w:spacing w:val="0"/>
          <w:w w:val="100"/>
          <w:position w:val="0"/>
        </w:rPr>
        <w:t>以下合称</w:t>
      </w:r>
      <w:r>
        <w:rPr>
          <w:rFonts w:ascii="Arial Narrow" w:eastAsia="Arial Narrow" w:hAnsi="Arial Narrow" w:cs="Arial Narrow"/>
          <w:color w:val="000000"/>
          <w:spacing w:val="0"/>
          <w:w w:val="100"/>
          <w:position w:val="0"/>
        </w:rPr>
        <w:t>“</w:t>
      </w:r>
      <w:r>
        <w:rPr>
          <w:color w:val="000000"/>
          <w:spacing w:val="0"/>
          <w:w w:val="100"/>
          <w:position w:val="0"/>
        </w:rPr>
        <w:t>企业会计准则</w:t>
      </w:r>
      <w:r>
        <w:rPr>
          <w:rFonts w:ascii="Arial Narrow" w:eastAsia="Arial Narrow" w:hAnsi="Arial Narrow" w:cs="Arial Narrow"/>
          <w:color w:val="000000"/>
          <w:spacing w:val="0"/>
          <w:w w:val="100"/>
          <w:position w:val="0"/>
        </w:rPr>
        <w:t>”）</w:t>
      </w:r>
      <w:r>
        <w:rPr>
          <w:color w:val="000000"/>
          <w:spacing w:val="0"/>
          <w:w w:val="100"/>
          <w:position w:val="0"/>
        </w:rPr>
        <w:t>、中国证券监督管理委员会《公开发行证券的公司信息披露编报规 则第</w:t>
      </w:r>
      <w:r>
        <w:rPr>
          <w:rFonts w:ascii="Arial Narrow" w:eastAsia="Arial Narrow" w:hAnsi="Arial Narrow" w:cs="Arial Narrow"/>
          <w:color w:val="000000"/>
          <w:spacing w:val="0"/>
          <w:w w:val="100"/>
          <w:position w:val="0"/>
        </w:rPr>
        <w:t>15</w:t>
      </w:r>
      <w:r>
        <w:rPr>
          <w:color w:val="000000"/>
          <w:spacing w:val="0"/>
          <w:w w:val="100"/>
          <w:position w:val="0"/>
        </w:rPr>
        <w:t>号一财务报告的一般规定》</w:t>
      </w:r>
      <w:r>
        <w:rPr>
          <w:color w:val="000000"/>
          <w:spacing w:val="0"/>
          <w:w w:val="100"/>
          <w:position w:val="0"/>
          <w:sz w:val="24"/>
          <w:szCs w:val="24"/>
        </w:rPr>
        <w:t>（</w:t>
      </w:r>
      <w:r>
        <w:rPr>
          <w:rFonts w:ascii="Arial Narrow" w:eastAsia="Arial Narrow" w:hAnsi="Arial Narrow" w:cs="Arial Narrow"/>
          <w:color w:val="000000"/>
          <w:spacing w:val="0"/>
          <w:w w:val="100"/>
          <w:position w:val="0"/>
        </w:rPr>
        <w:t>2010</w:t>
      </w:r>
      <w:r>
        <w:rPr>
          <w:color w:val="000000"/>
          <w:spacing w:val="0"/>
          <w:w w:val="100"/>
          <w:position w:val="0"/>
        </w:rPr>
        <w:t>年修订</w:t>
      </w:r>
      <w:r>
        <w:rPr>
          <w:rFonts w:ascii="Arial Narrow" w:eastAsia="Arial Narrow" w:hAnsi="Arial Narrow" w:cs="Arial Narrow"/>
          <w:color w:val="000000"/>
          <w:spacing w:val="0"/>
          <w:w w:val="100"/>
          <w:position w:val="0"/>
        </w:rPr>
        <w:t>）</w:t>
      </w:r>
      <w:r>
        <w:rPr>
          <w:color w:val="000000"/>
          <w:spacing w:val="0"/>
          <w:w w:val="100"/>
          <w:position w:val="0"/>
        </w:rPr>
        <w:t>进行确认和计量，在此基础上编制财务报表。</w:t>
      </w:r>
    </w:p>
    <w:p>
      <w:pPr>
        <w:pStyle w:val="Style38"/>
        <w:keepNext/>
        <w:keepLines/>
        <w:widowControl w:val="0"/>
        <w:shd w:val="clear" w:color="auto" w:fill="auto"/>
        <w:tabs>
          <w:tab w:pos="952" w:val="left"/>
        </w:tabs>
        <w:bidi w:val="0"/>
        <w:spacing w:before="0" w:after="0" w:line="437" w:lineRule="auto"/>
        <w:ind w:left="0" w:right="0"/>
        <w:jc w:val="both"/>
      </w:pPr>
      <w:bookmarkStart w:id="492" w:name="bookmark492"/>
      <w:bookmarkStart w:id="493" w:name="bookmark493"/>
      <w:bookmarkStart w:id="494" w:name="bookmark494"/>
      <w:bookmarkStart w:id="495" w:name="bookmark495"/>
      <w:r>
        <w:rPr>
          <w:rFonts w:ascii="Arial Narrow" w:eastAsia="Arial Narrow" w:hAnsi="Arial Narrow" w:cs="Arial Narrow"/>
          <w:color w:val="000000"/>
          <w:spacing w:val="0"/>
          <w:w w:val="100"/>
          <w:position w:val="0"/>
          <w:sz w:val="20"/>
          <w:szCs w:val="20"/>
        </w:rPr>
        <w:t>（</w:t>
      </w:r>
      <w:bookmarkEnd w:id="494"/>
      <w:r>
        <w:rPr>
          <w:color w:val="000000"/>
          <w:spacing w:val="0"/>
          <w:w w:val="100"/>
          <w:position w:val="0"/>
        </w:rPr>
        <w:t>二</w:t>
      </w:r>
      <w:r>
        <w:rPr>
          <w:color w:val="000000"/>
          <w:spacing w:val="0"/>
          <w:w w:val="100"/>
          <w:position w:val="0"/>
          <w:sz w:val="24"/>
          <w:szCs w:val="24"/>
        </w:rPr>
        <w:t>）</w:t>
      </w:r>
      <w:r>
        <w:rPr>
          <w:rFonts w:ascii="Arial Narrow" w:eastAsia="Arial Narrow" w:hAnsi="Arial Narrow" w:cs="Arial Narrow"/>
          <w:color w:val="000000"/>
          <w:spacing w:val="0"/>
          <w:w w:val="100"/>
          <w:position w:val="0"/>
          <w:sz w:val="20"/>
          <w:szCs w:val="20"/>
        </w:rPr>
        <w:tab/>
      </w:r>
      <w:r>
        <w:rPr>
          <w:color w:val="000000"/>
          <w:spacing w:val="0"/>
          <w:w w:val="100"/>
          <w:position w:val="0"/>
        </w:rPr>
        <w:t>遵循企业会计准则的声明</w:t>
      </w:r>
      <w:bookmarkEnd w:id="492"/>
      <w:bookmarkEnd w:id="493"/>
      <w:bookmarkEnd w:id="495"/>
    </w:p>
    <w:p>
      <w:pPr>
        <w:pStyle w:val="Style35"/>
        <w:keepNext w:val="0"/>
        <w:keepLines w:val="0"/>
        <w:widowControl w:val="0"/>
        <w:shd w:val="clear" w:color="auto" w:fill="auto"/>
        <w:bidi w:val="0"/>
        <w:spacing w:before="0" w:after="300" w:line="470" w:lineRule="exact"/>
        <w:ind w:left="0" w:right="0" w:firstLine="440"/>
        <w:jc w:val="both"/>
      </w:pPr>
      <w:r>
        <w:rPr>
          <w:color w:val="000000"/>
          <w:spacing w:val="0"/>
          <w:w w:val="100"/>
          <w:position w:val="0"/>
        </w:rPr>
        <w:t>公司所编制的财务报表符合企业会计准则的要求，真实、完整地反映了报告期公司的财务状况、经营 成果、现金流量等有关信息。</w:t>
      </w:r>
    </w:p>
    <w:p>
      <w:pPr>
        <w:pStyle w:val="Style38"/>
        <w:keepNext/>
        <w:keepLines/>
        <w:widowControl w:val="0"/>
        <w:shd w:val="clear" w:color="auto" w:fill="auto"/>
        <w:tabs>
          <w:tab w:pos="952" w:val="left"/>
        </w:tabs>
        <w:bidi w:val="0"/>
        <w:spacing w:before="0" w:after="0" w:line="437" w:lineRule="auto"/>
        <w:ind w:left="0" w:right="0"/>
        <w:jc w:val="left"/>
      </w:pPr>
      <w:bookmarkStart w:id="496" w:name="bookmark496"/>
      <w:bookmarkStart w:id="497" w:name="bookmark497"/>
      <w:bookmarkStart w:id="498" w:name="bookmark498"/>
      <w:bookmarkStart w:id="499" w:name="bookmark499"/>
      <w:r>
        <w:rPr>
          <w:rFonts w:ascii="Arial Narrow" w:eastAsia="Arial Narrow" w:hAnsi="Arial Narrow" w:cs="Arial Narrow"/>
          <w:color w:val="000000"/>
          <w:spacing w:val="0"/>
          <w:w w:val="100"/>
          <w:position w:val="0"/>
          <w:sz w:val="20"/>
          <w:szCs w:val="20"/>
        </w:rPr>
        <w:t>（</w:t>
      </w:r>
      <w:bookmarkEnd w:id="498"/>
      <w:r>
        <w:rPr>
          <w:color w:val="000000"/>
          <w:spacing w:val="0"/>
          <w:w w:val="100"/>
          <w:position w:val="0"/>
        </w:rPr>
        <w:t>三</w:t>
      </w:r>
      <w:r>
        <w:rPr>
          <w:color w:val="000000"/>
          <w:spacing w:val="0"/>
          <w:w w:val="100"/>
          <w:position w:val="0"/>
          <w:sz w:val="24"/>
          <w:szCs w:val="24"/>
        </w:rPr>
        <w:t>）</w:t>
      </w:r>
      <w:r>
        <w:rPr>
          <w:rFonts w:ascii="Arial Narrow" w:eastAsia="Arial Narrow" w:hAnsi="Arial Narrow" w:cs="Arial Narrow"/>
          <w:color w:val="000000"/>
          <w:spacing w:val="0"/>
          <w:w w:val="100"/>
          <w:position w:val="0"/>
          <w:sz w:val="20"/>
          <w:szCs w:val="20"/>
        </w:rPr>
        <w:tab/>
      </w:r>
      <w:r>
        <w:rPr>
          <w:color w:val="000000"/>
          <w:spacing w:val="0"/>
          <w:w w:val="100"/>
          <w:position w:val="0"/>
        </w:rPr>
        <w:t>会计期间</w:t>
      </w:r>
      <w:bookmarkEnd w:id="496"/>
      <w:bookmarkEnd w:id="497"/>
      <w:bookmarkEnd w:id="499"/>
    </w:p>
    <w:p>
      <w:pPr>
        <w:pStyle w:val="Style35"/>
        <w:keepNext w:val="0"/>
        <w:keepLines w:val="0"/>
        <w:widowControl w:val="0"/>
        <w:shd w:val="clear" w:color="auto" w:fill="auto"/>
        <w:bidi w:val="0"/>
        <w:spacing w:before="0" w:after="300" w:line="418" w:lineRule="exact"/>
        <w:ind w:left="0" w:right="0" w:firstLine="440"/>
        <w:jc w:val="left"/>
      </w:pPr>
      <w:r>
        <w:rPr>
          <w:color w:val="000000"/>
          <w:spacing w:val="0"/>
          <w:w w:val="100"/>
          <w:position w:val="0"/>
        </w:rPr>
        <w:t>自公历</w:t>
      </w:r>
      <w:r>
        <w:rPr>
          <w:rFonts w:ascii="Arial Narrow" w:eastAsia="Arial Narrow" w:hAnsi="Arial Narrow" w:cs="Arial Narrow"/>
          <w:color w:val="000000"/>
          <w:spacing w:val="0"/>
          <w:w w:val="100"/>
          <w:position w:val="0"/>
        </w:rPr>
        <w:t>1</w:t>
      </w:r>
      <w:r>
        <w:rPr>
          <w:color w:val="000000"/>
          <w:spacing w:val="0"/>
          <w:w w:val="100"/>
          <w:position w:val="0"/>
        </w:rPr>
        <w:t>月</w:t>
      </w:r>
      <w:r>
        <w:rPr>
          <w:rFonts w:ascii="Arial Narrow" w:eastAsia="Arial Narrow" w:hAnsi="Arial Narrow" w:cs="Arial Narrow"/>
          <w:color w:val="000000"/>
          <w:spacing w:val="0"/>
          <w:w w:val="100"/>
          <w:position w:val="0"/>
        </w:rPr>
        <w:t>1</w:t>
      </w:r>
      <w:r>
        <w:rPr>
          <w:color w:val="000000"/>
          <w:spacing w:val="0"/>
          <w:w w:val="100"/>
          <w:position w:val="0"/>
        </w:rPr>
        <w:t>日至</w:t>
      </w:r>
      <w:r>
        <w:rPr>
          <w:rFonts w:ascii="Arial Narrow" w:eastAsia="Arial Narrow" w:hAnsi="Arial Narrow" w:cs="Arial Narrow"/>
          <w:color w:val="000000"/>
          <w:spacing w:val="0"/>
          <w:w w:val="100"/>
          <w:position w:val="0"/>
        </w:rPr>
        <w:t>12</w:t>
      </w:r>
      <w:r>
        <w:rPr>
          <w:color w:val="000000"/>
          <w:spacing w:val="0"/>
          <w:w w:val="100"/>
          <w:position w:val="0"/>
        </w:rPr>
        <w:t>月</w:t>
      </w:r>
      <w:r>
        <w:rPr>
          <w:rFonts w:ascii="Arial Narrow" w:eastAsia="Arial Narrow" w:hAnsi="Arial Narrow" w:cs="Arial Narrow"/>
          <w:color w:val="000000"/>
          <w:spacing w:val="0"/>
          <w:w w:val="100"/>
          <w:position w:val="0"/>
        </w:rPr>
        <w:t>31</w:t>
      </w:r>
      <w:r>
        <w:rPr>
          <w:color w:val="000000"/>
          <w:spacing w:val="0"/>
          <w:w w:val="100"/>
          <w:position w:val="0"/>
        </w:rPr>
        <w:t>日止为一个会计年度。</w:t>
      </w:r>
    </w:p>
    <w:p>
      <w:pPr>
        <w:pStyle w:val="Style38"/>
        <w:keepNext/>
        <w:keepLines/>
        <w:widowControl w:val="0"/>
        <w:shd w:val="clear" w:color="auto" w:fill="auto"/>
        <w:tabs>
          <w:tab w:pos="952" w:val="left"/>
        </w:tabs>
        <w:bidi w:val="0"/>
        <w:spacing w:before="0" w:after="0" w:line="437" w:lineRule="auto"/>
        <w:ind w:left="0" w:right="0"/>
        <w:jc w:val="left"/>
      </w:pPr>
      <w:bookmarkStart w:id="500" w:name="bookmark500"/>
      <w:bookmarkStart w:id="501" w:name="bookmark501"/>
      <w:bookmarkStart w:id="502" w:name="bookmark502"/>
      <w:bookmarkStart w:id="503" w:name="bookmark503"/>
      <w:r>
        <w:rPr>
          <w:rFonts w:ascii="Arial Narrow" w:eastAsia="Arial Narrow" w:hAnsi="Arial Narrow" w:cs="Arial Narrow"/>
          <w:color w:val="000000"/>
          <w:spacing w:val="0"/>
          <w:w w:val="100"/>
          <w:position w:val="0"/>
          <w:sz w:val="20"/>
          <w:szCs w:val="20"/>
        </w:rPr>
        <w:t>（</w:t>
      </w:r>
      <w:bookmarkEnd w:id="502"/>
      <w:r>
        <w:rPr>
          <w:color w:val="000000"/>
          <w:spacing w:val="0"/>
          <w:w w:val="100"/>
          <w:position w:val="0"/>
        </w:rPr>
        <w:t>四</w:t>
      </w:r>
      <w:r>
        <w:rPr>
          <w:color w:val="000000"/>
          <w:spacing w:val="0"/>
          <w:w w:val="100"/>
          <w:position w:val="0"/>
          <w:sz w:val="24"/>
          <w:szCs w:val="24"/>
        </w:rPr>
        <w:t>）</w:t>
      </w:r>
      <w:r>
        <w:rPr>
          <w:rFonts w:ascii="Arial Narrow" w:eastAsia="Arial Narrow" w:hAnsi="Arial Narrow" w:cs="Arial Narrow"/>
          <w:color w:val="000000"/>
          <w:spacing w:val="0"/>
          <w:w w:val="100"/>
          <w:position w:val="0"/>
          <w:sz w:val="20"/>
          <w:szCs w:val="20"/>
        </w:rPr>
        <w:tab/>
      </w:r>
      <w:r>
        <w:rPr>
          <w:color w:val="000000"/>
          <w:spacing w:val="0"/>
          <w:w w:val="100"/>
          <w:position w:val="0"/>
        </w:rPr>
        <w:t>记账本位币</w:t>
      </w:r>
      <w:bookmarkEnd w:id="500"/>
      <w:bookmarkEnd w:id="501"/>
      <w:bookmarkEnd w:id="503"/>
    </w:p>
    <w:p>
      <w:pPr>
        <w:pStyle w:val="Style35"/>
        <w:keepNext w:val="0"/>
        <w:keepLines w:val="0"/>
        <w:widowControl w:val="0"/>
        <w:shd w:val="clear" w:color="auto" w:fill="auto"/>
        <w:bidi w:val="0"/>
        <w:spacing w:before="0" w:after="300" w:line="418" w:lineRule="exact"/>
        <w:ind w:left="0" w:right="0" w:firstLine="440"/>
        <w:jc w:val="left"/>
      </w:pPr>
      <w:r>
        <w:rPr>
          <w:color w:val="000000"/>
          <w:spacing w:val="0"/>
          <w:w w:val="100"/>
          <w:position w:val="0"/>
        </w:rPr>
        <w:t>采用人民币为记账本位币。</w:t>
      </w:r>
    </w:p>
    <w:p>
      <w:pPr>
        <w:pStyle w:val="Style38"/>
        <w:keepNext/>
        <w:keepLines/>
        <w:widowControl w:val="0"/>
        <w:shd w:val="clear" w:color="auto" w:fill="auto"/>
        <w:tabs>
          <w:tab w:pos="952" w:val="left"/>
        </w:tabs>
        <w:bidi w:val="0"/>
        <w:spacing w:before="0" w:after="0" w:line="437" w:lineRule="auto"/>
        <w:ind w:left="0" w:right="0"/>
        <w:jc w:val="left"/>
      </w:pPr>
      <w:bookmarkStart w:id="504" w:name="bookmark504"/>
      <w:bookmarkStart w:id="505" w:name="bookmark505"/>
      <w:bookmarkStart w:id="506" w:name="bookmark506"/>
      <w:bookmarkStart w:id="507" w:name="bookmark507"/>
      <w:r>
        <w:rPr>
          <w:rFonts w:ascii="Arial Narrow" w:eastAsia="Arial Narrow" w:hAnsi="Arial Narrow" w:cs="Arial Narrow"/>
          <w:color w:val="000000"/>
          <w:spacing w:val="0"/>
          <w:w w:val="100"/>
          <w:position w:val="0"/>
          <w:sz w:val="20"/>
          <w:szCs w:val="20"/>
        </w:rPr>
        <w:t>（</w:t>
      </w:r>
      <w:bookmarkEnd w:id="506"/>
      <w:r>
        <w:rPr>
          <w:color w:val="000000"/>
          <w:spacing w:val="0"/>
          <w:w w:val="100"/>
          <w:position w:val="0"/>
        </w:rPr>
        <w:t>五</w:t>
      </w:r>
      <w:r>
        <w:rPr>
          <w:color w:val="000000"/>
          <w:spacing w:val="0"/>
          <w:w w:val="100"/>
          <w:position w:val="0"/>
          <w:sz w:val="24"/>
          <w:szCs w:val="24"/>
        </w:rPr>
        <w:t>）</w:t>
      </w:r>
      <w:r>
        <w:rPr>
          <w:rFonts w:ascii="Arial Narrow" w:eastAsia="Arial Narrow" w:hAnsi="Arial Narrow" w:cs="Arial Narrow"/>
          <w:color w:val="000000"/>
          <w:spacing w:val="0"/>
          <w:w w:val="100"/>
          <w:position w:val="0"/>
          <w:sz w:val="20"/>
          <w:szCs w:val="20"/>
        </w:rPr>
        <w:tab/>
      </w:r>
      <w:r>
        <w:rPr>
          <w:color w:val="000000"/>
          <w:spacing w:val="0"/>
          <w:w w:val="100"/>
          <w:position w:val="0"/>
        </w:rPr>
        <w:t>同一控制下和非同一控制下企业合并的会计处理方法</w:t>
      </w:r>
      <w:bookmarkEnd w:id="504"/>
      <w:bookmarkEnd w:id="505"/>
      <w:bookmarkEnd w:id="507"/>
    </w:p>
    <w:p>
      <w:pPr>
        <w:pStyle w:val="Style38"/>
        <w:keepNext/>
        <w:keepLines/>
        <w:widowControl w:val="0"/>
        <w:shd w:val="clear" w:color="auto" w:fill="auto"/>
        <w:bidi w:val="0"/>
        <w:spacing w:before="0" w:after="0" w:line="437" w:lineRule="auto"/>
        <w:ind w:left="0" w:right="0"/>
        <w:jc w:val="left"/>
      </w:pPr>
      <w:bookmarkStart w:id="504" w:name="bookmark504"/>
      <w:bookmarkStart w:id="505" w:name="bookmark505"/>
      <w:bookmarkStart w:id="508" w:name="bookmark508"/>
      <w:bookmarkStart w:id="509" w:name="bookmark509"/>
      <w:r>
        <w:rPr>
          <w:rFonts w:ascii="Arial Narrow" w:eastAsia="Arial Narrow" w:hAnsi="Arial Narrow" w:cs="Arial Narrow"/>
          <w:color w:val="000000"/>
          <w:spacing w:val="0"/>
          <w:w w:val="100"/>
          <w:position w:val="0"/>
          <w:sz w:val="20"/>
          <w:szCs w:val="20"/>
        </w:rPr>
        <w:t>1</w:t>
      </w:r>
      <w:bookmarkEnd w:id="508"/>
      <w:r>
        <w:rPr>
          <w:color w:val="000000"/>
          <w:spacing w:val="0"/>
          <w:w w:val="100"/>
          <w:position w:val="0"/>
        </w:rPr>
        <w:t>、同一控制下的企业合并</w:t>
      </w:r>
      <w:bookmarkEnd w:id="504"/>
      <w:bookmarkEnd w:id="505"/>
      <w:bookmarkEnd w:id="509"/>
    </w:p>
    <w:p>
      <w:pPr>
        <w:pStyle w:val="Style35"/>
        <w:keepNext w:val="0"/>
        <w:keepLines w:val="0"/>
        <w:widowControl w:val="0"/>
        <w:shd w:val="clear" w:color="auto" w:fill="auto"/>
        <w:bidi w:val="0"/>
        <w:spacing w:before="0" w:after="0" w:line="437" w:lineRule="auto"/>
        <w:ind w:left="0" w:right="0" w:firstLine="440"/>
        <w:jc w:val="left"/>
      </w:pPr>
      <w:r>
        <w:rPr>
          <w:rFonts w:ascii="Times New Roman" w:eastAsia="Times New Roman" w:hAnsi="Times New Roman" w:cs="Times New Roman"/>
          <w:color w:val="000000"/>
          <w:spacing w:val="0"/>
          <w:w w:val="100"/>
          <w:position w:val="0"/>
        </w:rPr>
        <w:t>1</w:t>
      </w:r>
      <w:r>
        <w:rPr>
          <w:color w:val="000000"/>
          <w:spacing w:val="0"/>
          <w:w w:val="100"/>
          <w:position w:val="0"/>
        </w:rPr>
        <w:t>）个别财务报表</w:t>
      </w:r>
    </w:p>
    <w:p>
      <w:pPr>
        <w:pStyle w:val="Style35"/>
        <w:keepNext w:val="0"/>
        <w:keepLines w:val="0"/>
        <w:widowControl w:val="0"/>
        <w:shd w:val="clear" w:color="auto" w:fill="auto"/>
        <w:bidi w:val="0"/>
        <w:spacing w:before="0" w:after="0" w:line="418" w:lineRule="exact"/>
        <w:ind w:left="0" w:right="0" w:firstLine="440"/>
        <w:jc w:val="both"/>
      </w:pPr>
      <w:r>
        <w:rPr>
          <w:color w:val="000000"/>
          <w:spacing w:val="0"/>
          <w:w w:val="100"/>
          <w:position w:val="0"/>
        </w:rPr>
        <w:t xml:space="preserve">公司以支付现金、转让非现金资产或承担债务方式以及以发行权益性证券作为合并对价的，在合并日 按照取得被合并方所有者权益账面价值的份额作为长期股权投资的初始投资成本。长期股权投资初始投资 </w:t>
      </w:r>
      <w:r>
        <w:rPr>
          <w:color w:val="000000"/>
          <w:spacing w:val="0"/>
          <w:w w:val="100"/>
          <w:position w:val="0"/>
        </w:rPr>
        <w:t>成本与支付合并对价之间的差额，调整资本公积；资本公积不足冲减的，调整留存收益。</w:t>
      </w:r>
    </w:p>
    <w:p>
      <w:pPr>
        <w:pStyle w:val="Style35"/>
        <w:keepNext w:val="0"/>
        <w:keepLines w:val="0"/>
        <w:widowControl w:val="0"/>
        <w:shd w:val="clear" w:color="auto" w:fill="auto"/>
        <w:bidi w:val="0"/>
        <w:spacing w:before="0" w:after="180" w:line="410" w:lineRule="exact"/>
        <w:ind w:left="0" w:right="0" w:firstLine="440"/>
        <w:jc w:val="both"/>
      </w:pPr>
      <w:r>
        <w:rPr>
          <w:color w:val="000000"/>
          <w:spacing w:val="0"/>
          <w:w w:val="100"/>
          <w:position w:val="0"/>
        </w:rPr>
        <w:t>合并发生的各项直接相关费用，包括为进行合并而支付的审计费用、评估费用、法律服务费用等，于 发生时计入当期损益。被合并方存在合并财务报表，则以合并日被合并方合并财务报表所有者权益为基础 确定长期股权投资的初始投资成本。</w:t>
      </w:r>
    </w:p>
    <w:p>
      <w:pPr>
        <w:pStyle w:val="Style35"/>
        <w:keepNext w:val="0"/>
        <w:keepLines w:val="0"/>
        <w:widowControl w:val="0"/>
        <w:shd w:val="clear" w:color="auto" w:fill="auto"/>
        <w:bidi w:val="0"/>
        <w:spacing w:before="0" w:after="0" w:line="427" w:lineRule="auto"/>
        <w:ind w:left="0" w:right="0" w:firstLine="440"/>
        <w:jc w:val="both"/>
      </w:pPr>
      <w:r>
        <w:rPr>
          <w:rFonts w:ascii="Times New Roman" w:eastAsia="Times New Roman" w:hAnsi="Times New Roman" w:cs="Times New Roman"/>
          <w:color w:val="000000"/>
          <w:spacing w:val="0"/>
          <w:w w:val="100"/>
          <w:position w:val="0"/>
        </w:rPr>
        <w:t>2</w:t>
      </w:r>
      <w:r>
        <w:rPr>
          <w:color w:val="000000"/>
          <w:spacing w:val="0"/>
          <w:w w:val="100"/>
          <w:position w:val="0"/>
        </w:rPr>
        <w:t>）合并财务报表</w:t>
      </w:r>
    </w:p>
    <w:p>
      <w:pPr>
        <w:pStyle w:val="Style35"/>
        <w:keepNext w:val="0"/>
        <w:keepLines w:val="0"/>
        <w:widowControl w:val="0"/>
        <w:shd w:val="clear" w:color="auto" w:fill="auto"/>
        <w:bidi w:val="0"/>
        <w:spacing w:before="0" w:after="180" w:line="410" w:lineRule="exact"/>
        <w:ind w:left="0" w:right="0" w:firstLine="440"/>
        <w:jc w:val="both"/>
      </w:pPr>
      <w:r>
        <w:rPr>
          <w:color w:val="000000"/>
          <w:spacing w:val="0"/>
          <w:w w:val="100"/>
          <w:position w:val="0"/>
        </w:rPr>
        <w:t>合并方在企业合并中取得的资产和负债，按照合并日在被合并方的账面价值计量。被合并各方采用的 会计政策与本公司不一致的，本公司在合并日按照本公司会计政策进行调整，在此基础上按照企业会计准 则规定确认。</w:t>
      </w:r>
    </w:p>
    <w:p>
      <w:pPr>
        <w:pStyle w:val="Style38"/>
        <w:keepNext/>
        <w:keepLines/>
        <w:widowControl w:val="0"/>
        <w:shd w:val="clear" w:color="auto" w:fill="auto"/>
        <w:bidi w:val="0"/>
        <w:spacing w:before="0" w:after="0" w:line="430" w:lineRule="auto"/>
        <w:ind w:left="0" w:right="0"/>
        <w:jc w:val="both"/>
      </w:pPr>
      <w:bookmarkStart w:id="510" w:name="bookmark510"/>
      <w:bookmarkStart w:id="511" w:name="bookmark511"/>
      <w:bookmarkStart w:id="512" w:name="bookmark512"/>
      <w:bookmarkStart w:id="513" w:name="bookmark513"/>
      <w:r>
        <w:rPr>
          <w:rFonts w:ascii="Arial Narrow" w:eastAsia="Arial Narrow" w:hAnsi="Arial Narrow" w:cs="Arial Narrow"/>
          <w:color w:val="000000"/>
          <w:spacing w:val="0"/>
          <w:w w:val="100"/>
          <w:position w:val="0"/>
          <w:sz w:val="20"/>
          <w:szCs w:val="20"/>
        </w:rPr>
        <w:t>2</w:t>
      </w:r>
      <w:bookmarkEnd w:id="512"/>
      <w:r>
        <w:rPr>
          <w:color w:val="000000"/>
          <w:spacing w:val="0"/>
          <w:w w:val="100"/>
          <w:position w:val="0"/>
        </w:rPr>
        <w:t>、非同一控制下的企业合并</w:t>
      </w:r>
      <w:bookmarkEnd w:id="510"/>
      <w:bookmarkEnd w:id="511"/>
      <w:bookmarkEnd w:id="513"/>
    </w:p>
    <w:p>
      <w:pPr>
        <w:pStyle w:val="Style3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对于非同一控制下的企业合并，合并成本为本公司在购买日为取得对被购买方的控制权而付出的资 产、发生或承担的负债以及发行的权益性证券的公允价值。在合并合同中对可能影响合并成本的未来事项 作出约定的，购买日如果估计未来事项很可能发生并且对合并成本的影响金额能够可靠计量的，也计入合 并成本。</w:t>
      </w:r>
    </w:p>
    <w:p>
      <w:pPr>
        <w:pStyle w:val="Style3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公司为进行企业合并发生的审计、法律服务、评估咨询等中介费用以及其他相关管理费用，于发生时 计入当期损益；本公司作为合并对价发行的权益性证券或债务性证券的交易费用，计入权益性证券或债务 性证券的初始确认金额。</w:t>
      </w:r>
    </w:p>
    <w:p>
      <w:pPr>
        <w:pStyle w:val="Style3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通过多次交换交易分步实现的非同一控制下企业合并，区分个别财务报表和合并财务报表进行相关会 计处理：</w:t>
      </w:r>
    </w:p>
    <w:p>
      <w:pPr>
        <w:pStyle w:val="Style35"/>
        <w:keepNext w:val="0"/>
        <w:keepLines w:val="0"/>
        <w:widowControl w:val="0"/>
        <w:shd w:val="clear" w:color="auto" w:fill="auto"/>
        <w:tabs>
          <w:tab w:pos="990" w:val="left"/>
        </w:tabs>
        <w:bidi w:val="0"/>
        <w:spacing w:before="0" w:after="0" w:line="410" w:lineRule="exact"/>
        <w:ind w:left="0" w:right="0" w:firstLine="440"/>
        <w:jc w:val="both"/>
      </w:pPr>
      <w:bookmarkStart w:id="514" w:name="bookmark514"/>
      <w:r>
        <w:rPr>
          <w:color w:val="000000"/>
          <w:spacing w:val="0"/>
          <w:w w:val="100"/>
          <w:position w:val="0"/>
        </w:rPr>
        <w:t>（</w:t>
      </w:r>
      <w:bookmarkEnd w:id="514"/>
      <w:r>
        <w:rPr>
          <w:rFonts w:ascii="Arial Narrow" w:eastAsia="Arial Narrow" w:hAnsi="Arial Narrow" w:cs="Arial Narrow"/>
          <w:color w:val="000000"/>
          <w:spacing w:val="0"/>
          <w:w w:val="100"/>
          <w:position w:val="0"/>
        </w:rPr>
        <w:t>1</w:t>
      </w:r>
      <w:r>
        <w:rPr>
          <w:color w:val="000000"/>
          <w:spacing w:val="0"/>
          <w:w w:val="100"/>
          <w:position w:val="0"/>
        </w:rPr>
        <w:t>）</w:t>
        <w:tab/>
        <w:t>在个别财务报表中，以购买日之前所持被购买方的股权投资的账面价值与购买日新增投资成本 之和，作为该项投资的初始投资成本；购买日之前持有的被购买方的股权涉及其他综合收益的，在处置该 项投资时将与其相关的其他综合收益（例如，可供出售金融资产公允价值变动计入资本公积的部分，下同） 转入当期投资收益。</w:t>
      </w:r>
    </w:p>
    <w:p>
      <w:pPr>
        <w:pStyle w:val="Style35"/>
        <w:keepNext w:val="0"/>
        <w:keepLines w:val="0"/>
        <w:widowControl w:val="0"/>
        <w:shd w:val="clear" w:color="auto" w:fill="auto"/>
        <w:tabs>
          <w:tab w:pos="990" w:val="left"/>
        </w:tabs>
        <w:bidi w:val="0"/>
        <w:spacing w:before="0" w:after="320" w:line="410" w:lineRule="exact"/>
        <w:ind w:left="0" w:right="0" w:firstLine="440"/>
        <w:jc w:val="both"/>
      </w:pPr>
      <w:bookmarkStart w:id="515" w:name="bookmark515"/>
      <w:r>
        <w:rPr>
          <w:color w:val="000000"/>
          <w:spacing w:val="0"/>
          <w:w w:val="100"/>
          <w:position w:val="0"/>
        </w:rPr>
        <w:t>（</w:t>
      </w:r>
      <w:bookmarkEnd w:id="515"/>
      <w:r>
        <w:rPr>
          <w:rFonts w:ascii="Arial Narrow" w:eastAsia="Arial Narrow" w:hAnsi="Arial Narrow" w:cs="Arial Narrow"/>
          <w:color w:val="000000"/>
          <w:spacing w:val="0"/>
          <w:w w:val="100"/>
          <w:position w:val="0"/>
        </w:rPr>
        <w:t>2</w:t>
      </w:r>
      <w:r>
        <w:rPr>
          <w:color w:val="000000"/>
          <w:spacing w:val="0"/>
          <w:w w:val="100"/>
          <w:position w:val="0"/>
        </w:rPr>
        <w:t>）</w:t>
        <w:tab/>
        <w:t>在合并财务报表中，对于购买日之前持有的被购买方的股权，按照该股权在购买日的公允价值 进行重新计量，公允价值与其账面价值的差额计入当期投资收益；购买日之前持有的被购买方的股权涉及 其他综合收益的，与其相关的其他综合收益转为购买日所属当期投资收益。</w:t>
      </w:r>
    </w:p>
    <w:p>
      <w:pPr>
        <w:pStyle w:val="Style38"/>
        <w:keepNext/>
        <w:keepLines/>
        <w:widowControl w:val="0"/>
        <w:shd w:val="clear" w:color="auto" w:fill="auto"/>
        <w:bidi w:val="0"/>
        <w:spacing w:before="0" w:after="0" w:line="430" w:lineRule="auto"/>
        <w:ind w:left="0" w:right="0"/>
        <w:jc w:val="both"/>
      </w:pPr>
      <w:bookmarkStart w:id="516" w:name="bookmark516"/>
      <w:bookmarkStart w:id="517" w:name="bookmark517"/>
      <w:bookmarkStart w:id="518" w:name="bookmark518"/>
      <w:bookmarkStart w:id="519" w:name="bookmark519"/>
      <w:r>
        <w:rPr>
          <w:rFonts w:ascii="Arial Narrow" w:eastAsia="Arial Narrow" w:hAnsi="Arial Narrow" w:cs="Arial Narrow"/>
          <w:color w:val="000000"/>
          <w:spacing w:val="0"/>
          <w:w w:val="100"/>
          <w:position w:val="0"/>
          <w:sz w:val="20"/>
          <w:szCs w:val="20"/>
        </w:rPr>
        <w:t>（</w:t>
      </w:r>
      <w:bookmarkEnd w:id="518"/>
      <w:r>
        <w:rPr>
          <w:color w:val="000000"/>
          <w:spacing w:val="0"/>
          <w:w w:val="100"/>
          <w:position w:val="0"/>
        </w:rPr>
        <w:t>六</w:t>
      </w:r>
      <w:r>
        <w:rPr>
          <w:color w:val="000000"/>
          <w:spacing w:val="0"/>
          <w:w w:val="100"/>
          <w:position w:val="0"/>
          <w:sz w:val="24"/>
          <w:szCs w:val="24"/>
        </w:rPr>
        <w:t>）</w:t>
      </w:r>
      <w:r>
        <w:rPr>
          <w:color w:val="000000"/>
          <w:spacing w:val="0"/>
          <w:w w:val="100"/>
          <w:position w:val="0"/>
        </w:rPr>
        <w:t>合并财务报表的编制方法</w:t>
      </w:r>
      <w:bookmarkEnd w:id="516"/>
      <w:bookmarkEnd w:id="517"/>
      <w:bookmarkEnd w:id="519"/>
    </w:p>
    <w:p>
      <w:pPr>
        <w:pStyle w:val="Style3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公司合并财务报表的合并范围以控制为基础确定，所有子公司均纳入合并财务报表。</w:t>
      </w:r>
    </w:p>
    <w:p>
      <w:pPr>
        <w:pStyle w:val="Style3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所有纳入合并财务报表合并范围的子公司所采用的会计政策、会计期间与本公司一致，如子公司采用 的会计政策、会计期间与本公司不一致的，在编制合并财务报表时，按本公司的会计政策、会计期间进行 必要的调整。</w:t>
      </w:r>
    </w:p>
    <w:p>
      <w:pPr>
        <w:pStyle w:val="Style3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合并财务报表以本公司及子公司的财务报表为基础，根据其他有关资料，按照权益法调整对子公司的 长期股权投资后，由本公司编制。</w:t>
      </w:r>
    </w:p>
    <w:p>
      <w:pPr>
        <w:pStyle w:val="Style35"/>
        <w:keepNext w:val="0"/>
        <w:keepLines w:val="0"/>
        <w:widowControl w:val="0"/>
        <w:shd w:val="clear" w:color="auto" w:fill="auto"/>
        <w:bidi w:val="0"/>
        <w:spacing w:before="0" w:after="180" w:line="410" w:lineRule="exact"/>
        <w:ind w:left="0" w:right="0" w:firstLine="440"/>
        <w:jc w:val="both"/>
      </w:pPr>
      <w:r>
        <w:rPr>
          <w:color w:val="000000"/>
          <w:spacing w:val="0"/>
          <w:w w:val="100"/>
          <w:position w:val="0"/>
        </w:rPr>
        <w:t>合并财务报表时抵销本公司与各子公司、各子公司相互之间发生的内部交易对合并资产负债表、合并 利润表、合并现金流量表、合并所有者权益变动表的影响。</w:t>
      </w:r>
    </w:p>
    <w:p>
      <w:pPr>
        <w:pStyle w:val="Style3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子公司少数股东分担的当期亏损超过了少数股东在该子公司期初所有者权益中所享有的份额的，其余 额仍应当冲减少数股东权益。</w:t>
      </w:r>
    </w:p>
    <w:p>
      <w:pPr>
        <w:pStyle w:val="Style3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在报告期内，若因同一控制下企业合并增加子公司的，则调整合并资产负债表的期初数；将子公司合 并当期期初至报告期末的收入、费用、利润纳入合并利润表；将子公司合并当期期初至报告期末的现金流 量纳入合并现金流量表。</w:t>
      </w:r>
    </w:p>
    <w:p>
      <w:pPr>
        <w:pStyle w:val="Style3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在报告期内，若因非同一控制下企业合并增加子公司的，则不调整合并资产负债表期初数；将子公司 自购买日至报告期末的收入、费用、利润纳入合并利润表；该子公司自购买日至报告期末的现金流量纳入 合并现金流量表。</w:t>
      </w:r>
    </w:p>
    <w:p>
      <w:pPr>
        <w:pStyle w:val="Style3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在报告期内，本公司处置子公司，则该子公司期初至处置日的收入、费用、利润纳入合并利润表；该 子公司期初至处置日的现金流量纳入合并现金流量表。</w:t>
      </w:r>
    </w:p>
    <w:p>
      <w:pPr>
        <w:pStyle w:val="Style35"/>
        <w:keepNext w:val="0"/>
        <w:keepLines w:val="0"/>
        <w:widowControl w:val="0"/>
        <w:shd w:val="clear" w:color="auto" w:fill="auto"/>
        <w:bidi w:val="0"/>
        <w:spacing w:before="0" w:after="0" w:line="376" w:lineRule="exact"/>
        <w:ind w:left="0" w:right="0" w:firstLine="440"/>
        <w:jc w:val="both"/>
      </w:pPr>
      <w:r>
        <w:rPr>
          <w:color w:val="000000"/>
          <w:spacing w:val="0"/>
          <w:w w:val="100"/>
          <w:position w:val="0"/>
        </w:rPr>
        <w:t xml:space="preserve">企业因处置部分股权投资或其他原因丧失了对原有子公司控制权的，在合并财务报表中，对于剩余股 权，应当按照其在丧失控制权日的公允价值进行重新计量。处置股权取得的对价与剩余股权公允价值之和， 减去按原持股比例计算应享有原有子公司自购买日开始持续计算的净资产的份额之间的差额，计入丧失控 制权当期的投资收益。与原有子公司股权投资相关的其他综合收益，应当在丧失控制权时转为当期投资收 </w:t>
      </w:r>
      <w:r>
        <w:rPr>
          <w:color w:val="000000"/>
          <w:spacing w:val="0"/>
          <w:w w:val="100"/>
          <w:position w:val="0"/>
          <w:u w:val="single"/>
        </w:rPr>
        <w:t>、</w:t>
      </w:r>
      <w:r>
        <w:rPr>
          <w:i/>
          <w:iCs/>
          <w:color w:val="000000"/>
          <w:spacing w:val="0"/>
          <w:w w:val="100"/>
          <w:position w:val="0"/>
          <w:u w:val="single"/>
        </w:rPr>
        <w:t>八</w:t>
      </w:r>
    </w:p>
    <w:p>
      <w:pPr>
        <w:pStyle w:val="Style35"/>
        <w:keepNext w:val="0"/>
        <w:keepLines w:val="0"/>
        <w:widowControl w:val="0"/>
        <w:shd w:val="clear" w:color="auto" w:fill="auto"/>
        <w:bidi w:val="0"/>
        <w:spacing w:before="0" w:after="360" w:line="240" w:lineRule="auto"/>
        <w:ind w:left="0" w:right="0" w:firstLine="0"/>
        <w:jc w:val="left"/>
      </w:pPr>
      <w:r>
        <w:rPr>
          <w:color w:val="000000"/>
          <w:spacing w:val="0"/>
          <w:w w:val="100"/>
          <w:position w:val="0"/>
        </w:rPr>
        <w:t>益。</w:t>
      </w:r>
    </w:p>
    <w:p>
      <w:pPr>
        <w:pStyle w:val="Style38"/>
        <w:keepNext/>
        <w:keepLines/>
        <w:widowControl w:val="0"/>
        <w:shd w:val="clear" w:color="auto" w:fill="auto"/>
        <w:tabs>
          <w:tab w:pos="929" w:val="left"/>
        </w:tabs>
        <w:bidi w:val="0"/>
        <w:spacing w:before="0" w:after="0" w:line="427" w:lineRule="auto"/>
        <w:ind w:left="0" w:right="0"/>
        <w:jc w:val="both"/>
      </w:pPr>
      <w:bookmarkStart w:id="520" w:name="bookmark520"/>
      <w:bookmarkStart w:id="521" w:name="bookmark521"/>
      <w:bookmarkStart w:id="522" w:name="bookmark522"/>
      <w:bookmarkStart w:id="523" w:name="bookmark523"/>
      <w:r>
        <w:rPr>
          <w:rFonts w:ascii="Arial Narrow" w:eastAsia="Arial Narrow" w:hAnsi="Arial Narrow" w:cs="Arial Narrow"/>
          <w:color w:val="000000"/>
          <w:spacing w:val="0"/>
          <w:w w:val="100"/>
          <w:position w:val="0"/>
          <w:sz w:val="20"/>
          <w:szCs w:val="20"/>
        </w:rPr>
        <w:t>（</w:t>
      </w:r>
      <w:bookmarkEnd w:id="522"/>
      <w:r>
        <w:rPr>
          <w:color w:val="000000"/>
          <w:spacing w:val="0"/>
          <w:w w:val="100"/>
          <w:position w:val="0"/>
        </w:rPr>
        <w:t>七</w:t>
      </w:r>
      <w:r>
        <w:rPr>
          <w:color w:val="000000"/>
          <w:spacing w:val="0"/>
          <w:w w:val="100"/>
          <w:position w:val="0"/>
          <w:sz w:val="24"/>
          <w:szCs w:val="24"/>
        </w:rPr>
        <w:t>）</w:t>
      </w:r>
      <w:r>
        <w:rPr>
          <w:rFonts w:ascii="Arial Narrow" w:eastAsia="Arial Narrow" w:hAnsi="Arial Narrow" w:cs="Arial Narrow"/>
          <w:color w:val="000000"/>
          <w:spacing w:val="0"/>
          <w:w w:val="100"/>
          <w:position w:val="0"/>
          <w:sz w:val="20"/>
          <w:szCs w:val="20"/>
        </w:rPr>
        <w:tab/>
      </w:r>
      <w:r>
        <w:rPr>
          <w:color w:val="000000"/>
          <w:spacing w:val="0"/>
          <w:w w:val="100"/>
          <w:position w:val="0"/>
        </w:rPr>
        <w:t>现金及现金等价物的确定标准</w:t>
      </w:r>
      <w:bookmarkEnd w:id="520"/>
      <w:bookmarkEnd w:id="521"/>
      <w:bookmarkEnd w:id="523"/>
    </w:p>
    <w:p>
      <w:pPr>
        <w:pStyle w:val="Style35"/>
        <w:keepNext w:val="0"/>
        <w:keepLines w:val="0"/>
        <w:widowControl w:val="0"/>
        <w:shd w:val="clear" w:color="auto" w:fill="auto"/>
        <w:bidi w:val="0"/>
        <w:spacing w:before="0" w:after="280" w:line="468" w:lineRule="exact"/>
        <w:ind w:left="0" w:right="0" w:firstLine="440"/>
        <w:jc w:val="both"/>
      </w:pPr>
      <w:r>
        <w:rPr>
          <w:color w:val="000000"/>
          <w:spacing w:val="0"/>
          <w:w w:val="100"/>
          <w:position w:val="0"/>
        </w:rPr>
        <w:t>在编制现金流量表时，将本公司库存现金以及可以随时用于支付的存款确认为现金。将同时具备期限 短（一般从购买日起，三个月内到期）、流动性强、易于转换为已知现金、价值变动风险很小四个条件的 投资，确定为现金等价物。</w:t>
      </w:r>
    </w:p>
    <w:p>
      <w:pPr>
        <w:pStyle w:val="Style38"/>
        <w:keepNext/>
        <w:keepLines/>
        <w:widowControl w:val="0"/>
        <w:shd w:val="clear" w:color="auto" w:fill="auto"/>
        <w:tabs>
          <w:tab w:pos="929" w:val="left"/>
        </w:tabs>
        <w:bidi w:val="0"/>
        <w:spacing w:before="0" w:after="0" w:line="427" w:lineRule="auto"/>
        <w:ind w:left="0" w:right="0"/>
        <w:jc w:val="both"/>
      </w:pPr>
      <w:bookmarkStart w:id="524" w:name="bookmark524"/>
      <w:bookmarkStart w:id="525" w:name="bookmark525"/>
      <w:bookmarkStart w:id="526" w:name="bookmark526"/>
      <w:bookmarkStart w:id="527" w:name="bookmark527"/>
      <w:r>
        <w:rPr>
          <w:rFonts w:ascii="Arial Narrow" w:eastAsia="Arial Narrow" w:hAnsi="Arial Narrow" w:cs="Arial Narrow"/>
          <w:color w:val="000000"/>
          <w:spacing w:val="0"/>
          <w:w w:val="100"/>
          <w:position w:val="0"/>
          <w:sz w:val="20"/>
          <w:szCs w:val="20"/>
        </w:rPr>
        <w:t>（</w:t>
      </w:r>
      <w:bookmarkEnd w:id="526"/>
      <w:r>
        <w:rPr>
          <w:color w:val="000000"/>
          <w:spacing w:val="0"/>
          <w:w w:val="100"/>
          <w:position w:val="0"/>
        </w:rPr>
        <w:t>八</w:t>
      </w:r>
      <w:r>
        <w:rPr>
          <w:color w:val="000000"/>
          <w:spacing w:val="0"/>
          <w:w w:val="100"/>
          <w:position w:val="0"/>
          <w:sz w:val="24"/>
          <w:szCs w:val="24"/>
        </w:rPr>
        <w:t>）</w:t>
      </w:r>
      <w:r>
        <w:rPr>
          <w:rFonts w:ascii="Arial Narrow" w:eastAsia="Arial Narrow" w:hAnsi="Arial Narrow" w:cs="Arial Narrow"/>
          <w:color w:val="000000"/>
          <w:spacing w:val="0"/>
          <w:w w:val="100"/>
          <w:position w:val="0"/>
          <w:sz w:val="20"/>
          <w:szCs w:val="20"/>
        </w:rPr>
        <w:tab/>
      </w:r>
      <w:r>
        <w:rPr>
          <w:color w:val="000000"/>
          <w:spacing w:val="0"/>
          <w:w w:val="100"/>
          <w:position w:val="0"/>
        </w:rPr>
        <w:t>外币业务和外币报表折算</w:t>
      </w:r>
      <w:bookmarkEnd w:id="524"/>
      <w:bookmarkEnd w:id="525"/>
      <w:bookmarkEnd w:id="527"/>
    </w:p>
    <w:p>
      <w:pPr>
        <w:pStyle w:val="Style38"/>
        <w:keepNext/>
        <w:keepLines/>
        <w:widowControl w:val="0"/>
        <w:shd w:val="clear" w:color="auto" w:fill="auto"/>
        <w:tabs>
          <w:tab w:pos="856" w:val="left"/>
        </w:tabs>
        <w:bidi w:val="0"/>
        <w:spacing w:before="0" w:after="0" w:line="427" w:lineRule="auto"/>
        <w:ind w:left="0" w:right="0"/>
        <w:jc w:val="both"/>
      </w:pPr>
      <w:bookmarkStart w:id="524" w:name="bookmark524"/>
      <w:bookmarkStart w:id="525" w:name="bookmark525"/>
      <w:bookmarkStart w:id="528" w:name="bookmark528"/>
      <w:bookmarkStart w:id="529" w:name="bookmark529"/>
      <w:r>
        <w:rPr>
          <w:rFonts w:ascii="Arial Narrow" w:eastAsia="Arial Narrow" w:hAnsi="Arial Narrow" w:cs="Arial Narrow"/>
          <w:color w:val="000000"/>
          <w:spacing w:val="0"/>
          <w:w w:val="100"/>
          <w:position w:val="0"/>
          <w:sz w:val="20"/>
          <w:szCs w:val="20"/>
        </w:rPr>
        <w:t>1</w:t>
      </w:r>
      <w:bookmarkEnd w:id="528"/>
      <w:r>
        <w:rPr>
          <w:color w:val="000000"/>
          <w:spacing w:val="0"/>
          <w:w w:val="100"/>
          <w:position w:val="0"/>
        </w:rPr>
        <w:t>、</w:t>
        <w:tab/>
        <w:t>外币业务</w:t>
      </w:r>
      <w:bookmarkEnd w:id="524"/>
      <w:bookmarkEnd w:id="525"/>
      <w:bookmarkEnd w:id="529"/>
    </w:p>
    <w:p>
      <w:pPr>
        <w:pStyle w:val="Style35"/>
        <w:keepNext w:val="0"/>
        <w:keepLines w:val="0"/>
        <w:widowControl w:val="0"/>
        <w:shd w:val="clear" w:color="auto" w:fill="auto"/>
        <w:bidi w:val="0"/>
        <w:spacing w:before="0" w:after="0" w:line="409" w:lineRule="exact"/>
        <w:ind w:left="0" w:right="0" w:firstLine="440"/>
        <w:jc w:val="left"/>
      </w:pPr>
      <w:r>
        <w:rPr>
          <w:color w:val="000000"/>
          <w:spacing w:val="0"/>
          <w:w w:val="100"/>
          <w:position w:val="0"/>
        </w:rPr>
        <w:t>外币业务采用交易发生日的即期汇率作为折算汇率折合成人民币记账。</w:t>
      </w:r>
    </w:p>
    <w:p>
      <w:pPr>
        <w:pStyle w:val="Style35"/>
        <w:keepNext w:val="0"/>
        <w:keepLines w:val="0"/>
        <w:widowControl w:val="0"/>
        <w:shd w:val="clear" w:color="auto" w:fill="auto"/>
        <w:bidi w:val="0"/>
        <w:spacing w:before="0" w:after="140" w:line="409" w:lineRule="exact"/>
        <w:ind w:left="0" w:right="0" w:firstLine="440"/>
        <w:jc w:val="both"/>
      </w:pPr>
      <w:r>
        <w:rPr>
          <w:color w:val="000000"/>
          <w:spacing w:val="0"/>
          <w:w w:val="100"/>
          <w:position w:val="0"/>
        </w:rPr>
        <w:t>外币货币性项目余额按资产负债表日即期汇率折算，由此产生的汇兑差额，除属于与购建符合资本化 条件的资产相关的外币专门借款产生的汇兑差额按照借款费用资本化的原则处理外，均计入当期损益。以 历史成本计量的外币非货币性项目，仍采用交易发生日的即期汇率折算，不改变其记账本位币金额。以公 允价值计量的外币非货币性项目，采用公允价值确定日的即期汇率折算，由此产生的汇兑差额计入当期损 益或资本公积。</w:t>
      </w:r>
    </w:p>
    <w:p>
      <w:pPr>
        <w:pStyle w:val="Style38"/>
        <w:keepNext/>
        <w:keepLines/>
        <w:widowControl w:val="0"/>
        <w:shd w:val="clear" w:color="auto" w:fill="auto"/>
        <w:tabs>
          <w:tab w:pos="856" w:val="left"/>
        </w:tabs>
        <w:bidi w:val="0"/>
        <w:spacing w:before="0" w:after="0" w:line="427" w:lineRule="auto"/>
        <w:ind w:left="0" w:right="0"/>
        <w:jc w:val="both"/>
      </w:pPr>
      <w:bookmarkStart w:id="530" w:name="bookmark530"/>
      <w:bookmarkStart w:id="531" w:name="bookmark531"/>
      <w:bookmarkStart w:id="532" w:name="bookmark532"/>
      <w:bookmarkStart w:id="533" w:name="bookmark533"/>
      <w:r>
        <w:rPr>
          <w:rFonts w:ascii="Arial Narrow" w:eastAsia="Arial Narrow" w:hAnsi="Arial Narrow" w:cs="Arial Narrow"/>
          <w:color w:val="000000"/>
          <w:spacing w:val="0"/>
          <w:w w:val="100"/>
          <w:position w:val="0"/>
          <w:sz w:val="20"/>
          <w:szCs w:val="20"/>
        </w:rPr>
        <w:t>2</w:t>
      </w:r>
      <w:bookmarkEnd w:id="532"/>
      <w:r>
        <w:rPr>
          <w:color w:val="000000"/>
          <w:spacing w:val="0"/>
          <w:w w:val="100"/>
          <w:position w:val="0"/>
        </w:rPr>
        <w:t>、</w:t>
        <w:tab/>
        <w:t>外币财务报表的折算</w:t>
      </w:r>
      <w:bookmarkEnd w:id="530"/>
      <w:bookmarkEnd w:id="531"/>
      <w:bookmarkEnd w:id="533"/>
    </w:p>
    <w:p>
      <w:pPr>
        <w:pStyle w:val="Style35"/>
        <w:keepNext w:val="0"/>
        <w:keepLines w:val="0"/>
        <w:widowControl w:val="0"/>
        <w:shd w:val="clear" w:color="auto" w:fill="auto"/>
        <w:bidi w:val="0"/>
        <w:spacing w:before="0" w:after="140" w:line="409" w:lineRule="exact"/>
        <w:ind w:left="0" w:right="0" w:firstLine="440"/>
        <w:jc w:val="both"/>
      </w:pPr>
      <w:r>
        <w:rPr>
          <w:color w:val="000000"/>
          <w:spacing w:val="0"/>
          <w:w w:val="100"/>
          <w:position w:val="0"/>
        </w:rPr>
        <w:t>资产负债表中的资产和负债项目，采用资产负债表日的即期汇率折算；所有者权益项目除</w:t>
      </w:r>
      <w:r>
        <w:rPr>
          <w:rFonts w:ascii="Arial Narrow" w:eastAsia="Arial Narrow" w:hAnsi="Arial Narrow" w:cs="Arial Narrow"/>
          <w:color w:val="000000"/>
          <w:spacing w:val="0"/>
          <w:w w:val="100"/>
          <w:position w:val="0"/>
        </w:rPr>
        <w:t>“</w:t>
      </w:r>
      <w:r>
        <w:rPr>
          <w:color w:val="000000"/>
          <w:spacing w:val="0"/>
          <w:w w:val="100"/>
          <w:position w:val="0"/>
        </w:rPr>
        <w:t>未分配利润</w:t>
      </w:r>
      <w:r>
        <w:rPr>
          <w:rFonts w:ascii="Arial Narrow" w:eastAsia="Arial Narrow" w:hAnsi="Arial Narrow" w:cs="Arial Narrow"/>
          <w:color w:val="000000"/>
          <w:spacing w:val="0"/>
          <w:w w:val="100"/>
          <w:position w:val="0"/>
        </w:rPr>
        <w:t xml:space="preserve">” </w:t>
      </w:r>
      <w:r>
        <w:rPr>
          <w:color w:val="000000"/>
          <w:spacing w:val="0"/>
          <w:w w:val="100"/>
          <w:position w:val="0"/>
        </w:rPr>
        <w:t>项目外，其他项目采用发生时的即期汇率折算。利润表中的收入和费用项目，采用交易发生日的即期汇率 折算。按照上述折算产生的外币财务报表折算差额，在资产负债表所有者权益项目下单独列示。</w:t>
      </w:r>
    </w:p>
    <w:p>
      <w:pPr>
        <w:pStyle w:val="Style35"/>
        <w:keepNext w:val="0"/>
        <w:keepLines w:val="0"/>
        <w:widowControl w:val="0"/>
        <w:shd w:val="clear" w:color="auto" w:fill="auto"/>
        <w:bidi w:val="0"/>
        <w:spacing w:before="0" w:after="280" w:line="409" w:lineRule="exact"/>
        <w:ind w:left="0" w:right="0" w:firstLine="440"/>
        <w:jc w:val="both"/>
      </w:pPr>
      <w:r>
        <w:rPr>
          <w:color w:val="000000"/>
          <w:spacing w:val="0"/>
          <w:w w:val="100"/>
          <w:position w:val="0"/>
        </w:rPr>
        <w:t xml:space="preserve">处置境外经营时，将资产负债表中所有者权益项目下列示的、与该境外经营相关的外币财务报表折算 </w:t>
      </w:r>
      <w:r>
        <w:rPr>
          <w:color w:val="000000"/>
          <w:spacing w:val="0"/>
          <w:w w:val="100"/>
          <w:position w:val="0"/>
        </w:rPr>
        <w:t>差额，自所有者权益项目转入处置当期损益；部分处置境外经营的，按处置的比例计算处置部分的外币财 务报表折算差额，转入处置当期损益。</w:t>
      </w:r>
    </w:p>
    <w:p>
      <w:pPr>
        <w:pStyle w:val="Style38"/>
        <w:keepNext/>
        <w:keepLines/>
        <w:widowControl w:val="0"/>
        <w:shd w:val="clear" w:color="auto" w:fill="auto"/>
        <w:bidi w:val="0"/>
        <w:spacing w:before="0" w:after="0" w:line="430" w:lineRule="auto"/>
        <w:ind w:left="0" w:right="0" w:firstLine="560"/>
        <w:jc w:val="both"/>
      </w:pPr>
      <w:bookmarkStart w:id="534" w:name="bookmark534"/>
      <w:bookmarkStart w:id="535" w:name="bookmark535"/>
      <w:bookmarkStart w:id="536" w:name="bookmark536"/>
      <w:bookmarkStart w:id="537" w:name="bookmark537"/>
      <w:r>
        <w:rPr>
          <w:rFonts w:ascii="Arial Narrow" w:eastAsia="Arial Narrow" w:hAnsi="Arial Narrow" w:cs="Arial Narrow"/>
          <w:color w:val="000000"/>
          <w:spacing w:val="0"/>
          <w:w w:val="100"/>
          <w:position w:val="0"/>
          <w:sz w:val="20"/>
          <w:szCs w:val="20"/>
        </w:rPr>
        <w:t>（</w:t>
      </w:r>
      <w:bookmarkEnd w:id="536"/>
      <w:r>
        <w:rPr>
          <w:color w:val="000000"/>
          <w:spacing w:val="0"/>
          <w:w w:val="100"/>
          <w:position w:val="0"/>
        </w:rPr>
        <w:t>九</w:t>
      </w:r>
      <w:r>
        <w:rPr>
          <w:color w:val="000000"/>
          <w:spacing w:val="0"/>
          <w:w w:val="100"/>
          <w:position w:val="0"/>
          <w:sz w:val="24"/>
          <w:szCs w:val="24"/>
        </w:rPr>
        <w:t>）</w:t>
      </w:r>
      <w:r>
        <w:rPr>
          <w:color w:val="000000"/>
          <w:spacing w:val="0"/>
          <w:w w:val="100"/>
          <w:position w:val="0"/>
        </w:rPr>
        <w:t>应收款项坏账准备的确认标准、计提方法</w:t>
      </w:r>
      <w:bookmarkEnd w:id="534"/>
      <w:bookmarkEnd w:id="535"/>
      <w:bookmarkEnd w:id="537"/>
    </w:p>
    <w:p>
      <w:pPr>
        <w:pStyle w:val="Style38"/>
        <w:keepNext/>
        <w:keepLines/>
        <w:widowControl w:val="0"/>
        <w:shd w:val="clear" w:color="auto" w:fill="auto"/>
        <w:tabs>
          <w:tab w:pos="963" w:val="left"/>
        </w:tabs>
        <w:bidi w:val="0"/>
        <w:spacing w:before="0" w:after="0" w:line="430" w:lineRule="auto"/>
        <w:ind w:left="0" w:right="0" w:firstLine="560"/>
        <w:jc w:val="both"/>
      </w:pPr>
      <w:bookmarkStart w:id="534" w:name="bookmark534"/>
      <w:bookmarkStart w:id="535" w:name="bookmark535"/>
      <w:bookmarkStart w:id="538" w:name="bookmark538"/>
      <w:bookmarkStart w:id="539" w:name="bookmark539"/>
      <w:r>
        <w:rPr>
          <w:rFonts w:ascii="Arial Narrow" w:eastAsia="Arial Narrow" w:hAnsi="Arial Narrow" w:cs="Arial Narrow"/>
          <w:color w:val="000000"/>
          <w:spacing w:val="0"/>
          <w:w w:val="100"/>
          <w:position w:val="0"/>
          <w:sz w:val="20"/>
          <w:szCs w:val="20"/>
        </w:rPr>
        <w:t>1</w:t>
      </w:r>
      <w:bookmarkEnd w:id="538"/>
      <w:r>
        <w:rPr>
          <w:color w:val="000000"/>
          <w:spacing w:val="0"/>
          <w:w w:val="100"/>
          <w:position w:val="0"/>
        </w:rPr>
        <w:t>、</w:t>
        <w:tab/>
        <w:t>单项金额重大并单项计提坏账准备的应收款项：</w:t>
      </w:r>
      <w:bookmarkEnd w:id="534"/>
      <w:bookmarkEnd w:id="535"/>
      <w:bookmarkEnd w:id="539"/>
    </w:p>
    <w:p>
      <w:pPr>
        <w:pStyle w:val="Style35"/>
        <w:keepNext w:val="0"/>
        <w:keepLines w:val="0"/>
        <w:widowControl w:val="0"/>
        <w:shd w:val="clear" w:color="auto" w:fill="auto"/>
        <w:bidi w:val="0"/>
        <w:spacing w:before="0" w:after="0" w:line="409" w:lineRule="exact"/>
        <w:ind w:left="0" w:right="0" w:firstLine="560"/>
        <w:jc w:val="both"/>
      </w:pPr>
      <w:r>
        <w:rPr>
          <w:color w:val="000000"/>
          <w:spacing w:val="0"/>
          <w:w w:val="100"/>
          <w:position w:val="0"/>
        </w:rPr>
        <w:t>单项金额重大并单项计提坏账准备的应收款项的确认标准：</w:t>
      </w:r>
    </w:p>
    <w:p>
      <w:pPr>
        <w:pStyle w:val="Style35"/>
        <w:keepNext w:val="0"/>
        <w:keepLines w:val="0"/>
        <w:widowControl w:val="0"/>
        <w:shd w:val="clear" w:color="auto" w:fill="auto"/>
        <w:bidi w:val="0"/>
        <w:spacing w:before="0" w:after="0" w:line="409" w:lineRule="exact"/>
        <w:ind w:left="0" w:right="0" w:firstLine="560"/>
        <w:jc w:val="both"/>
      </w:pPr>
      <w:r>
        <w:rPr>
          <w:color w:val="000000"/>
          <w:spacing w:val="0"/>
          <w:w w:val="100"/>
          <w:position w:val="0"/>
        </w:rPr>
        <w:t>单项金额重大的具体标准为：单项金额在</w:t>
      </w:r>
      <w:r>
        <w:rPr>
          <w:rFonts w:ascii="Arial Narrow" w:eastAsia="Arial Narrow" w:hAnsi="Arial Narrow" w:cs="Arial Narrow"/>
          <w:color w:val="000000"/>
          <w:spacing w:val="0"/>
          <w:w w:val="100"/>
          <w:position w:val="0"/>
        </w:rPr>
        <w:t>100</w:t>
      </w:r>
      <w:r>
        <w:rPr>
          <w:color w:val="000000"/>
          <w:spacing w:val="0"/>
          <w:w w:val="100"/>
          <w:position w:val="0"/>
        </w:rPr>
        <w:t>万以上的应收账款和单项金额超过</w:t>
      </w:r>
      <w:r>
        <w:rPr>
          <w:rFonts w:ascii="Arial Narrow" w:eastAsia="Arial Narrow" w:hAnsi="Arial Narrow" w:cs="Arial Narrow"/>
          <w:color w:val="000000"/>
          <w:spacing w:val="0"/>
          <w:w w:val="100"/>
          <w:position w:val="0"/>
        </w:rPr>
        <w:t>10</w:t>
      </w:r>
      <w:r>
        <w:rPr>
          <w:color w:val="000000"/>
          <w:spacing w:val="0"/>
          <w:w w:val="100"/>
          <w:position w:val="0"/>
        </w:rPr>
        <w:t>万的其他应收款。</w:t>
      </w:r>
    </w:p>
    <w:p>
      <w:pPr>
        <w:pStyle w:val="Style35"/>
        <w:keepNext w:val="0"/>
        <w:keepLines w:val="0"/>
        <w:widowControl w:val="0"/>
        <w:shd w:val="clear" w:color="auto" w:fill="auto"/>
        <w:bidi w:val="0"/>
        <w:spacing w:before="0" w:after="0" w:line="409" w:lineRule="exact"/>
        <w:ind w:left="0" w:right="0" w:firstLine="560"/>
        <w:jc w:val="both"/>
      </w:pPr>
      <w:r>
        <w:rPr>
          <w:color w:val="000000"/>
          <w:spacing w:val="0"/>
          <w:w w:val="100"/>
          <w:position w:val="0"/>
        </w:rPr>
        <w:t>单项金额重大的应收款项坏账准备的计提方法：</w:t>
      </w:r>
    </w:p>
    <w:p>
      <w:pPr>
        <w:pStyle w:val="Style35"/>
        <w:keepNext w:val="0"/>
        <w:keepLines w:val="0"/>
        <w:widowControl w:val="0"/>
        <w:shd w:val="clear" w:color="auto" w:fill="auto"/>
        <w:bidi w:val="0"/>
        <w:spacing w:before="0" w:after="160" w:line="409" w:lineRule="exact"/>
        <w:ind w:left="140" w:right="0" w:firstLine="420"/>
        <w:jc w:val="both"/>
      </w:pPr>
      <w:r>
        <w:rPr>
          <w:color w:val="000000"/>
          <w:spacing w:val="0"/>
          <w:w w:val="100"/>
          <w:position w:val="0"/>
        </w:rPr>
        <w:t>单独进行减值测试，按预计未来现金流量现值低于其账面价值的差额计提坏账准备，计入当期损益。 单独测试未发生减值的应收款项，将其归入相应组合计提坏账准备。</w:t>
      </w:r>
    </w:p>
    <w:p>
      <w:pPr>
        <w:pStyle w:val="Style38"/>
        <w:keepNext/>
        <w:keepLines/>
        <w:widowControl w:val="0"/>
        <w:shd w:val="clear" w:color="auto" w:fill="auto"/>
        <w:tabs>
          <w:tab w:pos="963" w:val="left"/>
        </w:tabs>
        <w:bidi w:val="0"/>
        <w:spacing w:before="0" w:after="0" w:line="430" w:lineRule="auto"/>
        <w:ind w:left="0" w:right="0" w:firstLine="560"/>
        <w:jc w:val="both"/>
      </w:pPr>
      <w:bookmarkStart w:id="540" w:name="bookmark540"/>
      <w:bookmarkStart w:id="541" w:name="bookmark541"/>
      <w:bookmarkStart w:id="542" w:name="bookmark542"/>
      <w:bookmarkStart w:id="543" w:name="bookmark543"/>
      <w:r>
        <w:rPr>
          <w:rFonts w:ascii="Arial Narrow" w:eastAsia="Arial Narrow" w:hAnsi="Arial Narrow" w:cs="Arial Narrow"/>
          <w:color w:val="000000"/>
          <w:spacing w:val="0"/>
          <w:w w:val="100"/>
          <w:position w:val="0"/>
          <w:sz w:val="20"/>
          <w:szCs w:val="20"/>
        </w:rPr>
        <w:t>2</w:t>
      </w:r>
      <w:bookmarkEnd w:id="542"/>
      <w:r>
        <w:rPr>
          <w:color w:val="000000"/>
          <w:spacing w:val="0"/>
          <w:w w:val="100"/>
          <w:position w:val="0"/>
        </w:rPr>
        <w:t>、</w:t>
        <w:tab/>
        <w:t>按组合计提坏账准备应收款项：</w:t>
      </w:r>
      <w:bookmarkEnd w:id="540"/>
      <w:bookmarkEnd w:id="541"/>
      <w:bookmarkEnd w:id="543"/>
    </w:p>
    <w:p>
      <w:pPr>
        <w:pStyle w:val="Style35"/>
        <w:keepNext w:val="0"/>
        <w:keepLines w:val="0"/>
        <w:widowControl w:val="0"/>
        <w:shd w:val="clear" w:color="auto" w:fill="auto"/>
        <w:bidi w:val="0"/>
        <w:spacing w:before="0" w:after="0" w:line="409" w:lineRule="exact"/>
        <w:ind w:left="0" w:right="0" w:firstLine="560"/>
        <w:jc w:val="both"/>
      </w:pPr>
      <w:bookmarkStart w:id="544" w:name="bookmark544"/>
      <w:r>
        <w:rPr>
          <w:color w:val="000000"/>
          <w:spacing w:val="0"/>
          <w:w w:val="100"/>
          <w:position w:val="0"/>
        </w:rPr>
        <w:t>（</w:t>
      </w:r>
      <w:bookmarkEnd w:id="544"/>
      <w:r>
        <w:rPr>
          <w:rFonts w:ascii="Arial Narrow" w:eastAsia="Arial Narrow" w:hAnsi="Arial Narrow" w:cs="Arial Narrow"/>
          <w:color w:val="000000"/>
          <w:spacing w:val="0"/>
          <w:w w:val="100"/>
          <w:position w:val="0"/>
        </w:rPr>
        <w:t>1</w:t>
      </w:r>
      <w:r>
        <w:rPr>
          <w:color w:val="000000"/>
          <w:spacing w:val="0"/>
          <w:w w:val="100"/>
          <w:position w:val="0"/>
        </w:rPr>
        <w:t>）信用风险特征组合的确定依据：</w:t>
      </w:r>
    </w:p>
    <w:p>
      <w:pPr>
        <w:pStyle w:val="Style35"/>
        <w:keepNext w:val="0"/>
        <w:keepLines w:val="0"/>
        <w:widowControl w:val="0"/>
        <w:shd w:val="clear" w:color="auto" w:fill="auto"/>
        <w:bidi w:val="0"/>
        <w:spacing w:before="0" w:after="0" w:line="409" w:lineRule="exact"/>
        <w:ind w:left="140" w:right="0" w:firstLine="420"/>
        <w:jc w:val="both"/>
      </w:pPr>
      <w:r>
        <w:rPr>
          <w:color w:val="000000"/>
          <w:spacing w:val="0"/>
          <w:w w:val="100"/>
          <w:position w:val="0"/>
        </w:rPr>
        <w:t>按组合计提坏账准备应收款项包括除单项金额超过</w:t>
      </w:r>
      <w:r>
        <w:rPr>
          <w:rFonts w:ascii="Arial Narrow" w:eastAsia="Arial Narrow" w:hAnsi="Arial Narrow" w:cs="Arial Narrow"/>
          <w:color w:val="000000"/>
          <w:spacing w:val="0"/>
          <w:w w:val="100"/>
          <w:position w:val="0"/>
        </w:rPr>
        <w:t>100</w:t>
      </w:r>
      <w:r>
        <w:rPr>
          <w:color w:val="000000"/>
          <w:spacing w:val="0"/>
          <w:w w:val="100"/>
          <w:position w:val="0"/>
        </w:rPr>
        <w:t>万的应收账款和单项金额超过</w:t>
      </w:r>
      <w:r>
        <w:rPr>
          <w:rFonts w:ascii="Arial Narrow" w:eastAsia="Arial Narrow" w:hAnsi="Arial Narrow" w:cs="Arial Narrow"/>
          <w:color w:val="000000"/>
          <w:spacing w:val="0"/>
          <w:w w:val="100"/>
          <w:position w:val="0"/>
        </w:rPr>
        <w:t>10</w:t>
      </w:r>
      <w:r>
        <w:rPr>
          <w:color w:val="000000"/>
          <w:spacing w:val="0"/>
          <w:w w:val="100"/>
          <w:position w:val="0"/>
        </w:rPr>
        <w:t>万的其他应收 款外的单项金额不重大应收款项，以及经单独测试未减值的单项金额重大的应收款项。</w:t>
      </w:r>
    </w:p>
    <w:p>
      <w:pPr>
        <w:pStyle w:val="Style35"/>
        <w:keepNext w:val="0"/>
        <w:keepLines w:val="0"/>
        <w:widowControl w:val="0"/>
        <w:shd w:val="clear" w:color="auto" w:fill="auto"/>
        <w:bidi w:val="0"/>
        <w:spacing w:before="0" w:after="160" w:line="409" w:lineRule="exact"/>
        <w:ind w:left="140" w:right="0" w:firstLine="420"/>
        <w:jc w:val="both"/>
      </w:pPr>
      <w:r>
        <w:rPr>
          <w:color w:val="000000"/>
          <w:spacing w:val="0"/>
          <w:w w:val="100"/>
          <w:position w:val="0"/>
        </w:rPr>
        <w:t>对于按组合计提坏账准备应收款项，采用信用组合方式评估应收款项的减值损失，将其以账龄作为类 似信用风险特征划分为若干风险组合，再按这些应收款项组合的期末余额的一定比例计算确定减值损失， 计提坏账准备。该比例反映各项目未来可能发生的减值损失，即各项组合的账面价值超过其未来现金流量</w:t>
      </w:r>
    </w:p>
    <w:p>
      <w:pPr>
        <w:pStyle w:val="Style35"/>
        <w:keepNext w:val="0"/>
        <w:keepLines w:val="0"/>
        <w:widowControl w:val="0"/>
        <w:shd w:val="clear" w:color="auto" w:fill="auto"/>
        <w:bidi w:val="0"/>
        <w:spacing w:before="0" w:after="160" w:line="240" w:lineRule="auto"/>
        <w:ind w:left="0" w:right="0" w:firstLine="140"/>
        <w:jc w:val="both"/>
      </w:pPr>
      <w:r>
        <w:rPr>
          <w:color w:val="000000"/>
          <w:spacing w:val="0"/>
          <w:w w:val="100"/>
          <w:position w:val="0"/>
        </w:rPr>
        <w:t>现值的金额。</w:t>
      </w:r>
    </w:p>
    <w:p>
      <w:pPr>
        <w:pStyle w:val="Style35"/>
        <w:keepNext w:val="0"/>
        <w:keepLines w:val="0"/>
        <w:widowControl w:val="0"/>
        <w:shd w:val="clear" w:color="auto" w:fill="auto"/>
        <w:bidi w:val="0"/>
        <w:spacing w:before="0" w:after="160" w:line="240" w:lineRule="auto"/>
        <w:ind w:left="0" w:right="0" w:firstLine="560"/>
        <w:jc w:val="both"/>
      </w:pPr>
      <w:bookmarkStart w:id="545" w:name="bookmark545"/>
      <w:r>
        <w:rPr>
          <w:color w:val="000000"/>
          <w:spacing w:val="0"/>
          <w:w w:val="100"/>
          <w:position w:val="0"/>
        </w:rPr>
        <w:t>（</w:t>
      </w:r>
      <w:bookmarkEnd w:id="545"/>
      <w:r>
        <w:rPr>
          <w:rFonts w:ascii="Arial Narrow" w:eastAsia="Arial Narrow" w:hAnsi="Arial Narrow" w:cs="Arial Narrow"/>
          <w:color w:val="000000"/>
          <w:spacing w:val="0"/>
          <w:w w:val="100"/>
          <w:position w:val="0"/>
        </w:rPr>
        <w:t>2</w:t>
      </w:r>
      <w:r>
        <w:rPr>
          <w:color w:val="000000"/>
          <w:spacing w:val="0"/>
          <w:w w:val="100"/>
          <w:position w:val="0"/>
        </w:rPr>
        <w:t>）根据信用风险特征组合确定的计提方法:</w:t>
      </w:r>
    </w:p>
    <w:p>
      <w:pPr>
        <w:pStyle w:val="Style35"/>
        <w:keepNext w:val="0"/>
        <w:keepLines w:val="0"/>
        <w:widowControl w:val="0"/>
        <w:shd w:val="clear" w:color="auto" w:fill="auto"/>
        <w:bidi w:val="0"/>
        <w:spacing w:before="0" w:after="160" w:line="240" w:lineRule="auto"/>
        <w:ind w:left="0" w:right="0" w:firstLine="560"/>
        <w:jc w:val="both"/>
      </w:pPr>
      <w:r>
        <w:rPr>
          <w:color w:val="000000"/>
          <w:spacing w:val="0"/>
          <w:w w:val="100"/>
          <w:position w:val="0"/>
        </w:rPr>
        <w:t>采用账龄分析法计提坏账准备的：</w:t>
      </w:r>
    </w:p>
    <w:tbl>
      <w:tblPr>
        <w:tblOverlap w:val="never"/>
        <w:jc w:val="center"/>
        <w:tblLayout w:type="fixed"/>
      </w:tblPr>
      <w:tblGrid>
        <w:gridCol w:w="3466"/>
        <w:gridCol w:w="3029"/>
        <w:gridCol w:w="3437"/>
      </w:tblGrid>
      <w:tr>
        <w:trPr>
          <w:trHeight w:val="427"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应收账款计提比例</w:t>
            </w:r>
            <w:r>
              <w:rPr>
                <w:rFonts w:ascii="Arial Narrow" w:eastAsia="Arial Narrow" w:hAnsi="Arial Narrow" w:cs="Arial Narrow"/>
                <w:color w:val="000000"/>
                <w:spacing w:val="0"/>
                <w:w w:val="100"/>
                <w:position w:val="0"/>
                <w:sz w:val="18"/>
                <w:szCs w:val="18"/>
              </w:rPr>
              <w:t>（</w:t>
            </w:r>
            <w:r>
              <w:rPr>
                <w:color w:val="000000"/>
                <w:spacing w:val="0"/>
                <w:w w:val="100"/>
                <w:position w:val="0"/>
                <w:sz w:val="22"/>
                <w:szCs w:val="22"/>
              </w:rPr>
              <w:t>％</w:t>
            </w: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其他应收款计提比例</w:t>
            </w:r>
            <w:r>
              <w:rPr>
                <w:rFonts w:ascii="Arial Narrow" w:eastAsia="Arial Narrow" w:hAnsi="Arial Narrow" w:cs="Arial Narrow"/>
                <w:color w:val="000000"/>
                <w:spacing w:val="0"/>
                <w:w w:val="100"/>
                <w:position w:val="0"/>
                <w:sz w:val="18"/>
                <w:szCs w:val="18"/>
              </w:rPr>
              <w:t>（</w:t>
            </w:r>
            <w:r>
              <w:rPr>
                <w:color w:val="000000"/>
                <w:spacing w:val="0"/>
                <w:w w:val="100"/>
                <w:position w:val="0"/>
                <w:sz w:val="22"/>
                <w:szCs w:val="22"/>
              </w:rPr>
              <w:t>％</w:t>
            </w:r>
            <w:r>
              <w:rPr>
                <w:rFonts w:ascii="Arial Narrow" w:eastAsia="Arial Narrow" w:hAnsi="Arial Narrow" w:cs="Arial Narrow"/>
                <w:color w:val="000000"/>
                <w:spacing w:val="0"/>
                <w:w w:val="100"/>
                <w:position w:val="0"/>
                <w:sz w:val="18"/>
                <w:szCs w:val="18"/>
              </w:rPr>
              <w:t>）</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年以内（含</w:t>
            </w: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w:t>
            </w:r>
          </w:p>
        </w:tc>
      </w:tr>
      <w:tr>
        <w:trPr>
          <w:trHeight w:val="398"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2</w:t>
            </w: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30</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3</w:t>
            </w: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4</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50</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4</w:t>
            </w: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80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80</w:t>
            </w:r>
          </w:p>
        </w:tc>
      </w:tr>
      <w:tr>
        <w:trPr>
          <w:trHeight w:val="432"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w:t>
            </w:r>
          </w:p>
        </w:tc>
      </w:tr>
    </w:tbl>
    <w:p>
      <w:pPr>
        <w:widowControl w:val="0"/>
        <w:spacing w:after="159" w:line="1" w:lineRule="exact"/>
      </w:pPr>
    </w:p>
    <w:p>
      <w:pPr>
        <w:pStyle w:val="Style38"/>
        <w:keepNext/>
        <w:keepLines/>
        <w:widowControl w:val="0"/>
        <w:shd w:val="clear" w:color="auto" w:fill="auto"/>
        <w:bidi w:val="0"/>
        <w:spacing w:before="0" w:after="160" w:line="240" w:lineRule="auto"/>
        <w:ind w:left="0" w:right="0" w:firstLine="560"/>
        <w:jc w:val="both"/>
      </w:pPr>
      <w:bookmarkStart w:id="546" w:name="bookmark546"/>
      <w:bookmarkStart w:id="547" w:name="bookmark547"/>
      <w:bookmarkStart w:id="548" w:name="bookmark548"/>
      <w:bookmarkStart w:id="549" w:name="bookmark549"/>
      <w:r>
        <w:rPr>
          <w:rFonts w:ascii="Arial Narrow" w:eastAsia="Arial Narrow" w:hAnsi="Arial Narrow" w:cs="Arial Narrow"/>
          <w:color w:val="000000"/>
          <w:spacing w:val="0"/>
          <w:w w:val="100"/>
          <w:position w:val="0"/>
          <w:sz w:val="20"/>
          <w:szCs w:val="20"/>
        </w:rPr>
        <w:t>3</w:t>
      </w:r>
      <w:bookmarkEnd w:id="548"/>
      <w:r>
        <w:rPr>
          <w:color w:val="000000"/>
          <w:spacing w:val="0"/>
          <w:w w:val="100"/>
          <w:position w:val="0"/>
        </w:rPr>
        <w:t>、单项金额虽不重大但单项计提坏账准备的应收款项：</w:t>
      </w:r>
      <w:bookmarkEnd w:id="546"/>
      <w:bookmarkEnd w:id="547"/>
      <w:bookmarkEnd w:id="549"/>
    </w:p>
    <w:p>
      <w:pPr>
        <w:pStyle w:val="Style35"/>
        <w:keepNext w:val="0"/>
        <w:keepLines w:val="0"/>
        <w:widowControl w:val="0"/>
        <w:shd w:val="clear" w:color="auto" w:fill="auto"/>
        <w:bidi w:val="0"/>
        <w:spacing w:before="0" w:after="0" w:line="240" w:lineRule="auto"/>
        <w:ind w:left="0" w:right="0" w:firstLine="560"/>
        <w:jc w:val="both"/>
      </w:pPr>
      <w:r>
        <w:rPr>
          <w:color w:val="000000"/>
          <w:spacing w:val="0"/>
          <w:w w:val="100"/>
          <w:position w:val="0"/>
        </w:rPr>
        <w:t>单项金额虽不重大但单项计提坏账准备的理由：客户公司财务状况恶化、涉及诉讼且金额不属于重大</w:t>
      </w:r>
    </w:p>
    <w:p>
      <w:pPr>
        <w:pStyle w:val="Style35"/>
        <w:keepNext w:val="0"/>
        <w:keepLines w:val="0"/>
        <w:widowControl w:val="0"/>
        <w:shd w:val="clear" w:color="auto" w:fill="auto"/>
        <w:bidi w:val="0"/>
        <w:spacing w:before="0" w:after="0" w:line="406" w:lineRule="exact"/>
        <w:ind w:left="0" w:right="0" w:firstLine="140"/>
        <w:jc w:val="both"/>
      </w:pPr>
      <w:r>
        <w:rPr>
          <w:color w:val="000000"/>
          <w:spacing w:val="0"/>
          <w:w w:val="100"/>
          <w:position w:val="0"/>
        </w:rPr>
        <w:t>的应收款项。</w:t>
      </w:r>
    </w:p>
    <w:p>
      <w:pPr>
        <w:pStyle w:val="Style35"/>
        <w:keepNext w:val="0"/>
        <w:keepLines w:val="0"/>
        <w:widowControl w:val="0"/>
        <w:shd w:val="clear" w:color="auto" w:fill="auto"/>
        <w:bidi w:val="0"/>
        <w:spacing w:before="0" w:after="0" w:line="406" w:lineRule="exact"/>
        <w:ind w:left="140" w:right="0" w:firstLine="420"/>
        <w:jc w:val="both"/>
      </w:pPr>
      <w:r>
        <w:rPr>
          <w:color w:val="000000"/>
          <w:spacing w:val="0"/>
          <w:w w:val="100"/>
          <w:position w:val="0"/>
        </w:rPr>
        <w:t>坏账准备的计提方法：单独进行减值测试，按预计未来现金流量现值低于其账面价值的差额计提坏账 准备，计入当期损益。</w:t>
      </w:r>
    </w:p>
    <w:p>
      <w:pPr>
        <w:pStyle w:val="Style35"/>
        <w:keepNext w:val="0"/>
        <w:keepLines w:val="0"/>
        <w:widowControl w:val="0"/>
        <w:shd w:val="clear" w:color="auto" w:fill="auto"/>
        <w:bidi w:val="0"/>
        <w:spacing w:before="0" w:after="160" w:line="406" w:lineRule="exact"/>
        <w:ind w:left="140" w:right="0" w:firstLine="420"/>
        <w:jc w:val="both"/>
      </w:pPr>
      <w:r>
        <w:rPr>
          <w:color w:val="000000"/>
          <w:spacing w:val="0"/>
          <w:w w:val="100"/>
          <w:position w:val="0"/>
        </w:rPr>
        <w:t>对应收票据、预付款项、应收利息、长期应收款等其他应收款项，根据其未来现金流量现值低于其账 面价值的差额计提坏账准备。</w:t>
      </w:r>
    </w:p>
    <w:p>
      <w:pPr>
        <w:pStyle w:val="Style38"/>
        <w:keepNext/>
        <w:keepLines/>
        <w:widowControl w:val="0"/>
        <w:shd w:val="clear" w:color="auto" w:fill="auto"/>
        <w:bidi w:val="0"/>
        <w:spacing w:before="0" w:after="0" w:line="410" w:lineRule="exact"/>
        <w:ind w:left="0" w:right="0"/>
        <w:jc w:val="left"/>
      </w:pPr>
      <w:bookmarkStart w:id="550" w:name="bookmark550"/>
      <w:bookmarkStart w:id="551" w:name="bookmark551"/>
      <w:bookmarkStart w:id="552" w:name="bookmark552"/>
      <w:r>
        <w:rPr>
          <w:rFonts w:ascii="Arial Narrow" w:eastAsia="Arial Narrow" w:hAnsi="Arial Narrow" w:cs="Arial Narrow"/>
          <w:color w:val="000000"/>
          <w:spacing w:val="0"/>
          <w:w w:val="100"/>
          <w:position w:val="0"/>
          <w:sz w:val="20"/>
          <w:szCs w:val="20"/>
        </w:rPr>
        <w:t>（</w:t>
      </w:r>
      <w:r>
        <w:rPr>
          <w:color w:val="000000"/>
          <w:spacing w:val="0"/>
          <w:w w:val="100"/>
          <w:position w:val="0"/>
        </w:rPr>
        <w:t>十</w:t>
      </w:r>
      <w:r>
        <w:rPr>
          <w:color w:val="000000"/>
          <w:spacing w:val="0"/>
          <w:w w:val="100"/>
          <w:position w:val="0"/>
          <w:sz w:val="24"/>
          <w:szCs w:val="24"/>
        </w:rPr>
        <w:t>）</w:t>
      </w:r>
      <w:r>
        <w:rPr>
          <w:color w:val="000000"/>
          <w:spacing w:val="0"/>
          <w:w w:val="100"/>
          <w:position w:val="0"/>
        </w:rPr>
        <w:t>存货</w:t>
      </w:r>
      <w:bookmarkEnd w:id="550"/>
      <w:bookmarkEnd w:id="551"/>
      <w:bookmarkEnd w:id="552"/>
    </w:p>
    <w:p>
      <w:pPr>
        <w:pStyle w:val="Style35"/>
        <w:keepNext w:val="0"/>
        <w:keepLines w:val="0"/>
        <w:widowControl w:val="0"/>
        <w:shd w:val="clear" w:color="auto" w:fill="auto"/>
        <w:tabs>
          <w:tab w:pos="789" w:val="left"/>
        </w:tabs>
        <w:bidi w:val="0"/>
        <w:spacing w:before="0" w:after="0" w:line="410" w:lineRule="exact"/>
        <w:ind w:left="0" w:right="0" w:firstLine="440"/>
        <w:jc w:val="left"/>
      </w:pPr>
      <w:bookmarkStart w:id="553" w:name="bookmark553"/>
      <w:r>
        <w:rPr>
          <w:rFonts w:ascii="Arial Narrow" w:eastAsia="Arial Narrow" w:hAnsi="Arial Narrow" w:cs="Arial Narrow"/>
          <w:color w:val="000000"/>
          <w:spacing w:val="0"/>
          <w:w w:val="100"/>
          <w:position w:val="0"/>
        </w:rPr>
        <w:t>1</w:t>
      </w:r>
      <w:bookmarkEnd w:id="553"/>
      <w:r>
        <w:rPr>
          <w:color w:val="000000"/>
          <w:spacing w:val="0"/>
          <w:w w:val="100"/>
          <w:position w:val="0"/>
        </w:rPr>
        <w:t>、</w:t>
        <w:tab/>
        <w:t>存货包括原材料、半成品、产成品、在产品、低值易耗品等。</w:t>
      </w:r>
    </w:p>
    <w:p>
      <w:pPr>
        <w:pStyle w:val="Style35"/>
        <w:keepNext w:val="0"/>
        <w:keepLines w:val="0"/>
        <w:widowControl w:val="0"/>
        <w:shd w:val="clear" w:color="auto" w:fill="auto"/>
        <w:tabs>
          <w:tab w:pos="803" w:val="left"/>
        </w:tabs>
        <w:bidi w:val="0"/>
        <w:spacing w:before="0" w:after="0" w:line="410" w:lineRule="exact"/>
        <w:ind w:left="0" w:right="0" w:firstLine="440"/>
        <w:jc w:val="left"/>
      </w:pPr>
      <w:bookmarkStart w:id="554" w:name="bookmark554"/>
      <w:r>
        <w:rPr>
          <w:rFonts w:ascii="Arial Narrow" w:eastAsia="Arial Narrow" w:hAnsi="Arial Narrow" w:cs="Arial Narrow"/>
          <w:color w:val="000000"/>
          <w:spacing w:val="0"/>
          <w:w w:val="100"/>
          <w:position w:val="0"/>
        </w:rPr>
        <w:t>2</w:t>
      </w:r>
      <w:bookmarkEnd w:id="554"/>
      <w:r>
        <w:rPr>
          <w:color w:val="000000"/>
          <w:spacing w:val="0"/>
          <w:w w:val="100"/>
          <w:position w:val="0"/>
        </w:rPr>
        <w:t>、</w:t>
        <w:tab/>
        <w:t>发出存货的计价方法：领用发出按月末一次加权平均法计价。</w:t>
      </w:r>
    </w:p>
    <w:p>
      <w:pPr>
        <w:pStyle w:val="Style35"/>
        <w:keepNext w:val="0"/>
        <w:keepLines w:val="0"/>
        <w:widowControl w:val="0"/>
        <w:shd w:val="clear" w:color="auto" w:fill="auto"/>
        <w:tabs>
          <w:tab w:pos="781" w:val="left"/>
        </w:tabs>
        <w:bidi w:val="0"/>
        <w:spacing w:before="0" w:after="0" w:line="410" w:lineRule="exact"/>
        <w:ind w:left="0" w:right="0" w:firstLine="440"/>
        <w:jc w:val="both"/>
      </w:pPr>
      <w:bookmarkStart w:id="555" w:name="bookmark555"/>
      <w:r>
        <w:rPr>
          <w:rFonts w:ascii="Arial Narrow" w:eastAsia="Arial Narrow" w:hAnsi="Arial Narrow" w:cs="Arial Narrow"/>
          <w:color w:val="000000"/>
          <w:spacing w:val="0"/>
          <w:w w:val="100"/>
          <w:position w:val="0"/>
        </w:rPr>
        <w:t>3</w:t>
      </w:r>
      <w:bookmarkEnd w:id="555"/>
      <w:r>
        <w:rPr>
          <w:color w:val="000000"/>
          <w:spacing w:val="0"/>
          <w:w w:val="100"/>
          <w:position w:val="0"/>
        </w:rPr>
        <w:t>、</w:t>
        <w:tab/>
        <w:t>存货可变现净值的确定依据及存货跌价准备的计提方法：公司于每年中期期末及期末在对存货进 行全面盘点的基础上，对遭受损失，全部或部分陈旧过时或销售价格低于成本的存货，根据存货成本与可 变现净值孰低计量。</w:t>
      </w:r>
    </w:p>
    <w:p>
      <w:pPr>
        <w:pStyle w:val="Style3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存货跌价准备按单个存货项目的成本与可变现净值计量，但如果某些存货与在同一地区生产和销售的 产品系列相关、具有相同或类似最终用途或目的，且难以与其他项目分开计量，可以合并计量成本与可变 现净值；对于数量繁多、单价较低的存货，可以按照存货类别计量成本与可变现净值。</w:t>
      </w:r>
    </w:p>
    <w:p>
      <w:pPr>
        <w:pStyle w:val="Style3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可直接用于出售的存货，其可变现净值按该等存货的估计售价减去估计的销售费用和相关税费后的金 额确定；用于生产而持有的存货，其可变现净值按所生产的产成品的估计售价减去至完工时估计将要发生 的成本、估计的销售费用和相关税费后的金额确定；为执行销售合同或者劳务合同而持有的存货，其可变 现净值以合同价格为基础计算；企业持有存货的数量多于销售合同订购数量的，超出部分的存货可变现净 值以一般销售价格为基础计算。对于存货因遭受毁损、全部或部分陈旧过时或销售价格低于成本等原因， 预计其成本不可收回的部分，提取存货跌价准备。</w:t>
      </w:r>
    </w:p>
    <w:p>
      <w:pPr>
        <w:pStyle w:val="Style35"/>
        <w:keepNext w:val="0"/>
        <w:keepLines w:val="0"/>
        <w:widowControl w:val="0"/>
        <w:shd w:val="clear" w:color="auto" w:fill="auto"/>
        <w:tabs>
          <w:tab w:pos="803" w:val="left"/>
        </w:tabs>
        <w:bidi w:val="0"/>
        <w:spacing w:before="0" w:after="0" w:line="413" w:lineRule="exact"/>
        <w:ind w:left="0" w:right="0" w:firstLine="440"/>
        <w:jc w:val="both"/>
      </w:pPr>
      <w:bookmarkStart w:id="556" w:name="bookmark556"/>
      <w:r>
        <w:rPr>
          <w:rFonts w:ascii="Arial Narrow" w:eastAsia="Arial Narrow" w:hAnsi="Arial Narrow" w:cs="Arial Narrow"/>
          <w:color w:val="000000"/>
          <w:spacing w:val="0"/>
          <w:w w:val="100"/>
          <w:position w:val="0"/>
        </w:rPr>
        <w:t>4</w:t>
      </w:r>
      <w:bookmarkEnd w:id="556"/>
      <w:r>
        <w:rPr>
          <w:color w:val="000000"/>
          <w:spacing w:val="0"/>
          <w:w w:val="100"/>
          <w:position w:val="0"/>
        </w:rPr>
        <w:t>、</w:t>
        <w:tab/>
        <w:t>存货的盘存制度</w:t>
      </w:r>
    </w:p>
    <w:p>
      <w:pPr>
        <w:pStyle w:val="Style35"/>
        <w:keepNext w:val="0"/>
        <w:keepLines w:val="0"/>
        <w:widowControl w:val="0"/>
        <w:shd w:val="clear" w:color="auto" w:fill="auto"/>
        <w:bidi w:val="0"/>
        <w:spacing w:before="0" w:after="0" w:line="413" w:lineRule="exact"/>
        <w:ind w:left="0" w:right="0" w:firstLine="440"/>
        <w:jc w:val="both"/>
      </w:pPr>
      <w:r>
        <w:rPr>
          <w:color w:val="000000"/>
          <w:spacing w:val="0"/>
          <w:w w:val="100"/>
          <w:position w:val="0"/>
        </w:rPr>
        <w:t>采用永续盘存制，并且定期对存货进行盘点</w:t>
      </w:r>
      <w:r>
        <w:rPr>
          <w:color w:val="000000"/>
          <w:spacing w:val="0"/>
          <w:w w:val="100"/>
          <w:position w:val="0"/>
          <w:sz w:val="24"/>
          <w:szCs w:val="24"/>
        </w:rPr>
        <w:t>，</w:t>
      </w:r>
      <w:r>
        <w:rPr>
          <w:color w:val="000000"/>
          <w:spacing w:val="0"/>
          <w:w w:val="100"/>
          <w:position w:val="0"/>
        </w:rPr>
        <w:t>盘点结果如与账面记录不符，根据管理权限报经批准后， 在年终结账前处理完毕，计入当期损益。</w:t>
      </w:r>
    </w:p>
    <w:p>
      <w:pPr>
        <w:pStyle w:val="Style35"/>
        <w:keepNext w:val="0"/>
        <w:keepLines w:val="0"/>
        <w:widowControl w:val="0"/>
        <w:shd w:val="clear" w:color="auto" w:fill="auto"/>
        <w:tabs>
          <w:tab w:pos="803" w:val="left"/>
        </w:tabs>
        <w:bidi w:val="0"/>
        <w:spacing w:before="0" w:after="0" w:line="413" w:lineRule="exact"/>
        <w:ind w:left="0" w:right="0" w:firstLine="440"/>
        <w:jc w:val="both"/>
      </w:pPr>
      <w:bookmarkStart w:id="557" w:name="bookmark557"/>
      <w:r>
        <w:rPr>
          <w:rFonts w:ascii="Arial Narrow" w:eastAsia="Arial Narrow" w:hAnsi="Arial Narrow" w:cs="Arial Narrow"/>
          <w:color w:val="000000"/>
          <w:spacing w:val="0"/>
          <w:w w:val="100"/>
          <w:position w:val="0"/>
        </w:rPr>
        <w:t>5</w:t>
      </w:r>
      <w:bookmarkEnd w:id="557"/>
      <w:r>
        <w:rPr>
          <w:color w:val="000000"/>
          <w:spacing w:val="0"/>
          <w:w w:val="100"/>
          <w:position w:val="0"/>
        </w:rPr>
        <w:t>、</w:t>
        <w:tab/>
        <w:t>低值易耗品和包装物的摊销方法：</w:t>
      </w:r>
    </w:p>
    <w:p>
      <w:pPr>
        <w:pStyle w:val="Style35"/>
        <w:keepNext w:val="0"/>
        <w:keepLines w:val="0"/>
        <w:widowControl w:val="0"/>
        <w:shd w:val="clear" w:color="auto" w:fill="auto"/>
        <w:bidi w:val="0"/>
        <w:spacing w:before="0" w:after="0" w:line="413" w:lineRule="exact"/>
        <w:ind w:left="0" w:right="0" w:firstLine="440"/>
        <w:jc w:val="both"/>
      </w:pPr>
      <w:r>
        <w:rPr>
          <w:color w:val="000000"/>
          <w:spacing w:val="0"/>
          <w:w w:val="100"/>
          <w:position w:val="0"/>
        </w:rPr>
        <w:t>低值易耗品采用一次摊销法摊销。</w:t>
      </w:r>
    </w:p>
    <w:p>
      <w:pPr>
        <w:pStyle w:val="Style35"/>
        <w:keepNext w:val="0"/>
        <w:keepLines w:val="0"/>
        <w:widowControl w:val="0"/>
        <w:shd w:val="clear" w:color="auto" w:fill="auto"/>
        <w:bidi w:val="0"/>
        <w:spacing w:before="0" w:after="180" w:line="413" w:lineRule="exact"/>
        <w:ind w:left="0" w:right="0" w:firstLine="440"/>
        <w:jc w:val="both"/>
      </w:pPr>
      <w:r>
        <w:rPr>
          <w:color w:val="000000"/>
          <w:spacing w:val="0"/>
          <w:w w:val="100"/>
          <w:position w:val="0"/>
        </w:rPr>
        <w:t>包装物采用一次摊销法摊销。</w:t>
      </w:r>
    </w:p>
    <w:p>
      <w:pPr>
        <w:pStyle w:val="Style38"/>
        <w:keepNext/>
        <w:keepLines/>
        <w:widowControl w:val="0"/>
        <w:shd w:val="clear" w:color="auto" w:fill="auto"/>
        <w:bidi w:val="0"/>
        <w:spacing w:before="0" w:after="0" w:line="409" w:lineRule="exact"/>
        <w:ind w:left="0" w:right="0"/>
        <w:jc w:val="both"/>
      </w:pPr>
      <w:bookmarkStart w:id="558" w:name="bookmark558"/>
      <w:bookmarkStart w:id="559" w:name="bookmark559"/>
      <w:bookmarkStart w:id="560" w:name="bookmark560"/>
      <w:r>
        <w:rPr>
          <w:rFonts w:ascii="Arial Narrow" w:eastAsia="Arial Narrow" w:hAnsi="Arial Narrow" w:cs="Arial Narrow"/>
          <w:color w:val="000000"/>
          <w:spacing w:val="0"/>
          <w:w w:val="100"/>
          <w:position w:val="0"/>
          <w:sz w:val="20"/>
          <w:szCs w:val="20"/>
        </w:rPr>
        <w:t>（</w:t>
      </w:r>
      <w:r>
        <w:rPr>
          <w:color w:val="000000"/>
          <w:spacing w:val="0"/>
          <w:w w:val="100"/>
          <w:position w:val="0"/>
        </w:rPr>
        <w:t>十一</w:t>
      </w:r>
      <w:r>
        <w:rPr>
          <w:color w:val="000000"/>
          <w:spacing w:val="0"/>
          <w:w w:val="100"/>
          <w:position w:val="0"/>
          <w:sz w:val="24"/>
          <w:szCs w:val="24"/>
        </w:rPr>
        <w:t>）</w:t>
      </w:r>
      <w:r>
        <w:rPr>
          <w:color w:val="000000"/>
          <w:spacing w:val="0"/>
          <w:w w:val="100"/>
          <w:position w:val="0"/>
        </w:rPr>
        <w:t>长期股权投资</w:t>
      </w:r>
      <w:bookmarkEnd w:id="558"/>
      <w:bookmarkEnd w:id="559"/>
      <w:bookmarkEnd w:id="560"/>
    </w:p>
    <w:p>
      <w:pPr>
        <w:pStyle w:val="Style38"/>
        <w:keepNext/>
        <w:keepLines/>
        <w:widowControl w:val="0"/>
        <w:shd w:val="clear" w:color="auto" w:fill="auto"/>
        <w:bidi w:val="0"/>
        <w:spacing w:before="0" w:after="0" w:line="409" w:lineRule="exact"/>
        <w:ind w:left="0" w:right="0"/>
        <w:jc w:val="both"/>
      </w:pPr>
      <w:bookmarkStart w:id="558" w:name="bookmark558"/>
      <w:bookmarkStart w:id="559" w:name="bookmark559"/>
      <w:bookmarkStart w:id="561" w:name="bookmark561"/>
      <w:bookmarkStart w:id="562" w:name="bookmark562"/>
      <w:r>
        <w:rPr>
          <w:rFonts w:ascii="Arial Narrow" w:eastAsia="Arial Narrow" w:hAnsi="Arial Narrow" w:cs="Arial Narrow"/>
          <w:color w:val="000000"/>
          <w:spacing w:val="0"/>
          <w:w w:val="100"/>
          <w:position w:val="0"/>
          <w:sz w:val="20"/>
          <w:szCs w:val="20"/>
        </w:rPr>
        <w:t>1</w:t>
      </w:r>
      <w:bookmarkEnd w:id="561"/>
      <w:r>
        <w:rPr>
          <w:color w:val="000000"/>
          <w:spacing w:val="0"/>
          <w:w w:val="100"/>
          <w:position w:val="0"/>
        </w:rPr>
        <w:t>、投资成本的确定</w:t>
      </w:r>
      <w:bookmarkEnd w:id="558"/>
      <w:bookmarkEnd w:id="559"/>
      <w:bookmarkEnd w:id="562"/>
    </w:p>
    <w:p>
      <w:pPr>
        <w:pStyle w:val="Style35"/>
        <w:keepNext w:val="0"/>
        <w:keepLines w:val="0"/>
        <w:widowControl w:val="0"/>
        <w:shd w:val="clear" w:color="auto" w:fill="auto"/>
        <w:tabs>
          <w:tab w:pos="1021" w:val="left"/>
        </w:tabs>
        <w:bidi w:val="0"/>
        <w:spacing w:before="0" w:after="0" w:line="409" w:lineRule="exact"/>
        <w:ind w:left="0" w:right="0" w:firstLine="440"/>
        <w:jc w:val="both"/>
      </w:pPr>
      <w:bookmarkStart w:id="563" w:name="bookmark563"/>
      <w:r>
        <w:rPr>
          <w:color w:val="000000"/>
          <w:spacing w:val="0"/>
          <w:w w:val="100"/>
          <w:position w:val="0"/>
        </w:rPr>
        <w:t>（</w:t>
      </w:r>
      <w:bookmarkEnd w:id="563"/>
      <w:r>
        <w:rPr>
          <w:rFonts w:ascii="Times New Roman" w:eastAsia="Times New Roman" w:hAnsi="Times New Roman" w:cs="Times New Roman"/>
          <w:color w:val="000000"/>
          <w:spacing w:val="0"/>
          <w:w w:val="100"/>
          <w:position w:val="0"/>
        </w:rPr>
        <w:t>1</w:t>
      </w:r>
      <w:r>
        <w:rPr>
          <w:color w:val="000000"/>
          <w:spacing w:val="0"/>
          <w:w w:val="100"/>
          <w:position w:val="0"/>
        </w:rPr>
        <w:t>）</w:t>
        <w:tab/>
        <w:t>企业合并形成的长期股权投资，具体会计政策详见本附注二/（五）同一控制下和非同一控制 下企业合并的会计处理方法</w:t>
      </w:r>
    </w:p>
    <w:p>
      <w:pPr>
        <w:pStyle w:val="Style35"/>
        <w:keepNext w:val="0"/>
        <w:keepLines w:val="0"/>
        <w:widowControl w:val="0"/>
        <w:shd w:val="clear" w:color="auto" w:fill="auto"/>
        <w:tabs>
          <w:tab w:pos="928" w:val="left"/>
        </w:tabs>
        <w:bidi w:val="0"/>
        <w:spacing w:before="0" w:after="0" w:line="409" w:lineRule="exact"/>
        <w:ind w:left="0" w:right="0" w:firstLine="440"/>
        <w:jc w:val="both"/>
      </w:pPr>
      <w:bookmarkStart w:id="564" w:name="bookmark564"/>
      <w:r>
        <w:rPr>
          <w:color w:val="000000"/>
          <w:spacing w:val="0"/>
          <w:w w:val="100"/>
          <w:position w:val="0"/>
        </w:rPr>
        <w:t>（</w:t>
      </w:r>
      <w:bookmarkEnd w:id="564"/>
      <w:r>
        <w:rPr>
          <w:rFonts w:ascii="Times New Roman" w:eastAsia="Times New Roman" w:hAnsi="Times New Roman" w:cs="Times New Roman"/>
          <w:color w:val="000000"/>
          <w:spacing w:val="0"/>
          <w:w w:val="100"/>
          <w:position w:val="0"/>
        </w:rPr>
        <w:t>2</w:t>
      </w:r>
      <w:r>
        <w:rPr>
          <w:color w:val="000000"/>
          <w:spacing w:val="0"/>
          <w:w w:val="100"/>
          <w:position w:val="0"/>
        </w:rPr>
        <w:t>）</w:t>
        <w:tab/>
        <w:t>其他方式取得的长期股权投资</w:t>
      </w:r>
    </w:p>
    <w:p>
      <w:pPr>
        <w:pStyle w:val="Style3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以支付现金方式取得的长期股权投资，按照实际支付的购买价款作为初始投资成本。</w:t>
      </w:r>
    </w:p>
    <w:p>
      <w:pPr>
        <w:pStyle w:val="Style3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以发行权益性证券取得的长期股权投资，按照发行权益性证券的公允价值作为初始投资成本。</w:t>
      </w:r>
    </w:p>
    <w:p>
      <w:pPr>
        <w:pStyle w:val="Style3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投资者投入的长期股权投资，按照投资合同或协议约定的价值（扣除已宣告但尚未发放的现金股利或 利润）作为初始投资成本，但合同或协议约定价值不公允的除外。</w:t>
      </w:r>
    </w:p>
    <w:p>
      <w:pPr>
        <w:pStyle w:val="Style35"/>
        <w:keepNext w:val="0"/>
        <w:keepLines w:val="0"/>
        <w:widowControl w:val="0"/>
        <w:shd w:val="clear" w:color="auto" w:fill="auto"/>
        <w:bidi w:val="0"/>
        <w:spacing w:before="0" w:after="80" w:line="409" w:lineRule="exact"/>
        <w:ind w:left="0" w:right="0" w:firstLine="440"/>
        <w:jc w:val="both"/>
      </w:pPr>
      <w:r>
        <w:rPr>
          <w:color w:val="000000"/>
          <w:spacing w:val="0"/>
          <w:w w:val="100"/>
          <w:position w:val="0"/>
        </w:rPr>
        <w:t>在非货币性资产交换具备商业实质和换入资产或换出资产的公允价值能够可靠计量的前提下，非货币 性资产交换换入的长期股权投资以换出资产的公允价值为基础确定其初始投资成本，除非有确凿证据表明 换入资产的公允价值更加可靠；不满足上述前提的非货币性资产交换，以换出资产的账面价值和应支付的 相关税费作为换入长期股权投资的初始投资成本。</w:t>
      </w:r>
    </w:p>
    <w:p>
      <w:pPr>
        <w:pStyle w:val="Style35"/>
        <w:keepNext w:val="0"/>
        <w:keepLines w:val="0"/>
        <w:widowControl w:val="0"/>
        <w:shd w:val="clear" w:color="auto" w:fill="auto"/>
        <w:bidi w:val="0"/>
        <w:spacing w:before="0" w:after="540" w:line="410" w:lineRule="exact"/>
        <w:ind w:left="0" w:right="0" w:firstLine="440"/>
        <w:jc w:val="left"/>
      </w:pPr>
      <w:r>
        <w:rPr>
          <w:color w:val="000000"/>
          <w:spacing w:val="0"/>
          <w:w w:val="100"/>
          <w:position w:val="0"/>
        </w:rPr>
        <w:t>通过债务重组取得的长期股权投资，其初始投资成本按照公允价值为基础确定。</w:t>
      </w:r>
    </w:p>
    <w:p>
      <w:pPr>
        <w:pStyle w:val="Style38"/>
        <w:keepNext/>
        <w:keepLines/>
        <w:widowControl w:val="0"/>
        <w:shd w:val="clear" w:color="auto" w:fill="auto"/>
        <w:tabs>
          <w:tab w:pos="832" w:val="left"/>
        </w:tabs>
        <w:bidi w:val="0"/>
        <w:spacing w:before="0" w:after="0" w:line="430" w:lineRule="auto"/>
        <w:ind w:left="0" w:right="0"/>
        <w:jc w:val="left"/>
      </w:pPr>
      <w:bookmarkStart w:id="565" w:name="bookmark565"/>
      <w:bookmarkStart w:id="566" w:name="bookmark566"/>
      <w:bookmarkStart w:id="567" w:name="bookmark567"/>
      <w:bookmarkStart w:id="568" w:name="bookmark568"/>
      <w:r>
        <w:rPr>
          <w:rFonts w:ascii="Arial Narrow" w:eastAsia="Arial Narrow" w:hAnsi="Arial Narrow" w:cs="Arial Narrow"/>
          <w:color w:val="000000"/>
          <w:spacing w:val="0"/>
          <w:w w:val="100"/>
          <w:position w:val="0"/>
          <w:sz w:val="20"/>
          <w:szCs w:val="20"/>
        </w:rPr>
        <w:t>2</w:t>
      </w:r>
      <w:bookmarkEnd w:id="567"/>
      <w:r>
        <w:rPr>
          <w:color w:val="000000"/>
          <w:spacing w:val="0"/>
          <w:w w:val="100"/>
          <w:position w:val="0"/>
        </w:rPr>
        <w:t>、</w:t>
        <w:tab/>
        <w:t>后续计量及损益确认</w:t>
      </w:r>
      <w:bookmarkEnd w:id="565"/>
      <w:bookmarkEnd w:id="566"/>
      <w:bookmarkEnd w:id="568"/>
    </w:p>
    <w:p>
      <w:pPr>
        <w:pStyle w:val="Style35"/>
        <w:keepNext w:val="0"/>
        <w:keepLines w:val="0"/>
        <w:widowControl w:val="0"/>
        <w:shd w:val="clear" w:color="auto" w:fill="auto"/>
        <w:tabs>
          <w:tab w:pos="1139" w:val="left"/>
        </w:tabs>
        <w:bidi w:val="0"/>
        <w:spacing w:before="0" w:after="0" w:line="410" w:lineRule="exact"/>
        <w:ind w:left="0" w:right="0" w:firstLine="440"/>
        <w:jc w:val="left"/>
      </w:pPr>
      <w:bookmarkStart w:id="569" w:name="bookmark569"/>
      <w:r>
        <w:rPr>
          <w:color w:val="000000"/>
          <w:spacing w:val="0"/>
          <w:w w:val="100"/>
          <w:position w:val="0"/>
        </w:rPr>
        <w:t>（</w:t>
      </w:r>
      <w:bookmarkEnd w:id="569"/>
      <w:r>
        <w:rPr>
          <w:rFonts w:ascii="Arial Narrow" w:eastAsia="Arial Narrow" w:hAnsi="Arial Narrow" w:cs="Arial Narrow"/>
          <w:color w:val="000000"/>
          <w:spacing w:val="0"/>
          <w:w w:val="100"/>
          <w:position w:val="0"/>
        </w:rPr>
        <w:t>1</w:t>
      </w:r>
      <w:r>
        <w:rPr>
          <w:color w:val="000000"/>
          <w:spacing w:val="0"/>
          <w:w w:val="100"/>
          <w:position w:val="0"/>
        </w:rPr>
        <w:t>）</w:t>
        <w:tab/>
        <w:t>后续计量</w:t>
      </w:r>
    </w:p>
    <w:p>
      <w:pPr>
        <w:pStyle w:val="Style35"/>
        <w:keepNext w:val="0"/>
        <w:keepLines w:val="0"/>
        <w:widowControl w:val="0"/>
        <w:shd w:val="clear" w:color="auto" w:fill="auto"/>
        <w:bidi w:val="0"/>
        <w:spacing w:before="0" w:after="0" w:line="410" w:lineRule="exact"/>
        <w:ind w:left="0" w:right="0" w:firstLine="440"/>
        <w:jc w:val="left"/>
      </w:pPr>
      <w:r>
        <w:rPr>
          <w:color w:val="000000"/>
          <w:spacing w:val="0"/>
          <w:w w:val="100"/>
          <w:position w:val="0"/>
        </w:rPr>
        <w:t>公司对子公司的长期股权投资，采用成本法核算，编制合并财务报表时按照权益法进行调整。</w:t>
      </w:r>
    </w:p>
    <w:p>
      <w:pPr>
        <w:pStyle w:val="Style3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对被投资单位不具有共同控制或重大影响，并且在活跃市场中没有报价、公允价值不能可靠计量的长 期股权投资，采用成本法核算。</w:t>
      </w:r>
    </w:p>
    <w:p>
      <w:pPr>
        <w:pStyle w:val="Style3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对被投资单位具有共同控制或重大影响的长期股权投资，采用权益法核算。初始投资成本大于投资时 应享有被投资单位可辨认净资产公允价值份额的差额，不调整长期股权投资的初始投资成本；初始投资成 本小于投资时应享有被投资单位可辨认净资产公允价值份额的差额，计入当期损益。</w:t>
      </w:r>
    </w:p>
    <w:p>
      <w:pPr>
        <w:pStyle w:val="Style3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被投资单位除净损益以外所有者权益其他变动的处理：对于被投资单位除净损益以外所有者权益的其 他变动，在持股比例不变的情况下，公司按照持股比例计算应享有或承担的部分，调整长期股权投资的账 面价值，同时增加或减少资本公积（其他资本公积）。在持有投资期间，被投资单位能够提供合并财务报 表的，应当以合并财务报表，净利润和其他投资变动为基础进行核算。</w:t>
      </w:r>
    </w:p>
    <w:p>
      <w:pPr>
        <w:pStyle w:val="Style35"/>
        <w:keepNext w:val="0"/>
        <w:keepLines w:val="0"/>
        <w:widowControl w:val="0"/>
        <w:shd w:val="clear" w:color="auto" w:fill="auto"/>
        <w:tabs>
          <w:tab w:pos="918" w:val="left"/>
        </w:tabs>
        <w:bidi w:val="0"/>
        <w:spacing w:before="0" w:after="0" w:line="410" w:lineRule="exact"/>
        <w:ind w:left="0" w:right="0" w:firstLine="440"/>
        <w:jc w:val="left"/>
      </w:pPr>
      <w:bookmarkStart w:id="570" w:name="bookmark570"/>
      <w:r>
        <w:rPr>
          <w:color w:val="000000"/>
          <w:spacing w:val="0"/>
          <w:w w:val="100"/>
          <w:position w:val="0"/>
        </w:rPr>
        <w:t>（</w:t>
      </w:r>
      <w:bookmarkEnd w:id="570"/>
      <w:r>
        <w:rPr>
          <w:rFonts w:ascii="Arial Narrow" w:eastAsia="Arial Narrow" w:hAnsi="Arial Narrow" w:cs="Arial Narrow"/>
          <w:color w:val="000000"/>
          <w:spacing w:val="0"/>
          <w:w w:val="100"/>
          <w:position w:val="0"/>
        </w:rPr>
        <w:t>2</w:t>
      </w:r>
      <w:r>
        <w:rPr>
          <w:color w:val="000000"/>
          <w:spacing w:val="0"/>
          <w:w w:val="100"/>
          <w:position w:val="0"/>
        </w:rPr>
        <w:t>）</w:t>
        <w:tab/>
        <w:t>损益确认</w:t>
      </w:r>
    </w:p>
    <w:p>
      <w:pPr>
        <w:pStyle w:val="Style3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成本法下，除取得投资时实际支付的价款或对价中包含的已宣告但尚未发放的现金股利或利润外，公 司按照享有被投资单位宣告发放的现金股利或利润确认投资收益。</w:t>
      </w:r>
    </w:p>
    <w:p>
      <w:pPr>
        <w:pStyle w:val="Style3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权益法下，投资企业在确认应享有被投资单位的净利润或净亏损时，以取得投资时被投资单位各项可 辨认资产等的公允价值为基础，对被投资单位的净利润进行调整后确认，投资企业与联营企业及合营企业 之间发生的内部交易损益按照持股比例计算归属于投资企业的部分，应当予以抵销，在此基础上确认投资 损益；在公司确认应分担被投资单位发生的亏损时，按照以下顺序进行处理：首先，冲减长期股权投资的 账面价值。其次，长期股权投资的账面价值不足以冲减的，以其他实质上构成对被投资单位净投资的长期 权益账面价值为限继续确认投资损失，冲减长期应收项目等的账面价值。最后，经过上述处理，按照投资 合同或协议约定企业仍承担额外义务的，按预计承担的义务确认预计负债，计入当期投资损失。</w:t>
      </w:r>
    </w:p>
    <w:p>
      <w:pPr>
        <w:pStyle w:val="Style35"/>
        <w:keepNext w:val="0"/>
        <w:keepLines w:val="0"/>
        <w:widowControl w:val="0"/>
        <w:shd w:val="clear" w:color="auto" w:fill="auto"/>
        <w:bidi w:val="0"/>
        <w:spacing w:before="0" w:after="180" w:line="410" w:lineRule="exact"/>
        <w:ind w:left="0" w:right="0" w:firstLine="440"/>
        <w:jc w:val="both"/>
      </w:pPr>
      <w:r>
        <w:rPr>
          <w:color w:val="000000"/>
          <w:spacing w:val="0"/>
          <w:w w:val="100"/>
          <w:position w:val="0"/>
        </w:rPr>
        <w:t>被投资单位以后期间实现盈利的，公司在扣除未确认的亏损分担额后，按与上述相反的顺序处理，减 记已确认预计负债的账面余额、恢复其他实质上构成对被投资单位净投资的长期权益及长期股权投资的账 面价值，同时确认投资收益。</w:t>
      </w:r>
    </w:p>
    <w:p>
      <w:pPr>
        <w:pStyle w:val="Style38"/>
        <w:keepNext/>
        <w:keepLines/>
        <w:widowControl w:val="0"/>
        <w:shd w:val="clear" w:color="auto" w:fill="auto"/>
        <w:tabs>
          <w:tab w:pos="832" w:val="left"/>
        </w:tabs>
        <w:bidi w:val="0"/>
        <w:spacing w:before="0" w:after="0" w:line="430" w:lineRule="auto"/>
        <w:ind w:left="0" w:right="0"/>
        <w:jc w:val="both"/>
      </w:pPr>
      <w:bookmarkStart w:id="571" w:name="bookmark571"/>
      <w:bookmarkStart w:id="572" w:name="bookmark572"/>
      <w:bookmarkStart w:id="573" w:name="bookmark573"/>
      <w:bookmarkStart w:id="574" w:name="bookmark574"/>
      <w:r>
        <w:rPr>
          <w:rFonts w:ascii="Arial Narrow" w:eastAsia="Arial Narrow" w:hAnsi="Arial Narrow" w:cs="Arial Narrow"/>
          <w:color w:val="000000"/>
          <w:spacing w:val="0"/>
          <w:w w:val="100"/>
          <w:position w:val="0"/>
          <w:sz w:val="20"/>
          <w:szCs w:val="20"/>
        </w:rPr>
        <w:t>3</w:t>
      </w:r>
      <w:bookmarkEnd w:id="573"/>
      <w:r>
        <w:rPr>
          <w:color w:val="000000"/>
          <w:spacing w:val="0"/>
          <w:w w:val="100"/>
          <w:position w:val="0"/>
        </w:rPr>
        <w:t>、</w:t>
        <w:tab/>
        <w:t>分步处置对子公司投资</w:t>
      </w:r>
      <w:bookmarkEnd w:id="571"/>
      <w:bookmarkEnd w:id="572"/>
      <w:bookmarkEnd w:id="574"/>
    </w:p>
    <w:p>
      <w:pPr>
        <w:pStyle w:val="Style3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处置对子公司股权投资的各项交易的条款、条件以及经济影响符合以下一种或多种情况，将多次交易 事项作为一揽子交易进行会计处理：</w:t>
      </w:r>
    </w:p>
    <w:p>
      <w:pPr>
        <w:pStyle w:val="Style35"/>
        <w:keepNext w:val="0"/>
        <w:keepLines w:val="0"/>
        <w:widowControl w:val="0"/>
        <w:shd w:val="clear" w:color="auto" w:fill="auto"/>
        <w:tabs>
          <w:tab w:pos="1139" w:val="left"/>
        </w:tabs>
        <w:bidi w:val="0"/>
        <w:spacing w:before="0" w:after="0" w:line="410" w:lineRule="exact"/>
        <w:ind w:left="0" w:right="0" w:firstLine="440"/>
        <w:jc w:val="left"/>
      </w:pPr>
      <w:bookmarkStart w:id="575" w:name="bookmark575"/>
      <w:r>
        <w:rPr>
          <w:color w:val="000000"/>
          <w:spacing w:val="0"/>
          <w:w w:val="100"/>
          <w:position w:val="0"/>
        </w:rPr>
        <w:t>（</w:t>
      </w:r>
      <w:bookmarkEnd w:id="575"/>
      <w:r>
        <w:rPr>
          <w:rFonts w:ascii="Times New Roman" w:eastAsia="Times New Roman" w:hAnsi="Times New Roman" w:cs="Times New Roman"/>
          <w:color w:val="000000"/>
          <w:spacing w:val="0"/>
          <w:w w:val="100"/>
          <w:position w:val="0"/>
        </w:rPr>
        <w:t>1</w:t>
      </w:r>
      <w:r>
        <w:rPr>
          <w:color w:val="000000"/>
          <w:spacing w:val="0"/>
          <w:w w:val="100"/>
          <w:position w:val="0"/>
        </w:rPr>
        <w:t>）</w:t>
        <w:tab/>
        <w:t>这些交易是同时或者在考虑了彼此影响的情况下订立的；</w:t>
      </w:r>
    </w:p>
    <w:p>
      <w:pPr>
        <w:pStyle w:val="Style35"/>
        <w:keepNext w:val="0"/>
        <w:keepLines w:val="0"/>
        <w:widowControl w:val="0"/>
        <w:shd w:val="clear" w:color="auto" w:fill="auto"/>
        <w:tabs>
          <w:tab w:pos="1139" w:val="left"/>
        </w:tabs>
        <w:bidi w:val="0"/>
        <w:spacing w:before="0" w:after="0" w:line="410" w:lineRule="exact"/>
        <w:ind w:left="0" w:right="0" w:firstLine="440"/>
        <w:jc w:val="left"/>
      </w:pPr>
      <w:bookmarkStart w:id="576" w:name="bookmark576"/>
      <w:r>
        <w:rPr>
          <w:color w:val="000000"/>
          <w:spacing w:val="0"/>
          <w:w w:val="100"/>
          <w:position w:val="0"/>
        </w:rPr>
        <w:t>（</w:t>
      </w:r>
      <w:bookmarkEnd w:id="576"/>
      <w:r>
        <w:rPr>
          <w:rFonts w:ascii="Times New Roman" w:eastAsia="Times New Roman" w:hAnsi="Times New Roman" w:cs="Times New Roman"/>
          <w:color w:val="000000"/>
          <w:spacing w:val="0"/>
          <w:w w:val="100"/>
          <w:position w:val="0"/>
        </w:rPr>
        <w:t>2</w:t>
      </w:r>
      <w:r>
        <w:rPr>
          <w:color w:val="000000"/>
          <w:spacing w:val="0"/>
          <w:w w:val="100"/>
          <w:position w:val="0"/>
        </w:rPr>
        <w:t>）</w:t>
        <w:tab/>
        <w:t>这些交易整体才能达成一项完整的商业结果；</w:t>
      </w:r>
    </w:p>
    <w:p>
      <w:pPr>
        <w:pStyle w:val="Style35"/>
        <w:keepNext w:val="0"/>
        <w:keepLines w:val="0"/>
        <w:widowControl w:val="0"/>
        <w:shd w:val="clear" w:color="auto" w:fill="auto"/>
        <w:tabs>
          <w:tab w:pos="1139" w:val="left"/>
        </w:tabs>
        <w:bidi w:val="0"/>
        <w:spacing w:before="0" w:after="0" w:line="410" w:lineRule="exact"/>
        <w:ind w:left="0" w:right="0" w:firstLine="440"/>
        <w:jc w:val="left"/>
      </w:pPr>
      <w:bookmarkStart w:id="577" w:name="bookmark577"/>
      <w:r>
        <w:rPr>
          <w:color w:val="000000"/>
          <w:spacing w:val="0"/>
          <w:w w:val="100"/>
          <w:position w:val="0"/>
        </w:rPr>
        <w:t>（</w:t>
      </w:r>
      <w:bookmarkEnd w:id="577"/>
      <w:r>
        <w:rPr>
          <w:rFonts w:ascii="Times New Roman" w:eastAsia="Times New Roman" w:hAnsi="Times New Roman" w:cs="Times New Roman"/>
          <w:color w:val="000000"/>
          <w:spacing w:val="0"/>
          <w:w w:val="100"/>
          <w:position w:val="0"/>
        </w:rPr>
        <w:t>3</w:t>
      </w:r>
      <w:r>
        <w:rPr>
          <w:color w:val="000000"/>
          <w:spacing w:val="0"/>
          <w:w w:val="100"/>
          <w:position w:val="0"/>
        </w:rPr>
        <w:t>）</w:t>
        <w:tab/>
        <w:t>一项交易的发生取决于其他至少一项交易的发生；</w:t>
      </w:r>
    </w:p>
    <w:p>
      <w:pPr>
        <w:pStyle w:val="Style35"/>
        <w:keepNext w:val="0"/>
        <w:keepLines w:val="0"/>
        <w:widowControl w:val="0"/>
        <w:shd w:val="clear" w:color="auto" w:fill="auto"/>
        <w:tabs>
          <w:tab w:pos="1139" w:val="left"/>
        </w:tabs>
        <w:bidi w:val="0"/>
        <w:spacing w:before="0" w:after="180" w:line="410" w:lineRule="exact"/>
        <w:ind w:left="0" w:right="0" w:firstLine="440"/>
        <w:jc w:val="left"/>
      </w:pPr>
      <w:bookmarkStart w:id="578" w:name="bookmark578"/>
      <w:r>
        <w:rPr>
          <w:color w:val="000000"/>
          <w:spacing w:val="0"/>
          <w:w w:val="100"/>
          <w:position w:val="0"/>
        </w:rPr>
        <w:t>（</w:t>
      </w:r>
      <w:bookmarkEnd w:id="578"/>
      <w:r>
        <w:rPr>
          <w:rFonts w:ascii="Times New Roman" w:eastAsia="Times New Roman" w:hAnsi="Times New Roman" w:cs="Times New Roman"/>
          <w:color w:val="000000"/>
          <w:spacing w:val="0"/>
          <w:w w:val="100"/>
          <w:position w:val="0"/>
        </w:rPr>
        <w:t>4</w:t>
      </w:r>
      <w:r>
        <w:rPr>
          <w:color w:val="000000"/>
          <w:spacing w:val="0"/>
          <w:w w:val="100"/>
          <w:position w:val="0"/>
        </w:rPr>
        <w:t>）</w:t>
        <w:tab/>
        <w:t>一项交易单独看是不经济的，但是和其他交易一并考虑时是经济的。</w:t>
      </w:r>
    </w:p>
    <w:p>
      <w:pPr>
        <w:pStyle w:val="Style3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企业因处置部分股权投资或其他原因丧失了对原有子公司控制权的，不属于一缆子交易的，应当区分 个别财务报表和合并财务报表进行相关会计处理：</w:t>
      </w:r>
    </w:p>
    <w:p>
      <w:pPr>
        <w:pStyle w:val="Style35"/>
        <w:keepNext w:val="0"/>
        <w:keepLines w:val="0"/>
        <w:widowControl w:val="0"/>
        <w:shd w:val="clear" w:color="auto" w:fill="auto"/>
        <w:tabs>
          <w:tab w:pos="971" w:val="left"/>
        </w:tabs>
        <w:bidi w:val="0"/>
        <w:spacing w:before="0" w:after="0" w:line="410" w:lineRule="exact"/>
        <w:ind w:left="0" w:right="0" w:firstLine="440"/>
        <w:jc w:val="both"/>
      </w:pPr>
      <w:bookmarkStart w:id="579" w:name="bookmark579"/>
      <w:r>
        <w:rPr>
          <w:color w:val="000000"/>
          <w:spacing w:val="0"/>
          <w:w w:val="100"/>
          <w:position w:val="0"/>
        </w:rPr>
        <w:t>（</w:t>
      </w:r>
      <w:bookmarkEnd w:id="579"/>
      <w:r>
        <w:rPr>
          <w:rFonts w:ascii="Times New Roman" w:eastAsia="Times New Roman" w:hAnsi="Times New Roman" w:cs="Times New Roman"/>
          <w:color w:val="000000"/>
          <w:spacing w:val="0"/>
          <w:w w:val="100"/>
          <w:position w:val="0"/>
        </w:rPr>
        <w:t>1</w:t>
      </w:r>
      <w:r>
        <w:rPr>
          <w:color w:val="000000"/>
          <w:spacing w:val="0"/>
          <w:w w:val="100"/>
          <w:position w:val="0"/>
        </w:rPr>
        <w:t>）</w:t>
        <w:tab/>
        <w:t>在个别财务报表中，对于处置的股权，应当按照《企业会计准则第</w:t>
      </w:r>
      <w:r>
        <w:rPr>
          <w:i/>
          <w:iCs/>
          <w:color w:val="000000"/>
          <w:spacing w:val="0"/>
          <w:w w:val="100"/>
          <w:position w:val="0"/>
        </w:rPr>
        <w:t>2</w:t>
      </w:r>
      <w:r>
        <w:rPr>
          <w:color w:val="000000"/>
          <w:spacing w:val="0"/>
          <w:w w:val="100"/>
          <w:position w:val="0"/>
        </w:rPr>
        <w:t>号一长期股权投资》的 规定进行会计处理；同时，对于剩余股权，应当按其账面价值确认为长期股权投资或其他相关金融资产。 处置后的剩余股权能够对原有子公司实施共同控制或重大影响的，按有关成本法转为权益法的相关规定进 行会计处理。</w:t>
      </w:r>
    </w:p>
    <w:p>
      <w:pPr>
        <w:pStyle w:val="Style35"/>
        <w:keepNext w:val="0"/>
        <w:keepLines w:val="0"/>
        <w:widowControl w:val="0"/>
        <w:shd w:val="clear" w:color="auto" w:fill="auto"/>
        <w:bidi w:val="0"/>
        <w:spacing w:before="0" w:after="0" w:line="410" w:lineRule="exact"/>
        <w:ind w:left="0" w:right="0" w:firstLine="440"/>
        <w:jc w:val="both"/>
      </w:pPr>
      <w:bookmarkStart w:id="580" w:name="bookmark580"/>
      <w:r>
        <w:rPr>
          <w:color w:val="000000"/>
          <w:spacing w:val="0"/>
          <w:w w:val="100"/>
          <w:position w:val="0"/>
        </w:rPr>
        <w:t>（</w:t>
      </w:r>
      <w:bookmarkEnd w:id="580"/>
      <w:r>
        <w:rPr>
          <w:rFonts w:ascii="Times New Roman" w:eastAsia="Times New Roman" w:hAnsi="Times New Roman" w:cs="Times New Roman"/>
          <w:color w:val="000000"/>
          <w:spacing w:val="0"/>
          <w:w w:val="100"/>
          <w:position w:val="0"/>
        </w:rPr>
        <w:t>2</w:t>
      </w:r>
      <w:r>
        <w:rPr>
          <w:color w:val="000000"/>
          <w:spacing w:val="0"/>
          <w:w w:val="100"/>
          <w:position w:val="0"/>
        </w:rPr>
        <w:t>） 在合并财务报表中，对于剩余股权，应当按照其在丧失控制权日的公允价值进行重新计量。处 置股权取得的对价与剩余股权公允价值之和，减去按原持股比例计算应享有原有子公司自购买日开始持续 计算的净资产的份额之间的差额，计入丧失控制权当期的投资收益。与原有子公司股权投资相关的其他综 合收益，应当在丧失控制权时转为当期投资收益。企业应当在附注中披露处置后的剩余股权在丧失控制权 日的公允价值、按照公允价值重新计量产生的相关利得或损失的金额。</w:t>
      </w:r>
    </w:p>
    <w:p>
      <w:pPr>
        <w:pStyle w:val="Style3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处置对子公司股权投资直至丧失控制权的各项交易属于一揽子交易的，区分个别财务报表和合并财务 报表进行相关会计处理：</w:t>
      </w:r>
    </w:p>
    <w:p>
      <w:pPr>
        <w:pStyle w:val="Style35"/>
        <w:keepNext w:val="0"/>
        <w:keepLines w:val="0"/>
        <w:widowControl w:val="0"/>
        <w:shd w:val="clear" w:color="auto" w:fill="auto"/>
        <w:tabs>
          <w:tab w:pos="966" w:val="left"/>
        </w:tabs>
        <w:bidi w:val="0"/>
        <w:spacing w:before="0" w:after="0" w:line="410" w:lineRule="exact"/>
        <w:ind w:left="0" w:right="0" w:firstLine="440"/>
        <w:jc w:val="both"/>
      </w:pPr>
      <w:bookmarkStart w:id="581" w:name="bookmark581"/>
      <w:r>
        <w:rPr>
          <w:color w:val="000000"/>
          <w:spacing w:val="0"/>
          <w:w w:val="100"/>
          <w:position w:val="0"/>
        </w:rPr>
        <w:t>（</w:t>
      </w:r>
      <w:bookmarkEnd w:id="581"/>
      <w:r>
        <w:rPr>
          <w:rFonts w:ascii="Times New Roman" w:eastAsia="Times New Roman" w:hAnsi="Times New Roman" w:cs="Times New Roman"/>
          <w:color w:val="000000"/>
          <w:spacing w:val="0"/>
          <w:w w:val="100"/>
          <w:position w:val="0"/>
        </w:rPr>
        <w:t>1</w:t>
      </w:r>
      <w:r>
        <w:rPr>
          <w:color w:val="000000"/>
          <w:spacing w:val="0"/>
          <w:w w:val="100"/>
          <w:position w:val="0"/>
        </w:rPr>
        <w:t>）</w:t>
        <w:tab/>
        <w:t>在个别财务报表中，将各项交易作为一项处置子公司并丧失控制权的交易进行会计处理，企业 处置对子公司的投资，处置价款与处置投资对应的账面价值的差额，在母公司个别财务报表中应当确认为 当期投资收益；</w:t>
      </w:r>
    </w:p>
    <w:p>
      <w:pPr>
        <w:pStyle w:val="Style35"/>
        <w:keepNext w:val="0"/>
        <w:keepLines w:val="0"/>
        <w:widowControl w:val="0"/>
        <w:shd w:val="clear" w:color="auto" w:fill="auto"/>
        <w:tabs>
          <w:tab w:pos="971" w:val="left"/>
        </w:tabs>
        <w:bidi w:val="0"/>
        <w:spacing w:before="0" w:after="180" w:line="410" w:lineRule="exact"/>
        <w:ind w:left="0" w:right="0" w:firstLine="440"/>
        <w:jc w:val="both"/>
      </w:pPr>
      <w:bookmarkStart w:id="582" w:name="bookmark582"/>
      <w:r>
        <w:rPr>
          <w:color w:val="000000"/>
          <w:spacing w:val="0"/>
          <w:w w:val="100"/>
          <w:position w:val="0"/>
        </w:rPr>
        <w:t>（</w:t>
      </w:r>
      <w:bookmarkEnd w:id="582"/>
      <w:r>
        <w:rPr>
          <w:rFonts w:ascii="Times New Roman" w:eastAsia="Times New Roman" w:hAnsi="Times New Roman" w:cs="Times New Roman"/>
          <w:color w:val="000000"/>
          <w:spacing w:val="0"/>
          <w:w w:val="100"/>
          <w:position w:val="0"/>
        </w:rPr>
        <w:t>2</w:t>
      </w:r>
      <w:r>
        <w:rPr>
          <w:color w:val="000000"/>
          <w:spacing w:val="0"/>
          <w:w w:val="100"/>
          <w:position w:val="0"/>
        </w:rPr>
        <w:t>）</w:t>
        <w:tab/>
        <w:t>在合并财务报表中，在丧失控制权之前每一次处置价款与处置投资对应的享有该子公司净资产 份额的差额，确认为其他综合收益，在丧失控制权时一并转入丧失控制权当期的损益。</w:t>
      </w:r>
    </w:p>
    <w:p>
      <w:pPr>
        <w:pStyle w:val="Style38"/>
        <w:keepNext/>
        <w:keepLines/>
        <w:widowControl w:val="0"/>
        <w:shd w:val="clear" w:color="auto" w:fill="auto"/>
        <w:tabs>
          <w:tab w:pos="899" w:val="left"/>
        </w:tabs>
        <w:bidi w:val="0"/>
        <w:spacing w:before="0" w:after="0" w:line="430" w:lineRule="auto"/>
        <w:ind w:left="0" w:right="0"/>
        <w:jc w:val="both"/>
      </w:pPr>
      <w:bookmarkStart w:id="583" w:name="bookmark583"/>
      <w:bookmarkStart w:id="584" w:name="bookmark584"/>
      <w:bookmarkStart w:id="585" w:name="bookmark585"/>
      <w:bookmarkStart w:id="586" w:name="bookmark586"/>
      <w:r>
        <w:rPr>
          <w:rFonts w:ascii="Arial Narrow" w:eastAsia="Arial Narrow" w:hAnsi="Arial Narrow" w:cs="Arial Narrow"/>
          <w:color w:val="000000"/>
          <w:spacing w:val="0"/>
          <w:w w:val="100"/>
          <w:position w:val="0"/>
          <w:sz w:val="20"/>
          <w:szCs w:val="20"/>
        </w:rPr>
        <w:t>4</w:t>
      </w:r>
      <w:bookmarkEnd w:id="585"/>
      <w:r>
        <w:rPr>
          <w:color w:val="000000"/>
          <w:spacing w:val="0"/>
          <w:w w:val="100"/>
          <w:position w:val="0"/>
        </w:rPr>
        <w:t>、</w:t>
        <w:tab/>
        <w:t>确定对被投资单位具有共同控制、重大影响的依据</w:t>
      </w:r>
      <w:bookmarkEnd w:id="583"/>
      <w:bookmarkEnd w:id="584"/>
      <w:bookmarkEnd w:id="586"/>
    </w:p>
    <w:p>
      <w:pPr>
        <w:pStyle w:val="Style35"/>
        <w:keepNext w:val="0"/>
        <w:keepLines w:val="0"/>
        <w:widowControl w:val="0"/>
        <w:shd w:val="clear" w:color="auto" w:fill="auto"/>
        <w:bidi w:val="0"/>
        <w:spacing w:before="0" w:after="180" w:line="410" w:lineRule="exact"/>
        <w:ind w:left="0" w:right="0" w:firstLine="440"/>
        <w:jc w:val="both"/>
      </w:pPr>
      <w:r>
        <w:rPr>
          <w:color w:val="000000"/>
          <w:spacing w:val="0"/>
          <w:w w:val="100"/>
          <w:position w:val="0"/>
        </w:rPr>
        <w:t>按照合同约定对某项经济活动所共有的控制，仅在与该项经济活动相关的重要财务和经营决策需要分 享控制权的投资方一致同意时存在，则视为与其他方对被投资单位实施共同控制；对一个企业的财务和经 营决策有参与决策的权力，但并不能够控制或者与其他方一起共同控制这些政策的制定，则视为投资企业 能够对被投资单位施加重大影响。</w:t>
      </w:r>
    </w:p>
    <w:p>
      <w:pPr>
        <w:pStyle w:val="Style38"/>
        <w:keepNext/>
        <w:keepLines/>
        <w:widowControl w:val="0"/>
        <w:shd w:val="clear" w:color="auto" w:fill="auto"/>
        <w:tabs>
          <w:tab w:pos="899" w:val="left"/>
        </w:tabs>
        <w:bidi w:val="0"/>
        <w:spacing w:before="0" w:after="0" w:line="430" w:lineRule="auto"/>
        <w:ind w:left="0" w:right="0"/>
        <w:jc w:val="both"/>
      </w:pPr>
      <w:bookmarkStart w:id="587" w:name="bookmark587"/>
      <w:bookmarkStart w:id="588" w:name="bookmark588"/>
      <w:bookmarkStart w:id="589" w:name="bookmark589"/>
      <w:bookmarkStart w:id="590" w:name="bookmark590"/>
      <w:r>
        <w:rPr>
          <w:rFonts w:ascii="Arial Narrow" w:eastAsia="Arial Narrow" w:hAnsi="Arial Narrow" w:cs="Arial Narrow"/>
          <w:color w:val="000000"/>
          <w:spacing w:val="0"/>
          <w:w w:val="100"/>
          <w:position w:val="0"/>
          <w:sz w:val="20"/>
          <w:szCs w:val="20"/>
        </w:rPr>
        <w:t>5</w:t>
      </w:r>
      <w:bookmarkEnd w:id="589"/>
      <w:r>
        <w:rPr>
          <w:color w:val="000000"/>
          <w:spacing w:val="0"/>
          <w:w w:val="100"/>
          <w:position w:val="0"/>
        </w:rPr>
        <w:t>、</w:t>
        <w:tab/>
        <w:t>减值测试方法及减值准备计提方法</w:t>
      </w:r>
      <w:bookmarkEnd w:id="587"/>
      <w:bookmarkEnd w:id="588"/>
      <w:bookmarkEnd w:id="590"/>
    </w:p>
    <w:p>
      <w:pPr>
        <w:pStyle w:val="Style3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资产负债表日，若因市价持续下跌或被投资单位经营状况恶化等原因使长期股权投资存在减值迹象 时，根据单项长期股权投资的公允价值减去处置费用后的净额与长期股权投资预计未来现金流量的现值两 者之间较高者确定长期股权投资的可收回金额。长期股权投资的可收回金额低于账面价值时，将资产的账 面价值减记至可收回金额，减记的金额确认为资产减值损失，计入当期损益，同时计提相应的资产减值准 备。</w:t>
      </w:r>
    </w:p>
    <w:p>
      <w:pPr>
        <w:pStyle w:val="Style3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重大影响以下的、在活跃市场中没有报价、公允价值不能可靠计量的长期股权投资，其减值损失是根 据其账面价值与按类似金融资产当时市场收益率对未来现金流量折现确定的现值之间的差额进行确定。</w:t>
      </w:r>
    </w:p>
    <w:p>
      <w:pPr>
        <w:pStyle w:val="Style3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除因企业合并形成的商誉以外的存在减值迹象的其他长期股权投资，如果可收回金额的计量结果表 明，该长期股权投资的可收回金额低于其账面价值的，将差额确认为减值损失。</w:t>
      </w:r>
    </w:p>
    <w:p>
      <w:pPr>
        <w:pStyle w:val="Style3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 xml:space="preserve">采用成本法核算的长期股权投资，因被投资单位宣告分派现金股利或利润确认投资收益后，考虑长期 </w:t>
      </w:r>
      <w:r>
        <w:rPr>
          <w:color w:val="000000"/>
          <w:spacing w:val="0"/>
          <w:w w:val="100"/>
          <w:position w:val="0"/>
        </w:rPr>
        <w:t>股权投资是否发生减值。</w:t>
      </w:r>
    </w:p>
    <w:p>
      <w:pPr>
        <w:pStyle w:val="Style35"/>
        <w:keepNext w:val="0"/>
        <w:keepLines w:val="0"/>
        <w:widowControl w:val="0"/>
        <w:shd w:val="clear" w:color="auto" w:fill="auto"/>
        <w:bidi w:val="0"/>
        <w:spacing w:before="0" w:after="320" w:line="408" w:lineRule="exact"/>
        <w:ind w:left="0" w:right="0" w:firstLine="460"/>
        <w:jc w:val="left"/>
      </w:pPr>
      <w:r>
        <w:rPr>
          <w:color w:val="000000"/>
          <w:spacing w:val="0"/>
          <w:w w:val="100"/>
          <w:position w:val="0"/>
        </w:rPr>
        <w:t>长期股权投资减值损失一经确认，不再转回。</w:t>
      </w:r>
    </w:p>
    <w:p>
      <w:pPr>
        <w:pStyle w:val="Style38"/>
        <w:keepNext/>
        <w:keepLines/>
        <w:widowControl w:val="0"/>
        <w:shd w:val="clear" w:color="auto" w:fill="auto"/>
        <w:bidi w:val="0"/>
        <w:spacing w:before="0" w:after="0" w:line="427" w:lineRule="auto"/>
        <w:ind w:left="0" w:right="0" w:firstLine="460"/>
        <w:jc w:val="left"/>
      </w:pPr>
      <w:bookmarkStart w:id="591" w:name="bookmark591"/>
      <w:bookmarkStart w:id="592" w:name="bookmark592"/>
      <w:bookmarkStart w:id="593" w:name="bookmark593"/>
      <w:r>
        <w:rPr>
          <w:rFonts w:ascii="Arial Narrow" w:eastAsia="Arial Narrow" w:hAnsi="Arial Narrow" w:cs="Arial Narrow"/>
          <w:color w:val="000000"/>
          <w:spacing w:val="0"/>
          <w:w w:val="100"/>
          <w:position w:val="0"/>
          <w:sz w:val="20"/>
          <w:szCs w:val="20"/>
        </w:rPr>
        <w:t>（</w:t>
      </w:r>
      <w:r>
        <w:rPr>
          <w:color w:val="000000"/>
          <w:spacing w:val="0"/>
          <w:w w:val="100"/>
          <w:position w:val="0"/>
        </w:rPr>
        <w:t>十二</w:t>
      </w:r>
      <w:r>
        <w:rPr>
          <w:color w:val="000000"/>
          <w:spacing w:val="0"/>
          <w:w w:val="100"/>
          <w:position w:val="0"/>
          <w:sz w:val="24"/>
          <w:szCs w:val="24"/>
        </w:rPr>
        <w:t>）</w:t>
      </w:r>
      <w:r>
        <w:rPr>
          <w:color w:val="000000"/>
          <w:spacing w:val="0"/>
          <w:w w:val="100"/>
          <w:position w:val="0"/>
        </w:rPr>
        <w:t>固定资产</w:t>
      </w:r>
      <w:bookmarkEnd w:id="591"/>
      <w:bookmarkEnd w:id="592"/>
      <w:bookmarkEnd w:id="593"/>
    </w:p>
    <w:p>
      <w:pPr>
        <w:pStyle w:val="Style38"/>
        <w:keepNext/>
        <w:keepLines/>
        <w:widowControl w:val="0"/>
        <w:shd w:val="clear" w:color="auto" w:fill="auto"/>
        <w:tabs>
          <w:tab w:pos="870" w:val="left"/>
        </w:tabs>
        <w:bidi w:val="0"/>
        <w:spacing w:before="0" w:after="0" w:line="427" w:lineRule="auto"/>
        <w:ind w:left="0" w:right="0" w:firstLine="460"/>
        <w:jc w:val="left"/>
      </w:pPr>
      <w:bookmarkStart w:id="591" w:name="bookmark591"/>
      <w:bookmarkStart w:id="592" w:name="bookmark592"/>
      <w:bookmarkStart w:id="594" w:name="bookmark594"/>
      <w:bookmarkStart w:id="595" w:name="bookmark595"/>
      <w:r>
        <w:rPr>
          <w:rFonts w:ascii="Arial Narrow" w:eastAsia="Arial Narrow" w:hAnsi="Arial Narrow" w:cs="Arial Narrow"/>
          <w:color w:val="000000"/>
          <w:spacing w:val="0"/>
          <w:w w:val="100"/>
          <w:position w:val="0"/>
          <w:sz w:val="20"/>
          <w:szCs w:val="20"/>
        </w:rPr>
        <w:t>1</w:t>
      </w:r>
      <w:bookmarkEnd w:id="594"/>
      <w:r>
        <w:rPr>
          <w:color w:val="000000"/>
          <w:spacing w:val="0"/>
          <w:w w:val="100"/>
          <w:position w:val="0"/>
        </w:rPr>
        <w:t>、</w:t>
        <w:tab/>
        <w:t>固定资产的标准和确认条件</w:t>
      </w:r>
      <w:bookmarkEnd w:id="591"/>
      <w:bookmarkEnd w:id="592"/>
      <w:bookmarkEnd w:id="595"/>
    </w:p>
    <w:p>
      <w:pPr>
        <w:pStyle w:val="Style35"/>
        <w:keepNext w:val="0"/>
        <w:keepLines w:val="0"/>
        <w:widowControl w:val="0"/>
        <w:shd w:val="clear" w:color="auto" w:fill="auto"/>
        <w:bidi w:val="0"/>
        <w:spacing w:before="0" w:after="160" w:line="408" w:lineRule="exact"/>
        <w:ind w:left="0" w:right="0" w:firstLine="460"/>
        <w:jc w:val="both"/>
      </w:pPr>
      <w:r>
        <w:rPr>
          <w:color w:val="000000"/>
          <w:spacing w:val="0"/>
          <w:w w:val="100"/>
          <w:position w:val="0"/>
        </w:rPr>
        <w:t>固定资产是指使用寿命超过一个会计年度的为生产商品、提供劳务、出租或经营管理而持有的有形资 产。固定资产的确认条件：（</w:t>
      </w:r>
      <w:r>
        <w:rPr>
          <w:rFonts w:ascii="Arial Narrow" w:eastAsia="Arial Narrow" w:hAnsi="Arial Narrow" w:cs="Arial Narrow"/>
          <w:color w:val="000000"/>
          <w:spacing w:val="0"/>
          <w:w w:val="100"/>
          <w:position w:val="0"/>
        </w:rPr>
        <w:t>1</w:t>
      </w:r>
      <w:r>
        <w:rPr>
          <w:color w:val="000000"/>
          <w:spacing w:val="0"/>
          <w:w w:val="100"/>
          <w:position w:val="0"/>
        </w:rPr>
        <w:t>）该固定资产包含的经济利益很可能流入企业；（</w:t>
      </w:r>
      <w:r>
        <w:rPr>
          <w:rFonts w:ascii="Arial Narrow" w:eastAsia="Arial Narrow" w:hAnsi="Arial Narrow" w:cs="Arial Narrow"/>
          <w:color w:val="000000"/>
          <w:spacing w:val="0"/>
          <w:w w:val="100"/>
          <w:position w:val="0"/>
        </w:rPr>
        <w:t>2</w:t>
      </w:r>
      <w:r>
        <w:rPr>
          <w:color w:val="000000"/>
          <w:spacing w:val="0"/>
          <w:w w:val="100"/>
          <w:position w:val="0"/>
        </w:rPr>
        <w:t>）该固定资产的成本能 够可靠计量。</w:t>
      </w:r>
    </w:p>
    <w:p>
      <w:pPr>
        <w:pStyle w:val="Style38"/>
        <w:keepNext/>
        <w:keepLines/>
        <w:widowControl w:val="0"/>
        <w:shd w:val="clear" w:color="auto" w:fill="auto"/>
        <w:tabs>
          <w:tab w:pos="870" w:val="left"/>
        </w:tabs>
        <w:bidi w:val="0"/>
        <w:spacing w:before="0" w:after="0" w:line="427" w:lineRule="auto"/>
        <w:ind w:left="0" w:right="0" w:firstLine="460"/>
        <w:jc w:val="both"/>
      </w:pPr>
      <w:bookmarkStart w:id="596" w:name="bookmark596"/>
      <w:bookmarkStart w:id="597" w:name="bookmark597"/>
      <w:bookmarkStart w:id="598" w:name="bookmark598"/>
      <w:bookmarkStart w:id="599" w:name="bookmark599"/>
      <w:r>
        <w:rPr>
          <w:rFonts w:ascii="Arial Narrow" w:eastAsia="Arial Narrow" w:hAnsi="Arial Narrow" w:cs="Arial Narrow"/>
          <w:color w:val="000000"/>
          <w:spacing w:val="0"/>
          <w:w w:val="100"/>
          <w:position w:val="0"/>
          <w:sz w:val="20"/>
          <w:szCs w:val="20"/>
        </w:rPr>
        <w:t>2</w:t>
      </w:r>
      <w:bookmarkEnd w:id="598"/>
      <w:r>
        <w:rPr>
          <w:color w:val="000000"/>
          <w:spacing w:val="0"/>
          <w:w w:val="100"/>
          <w:position w:val="0"/>
        </w:rPr>
        <w:t>、</w:t>
        <w:tab/>
        <w:t>固定资产的初始计量</w:t>
      </w:r>
      <w:bookmarkEnd w:id="596"/>
      <w:bookmarkEnd w:id="597"/>
      <w:bookmarkEnd w:id="599"/>
    </w:p>
    <w:p>
      <w:pPr>
        <w:pStyle w:val="Style35"/>
        <w:keepNext w:val="0"/>
        <w:keepLines w:val="0"/>
        <w:widowControl w:val="0"/>
        <w:shd w:val="clear" w:color="auto" w:fill="auto"/>
        <w:bidi w:val="0"/>
        <w:spacing w:before="0" w:after="160" w:line="408" w:lineRule="exact"/>
        <w:ind w:left="0" w:right="0" w:firstLine="460"/>
        <w:jc w:val="both"/>
      </w:pPr>
      <w:r>
        <w:rPr>
          <w:color w:val="000000"/>
          <w:spacing w:val="0"/>
          <w:w w:val="100"/>
          <w:position w:val="0"/>
        </w:rPr>
        <w:t>固定资产通常按照实际成本作为初始计量。购买固定资产的价款超过正常信用条件延期支付，实质上 具有融资性质的，固定资产的成本以购买价款的现值为基础确定。债务重组取得债务人用以抵债的固定资 产，以该固定资产的公允价值为基础确定其入账价值，并将重组债务的账面价值与该用以抵债的固定资产 公允价值之间的差额，计入当期损益；在非货币性资产交换具备商业实质和换入资产或换出资产的公允价 值能够可靠计量的前提下，非货币性资产交换换入的固定资产通常以换出资产的公允价值为基础确定其入 账价值，除非有确凿证据表明换入资产的公允价值更加可靠；不满足上述前提的非货币性资产交换，以换 出资产的账面价值和应支付的相关税费作为换入固定资产的成本，不确认损益。</w:t>
      </w:r>
    </w:p>
    <w:p>
      <w:pPr>
        <w:pStyle w:val="Style38"/>
        <w:keepNext/>
        <w:keepLines/>
        <w:widowControl w:val="0"/>
        <w:shd w:val="clear" w:color="auto" w:fill="auto"/>
        <w:tabs>
          <w:tab w:pos="870" w:val="left"/>
        </w:tabs>
        <w:bidi w:val="0"/>
        <w:spacing w:before="0" w:after="0" w:line="427" w:lineRule="auto"/>
        <w:ind w:left="0" w:right="0" w:firstLine="460"/>
        <w:jc w:val="both"/>
      </w:pPr>
      <w:bookmarkStart w:id="600" w:name="bookmark600"/>
      <w:bookmarkStart w:id="601" w:name="bookmark601"/>
      <w:bookmarkStart w:id="602" w:name="bookmark602"/>
      <w:bookmarkStart w:id="603" w:name="bookmark603"/>
      <w:r>
        <w:rPr>
          <w:rFonts w:ascii="Arial Narrow" w:eastAsia="Arial Narrow" w:hAnsi="Arial Narrow" w:cs="Arial Narrow"/>
          <w:color w:val="000000"/>
          <w:spacing w:val="0"/>
          <w:w w:val="100"/>
          <w:position w:val="0"/>
          <w:sz w:val="20"/>
          <w:szCs w:val="20"/>
        </w:rPr>
        <w:t>3</w:t>
      </w:r>
      <w:bookmarkEnd w:id="602"/>
      <w:r>
        <w:rPr>
          <w:color w:val="000000"/>
          <w:spacing w:val="0"/>
          <w:w w:val="100"/>
          <w:position w:val="0"/>
        </w:rPr>
        <w:t>、</w:t>
        <w:tab/>
        <w:t>各类固定资产的折旧方法：</w:t>
      </w:r>
      <w:bookmarkEnd w:id="600"/>
      <w:bookmarkEnd w:id="601"/>
      <w:bookmarkEnd w:id="603"/>
    </w:p>
    <w:p>
      <w:pPr>
        <w:pStyle w:val="Style35"/>
        <w:keepNext w:val="0"/>
        <w:keepLines w:val="0"/>
        <w:widowControl w:val="0"/>
        <w:shd w:val="clear" w:color="auto" w:fill="auto"/>
        <w:bidi w:val="0"/>
        <w:spacing w:before="0" w:after="0" w:line="408" w:lineRule="exact"/>
        <w:ind w:left="0" w:right="0" w:firstLine="460"/>
        <w:jc w:val="both"/>
      </w:pPr>
      <w:r>
        <w:rPr>
          <w:color w:val="000000"/>
          <w:spacing w:val="0"/>
          <w:w w:val="100"/>
          <w:position w:val="0"/>
        </w:rPr>
        <w:t>固定资产折旧根据固定资产的原值和预计可使用年限及估计的剩余价值（原价的</w:t>
      </w:r>
      <w:r>
        <w:rPr>
          <w:rFonts w:ascii="Arial Narrow" w:eastAsia="Arial Narrow" w:hAnsi="Arial Narrow" w:cs="Arial Narrow"/>
          <w:color w:val="000000"/>
          <w:spacing w:val="0"/>
          <w:w w:val="100"/>
          <w:position w:val="0"/>
        </w:rPr>
        <w:t>5%</w:t>
      </w:r>
      <w:r>
        <w:rPr>
          <w:color w:val="000000"/>
          <w:spacing w:val="0"/>
          <w:w w:val="100"/>
          <w:position w:val="0"/>
        </w:rPr>
        <w:t>）按直线法计提。</w:t>
      </w:r>
    </w:p>
    <w:p>
      <w:pPr>
        <w:pStyle w:val="Style35"/>
        <w:keepNext w:val="0"/>
        <w:keepLines w:val="0"/>
        <w:widowControl w:val="0"/>
        <w:shd w:val="clear" w:color="auto" w:fill="auto"/>
        <w:bidi w:val="0"/>
        <w:spacing w:before="0" w:after="160" w:line="408" w:lineRule="exact"/>
        <w:ind w:left="0" w:right="0" w:firstLine="460"/>
        <w:jc w:val="both"/>
      </w:pPr>
      <w:r>
        <w:rPr>
          <w:color w:val="000000"/>
          <w:spacing w:val="0"/>
          <w:w w:val="100"/>
          <w:position w:val="0"/>
        </w:rPr>
        <w:t>已计提减值准备的固定资产在计提折旧时，按照该项固定资产计提减值后的净额以及尚可使用年限重 新计算确定折旧率和折旧额。</w:t>
      </w:r>
    </w:p>
    <w:p>
      <w:pPr>
        <w:pStyle w:val="Style31"/>
        <w:keepNext w:val="0"/>
        <w:keepLines w:val="0"/>
        <w:widowControl w:val="0"/>
        <w:shd w:val="clear" w:color="auto" w:fill="auto"/>
        <w:bidi w:val="0"/>
        <w:spacing w:before="0" w:after="0" w:line="240" w:lineRule="auto"/>
        <w:ind w:left="461" w:right="0" w:firstLine="0"/>
        <w:jc w:val="left"/>
      </w:pPr>
      <w:r>
        <w:rPr>
          <w:color w:val="000000"/>
          <w:spacing w:val="0"/>
          <w:w w:val="100"/>
          <w:position w:val="0"/>
        </w:rPr>
        <w:t>公司固定资产分类年折旧率如下:</w:t>
      </w:r>
    </w:p>
    <w:tbl>
      <w:tblPr>
        <w:tblOverlap w:val="never"/>
        <w:jc w:val="center"/>
        <w:tblLayout w:type="fixed"/>
      </w:tblPr>
      <w:tblGrid>
        <w:gridCol w:w="2770"/>
        <w:gridCol w:w="2342"/>
        <w:gridCol w:w="2434"/>
        <w:gridCol w:w="2280"/>
      </w:tblGrid>
      <w:tr>
        <w:trPr>
          <w:trHeight w:val="384"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折旧年限（年）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残值率（</w:t>
            </w:r>
            <w:r>
              <w:rPr>
                <w:rFonts w:ascii="Arial Narrow" w:eastAsia="Arial Narrow" w:hAnsi="Arial Narrow" w:cs="Arial Narrow"/>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年折旧率（</w:t>
            </w:r>
            <w:r>
              <w:rPr>
                <w:rFonts w:ascii="Arial Narrow" w:eastAsia="Arial Narrow" w:hAnsi="Arial Narrow" w:cs="Arial Narrow"/>
                <w:color w:val="000000"/>
                <w:spacing w:val="0"/>
                <w:w w:val="100"/>
                <w:position w:val="0"/>
                <w:sz w:val="18"/>
                <w:szCs w:val="18"/>
              </w:rPr>
              <w:t>%</w:t>
            </w:r>
            <w:r>
              <w:rPr>
                <w:color w:val="000000"/>
                <w:spacing w:val="0"/>
                <w:w w:val="100"/>
                <w:position w:val="0"/>
                <w:sz w:val="17"/>
                <w:szCs w:val="17"/>
              </w:rPr>
              <w:t>）</w:t>
            </w:r>
          </w:p>
        </w:tc>
      </w:tr>
      <w:tr>
        <w:trPr>
          <w:trHeight w:val="36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20" w:right="0" w:firstLine="0"/>
              <w:jc w:val="left"/>
              <w:rPr>
                <w:sz w:val="18"/>
                <w:szCs w:val="18"/>
              </w:rPr>
            </w:pPr>
            <w:r>
              <w:rPr>
                <w:rFonts w:ascii="Arial Narrow" w:eastAsia="Arial Narrow" w:hAnsi="Arial Narrow" w:cs="Arial Narrow"/>
                <w:color w:val="000000"/>
                <w:spacing w:val="0"/>
                <w:w w:val="100"/>
                <w:position w:val="0"/>
                <w:sz w:val="18"/>
                <w:szCs w:val="18"/>
              </w:rPr>
              <w:t>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20"/>
              <w:jc w:val="left"/>
              <w:rPr>
                <w:sz w:val="18"/>
                <w:szCs w:val="18"/>
              </w:rPr>
            </w:pPr>
            <w:r>
              <w:rPr>
                <w:rFonts w:ascii="Arial Narrow" w:eastAsia="Arial Narrow" w:hAnsi="Arial Narrow" w:cs="Arial Narrow"/>
                <w:color w:val="000000"/>
                <w:spacing w:val="0"/>
                <w:w w:val="100"/>
                <w:position w:val="0"/>
                <w:sz w:val="18"/>
                <w:szCs w:val="18"/>
              </w:rPr>
              <w:t>2.37</w:t>
            </w:r>
          </w:p>
        </w:tc>
      </w:tr>
      <w:tr>
        <w:trPr>
          <w:trHeight w:val="36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固定资产装修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20" w:right="0" w:firstLine="0"/>
              <w:jc w:val="left"/>
              <w:rPr>
                <w:sz w:val="18"/>
                <w:szCs w:val="18"/>
              </w:rPr>
            </w:pPr>
            <w:r>
              <w:rPr>
                <w:rFonts w:ascii="Arial Narrow" w:eastAsia="Arial Narrow" w:hAnsi="Arial Narrow" w:cs="Arial Narrow"/>
                <w:color w:val="000000"/>
                <w:spacing w:val="0"/>
                <w:w w:val="100"/>
                <w:position w:val="0"/>
                <w:sz w:val="18"/>
                <w:szCs w:val="18"/>
              </w:rPr>
              <w:t>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20"/>
              <w:jc w:val="left"/>
              <w:rPr>
                <w:sz w:val="18"/>
                <w:szCs w:val="18"/>
              </w:rPr>
            </w:pPr>
            <w:r>
              <w:rPr>
                <w:rFonts w:ascii="Arial Narrow" w:eastAsia="Arial Narrow" w:hAnsi="Arial Narrow" w:cs="Arial Narrow"/>
                <w:color w:val="000000"/>
                <w:spacing w:val="0"/>
                <w:w w:val="100"/>
                <w:position w:val="0"/>
                <w:sz w:val="18"/>
                <w:szCs w:val="18"/>
              </w:rPr>
              <w:t>9.5</w:t>
            </w:r>
          </w:p>
        </w:tc>
      </w:tr>
      <w:tr>
        <w:trPr>
          <w:trHeight w:val="36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电子设备</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20" w:right="0" w:firstLine="0"/>
              <w:jc w:val="left"/>
              <w:rPr>
                <w:sz w:val="18"/>
                <w:szCs w:val="18"/>
              </w:rPr>
            </w:pPr>
            <w:r>
              <w:rPr>
                <w:rFonts w:ascii="Arial Narrow" w:eastAsia="Arial Narrow" w:hAnsi="Arial Narrow" w:cs="Arial Narrow"/>
                <w:color w:val="000000"/>
                <w:spacing w:val="0"/>
                <w:w w:val="100"/>
                <w:position w:val="0"/>
                <w:sz w:val="18"/>
                <w:szCs w:val="18"/>
              </w:rPr>
              <w:t>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20"/>
              <w:jc w:val="left"/>
              <w:rPr>
                <w:sz w:val="18"/>
                <w:szCs w:val="18"/>
              </w:rPr>
            </w:pPr>
            <w:r>
              <w:rPr>
                <w:rFonts w:ascii="Arial Narrow" w:eastAsia="Arial Narrow" w:hAnsi="Arial Narrow" w:cs="Arial Narrow"/>
                <w:color w:val="000000"/>
                <w:spacing w:val="0"/>
                <w:w w:val="100"/>
                <w:position w:val="0"/>
                <w:sz w:val="18"/>
                <w:szCs w:val="18"/>
              </w:rPr>
              <w:t>19</w:t>
            </w:r>
          </w:p>
        </w:tc>
      </w:tr>
      <w:tr>
        <w:trPr>
          <w:trHeight w:val="36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运输设备</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20" w:right="0" w:firstLine="0"/>
              <w:jc w:val="left"/>
              <w:rPr>
                <w:sz w:val="18"/>
                <w:szCs w:val="18"/>
              </w:rPr>
            </w:pPr>
            <w:r>
              <w:rPr>
                <w:rFonts w:ascii="Arial Narrow" w:eastAsia="Arial Narrow" w:hAnsi="Arial Narrow" w:cs="Arial Narrow"/>
                <w:color w:val="000000"/>
                <w:spacing w:val="0"/>
                <w:w w:val="100"/>
                <w:position w:val="0"/>
                <w:sz w:val="18"/>
                <w:szCs w:val="18"/>
              </w:rPr>
              <w:t>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20"/>
              <w:jc w:val="left"/>
              <w:rPr>
                <w:sz w:val="18"/>
                <w:szCs w:val="18"/>
              </w:rPr>
            </w:pPr>
            <w:r>
              <w:rPr>
                <w:rFonts w:ascii="Arial Narrow" w:eastAsia="Arial Narrow" w:hAnsi="Arial Narrow" w:cs="Arial Narrow"/>
                <w:color w:val="000000"/>
                <w:spacing w:val="0"/>
                <w:w w:val="100"/>
                <w:position w:val="0"/>
                <w:sz w:val="18"/>
                <w:szCs w:val="18"/>
              </w:rPr>
              <w:t>9.5</w:t>
            </w:r>
          </w:p>
        </w:tc>
      </w:tr>
      <w:tr>
        <w:trPr>
          <w:trHeight w:val="389"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其他设备</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5-10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20" w:right="0" w:firstLine="0"/>
              <w:jc w:val="left"/>
              <w:rPr>
                <w:sz w:val="18"/>
                <w:szCs w:val="18"/>
              </w:rPr>
            </w:pPr>
            <w:r>
              <w:rPr>
                <w:rFonts w:ascii="Arial Narrow" w:eastAsia="Arial Narrow" w:hAnsi="Arial Narrow" w:cs="Arial Narrow"/>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9.5-19</w:t>
            </w:r>
          </w:p>
        </w:tc>
      </w:tr>
    </w:tbl>
    <w:p>
      <w:pPr>
        <w:pStyle w:val="Style31"/>
        <w:keepNext w:val="0"/>
        <w:keepLines w:val="0"/>
        <w:widowControl w:val="0"/>
        <w:shd w:val="clear" w:color="auto" w:fill="auto"/>
        <w:bidi w:val="0"/>
        <w:spacing w:before="0" w:after="0" w:line="240" w:lineRule="auto"/>
        <w:ind w:left="446" w:right="0" w:firstLine="0"/>
        <w:jc w:val="left"/>
      </w:pPr>
      <w:r>
        <w:rPr>
          <w:rFonts w:ascii="Arial Narrow" w:eastAsia="Arial Narrow" w:hAnsi="Arial Narrow" w:cs="Arial Narrow"/>
          <w:b/>
          <w:bCs/>
          <w:color w:val="000000"/>
          <w:spacing w:val="0"/>
          <w:w w:val="100"/>
          <w:position w:val="0"/>
          <w:sz w:val="20"/>
          <w:szCs w:val="20"/>
        </w:rPr>
        <w:t>4</w:t>
      </w:r>
      <w:r>
        <w:rPr>
          <w:b/>
          <w:bCs/>
          <w:color w:val="000000"/>
          <w:spacing w:val="0"/>
          <w:w w:val="100"/>
          <w:position w:val="0"/>
        </w:rPr>
        <w:t>、固定资产的减值测试方法、减值准备计提方法</w:t>
      </w:r>
    </w:p>
    <w:p>
      <w:pPr>
        <w:pStyle w:val="Style35"/>
        <w:keepNext w:val="0"/>
        <w:keepLines w:val="0"/>
        <w:widowControl w:val="0"/>
        <w:shd w:val="clear" w:color="auto" w:fill="auto"/>
        <w:bidi w:val="0"/>
        <w:spacing w:before="0" w:after="320" w:line="409" w:lineRule="exact"/>
        <w:ind w:left="0" w:right="0" w:firstLine="460"/>
        <w:jc w:val="both"/>
      </w:pPr>
      <w:r>
        <w:rPr>
          <w:color w:val="000000"/>
          <w:spacing w:val="0"/>
          <w:w w:val="100"/>
          <w:position w:val="0"/>
        </w:rPr>
        <w:t>资产负债表日对固定资产逐项进行检查，如果由于市价持续下跌，或技术陈旧、损坏、长期闲置等原 因导致其可回收金额低于账面价值的，则按照其差额计提固定资产减值准备，固定资产减值损失一经确认, 在以后会计期间不再转回。可收回金额根据资产的公允价值减去处置费用后的净额与资产预计未来现金流 量的现值两者之间较高者确定。资产未来现金流量的现值则按照资产在持续使用过程中和最终处置时所产 生的预计未来现金流量，选择恰当的折现率对其进行折现后的金额加以确定。</w:t>
      </w:r>
    </w:p>
    <w:p>
      <w:pPr>
        <w:pStyle w:val="Style35"/>
        <w:keepNext w:val="0"/>
        <w:keepLines w:val="0"/>
        <w:widowControl w:val="0"/>
        <w:shd w:val="clear" w:color="auto" w:fill="auto"/>
        <w:bidi w:val="0"/>
        <w:spacing w:before="0" w:after="240" w:line="430" w:lineRule="auto"/>
        <w:ind w:left="0" w:right="0" w:firstLine="460"/>
        <w:jc w:val="both"/>
      </w:pPr>
      <w:r>
        <w:rPr>
          <w:rFonts w:ascii="Arial Narrow" w:eastAsia="Arial Narrow" w:hAnsi="Arial Narrow" w:cs="Arial Narrow"/>
          <w:b/>
          <w:bCs/>
          <w:color w:val="000000"/>
          <w:spacing w:val="0"/>
          <w:w w:val="100"/>
          <w:position w:val="0"/>
          <w:sz w:val="20"/>
          <w:szCs w:val="20"/>
        </w:rPr>
        <w:t>（</w:t>
      </w:r>
      <w:r>
        <w:rPr>
          <w:b/>
          <w:bCs/>
          <w:color w:val="000000"/>
          <w:spacing w:val="0"/>
          <w:w w:val="100"/>
          <w:position w:val="0"/>
        </w:rPr>
        <w:t>十三</w:t>
      </w:r>
      <w:r>
        <w:rPr>
          <w:b/>
          <w:bCs/>
          <w:color w:val="000000"/>
          <w:spacing w:val="0"/>
          <w:w w:val="100"/>
          <w:position w:val="0"/>
          <w:sz w:val="24"/>
          <w:szCs w:val="24"/>
        </w:rPr>
        <w:t>）</w:t>
      </w:r>
      <w:r>
        <w:rPr>
          <w:b/>
          <w:bCs/>
          <w:color w:val="000000"/>
          <w:spacing w:val="0"/>
          <w:w w:val="100"/>
          <w:position w:val="0"/>
        </w:rPr>
        <w:t>在建工程</w:t>
      </w:r>
    </w:p>
    <w:p>
      <w:pPr>
        <w:pStyle w:val="Style35"/>
        <w:keepNext w:val="0"/>
        <w:keepLines w:val="0"/>
        <w:widowControl w:val="0"/>
        <w:shd w:val="clear" w:color="auto" w:fill="auto"/>
        <w:bidi w:val="0"/>
        <w:spacing w:before="0" w:after="0" w:line="410" w:lineRule="exact"/>
        <w:ind w:left="0" w:right="0" w:firstLine="440"/>
        <w:jc w:val="both"/>
      </w:pPr>
      <w:bookmarkStart w:id="604" w:name="bookmark604"/>
      <w:r>
        <w:rPr>
          <w:rFonts w:ascii="Arial Narrow" w:eastAsia="Arial Narrow" w:hAnsi="Arial Narrow" w:cs="Arial Narrow"/>
          <w:color w:val="000000"/>
          <w:spacing w:val="0"/>
          <w:w w:val="100"/>
          <w:position w:val="0"/>
        </w:rPr>
        <w:t>1</w:t>
      </w:r>
      <w:bookmarkEnd w:id="604"/>
      <w:r>
        <w:rPr>
          <w:color w:val="000000"/>
          <w:spacing w:val="0"/>
          <w:w w:val="100"/>
          <w:position w:val="0"/>
        </w:rPr>
        <w:t>、 在建工程按各项工程所发生的实际支出核算，在达到预定可使用状态时转作固定资产。所建造的 固定资产已达到预定可使用状态，但尚未办理竣工决算手续的，自达到预定可使用状态之日起，根据工程 预算、造价或者工程实际成本等，按估计的价值转入固定资产，并计提固定资产的折旧，待办理了竣工决 算手续后再对原估计值进行调整。为购建或者生产符合资本化条件的资产而借入的专门借款或占用了一般 借款发生的借款利息以及专门借款发生的辅助费用，在所购建或者生产的符合资本化条件的资产达到预定 可使用或者可销售状态之前根据其发生额予以资本化。</w:t>
      </w:r>
    </w:p>
    <w:p>
      <w:pPr>
        <w:pStyle w:val="Style35"/>
        <w:keepNext w:val="0"/>
        <w:keepLines w:val="0"/>
        <w:widowControl w:val="0"/>
        <w:shd w:val="clear" w:color="auto" w:fill="auto"/>
        <w:tabs>
          <w:tab w:pos="803" w:val="left"/>
        </w:tabs>
        <w:bidi w:val="0"/>
        <w:spacing w:before="0" w:after="0" w:line="410" w:lineRule="exact"/>
        <w:ind w:left="0" w:right="0" w:firstLine="440"/>
        <w:jc w:val="both"/>
      </w:pPr>
      <w:bookmarkStart w:id="605" w:name="bookmark605"/>
      <w:r>
        <w:rPr>
          <w:rFonts w:ascii="Arial Narrow" w:eastAsia="Arial Narrow" w:hAnsi="Arial Narrow" w:cs="Arial Narrow"/>
          <w:color w:val="000000"/>
          <w:spacing w:val="0"/>
          <w:w w:val="100"/>
          <w:position w:val="0"/>
        </w:rPr>
        <w:t>2</w:t>
      </w:r>
      <w:bookmarkEnd w:id="605"/>
      <w:r>
        <w:rPr>
          <w:color w:val="000000"/>
          <w:spacing w:val="0"/>
          <w:w w:val="100"/>
          <w:position w:val="0"/>
        </w:rPr>
        <w:t>、</w:t>
        <w:tab/>
        <w:t>在建工程减值准备的确认标准、计提方法</w:t>
      </w:r>
    </w:p>
    <w:p>
      <w:pPr>
        <w:pStyle w:val="Style35"/>
        <w:keepNext w:val="0"/>
        <w:keepLines w:val="0"/>
        <w:widowControl w:val="0"/>
        <w:shd w:val="clear" w:color="auto" w:fill="auto"/>
        <w:bidi w:val="0"/>
        <w:spacing w:before="0" w:after="140" w:line="410" w:lineRule="exact"/>
        <w:ind w:left="0" w:right="0" w:firstLine="440"/>
        <w:jc w:val="both"/>
      </w:pPr>
      <w:r>
        <w:rPr>
          <w:color w:val="000000"/>
          <w:spacing w:val="0"/>
          <w:w w:val="100"/>
          <w:position w:val="0"/>
        </w:rPr>
        <w:t>期末对在建工程逐项进行检查，如果有证据表明，在建工程已经发生了减值，则计提减值准备。在建 工程减值损失一经确认，在以后会计期间不转回。</w:t>
      </w:r>
    </w:p>
    <w:p>
      <w:pPr>
        <w:pStyle w:val="Style38"/>
        <w:keepNext/>
        <w:keepLines/>
        <w:widowControl w:val="0"/>
        <w:shd w:val="clear" w:color="auto" w:fill="auto"/>
        <w:bidi w:val="0"/>
        <w:spacing w:before="0" w:after="80" w:line="453" w:lineRule="exact"/>
        <w:ind w:left="0" w:right="0"/>
        <w:jc w:val="both"/>
      </w:pPr>
      <w:bookmarkStart w:id="606" w:name="bookmark606"/>
      <w:bookmarkStart w:id="607" w:name="bookmark607"/>
      <w:bookmarkStart w:id="608" w:name="bookmark608"/>
      <w:r>
        <w:rPr>
          <w:rFonts w:ascii="Arial Narrow" w:eastAsia="Arial Narrow" w:hAnsi="Arial Narrow" w:cs="Arial Narrow"/>
          <w:color w:val="000000"/>
          <w:spacing w:val="0"/>
          <w:w w:val="100"/>
          <w:position w:val="0"/>
          <w:sz w:val="20"/>
          <w:szCs w:val="20"/>
        </w:rPr>
        <w:t>（</w:t>
      </w:r>
      <w:r>
        <w:rPr>
          <w:color w:val="000000"/>
          <w:spacing w:val="0"/>
          <w:w w:val="100"/>
          <w:position w:val="0"/>
        </w:rPr>
        <w:t>十四</w:t>
      </w:r>
      <w:r>
        <w:rPr>
          <w:color w:val="000000"/>
          <w:spacing w:val="0"/>
          <w:w w:val="100"/>
          <w:position w:val="0"/>
          <w:sz w:val="24"/>
          <w:szCs w:val="24"/>
        </w:rPr>
        <w:t>）</w:t>
      </w:r>
      <w:r>
        <w:rPr>
          <w:color w:val="000000"/>
          <w:spacing w:val="0"/>
          <w:w w:val="100"/>
          <w:position w:val="0"/>
        </w:rPr>
        <w:t>借款费用</w:t>
      </w:r>
      <w:bookmarkEnd w:id="606"/>
      <w:bookmarkEnd w:id="607"/>
      <w:bookmarkEnd w:id="608"/>
    </w:p>
    <w:p>
      <w:pPr>
        <w:pStyle w:val="Style35"/>
        <w:keepNext w:val="0"/>
        <w:keepLines w:val="0"/>
        <w:widowControl w:val="0"/>
        <w:shd w:val="clear" w:color="auto" w:fill="auto"/>
        <w:tabs>
          <w:tab w:pos="801" w:val="left"/>
        </w:tabs>
        <w:bidi w:val="0"/>
        <w:spacing w:before="0" w:after="0" w:line="456" w:lineRule="exact"/>
        <w:ind w:left="0" w:right="0" w:firstLine="440"/>
        <w:jc w:val="both"/>
      </w:pPr>
      <w:bookmarkStart w:id="609" w:name="bookmark609"/>
      <w:r>
        <w:rPr>
          <w:rFonts w:ascii="Arial Narrow" w:eastAsia="Arial Narrow" w:hAnsi="Arial Narrow" w:cs="Arial Narrow"/>
          <w:color w:val="000000"/>
          <w:spacing w:val="0"/>
          <w:w w:val="100"/>
          <w:position w:val="0"/>
        </w:rPr>
        <w:t>1</w:t>
      </w:r>
      <w:bookmarkEnd w:id="609"/>
      <w:r>
        <w:rPr>
          <w:color w:val="000000"/>
          <w:spacing w:val="0"/>
          <w:w w:val="100"/>
          <w:position w:val="0"/>
        </w:rPr>
        <w:t>、</w:t>
        <w:tab/>
        <w:t>公司发生的借款费用，可直接归属于符合资本化条件的资产的购建或者生产的，予以资本化，计 入相关资产成本；其他借款费用，在发生时根据其发生额确认为费用，计入当期损益。</w:t>
      </w:r>
    </w:p>
    <w:p>
      <w:pPr>
        <w:pStyle w:val="Style35"/>
        <w:keepNext w:val="0"/>
        <w:keepLines w:val="0"/>
        <w:widowControl w:val="0"/>
        <w:shd w:val="clear" w:color="auto" w:fill="auto"/>
        <w:tabs>
          <w:tab w:pos="803" w:val="left"/>
        </w:tabs>
        <w:bidi w:val="0"/>
        <w:spacing w:before="0" w:after="0" w:line="456" w:lineRule="exact"/>
        <w:ind w:left="0" w:right="0" w:firstLine="440"/>
        <w:jc w:val="both"/>
      </w:pPr>
      <w:bookmarkStart w:id="610" w:name="bookmark610"/>
      <w:r>
        <w:rPr>
          <w:rFonts w:ascii="Arial Narrow" w:eastAsia="Arial Narrow" w:hAnsi="Arial Narrow" w:cs="Arial Narrow"/>
          <w:color w:val="000000"/>
          <w:spacing w:val="0"/>
          <w:w w:val="100"/>
          <w:position w:val="0"/>
        </w:rPr>
        <w:t>2</w:t>
      </w:r>
      <w:bookmarkEnd w:id="610"/>
      <w:r>
        <w:rPr>
          <w:color w:val="000000"/>
          <w:spacing w:val="0"/>
          <w:w w:val="100"/>
          <w:position w:val="0"/>
        </w:rPr>
        <w:t>、</w:t>
        <w:tab/>
        <w:t>借款费用同时满足以下条件时予以资本化：</w:t>
      </w:r>
    </w:p>
    <w:p>
      <w:pPr>
        <w:pStyle w:val="Style35"/>
        <w:keepNext w:val="0"/>
        <w:keepLines w:val="0"/>
        <w:widowControl w:val="0"/>
        <w:shd w:val="clear" w:color="auto" w:fill="auto"/>
        <w:tabs>
          <w:tab w:pos="1011" w:val="left"/>
        </w:tabs>
        <w:bidi w:val="0"/>
        <w:spacing w:before="0" w:after="0" w:line="456" w:lineRule="exact"/>
        <w:ind w:left="0" w:right="0" w:firstLine="440"/>
        <w:jc w:val="both"/>
      </w:pPr>
      <w:bookmarkStart w:id="611" w:name="bookmark611"/>
      <w:r>
        <w:rPr>
          <w:color w:val="000000"/>
          <w:spacing w:val="0"/>
          <w:w w:val="100"/>
          <w:position w:val="0"/>
        </w:rPr>
        <w:t>（</w:t>
      </w:r>
      <w:bookmarkEnd w:id="611"/>
      <w:r>
        <w:rPr>
          <w:rFonts w:ascii="Arial Narrow" w:eastAsia="Arial Narrow" w:hAnsi="Arial Narrow" w:cs="Arial Narrow"/>
          <w:color w:val="000000"/>
          <w:spacing w:val="0"/>
          <w:w w:val="100"/>
          <w:position w:val="0"/>
        </w:rPr>
        <w:t>1</w:t>
      </w:r>
      <w:r>
        <w:rPr>
          <w:color w:val="000000"/>
          <w:spacing w:val="0"/>
          <w:w w:val="100"/>
          <w:position w:val="0"/>
        </w:rPr>
        <w:t>）</w:t>
        <w:tab/>
        <w:t>资产支出已经发生，资产支出包括为购建或者生产符合资本化条件的资产而以支付现金、转移 非现金资产或者承担带息债务形式发生的支出；</w:t>
      </w:r>
    </w:p>
    <w:p>
      <w:pPr>
        <w:pStyle w:val="Style35"/>
        <w:keepNext w:val="0"/>
        <w:keepLines w:val="0"/>
        <w:widowControl w:val="0"/>
        <w:shd w:val="clear" w:color="auto" w:fill="auto"/>
        <w:tabs>
          <w:tab w:pos="923" w:val="left"/>
        </w:tabs>
        <w:bidi w:val="0"/>
        <w:spacing w:before="0" w:after="0" w:line="453" w:lineRule="exact"/>
        <w:ind w:left="0" w:right="0" w:firstLine="440"/>
        <w:jc w:val="both"/>
      </w:pPr>
      <w:bookmarkStart w:id="612" w:name="bookmark612"/>
      <w:r>
        <w:rPr>
          <w:color w:val="000000"/>
          <w:spacing w:val="0"/>
          <w:w w:val="100"/>
          <w:position w:val="0"/>
        </w:rPr>
        <w:t>（</w:t>
      </w:r>
      <w:bookmarkEnd w:id="612"/>
      <w:r>
        <w:rPr>
          <w:rFonts w:ascii="Arial Narrow" w:eastAsia="Arial Narrow" w:hAnsi="Arial Narrow" w:cs="Arial Narrow"/>
          <w:color w:val="000000"/>
          <w:spacing w:val="0"/>
          <w:w w:val="100"/>
          <w:position w:val="0"/>
        </w:rPr>
        <w:t>2</w:t>
      </w:r>
      <w:r>
        <w:rPr>
          <w:color w:val="000000"/>
          <w:spacing w:val="0"/>
          <w:w w:val="100"/>
          <w:position w:val="0"/>
        </w:rPr>
        <w:t>）</w:t>
        <w:tab/>
        <w:t>借款费用已经发生；</w:t>
      </w:r>
    </w:p>
    <w:p>
      <w:pPr>
        <w:pStyle w:val="Style35"/>
        <w:keepNext w:val="0"/>
        <w:keepLines w:val="0"/>
        <w:widowControl w:val="0"/>
        <w:shd w:val="clear" w:color="auto" w:fill="auto"/>
        <w:tabs>
          <w:tab w:pos="923" w:val="left"/>
        </w:tabs>
        <w:bidi w:val="0"/>
        <w:spacing w:before="0" w:after="0" w:line="453" w:lineRule="exact"/>
        <w:ind w:left="0" w:right="0" w:firstLine="440"/>
        <w:jc w:val="left"/>
      </w:pPr>
      <w:bookmarkStart w:id="613" w:name="bookmark613"/>
      <w:r>
        <w:rPr>
          <w:color w:val="000000"/>
          <w:spacing w:val="0"/>
          <w:w w:val="100"/>
          <w:position w:val="0"/>
        </w:rPr>
        <w:t>（</w:t>
      </w:r>
      <w:bookmarkEnd w:id="613"/>
      <w:r>
        <w:rPr>
          <w:rFonts w:ascii="Arial Narrow" w:eastAsia="Arial Narrow" w:hAnsi="Arial Narrow" w:cs="Arial Narrow"/>
          <w:color w:val="000000"/>
          <w:spacing w:val="0"/>
          <w:w w:val="100"/>
          <w:position w:val="0"/>
        </w:rPr>
        <w:t>3</w:t>
      </w:r>
      <w:r>
        <w:rPr>
          <w:color w:val="000000"/>
          <w:spacing w:val="0"/>
          <w:w w:val="100"/>
          <w:position w:val="0"/>
        </w:rPr>
        <w:t>）</w:t>
        <w:tab/>
        <w:t>为使资产达到预定可使用或者可销售状态所必要的购建或者生产活动已经开始。</w:t>
      </w:r>
    </w:p>
    <w:p>
      <w:pPr>
        <w:pStyle w:val="Style35"/>
        <w:keepNext w:val="0"/>
        <w:keepLines w:val="0"/>
        <w:widowControl w:val="0"/>
        <w:shd w:val="clear" w:color="auto" w:fill="auto"/>
        <w:tabs>
          <w:tab w:pos="801" w:val="left"/>
        </w:tabs>
        <w:bidi w:val="0"/>
        <w:spacing w:before="0" w:after="0" w:line="453" w:lineRule="exact"/>
        <w:ind w:left="0" w:right="0" w:firstLine="440"/>
        <w:jc w:val="both"/>
      </w:pPr>
      <w:bookmarkStart w:id="614" w:name="bookmark614"/>
      <w:r>
        <w:rPr>
          <w:rFonts w:ascii="Arial Narrow" w:eastAsia="Arial Narrow" w:hAnsi="Arial Narrow" w:cs="Arial Narrow"/>
          <w:color w:val="000000"/>
          <w:spacing w:val="0"/>
          <w:w w:val="100"/>
          <w:position w:val="0"/>
        </w:rPr>
        <w:t>3</w:t>
      </w:r>
      <w:bookmarkEnd w:id="614"/>
      <w:r>
        <w:rPr>
          <w:color w:val="000000"/>
          <w:spacing w:val="0"/>
          <w:w w:val="100"/>
          <w:position w:val="0"/>
        </w:rPr>
        <w:t>、</w:t>
        <w:tab/>
        <w:t>符合资本化条件的资产在购建或者生产过程中发生非正常中断、且中断时间连续超过</w:t>
      </w:r>
      <w:r>
        <w:rPr>
          <w:rFonts w:ascii="Arial Narrow" w:eastAsia="Arial Narrow" w:hAnsi="Arial Narrow" w:cs="Arial Narrow"/>
          <w:color w:val="000000"/>
          <w:spacing w:val="0"/>
          <w:w w:val="100"/>
          <w:position w:val="0"/>
        </w:rPr>
        <w:t>3</w:t>
      </w:r>
      <w:r>
        <w:rPr>
          <w:color w:val="000000"/>
          <w:spacing w:val="0"/>
          <w:w w:val="100"/>
          <w:position w:val="0"/>
        </w:rPr>
        <w:t>个月的， 应当暂停借款费用的资本化。在中断期间发生的借款费用应当确认为费用，计入当期损益，直至资产的购 建或者生产活动重新开始。如果中断是所购建或者生产的符合资本化条件的资产达到预定可使用或者可销 售状态必要的程序，借款费用的资本化应当继续进行。</w:t>
      </w:r>
    </w:p>
    <w:p>
      <w:pPr>
        <w:pStyle w:val="Style35"/>
        <w:keepNext w:val="0"/>
        <w:keepLines w:val="0"/>
        <w:widowControl w:val="0"/>
        <w:shd w:val="clear" w:color="auto" w:fill="auto"/>
        <w:tabs>
          <w:tab w:pos="801" w:val="left"/>
        </w:tabs>
        <w:bidi w:val="0"/>
        <w:spacing w:before="0" w:after="140" w:line="453" w:lineRule="exact"/>
        <w:ind w:left="0" w:right="0" w:firstLine="440"/>
        <w:jc w:val="both"/>
      </w:pPr>
      <w:bookmarkStart w:id="615" w:name="bookmark615"/>
      <w:r>
        <w:rPr>
          <w:rFonts w:ascii="Arial Narrow" w:eastAsia="Arial Narrow" w:hAnsi="Arial Narrow" w:cs="Arial Narrow"/>
          <w:color w:val="000000"/>
          <w:spacing w:val="0"/>
          <w:w w:val="100"/>
          <w:position w:val="0"/>
        </w:rPr>
        <w:t>4</w:t>
      </w:r>
      <w:bookmarkEnd w:id="615"/>
      <w:r>
        <w:rPr>
          <w:color w:val="000000"/>
          <w:spacing w:val="0"/>
          <w:w w:val="100"/>
          <w:position w:val="0"/>
        </w:rPr>
        <w:t>、</w:t>
        <w:tab/>
        <w:t>购建或者生产符合资本化条件的资产达到预定可使用或者可销售状态时，借款费用应当停止资本 化。在符合资本化条件的资产达到预定可使用或者可销售状态之后所发生的借款费用，应当在发生时根据 其发生额确认为费用，计入当期损益。</w:t>
      </w:r>
    </w:p>
    <w:p>
      <w:pPr>
        <w:pStyle w:val="Style38"/>
        <w:keepNext/>
        <w:keepLines/>
        <w:widowControl w:val="0"/>
        <w:shd w:val="clear" w:color="auto" w:fill="auto"/>
        <w:bidi w:val="0"/>
        <w:spacing w:before="0" w:after="0" w:line="456" w:lineRule="exact"/>
        <w:ind w:left="0" w:right="0"/>
        <w:jc w:val="both"/>
      </w:pPr>
      <w:bookmarkStart w:id="616" w:name="bookmark616"/>
      <w:bookmarkStart w:id="617" w:name="bookmark617"/>
      <w:bookmarkStart w:id="618" w:name="bookmark618"/>
      <w:r>
        <w:rPr>
          <w:rFonts w:ascii="Arial Narrow" w:eastAsia="Arial Narrow" w:hAnsi="Arial Narrow" w:cs="Arial Narrow"/>
          <w:color w:val="000000"/>
          <w:spacing w:val="0"/>
          <w:w w:val="100"/>
          <w:position w:val="0"/>
          <w:sz w:val="20"/>
          <w:szCs w:val="20"/>
        </w:rPr>
        <w:t>（</w:t>
      </w:r>
      <w:r>
        <w:rPr>
          <w:color w:val="000000"/>
          <w:spacing w:val="0"/>
          <w:w w:val="100"/>
          <w:position w:val="0"/>
        </w:rPr>
        <w:t>十五</w:t>
      </w:r>
      <w:r>
        <w:rPr>
          <w:color w:val="000000"/>
          <w:spacing w:val="0"/>
          <w:w w:val="100"/>
          <w:position w:val="0"/>
          <w:sz w:val="24"/>
          <w:szCs w:val="24"/>
        </w:rPr>
        <w:t>）</w:t>
      </w:r>
      <w:r>
        <w:rPr>
          <w:color w:val="000000"/>
          <w:spacing w:val="0"/>
          <w:w w:val="100"/>
          <w:position w:val="0"/>
        </w:rPr>
        <w:t>无形资产与开发支出</w:t>
      </w:r>
      <w:bookmarkEnd w:id="616"/>
      <w:bookmarkEnd w:id="617"/>
      <w:bookmarkEnd w:id="618"/>
    </w:p>
    <w:p>
      <w:pPr>
        <w:pStyle w:val="Style38"/>
        <w:keepNext/>
        <w:keepLines/>
        <w:widowControl w:val="0"/>
        <w:shd w:val="clear" w:color="auto" w:fill="auto"/>
        <w:tabs>
          <w:tab w:pos="801" w:val="left"/>
        </w:tabs>
        <w:bidi w:val="0"/>
        <w:spacing w:before="0" w:after="0" w:line="456" w:lineRule="exact"/>
        <w:ind w:left="0" w:right="0"/>
        <w:jc w:val="both"/>
      </w:pPr>
      <w:bookmarkStart w:id="616" w:name="bookmark616"/>
      <w:bookmarkStart w:id="617" w:name="bookmark617"/>
      <w:bookmarkStart w:id="619" w:name="bookmark619"/>
      <w:bookmarkStart w:id="620" w:name="bookmark620"/>
      <w:r>
        <w:rPr>
          <w:rFonts w:ascii="Arial Narrow" w:eastAsia="Arial Narrow" w:hAnsi="Arial Narrow" w:cs="Arial Narrow"/>
          <w:color w:val="000000"/>
          <w:spacing w:val="0"/>
          <w:w w:val="100"/>
          <w:position w:val="0"/>
          <w:sz w:val="20"/>
          <w:szCs w:val="20"/>
        </w:rPr>
        <w:t>1</w:t>
      </w:r>
      <w:bookmarkEnd w:id="619"/>
      <w:r>
        <w:rPr>
          <w:color w:val="000000"/>
          <w:spacing w:val="0"/>
          <w:w w:val="100"/>
          <w:position w:val="0"/>
        </w:rPr>
        <w:t>、</w:t>
        <w:tab/>
        <w:t>无形资产的确定标准和分类</w:t>
      </w:r>
      <w:bookmarkEnd w:id="616"/>
      <w:bookmarkEnd w:id="617"/>
      <w:bookmarkEnd w:id="620"/>
    </w:p>
    <w:p>
      <w:pPr>
        <w:pStyle w:val="Style35"/>
        <w:keepNext w:val="0"/>
        <w:keepLines w:val="0"/>
        <w:widowControl w:val="0"/>
        <w:shd w:val="clear" w:color="auto" w:fill="auto"/>
        <w:bidi w:val="0"/>
        <w:spacing w:before="0" w:after="0" w:line="456" w:lineRule="exact"/>
        <w:ind w:left="0" w:right="0" w:firstLine="440"/>
        <w:jc w:val="left"/>
      </w:pPr>
      <w:r>
        <w:rPr>
          <w:color w:val="000000"/>
          <w:spacing w:val="0"/>
          <w:w w:val="100"/>
          <w:position w:val="0"/>
        </w:rPr>
        <w:t>无形资产是指公司拥有或者控制的没有实物形态的可辨认非货币性资产。</w:t>
      </w:r>
    </w:p>
    <w:p>
      <w:pPr>
        <w:pStyle w:val="Style38"/>
        <w:keepNext/>
        <w:keepLines/>
        <w:widowControl w:val="0"/>
        <w:shd w:val="clear" w:color="auto" w:fill="auto"/>
        <w:tabs>
          <w:tab w:pos="808" w:val="left"/>
        </w:tabs>
        <w:bidi w:val="0"/>
        <w:spacing w:before="0" w:after="0" w:line="456" w:lineRule="exact"/>
        <w:ind w:left="0" w:right="0"/>
        <w:jc w:val="both"/>
      </w:pPr>
      <w:bookmarkStart w:id="621" w:name="bookmark621"/>
      <w:bookmarkStart w:id="622" w:name="bookmark622"/>
      <w:bookmarkStart w:id="623" w:name="bookmark623"/>
      <w:bookmarkStart w:id="624" w:name="bookmark624"/>
      <w:r>
        <w:rPr>
          <w:rFonts w:ascii="Arial Narrow" w:eastAsia="Arial Narrow" w:hAnsi="Arial Narrow" w:cs="Arial Narrow"/>
          <w:color w:val="000000"/>
          <w:spacing w:val="0"/>
          <w:w w:val="100"/>
          <w:position w:val="0"/>
          <w:sz w:val="20"/>
          <w:szCs w:val="20"/>
        </w:rPr>
        <w:t>2</w:t>
      </w:r>
      <w:bookmarkEnd w:id="623"/>
      <w:r>
        <w:rPr>
          <w:color w:val="000000"/>
          <w:spacing w:val="0"/>
          <w:w w:val="100"/>
          <w:position w:val="0"/>
        </w:rPr>
        <w:t>、</w:t>
        <w:tab/>
        <w:t>无形资产的计量</w:t>
      </w:r>
      <w:bookmarkEnd w:id="621"/>
      <w:bookmarkEnd w:id="622"/>
      <w:bookmarkEnd w:id="624"/>
    </w:p>
    <w:p>
      <w:pPr>
        <w:pStyle w:val="Style35"/>
        <w:keepNext w:val="0"/>
        <w:keepLines w:val="0"/>
        <w:widowControl w:val="0"/>
        <w:shd w:val="clear" w:color="auto" w:fill="auto"/>
        <w:tabs>
          <w:tab w:pos="918" w:val="left"/>
        </w:tabs>
        <w:bidi w:val="0"/>
        <w:spacing w:before="0" w:after="0" w:line="456" w:lineRule="exact"/>
        <w:ind w:left="0" w:right="0" w:firstLine="440"/>
        <w:jc w:val="both"/>
      </w:pPr>
      <w:bookmarkStart w:id="625" w:name="bookmark625"/>
      <w:r>
        <w:rPr>
          <w:color w:val="000000"/>
          <w:spacing w:val="0"/>
          <w:w w:val="100"/>
          <w:position w:val="0"/>
        </w:rPr>
        <w:t>（</w:t>
      </w:r>
      <w:bookmarkEnd w:id="625"/>
      <w:r>
        <w:rPr>
          <w:rFonts w:ascii="Arial Narrow" w:eastAsia="Arial Narrow" w:hAnsi="Arial Narrow" w:cs="Arial Narrow"/>
          <w:color w:val="000000"/>
          <w:spacing w:val="0"/>
          <w:w w:val="100"/>
          <w:position w:val="0"/>
        </w:rPr>
        <w:t>1</w:t>
      </w:r>
      <w:r>
        <w:rPr>
          <w:color w:val="000000"/>
          <w:spacing w:val="0"/>
          <w:w w:val="100"/>
          <w:position w:val="0"/>
        </w:rPr>
        <w:t>）</w:t>
        <w:tab/>
        <w:t>无形资产按成本进行初始计量。购入的无形资产，按实际支付的价款和相关支出作为实际成本。</w:t>
      </w:r>
    </w:p>
    <w:p>
      <w:pPr>
        <w:pStyle w:val="Style35"/>
        <w:keepNext w:val="0"/>
        <w:keepLines w:val="0"/>
        <w:widowControl w:val="0"/>
        <w:shd w:val="clear" w:color="auto" w:fill="auto"/>
        <w:tabs>
          <w:tab w:pos="1006" w:val="left"/>
        </w:tabs>
        <w:bidi w:val="0"/>
        <w:spacing w:before="0" w:after="120" w:line="456" w:lineRule="exact"/>
        <w:ind w:left="0" w:right="0" w:firstLine="440"/>
        <w:jc w:val="both"/>
      </w:pPr>
      <w:bookmarkStart w:id="626" w:name="bookmark626"/>
      <w:r>
        <w:rPr>
          <w:color w:val="000000"/>
          <w:spacing w:val="0"/>
          <w:w w:val="100"/>
          <w:position w:val="0"/>
        </w:rPr>
        <w:t>（</w:t>
      </w:r>
      <w:bookmarkEnd w:id="626"/>
      <w:r>
        <w:rPr>
          <w:rFonts w:ascii="Arial Narrow" w:eastAsia="Arial Narrow" w:hAnsi="Arial Narrow" w:cs="Arial Narrow"/>
          <w:color w:val="000000"/>
          <w:spacing w:val="0"/>
          <w:w w:val="100"/>
          <w:position w:val="0"/>
        </w:rPr>
        <w:t>2</w:t>
      </w:r>
      <w:r>
        <w:rPr>
          <w:color w:val="000000"/>
          <w:spacing w:val="0"/>
          <w:w w:val="100"/>
          <w:position w:val="0"/>
        </w:rPr>
        <w:t>）</w:t>
        <w:tab/>
        <w:t>自行开发的无形资产，其成本包括自满足无形资产确认规定后至达到预定用途前所发生的支出 总额。以前期间已经费用化的支出不再调整。</w:t>
      </w:r>
    </w:p>
    <w:p>
      <w:pPr>
        <w:pStyle w:val="Style35"/>
        <w:keepNext w:val="0"/>
        <w:keepLines w:val="0"/>
        <w:widowControl w:val="0"/>
        <w:shd w:val="clear" w:color="auto" w:fill="auto"/>
        <w:bidi w:val="0"/>
        <w:spacing w:before="0" w:after="0" w:line="461" w:lineRule="exact"/>
        <w:ind w:left="0" w:right="0" w:firstLine="460"/>
        <w:jc w:val="both"/>
      </w:pPr>
      <w:bookmarkStart w:id="627" w:name="bookmark627"/>
      <w:r>
        <w:rPr>
          <w:color w:val="000000"/>
          <w:spacing w:val="0"/>
          <w:w w:val="100"/>
          <w:position w:val="0"/>
        </w:rPr>
        <w:t>（</w:t>
      </w:r>
      <w:bookmarkEnd w:id="627"/>
      <w:r>
        <w:rPr>
          <w:rFonts w:ascii="Arial Narrow" w:eastAsia="Arial Narrow" w:hAnsi="Arial Narrow" w:cs="Arial Narrow"/>
          <w:color w:val="000000"/>
          <w:spacing w:val="0"/>
          <w:w w:val="100"/>
          <w:position w:val="0"/>
        </w:rPr>
        <w:t>3</w:t>
      </w:r>
      <w:r>
        <w:rPr>
          <w:color w:val="000000"/>
          <w:spacing w:val="0"/>
          <w:w w:val="100"/>
          <w:position w:val="0"/>
        </w:rPr>
        <w:t>）投资者投入的无形资产，按投资合同或协议约定的价值确定实际成本，但合同或协议约定价值 不公允的，按公允价值确定实际成本。</w:t>
      </w:r>
    </w:p>
    <w:p>
      <w:pPr>
        <w:pStyle w:val="Style38"/>
        <w:keepNext/>
        <w:keepLines/>
        <w:widowControl w:val="0"/>
        <w:shd w:val="clear" w:color="auto" w:fill="auto"/>
        <w:bidi w:val="0"/>
        <w:spacing w:before="0" w:after="0" w:line="461" w:lineRule="exact"/>
        <w:ind w:left="0" w:right="0" w:firstLine="460"/>
        <w:jc w:val="both"/>
      </w:pPr>
      <w:bookmarkStart w:id="628" w:name="bookmark628"/>
      <w:bookmarkStart w:id="629" w:name="bookmark629"/>
      <w:bookmarkStart w:id="630" w:name="bookmark630"/>
      <w:bookmarkStart w:id="631" w:name="bookmark631"/>
      <w:r>
        <w:rPr>
          <w:rFonts w:ascii="Arial Narrow" w:eastAsia="Arial Narrow" w:hAnsi="Arial Narrow" w:cs="Arial Narrow"/>
          <w:color w:val="000000"/>
          <w:spacing w:val="0"/>
          <w:w w:val="100"/>
          <w:position w:val="0"/>
          <w:sz w:val="20"/>
          <w:szCs w:val="20"/>
        </w:rPr>
        <w:t>3</w:t>
      </w:r>
      <w:bookmarkEnd w:id="630"/>
      <w:r>
        <w:rPr>
          <w:color w:val="000000"/>
          <w:spacing w:val="0"/>
          <w:w w:val="100"/>
          <w:position w:val="0"/>
        </w:rPr>
        <w:t>、无形资产的摊销</w:t>
      </w:r>
      <w:bookmarkEnd w:id="628"/>
      <w:bookmarkEnd w:id="629"/>
      <w:bookmarkEnd w:id="631"/>
    </w:p>
    <w:p>
      <w:pPr>
        <w:pStyle w:val="Style35"/>
        <w:keepNext w:val="0"/>
        <w:keepLines w:val="0"/>
        <w:widowControl w:val="0"/>
        <w:shd w:val="clear" w:color="auto" w:fill="auto"/>
        <w:bidi w:val="0"/>
        <w:spacing w:before="0" w:after="180" w:line="461" w:lineRule="exact"/>
        <w:ind w:left="0" w:right="0" w:firstLine="460"/>
        <w:jc w:val="both"/>
      </w:pPr>
      <w:r>
        <w:rPr>
          <w:color w:val="000000"/>
          <w:spacing w:val="0"/>
          <w:w w:val="100"/>
          <w:position w:val="0"/>
        </w:rPr>
        <w:t>使用寿命有限的无形资产自可供使用时起，在其预计使用寿命内采用直线法分期平均摊销。具体摊销</w:t>
      </w:r>
    </w:p>
    <w:tbl>
      <w:tblPr>
        <w:tblOverlap w:val="never"/>
        <w:jc w:val="center"/>
        <w:tblLayout w:type="fixed"/>
      </w:tblPr>
      <w:tblGrid>
        <w:gridCol w:w="5640"/>
        <w:gridCol w:w="4186"/>
      </w:tblGrid>
      <w:tr>
        <w:trPr>
          <w:trHeight w:val="302" w:hRule="exact"/>
        </w:trPr>
        <w:tc>
          <w:tcPr>
            <w:gridSpan w:val="2"/>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w:t>
            </w:r>
          </w:p>
        </w:tc>
      </w:tr>
      <w:tr>
        <w:trPr>
          <w:trHeight w:val="36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预计使用寿命</w:t>
            </w:r>
          </w:p>
        </w:tc>
      </w:tr>
      <w:tr>
        <w:trPr>
          <w:trHeight w:val="355"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软件及软件著作权</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color w:val="000000"/>
                <w:spacing w:val="0"/>
                <w:w w:val="100"/>
                <w:position w:val="0"/>
                <w:sz w:val="18"/>
                <w:szCs w:val="18"/>
              </w:rPr>
              <w:t>6</w:t>
            </w:r>
            <w:r>
              <w:rPr>
                <w:color w:val="000000"/>
                <w:spacing w:val="0"/>
                <w:w w:val="100"/>
                <w:position w:val="0"/>
                <w:sz w:val="17"/>
                <w:szCs w:val="17"/>
              </w:rPr>
              <w:t>年</w:t>
            </w:r>
          </w:p>
        </w:tc>
      </w:tr>
      <w:tr>
        <w:trPr>
          <w:trHeight w:val="355"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专有技术</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color w:val="000000"/>
                <w:spacing w:val="0"/>
                <w:w w:val="100"/>
                <w:position w:val="0"/>
                <w:sz w:val="18"/>
                <w:szCs w:val="18"/>
              </w:rPr>
              <w:t>6</w:t>
            </w:r>
            <w:r>
              <w:rPr>
                <w:color w:val="000000"/>
                <w:spacing w:val="0"/>
                <w:w w:val="100"/>
                <w:position w:val="0"/>
                <w:sz w:val="17"/>
                <w:szCs w:val="17"/>
              </w:rPr>
              <w:t>年</w:t>
            </w:r>
          </w:p>
        </w:tc>
      </w:tr>
      <w:tr>
        <w:trPr>
          <w:trHeight w:val="384"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土地使用权</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color w:val="000000"/>
                <w:spacing w:val="0"/>
                <w:w w:val="100"/>
                <w:position w:val="0"/>
                <w:sz w:val="18"/>
                <w:szCs w:val="18"/>
              </w:rPr>
              <w:t>50</w:t>
            </w:r>
            <w:r>
              <w:rPr>
                <w:color w:val="000000"/>
                <w:spacing w:val="0"/>
                <w:w w:val="100"/>
                <w:position w:val="0"/>
                <w:sz w:val="17"/>
                <w:szCs w:val="17"/>
              </w:rPr>
              <w:t>年</w:t>
            </w:r>
          </w:p>
        </w:tc>
      </w:tr>
    </w:tbl>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使用寿命不确定的无形资产不予摊销</w:t>
      </w:r>
      <w:r>
        <w:rPr>
          <w:rFonts w:ascii="Arial Narrow" w:eastAsia="Arial Narrow" w:hAnsi="Arial Narrow" w:cs="Arial Narrow"/>
          <w:color w:val="000000"/>
          <w:spacing w:val="0"/>
          <w:w w:val="100"/>
          <w:position w:val="0"/>
        </w:rPr>
        <w:t>,</w:t>
      </w:r>
      <w:r>
        <w:rPr>
          <w:color w:val="000000"/>
          <w:spacing w:val="0"/>
          <w:w w:val="100"/>
          <w:position w:val="0"/>
        </w:rPr>
        <w:t>但每年均应对该无形资产的使用寿命进行复核，并进行减值测</w:t>
      </w:r>
    </w:p>
    <w:p>
      <w:pPr>
        <w:pStyle w:val="Style35"/>
        <w:keepNext w:val="0"/>
        <w:keepLines w:val="0"/>
        <w:widowControl w:val="0"/>
        <w:shd w:val="clear" w:color="auto" w:fill="auto"/>
        <w:bidi w:val="0"/>
        <w:spacing w:before="0" w:after="0" w:line="412" w:lineRule="exact"/>
        <w:ind w:left="0" w:right="0" w:firstLine="0"/>
        <w:jc w:val="left"/>
      </w:pPr>
      <w:r>
        <w:rPr>
          <w:color w:val="000000"/>
          <w:spacing w:val="0"/>
          <w:w w:val="100"/>
          <w:position w:val="0"/>
        </w:rPr>
        <w:t>试。</w:t>
      </w:r>
    </w:p>
    <w:p>
      <w:pPr>
        <w:pStyle w:val="Style38"/>
        <w:keepNext/>
        <w:keepLines/>
        <w:widowControl w:val="0"/>
        <w:numPr>
          <w:ilvl w:val="0"/>
          <w:numId w:val="5"/>
        </w:numPr>
        <w:shd w:val="clear" w:color="auto" w:fill="auto"/>
        <w:tabs>
          <w:tab w:pos="840" w:val="left"/>
        </w:tabs>
        <w:bidi w:val="0"/>
        <w:spacing w:before="0" w:after="0" w:line="412" w:lineRule="exact"/>
        <w:ind w:left="0" w:right="0" w:firstLine="460"/>
        <w:jc w:val="left"/>
      </w:pPr>
      <w:bookmarkStart w:id="632" w:name="bookmark632"/>
      <w:bookmarkStart w:id="633" w:name="bookmark633"/>
      <w:bookmarkStart w:id="634" w:name="bookmark634"/>
      <w:bookmarkStart w:id="635" w:name="bookmark635"/>
      <w:bookmarkEnd w:id="634"/>
      <w:r>
        <w:rPr>
          <w:color w:val="000000"/>
          <w:spacing w:val="0"/>
          <w:w w:val="100"/>
          <w:position w:val="0"/>
        </w:rPr>
        <w:t>无形资产减值准备的确认标准、计提方法</w:t>
      </w:r>
      <w:bookmarkEnd w:id="632"/>
      <w:bookmarkEnd w:id="633"/>
      <w:bookmarkEnd w:id="635"/>
    </w:p>
    <w:p>
      <w:pPr>
        <w:pStyle w:val="Style35"/>
        <w:keepNext w:val="0"/>
        <w:keepLines w:val="0"/>
        <w:widowControl w:val="0"/>
        <w:shd w:val="clear" w:color="auto" w:fill="auto"/>
        <w:bidi w:val="0"/>
        <w:spacing w:before="0" w:after="0" w:line="412" w:lineRule="exact"/>
        <w:ind w:left="0" w:right="0" w:firstLine="460"/>
        <w:jc w:val="both"/>
      </w:pPr>
      <w:r>
        <w:rPr>
          <w:color w:val="000000"/>
          <w:spacing w:val="0"/>
          <w:w w:val="100"/>
          <w:position w:val="0"/>
        </w:rPr>
        <w:t>资产负债表日，公司检查各项无形资产预计给企业带来未来经济利益的能力，对预计可收回金额低于 其账面价值的，按单项预计可收回金额并将其与账面价值的差额计提减值准备。无形资产减值损失一经确 认，在以后会计期间不得转回。</w:t>
      </w:r>
    </w:p>
    <w:p>
      <w:pPr>
        <w:pStyle w:val="Style38"/>
        <w:keepNext/>
        <w:keepLines/>
        <w:widowControl w:val="0"/>
        <w:numPr>
          <w:ilvl w:val="0"/>
          <w:numId w:val="5"/>
        </w:numPr>
        <w:shd w:val="clear" w:color="auto" w:fill="auto"/>
        <w:tabs>
          <w:tab w:pos="840" w:val="left"/>
        </w:tabs>
        <w:bidi w:val="0"/>
        <w:spacing w:before="0" w:after="0" w:line="412" w:lineRule="exact"/>
        <w:ind w:left="0" w:right="0" w:firstLine="460"/>
        <w:jc w:val="left"/>
      </w:pPr>
      <w:bookmarkStart w:id="636" w:name="bookmark636"/>
      <w:bookmarkStart w:id="637" w:name="bookmark637"/>
      <w:bookmarkStart w:id="638" w:name="bookmark638"/>
      <w:bookmarkStart w:id="639" w:name="bookmark639"/>
      <w:bookmarkEnd w:id="638"/>
      <w:r>
        <w:rPr>
          <w:color w:val="000000"/>
          <w:spacing w:val="0"/>
          <w:w w:val="100"/>
          <w:position w:val="0"/>
        </w:rPr>
        <w:t>划分公司内部研究开发项目的研究阶段和开发阶段具体标准</w:t>
      </w:r>
      <w:bookmarkEnd w:id="636"/>
      <w:bookmarkEnd w:id="637"/>
      <w:bookmarkEnd w:id="639"/>
    </w:p>
    <w:p>
      <w:pPr>
        <w:pStyle w:val="Style35"/>
        <w:keepNext w:val="0"/>
        <w:keepLines w:val="0"/>
        <w:widowControl w:val="0"/>
        <w:shd w:val="clear" w:color="auto" w:fill="auto"/>
        <w:bidi w:val="0"/>
        <w:spacing w:before="0" w:after="0" w:line="412" w:lineRule="exact"/>
        <w:ind w:left="0" w:right="0" w:firstLine="460"/>
        <w:jc w:val="left"/>
      </w:pPr>
      <w:r>
        <w:rPr>
          <w:color w:val="000000"/>
          <w:spacing w:val="0"/>
          <w:w w:val="100"/>
          <w:position w:val="0"/>
        </w:rPr>
        <w:t>研究阶段：为获取并理解新的科学或技术知识等而进行的独创性的有计划调查、研究活动的阶段。 开发阶段：在进行商业性生产或使用前，将研究成果或其他知识应用于某项计划或设计，以生产出新 的或具有实质性改进的材料、装置、产品等活动的阶段。</w:t>
      </w:r>
    </w:p>
    <w:p>
      <w:pPr>
        <w:pStyle w:val="Style35"/>
        <w:keepNext w:val="0"/>
        <w:keepLines w:val="0"/>
        <w:widowControl w:val="0"/>
        <w:shd w:val="clear" w:color="auto" w:fill="auto"/>
        <w:bidi w:val="0"/>
        <w:spacing w:before="0" w:after="0" w:line="412" w:lineRule="exact"/>
        <w:ind w:left="0" w:right="0" w:firstLine="460"/>
        <w:jc w:val="left"/>
      </w:pPr>
      <w:r>
        <w:rPr>
          <w:color w:val="000000"/>
          <w:spacing w:val="0"/>
          <w:w w:val="100"/>
          <w:position w:val="0"/>
        </w:rPr>
        <w:t>内部研究开发项目研究阶段的支出，在发生时计入当期损益。</w:t>
      </w:r>
    </w:p>
    <w:p>
      <w:pPr>
        <w:pStyle w:val="Style38"/>
        <w:keepNext/>
        <w:keepLines/>
        <w:widowControl w:val="0"/>
        <w:numPr>
          <w:ilvl w:val="0"/>
          <w:numId w:val="5"/>
        </w:numPr>
        <w:shd w:val="clear" w:color="auto" w:fill="auto"/>
        <w:tabs>
          <w:tab w:pos="840" w:val="left"/>
        </w:tabs>
        <w:bidi w:val="0"/>
        <w:spacing w:before="0" w:after="0" w:line="412" w:lineRule="exact"/>
        <w:ind w:left="0" w:right="0" w:firstLine="460"/>
        <w:jc w:val="left"/>
      </w:pPr>
      <w:bookmarkStart w:id="640" w:name="bookmark640"/>
      <w:bookmarkStart w:id="641" w:name="bookmark641"/>
      <w:bookmarkStart w:id="642" w:name="bookmark642"/>
      <w:bookmarkStart w:id="643" w:name="bookmark643"/>
      <w:bookmarkEnd w:id="642"/>
      <w:r>
        <w:rPr>
          <w:color w:val="000000"/>
          <w:spacing w:val="0"/>
          <w:w w:val="100"/>
          <w:position w:val="0"/>
        </w:rPr>
        <w:t>开发阶段支出符合资本化的具体标准</w:t>
      </w:r>
      <w:bookmarkEnd w:id="640"/>
      <w:bookmarkEnd w:id="641"/>
      <w:bookmarkEnd w:id="643"/>
    </w:p>
    <w:p>
      <w:pPr>
        <w:pStyle w:val="Style35"/>
        <w:keepNext w:val="0"/>
        <w:keepLines w:val="0"/>
        <w:widowControl w:val="0"/>
        <w:shd w:val="clear" w:color="auto" w:fill="auto"/>
        <w:bidi w:val="0"/>
        <w:spacing w:before="0" w:after="0" w:line="412" w:lineRule="exact"/>
        <w:ind w:left="0" w:right="0" w:firstLine="460"/>
        <w:jc w:val="left"/>
      </w:pPr>
      <w:r>
        <w:rPr>
          <w:color w:val="000000"/>
          <w:spacing w:val="0"/>
          <w:w w:val="100"/>
          <w:position w:val="0"/>
        </w:rPr>
        <w:t>内部研究开发项目开发阶段的支出，同时满足下列条件时确认为无形资产：</w:t>
      </w:r>
    </w:p>
    <w:p>
      <w:pPr>
        <w:pStyle w:val="Style35"/>
        <w:keepNext w:val="0"/>
        <w:keepLines w:val="0"/>
        <w:widowControl w:val="0"/>
        <w:shd w:val="clear" w:color="auto" w:fill="auto"/>
        <w:tabs>
          <w:tab w:pos="938" w:val="left"/>
        </w:tabs>
        <w:bidi w:val="0"/>
        <w:spacing w:before="0" w:after="0" w:line="412" w:lineRule="exact"/>
        <w:ind w:left="0" w:right="0" w:firstLine="460"/>
        <w:jc w:val="left"/>
      </w:pPr>
      <w:bookmarkStart w:id="644" w:name="bookmark644"/>
      <w:r>
        <w:rPr>
          <w:color w:val="000000"/>
          <w:spacing w:val="0"/>
          <w:w w:val="100"/>
          <w:position w:val="0"/>
        </w:rPr>
        <w:t>（</w:t>
      </w:r>
      <w:bookmarkEnd w:id="644"/>
      <w:r>
        <w:rPr>
          <w:rFonts w:ascii="Arial Narrow" w:eastAsia="Arial Narrow" w:hAnsi="Arial Narrow" w:cs="Arial Narrow"/>
          <w:color w:val="000000"/>
          <w:spacing w:val="0"/>
          <w:w w:val="100"/>
          <w:position w:val="0"/>
        </w:rPr>
        <w:t>1</w:t>
      </w:r>
      <w:r>
        <w:rPr>
          <w:color w:val="000000"/>
          <w:spacing w:val="0"/>
          <w:w w:val="100"/>
          <w:position w:val="0"/>
        </w:rPr>
        <w:t>）</w:t>
        <w:tab/>
        <w:t>完成该无形资产以使其能够使用或出售在技术上具有可行性；</w:t>
      </w:r>
    </w:p>
    <w:p>
      <w:pPr>
        <w:pStyle w:val="Style35"/>
        <w:keepNext w:val="0"/>
        <w:keepLines w:val="0"/>
        <w:widowControl w:val="0"/>
        <w:shd w:val="clear" w:color="auto" w:fill="auto"/>
        <w:tabs>
          <w:tab w:pos="938" w:val="left"/>
        </w:tabs>
        <w:bidi w:val="0"/>
        <w:spacing w:before="0" w:after="0" w:line="412" w:lineRule="exact"/>
        <w:ind w:left="0" w:right="0" w:firstLine="460"/>
        <w:jc w:val="left"/>
      </w:pPr>
      <w:bookmarkStart w:id="645" w:name="bookmark645"/>
      <w:r>
        <w:rPr>
          <w:color w:val="000000"/>
          <w:spacing w:val="0"/>
          <w:w w:val="100"/>
          <w:position w:val="0"/>
        </w:rPr>
        <w:t>（</w:t>
      </w:r>
      <w:bookmarkEnd w:id="645"/>
      <w:r>
        <w:rPr>
          <w:rFonts w:ascii="Arial Narrow" w:eastAsia="Arial Narrow" w:hAnsi="Arial Narrow" w:cs="Arial Narrow"/>
          <w:color w:val="000000"/>
          <w:spacing w:val="0"/>
          <w:w w:val="100"/>
          <w:position w:val="0"/>
        </w:rPr>
        <w:t>2</w:t>
      </w:r>
      <w:r>
        <w:rPr>
          <w:color w:val="000000"/>
          <w:spacing w:val="0"/>
          <w:w w:val="100"/>
          <w:position w:val="0"/>
        </w:rPr>
        <w:t>）</w:t>
        <w:tab/>
        <w:t>具有完成该无形资产并使用或出售的意图；</w:t>
      </w:r>
    </w:p>
    <w:p>
      <w:pPr>
        <w:pStyle w:val="Style35"/>
        <w:keepNext w:val="0"/>
        <w:keepLines w:val="0"/>
        <w:widowControl w:val="0"/>
        <w:shd w:val="clear" w:color="auto" w:fill="auto"/>
        <w:tabs>
          <w:tab w:pos="978" w:val="left"/>
        </w:tabs>
        <w:bidi w:val="0"/>
        <w:spacing w:before="0" w:after="0" w:line="412" w:lineRule="exact"/>
        <w:ind w:left="0" w:right="0" w:firstLine="460"/>
        <w:jc w:val="left"/>
      </w:pPr>
      <w:bookmarkStart w:id="646" w:name="bookmark646"/>
      <w:r>
        <w:rPr>
          <w:color w:val="000000"/>
          <w:spacing w:val="0"/>
          <w:w w:val="100"/>
          <w:position w:val="0"/>
        </w:rPr>
        <w:t>（</w:t>
      </w:r>
      <w:bookmarkEnd w:id="646"/>
      <w:r>
        <w:rPr>
          <w:rFonts w:ascii="Arial Narrow" w:eastAsia="Arial Narrow" w:hAnsi="Arial Narrow" w:cs="Arial Narrow"/>
          <w:color w:val="000000"/>
          <w:spacing w:val="0"/>
          <w:w w:val="100"/>
          <w:position w:val="0"/>
        </w:rPr>
        <w:t>3</w:t>
      </w:r>
      <w:r>
        <w:rPr>
          <w:color w:val="000000"/>
          <w:spacing w:val="0"/>
          <w:w w:val="100"/>
          <w:position w:val="0"/>
        </w:rPr>
        <w:t>）</w:t>
        <w:tab/>
        <w:t>无形资产产生经济利益的方式，包括能够证明运用该无形资产生产的产品存在市场或无形资产 自身存在市场，无形资产将在内部使用的，能够证明其有用性；</w:t>
      </w:r>
    </w:p>
    <w:p>
      <w:pPr>
        <w:pStyle w:val="Style35"/>
        <w:keepNext w:val="0"/>
        <w:keepLines w:val="0"/>
        <w:widowControl w:val="0"/>
        <w:shd w:val="clear" w:color="auto" w:fill="auto"/>
        <w:tabs>
          <w:tab w:pos="1011" w:val="left"/>
        </w:tabs>
        <w:bidi w:val="0"/>
        <w:spacing w:before="0" w:after="0" w:line="412" w:lineRule="exact"/>
        <w:ind w:left="0" w:right="0" w:firstLine="460"/>
        <w:jc w:val="left"/>
      </w:pPr>
      <w:bookmarkStart w:id="647" w:name="bookmark647"/>
      <w:r>
        <w:rPr>
          <w:color w:val="000000"/>
          <w:spacing w:val="0"/>
          <w:w w:val="100"/>
          <w:position w:val="0"/>
        </w:rPr>
        <w:t>（</w:t>
      </w:r>
      <w:bookmarkEnd w:id="647"/>
      <w:r>
        <w:rPr>
          <w:rFonts w:ascii="Arial Narrow" w:eastAsia="Arial Narrow" w:hAnsi="Arial Narrow" w:cs="Arial Narrow"/>
          <w:color w:val="000000"/>
          <w:spacing w:val="0"/>
          <w:w w:val="100"/>
          <w:position w:val="0"/>
        </w:rPr>
        <w:t>4</w:t>
      </w:r>
      <w:r>
        <w:rPr>
          <w:color w:val="000000"/>
          <w:spacing w:val="0"/>
          <w:w w:val="100"/>
          <w:position w:val="0"/>
        </w:rPr>
        <w:t>）</w:t>
        <w:tab/>
        <w:t>有足够的技术、财务资源和其他资源支持，以完成该无形资产的开发，并有能力使用或出售该 无形资产；</w:t>
      </w:r>
    </w:p>
    <w:p>
      <w:pPr>
        <w:pStyle w:val="Style35"/>
        <w:keepNext w:val="0"/>
        <w:keepLines w:val="0"/>
        <w:widowControl w:val="0"/>
        <w:shd w:val="clear" w:color="auto" w:fill="auto"/>
        <w:tabs>
          <w:tab w:pos="943" w:val="left"/>
        </w:tabs>
        <w:bidi w:val="0"/>
        <w:spacing w:before="0" w:after="0" w:line="412" w:lineRule="exact"/>
        <w:ind w:left="0" w:right="0" w:firstLine="460"/>
        <w:jc w:val="left"/>
      </w:pPr>
      <w:bookmarkStart w:id="648" w:name="bookmark648"/>
      <w:r>
        <w:rPr>
          <w:color w:val="000000"/>
          <w:spacing w:val="0"/>
          <w:w w:val="100"/>
          <w:position w:val="0"/>
        </w:rPr>
        <w:t>（</w:t>
      </w:r>
      <w:bookmarkEnd w:id="648"/>
      <w:r>
        <w:rPr>
          <w:rFonts w:ascii="Arial Narrow" w:eastAsia="Arial Narrow" w:hAnsi="Arial Narrow" w:cs="Arial Narrow"/>
          <w:color w:val="000000"/>
          <w:spacing w:val="0"/>
          <w:w w:val="100"/>
          <w:position w:val="0"/>
        </w:rPr>
        <w:t>5</w:t>
      </w:r>
      <w:r>
        <w:rPr>
          <w:color w:val="000000"/>
          <w:spacing w:val="0"/>
          <w:w w:val="100"/>
          <w:position w:val="0"/>
        </w:rPr>
        <w:t>）</w:t>
        <w:tab/>
        <w:t>归属于该无形资产开发阶段的支出能够可靠地计量。</w:t>
      </w:r>
    </w:p>
    <w:p>
      <w:pPr>
        <w:pStyle w:val="Style35"/>
        <w:keepNext w:val="0"/>
        <w:keepLines w:val="0"/>
        <w:widowControl w:val="0"/>
        <w:shd w:val="clear" w:color="auto" w:fill="auto"/>
        <w:bidi w:val="0"/>
        <w:spacing w:before="0" w:after="180" w:line="412" w:lineRule="exact"/>
        <w:ind w:left="0" w:right="0" w:firstLine="460"/>
        <w:jc w:val="both"/>
      </w:pPr>
      <w:r>
        <w:rPr>
          <w:color w:val="000000"/>
          <w:spacing w:val="0"/>
          <w:w w:val="100"/>
          <w:position w:val="0"/>
        </w:rPr>
        <w:t>公司研究开发项目在满足上述条件，通过技术可行性及经济可行性研究，形成项目立项后，进入开发 阶段。已资本化的开发阶段的支出在资产负债表上列示为开发支出，自该项目达到预定可使用状态之日转 为无形资产。</w:t>
      </w:r>
    </w:p>
    <w:p>
      <w:pPr>
        <w:pStyle w:val="Style35"/>
        <w:keepNext w:val="0"/>
        <w:keepLines w:val="0"/>
        <w:widowControl w:val="0"/>
        <w:shd w:val="clear" w:color="auto" w:fill="auto"/>
        <w:bidi w:val="0"/>
        <w:spacing w:before="0" w:after="0" w:line="412" w:lineRule="exact"/>
        <w:ind w:left="0" w:right="0" w:firstLine="460"/>
        <w:jc w:val="both"/>
      </w:pPr>
      <w:r>
        <w:rPr>
          <w:rFonts w:ascii="Arial Narrow" w:eastAsia="Arial Narrow" w:hAnsi="Arial Narrow" w:cs="Arial Narrow"/>
          <w:b/>
          <w:bCs/>
          <w:color w:val="000000"/>
          <w:spacing w:val="0"/>
          <w:w w:val="100"/>
          <w:position w:val="0"/>
          <w:sz w:val="20"/>
          <w:szCs w:val="20"/>
        </w:rPr>
        <w:t>（</w:t>
      </w:r>
      <w:r>
        <w:rPr>
          <w:b/>
          <w:bCs/>
          <w:color w:val="000000"/>
          <w:spacing w:val="0"/>
          <w:w w:val="100"/>
          <w:position w:val="0"/>
        </w:rPr>
        <w:t>十六</w:t>
      </w:r>
      <w:r>
        <w:rPr>
          <w:b/>
          <w:bCs/>
          <w:color w:val="000000"/>
          <w:spacing w:val="0"/>
          <w:w w:val="100"/>
          <w:position w:val="0"/>
          <w:sz w:val="24"/>
          <w:szCs w:val="24"/>
        </w:rPr>
        <w:t>）</w:t>
      </w:r>
      <w:r>
        <w:rPr>
          <w:b/>
          <w:bCs/>
          <w:color w:val="000000"/>
          <w:spacing w:val="0"/>
          <w:w w:val="100"/>
          <w:position w:val="0"/>
        </w:rPr>
        <w:t>长期待摊费用</w:t>
      </w:r>
    </w:p>
    <w:p>
      <w:pPr>
        <w:pStyle w:val="Style35"/>
        <w:keepNext w:val="0"/>
        <w:keepLines w:val="0"/>
        <w:widowControl w:val="0"/>
        <w:shd w:val="clear" w:color="auto" w:fill="auto"/>
        <w:bidi w:val="0"/>
        <w:spacing w:before="0" w:after="320" w:line="410" w:lineRule="exact"/>
        <w:ind w:left="0" w:right="0" w:firstLine="420"/>
        <w:jc w:val="both"/>
      </w:pPr>
      <w:r>
        <w:rPr>
          <w:color w:val="000000"/>
          <w:spacing w:val="0"/>
          <w:w w:val="100"/>
          <w:position w:val="0"/>
        </w:rPr>
        <w:t>长期待摊费用是指已经支出，但受益期限在一年以上（不含一年）的各项费用，长期待摊费用按发生 时的实际成本计价，并在受益期限内平均摊销。如果长期待摊费用项目不能使以后会计期间受益的，则将 尚未摊销的该项目的摊余价值全部转入当期损益。</w:t>
      </w:r>
    </w:p>
    <w:p>
      <w:pPr>
        <w:pStyle w:val="Style38"/>
        <w:keepNext/>
        <w:keepLines/>
        <w:widowControl w:val="0"/>
        <w:shd w:val="clear" w:color="auto" w:fill="auto"/>
        <w:bidi w:val="0"/>
        <w:spacing w:before="0" w:after="0" w:line="432" w:lineRule="auto"/>
        <w:ind w:left="0" w:right="0" w:firstLine="420"/>
        <w:jc w:val="both"/>
      </w:pPr>
      <w:bookmarkStart w:id="649" w:name="bookmark649"/>
      <w:bookmarkStart w:id="650" w:name="bookmark650"/>
      <w:bookmarkStart w:id="651" w:name="bookmark651"/>
      <w:r>
        <w:rPr>
          <w:rFonts w:ascii="Arial Narrow" w:eastAsia="Arial Narrow" w:hAnsi="Arial Narrow" w:cs="Arial Narrow"/>
          <w:color w:val="000000"/>
          <w:spacing w:val="0"/>
          <w:w w:val="100"/>
          <w:position w:val="0"/>
          <w:sz w:val="20"/>
          <w:szCs w:val="20"/>
        </w:rPr>
        <w:t>（</w:t>
      </w:r>
      <w:r>
        <w:rPr>
          <w:color w:val="000000"/>
          <w:spacing w:val="0"/>
          <w:w w:val="100"/>
          <w:position w:val="0"/>
        </w:rPr>
        <w:t>十七</w:t>
      </w:r>
      <w:r>
        <w:rPr>
          <w:color w:val="000000"/>
          <w:spacing w:val="0"/>
          <w:w w:val="100"/>
          <w:position w:val="0"/>
          <w:sz w:val="24"/>
          <w:szCs w:val="24"/>
        </w:rPr>
        <w:t>）</w:t>
      </w:r>
      <w:r>
        <w:rPr>
          <w:color w:val="000000"/>
          <w:spacing w:val="0"/>
          <w:w w:val="100"/>
          <w:position w:val="0"/>
        </w:rPr>
        <w:t>预计负债</w:t>
      </w:r>
      <w:bookmarkEnd w:id="649"/>
      <w:bookmarkEnd w:id="650"/>
      <w:bookmarkEnd w:id="651"/>
    </w:p>
    <w:p>
      <w:pPr>
        <w:pStyle w:val="Style38"/>
        <w:keepNext/>
        <w:keepLines/>
        <w:widowControl w:val="0"/>
        <w:shd w:val="clear" w:color="auto" w:fill="auto"/>
        <w:tabs>
          <w:tab w:pos="826" w:val="left"/>
        </w:tabs>
        <w:bidi w:val="0"/>
        <w:spacing w:before="0" w:after="0" w:line="432" w:lineRule="auto"/>
        <w:ind w:left="0" w:right="0" w:firstLine="420"/>
        <w:jc w:val="both"/>
      </w:pPr>
      <w:bookmarkStart w:id="649" w:name="bookmark649"/>
      <w:bookmarkStart w:id="650" w:name="bookmark650"/>
      <w:bookmarkStart w:id="652" w:name="bookmark652"/>
      <w:bookmarkStart w:id="653" w:name="bookmark653"/>
      <w:r>
        <w:rPr>
          <w:rFonts w:ascii="Arial Narrow" w:eastAsia="Arial Narrow" w:hAnsi="Arial Narrow" w:cs="Arial Narrow"/>
          <w:color w:val="000000"/>
          <w:spacing w:val="0"/>
          <w:w w:val="100"/>
          <w:position w:val="0"/>
          <w:sz w:val="20"/>
          <w:szCs w:val="20"/>
        </w:rPr>
        <w:t>1</w:t>
      </w:r>
      <w:bookmarkEnd w:id="652"/>
      <w:r>
        <w:rPr>
          <w:color w:val="000000"/>
          <w:spacing w:val="0"/>
          <w:w w:val="100"/>
          <w:position w:val="0"/>
        </w:rPr>
        <w:t>、</w:t>
        <w:tab/>
        <w:t>预计负债的确认标准</w:t>
      </w:r>
      <w:bookmarkEnd w:id="649"/>
      <w:bookmarkEnd w:id="650"/>
      <w:bookmarkEnd w:id="653"/>
    </w:p>
    <w:p>
      <w:pPr>
        <w:pStyle w:val="Style35"/>
        <w:keepNext w:val="0"/>
        <w:keepLines w:val="0"/>
        <w:widowControl w:val="0"/>
        <w:shd w:val="clear" w:color="auto" w:fill="auto"/>
        <w:bidi w:val="0"/>
        <w:spacing w:before="0" w:after="0" w:line="413" w:lineRule="exact"/>
        <w:ind w:left="0" w:right="0" w:firstLine="420"/>
        <w:jc w:val="both"/>
      </w:pPr>
      <w:r>
        <w:rPr>
          <w:color w:val="000000"/>
          <w:spacing w:val="0"/>
          <w:w w:val="100"/>
          <w:position w:val="0"/>
        </w:rPr>
        <w:t>当与对外担保、未决诉讼或仲裁、产品质量保证、裁员计划、亏损合同、重组义务、固定资产弃置义 务等或有事项相关的业务同时符合以下条件时，确认为负债：</w:t>
      </w:r>
    </w:p>
    <w:p>
      <w:pPr>
        <w:pStyle w:val="Style35"/>
        <w:keepNext w:val="0"/>
        <w:keepLines w:val="0"/>
        <w:widowControl w:val="0"/>
        <w:shd w:val="clear" w:color="auto" w:fill="auto"/>
        <w:tabs>
          <w:tab w:pos="898" w:val="left"/>
        </w:tabs>
        <w:bidi w:val="0"/>
        <w:spacing w:before="0" w:after="0" w:line="413" w:lineRule="exact"/>
        <w:ind w:left="0" w:right="0" w:firstLine="420"/>
        <w:jc w:val="left"/>
      </w:pPr>
      <w:bookmarkStart w:id="654" w:name="bookmark654"/>
      <w:r>
        <w:rPr>
          <w:color w:val="000000"/>
          <w:spacing w:val="0"/>
          <w:w w:val="100"/>
          <w:position w:val="0"/>
        </w:rPr>
        <w:t>（</w:t>
      </w:r>
      <w:bookmarkEnd w:id="654"/>
      <w:r>
        <w:rPr>
          <w:rFonts w:ascii="Arial Narrow" w:eastAsia="Arial Narrow" w:hAnsi="Arial Narrow" w:cs="Arial Narrow"/>
          <w:color w:val="000000"/>
          <w:spacing w:val="0"/>
          <w:w w:val="100"/>
          <w:position w:val="0"/>
        </w:rPr>
        <w:t>1</w:t>
      </w:r>
      <w:r>
        <w:rPr>
          <w:color w:val="000000"/>
          <w:spacing w:val="0"/>
          <w:w w:val="100"/>
          <w:position w:val="0"/>
        </w:rPr>
        <w:t>）</w:t>
        <w:tab/>
        <w:t>该义务是公司承担的现时义务；</w:t>
      </w:r>
    </w:p>
    <w:p>
      <w:pPr>
        <w:pStyle w:val="Style35"/>
        <w:keepNext w:val="0"/>
        <w:keepLines w:val="0"/>
        <w:widowControl w:val="0"/>
        <w:shd w:val="clear" w:color="auto" w:fill="auto"/>
        <w:tabs>
          <w:tab w:pos="898" w:val="left"/>
        </w:tabs>
        <w:bidi w:val="0"/>
        <w:spacing w:before="0" w:after="0" w:line="413" w:lineRule="exact"/>
        <w:ind w:left="0" w:right="0" w:firstLine="420"/>
        <w:jc w:val="left"/>
      </w:pPr>
      <w:bookmarkStart w:id="655" w:name="bookmark655"/>
      <w:r>
        <w:rPr>
          <w:color w:val="000000"/>
          <w:spacing w:val="0"/>
          <w:w w:val="100"/>
          <w:position w:val="0"/>
        </w:rPr>
        <w:t>（</w:t>
      </w:r>
      <w:bookmarkEnd w:id="655"/>
      <w:r>
        <w:rPr>
          <w:rFonts w:ascii="Arial Narrow" w:eastAsia="Arial Narrow" w:hAnsi="Arial Narrow" w:cs="Arial Narrow"/>
          <w:color w:val="000000"/>
          <w:spacing w:val="0"/>
          <w:w w:val="100"/>
          <w:position w:val="0"/>
        </w:rPr>
        <w:t>2</w:t>
      </w:r>
      <w:r>
        <w:rPr>
          <w:color w:val="000000"/>
          <w:spacing w:val="0"/>
          <w:w w:val="100"/>
          <w:position w:val="0"/>
        </w:rPr>
        <w:t>）</w:t>
        <w:tab/>
        <w:t>该义务的履行很可能导致经济利益流出企业；</w:t>
      </w:r>
    </w:p>
    <w:p>
      <w:pPr>
        <w:pStyle w:val="Style35"/>
        <w:keepNext w:val="0"/>
        <w:keepLines w:val="0"/>
        <w:widowControl w:val="0"/>
        <w:shd w:val="clear" w:color="auto" w:fill="auto"/>
        <w:tabs>
          <w:tab w:pos="898" w:val="left"/>
        </w:tabs>
        <w:bidi w:val="0"/>
        <w:spacing w:before="0" w:after="180" w:line="413" w:lineRule="exact"/>
        <w:ind w:left="0" w:right="0" w:firstLine="420"/>
        <w:jc w:val="both"/>
      </w:pPr>
      <w:bookmarkStart w:id="656" w:name="bookmark656"/>
      <w:r>
        <w:rPr>
          <w:color w:val="000000"/>
          <w:spacing w:val="0"/>
          <w:w w:val="100"/>
          <w:position w:val="0"/>
        </w:rPr>
        <w:t>（</w:t>
      </w:r>
      <w:bookmarkEnd w:id="656"/>
      <w:r>
        <w:rPr>
          <w:rFonts w:ascii="Arial Narrow" w:eastAsia="Arial Narrow" w:hAnsi="Arial Narrow" w:cs="Arial Narrow"/>
          <w:color w:val="000000"/>
          <w:spacing w:val="0"/>
          <w:w w:val="100"/>
          <w:position w:val="0"/>
        </w:rPr>
        <w:t>3</w:t>
      </w:r>
      <w:r>
        <w:rPr>
          <w:color w:val="000000"/>
          <w:spacing w:val="0"/>
          <w:w w:val="100"/>
          <w:position w:val="0"/>
        </w:rPr>
        <w:t>）</w:t>
        <w:tab/>
        <w:t>该义务的金额能够可靠地计量。</w:t>
      </w:r>
    </w:p>
    <w:p>
      <w:pPr>
        <w:pStyle w:val="Style38"/>
        <w:keepNext/>
        <w:keepLines/>
        <w:widowControl w:val="0"/>
        <w:shd w:val="clear" w:color="auto" w:fill="auto"/>
        <w:tabs>
          <w:tab w:pos="826" w:val="left"/>
        </w:tabs>
        <w:bidi w:val="0"/>
        <w:spacing w:before="0" w:after="0" w:line="432" w:lineRule="auto"/>
        <w:ind w:left="0" w:right="0" w:firstLine="420"/>
        <w:jc w:val="both"/>
      </w:pPr>
      <w:bookmarkStart w:id="657" w:name="bookmark657"/>
      <w:bookmarkStart w:id="658" w:name="bookmark658"/>
      <w:bookmarkStart w:id="659" w:name="bookmark659"/>
      <w:bookmarkStart w:id="660" w:name="bookmark660"/>
      <w:r>
        <w:rPr>
          <w:rFonts w:ascii="Arial Narrow" w:eastAsia="Arial Narrow" w:hAnsi="Arial Narrow" w:cs="Arial Narrow"/>
          <w:color w:val="000000"/>
          <w:spacing w:val="0"/>
          <w:w w:val="100"/>
          <w:position w:val="0"/>
          <w:sz w:val="20"/>
          <w:szCs w:val="20"/>
        </w:rPr>
        <w:t>2</w:t>
      </w:r>
      <w:bookmarkEnd w:id="659"/>
      <w:r>
        <w:rPr>
          <w:color w:val="000000"/>
          <w:spacing w:val="0"/>
          <w:w w:val="100"/>
          <w:position w:val="0"/>
        </w:rPr>
        <w:t>、</w:t>
        <w:tab/>
        <w:t>预计负债的计量方法</w:t>
      </w:r>
      <w:bookmarkEnd w:id="657"/>
      <w:bookmarkEnd w:id="658"/>
      <w:bookmarkEnd w:id="660"/>
    </w:p>
    <w:p>
      <w:pPr>
        <w:pStyle w:val="Style35"/>
        <w:keepNext w:val="0"/>
        <w:keepLines w:val="0"/>
        <w:widowControl w:val="0"/>
        <w:shd w:val="clear" w:color="auto" w:fill="auto"/>
        <w:bidi w:val="0"/>
        <w:spacing w:before="0" w:after="0" w:line="413" w:lineRule="exact"/>
        <w:ind w:left="0" w:right="0" w:firstLine="420"/>
        <w:jc w:val="both"/>
      </w:pPr>
      <w:r>
        <w:rPr>
          <w:color w:val="000000"/>
          <w:spacing w:val="0"/>
          <w:w w:val="100"/>
          <w:position w:val="0"/>
        </w:rPr>
        <w:t>预计负债按照履行现时义务所需支出的最佳估计数进行精算并初始计量。所需支出存在一个连续范 围，且该范围内各种结果发生的可能性相同的最佳估计数按该范围的中间值确定；在其他情况下，最佳估 计数按如下方法确定：</w:t>
      </w:r>
    </w:p>
    <w:p>
      <w:pPr>
        <w:pStyle w:val="Style35"/>
        <w:keepNext w:val="0"/>
        <w:keepLines w:val="0"/>
        <w:widowControl w:val="0"/>
        <w:shd w:val="clear" w:color="auto" w:fill="auto"/>
        <w:bidi w:val="0"/>
        <w:spacing w:before="0" w:after="0" w:line="413" w:lineRule="exact"/>
        <w:ind w:left="0" w:right="0" w:firstLine="420"/>
        <w:jc w:val="left"/>
      </w:pPr>
      <w:bookmarkStart w:id="661" w:name="bookmark661"/>
      <w:r>
        <w:rPr>
          <w:color w:val="000000"/>
          <w:spacing w:val="0"/>
          <w:w w:val="100"/>
          <w:position w:val="0"/>
        </w:rPr>
        <w:t>（</w:t>
      </w:r>
      <w:bookmarkEnd w:id="661"/>
      <w:r>
        <w:rPr>
          <w:rFonts w:ascii="Arial Narrow" w:eastAsia="Arial Narrow" w:hAnsi="Arial Narrow" w:cs="Arial Narrow"/>
          <w:color w:val="000000"/>
          <w:spacing w:val="0"/>
          <w:w w:val="100"/>
          <w:position w:val="0"/>
        </w:rPr>
        <w:t>1</w:t>
      </w:r>
      <w:r>
        <w:rPr>
          <w:color w:val="000000"/>
          <w:spacing w:val="0"/>
          <w:w w:val="100"/>
          <w:position w:val="0"/>
        </w:rPr>
        <w:t>） 或有事项涉及单个项目时，最佳估计数按最可能发生金额确定；</w:t>
      </w:r>
    </w:p>
    <w:p>
      <w:pPr>
        <w:pStyle w:val="Style35"/>
        <w:keepNext w:val="0"/>
        <w:keepLines w:val="0"/>
        <w:widowControl w:val="0"/>
        <w:shd w:val="clear" w:color="auto" w:fill="auto"/>
        <w:bidi w:val="0"/>
        <w:spacing w:before="0" w:after="0" w:line="413" w:lineRule="exact"/>
        <w:ind w:left="0" w:right="0" w:firstLine="420"/>
        <w:jc w:val="left"/>
      </w:pPr>
      <w:bookmarkStart w:id="662" w:name="bookmark662"/>
      <w:r>
        <w:rPr>
          <w:color w:val="000000"/>
          <w:spacing w:val="0"/>
          <w:w w:val="100"/>
          <w:position w:val="0"/>
        </w:rPr>
        <w:t>（</w:t>
      </w:r>
      <w:bookmarkEnd w:id="662"/>
      <w:r>
        <w:rPr>
          <w:rFonts w:ascii="Arial Narrow" w:eastAsia="Arial Narrow" w:hAnsi="Arial Narrow" w:cs="Arial Narrow"/>
          <w:color w:val="000000"/>
          <w:spacing w:val="0"/>
          <w:w w:val="100"/>
          <w:position w:val="0"/>
        </w:rPr>
        <w:t>2</w:t>
      </w:r>
      <w:r>
        <w:rPr>
          <w:color w:val="000000"/>
          <w:spacing w:val="0"/>
          <w:w w:val="100"/>
          <w:position w:val="0"/>
        </w:rPr>
        <w:t>） 或有事项涉及多个项目时，最佳估计数按各种可能发生额及其发生概率计算确定。</w:t>
      </w:r>
    </w:p>
    <w:p>
      <w:pPr>
        <w:pStyle w:val="Style35"/>
        <w:keepNext w:val="0"/>
        <w:keepLines w:val="0"/>
        <w:widowControl w:val="0"/>
        <w:shd w:val="clear" w:color="auto" w:fill="auto"/>
        <w:bidi w:val="0"/>
        <w:spacing w:before="0" w:after="320" w:line="413" w:lineRule="exact"/>
        <w:ind w:left="0" w:right="0" w:firstLine="420"/>
        <w:jc w:val="left"/>
      </w:pPr>
      <w:r>
        <w:rPr>
          <w:color w:val="000000"/>
          <w:spacing w:val="0"/>
          <w:w w:val="100"/>
          <w:position w:val="0"/>
        </w:rPr>
        <w:t>公司清偿预计负债所需支出全部或部分预期由第三方或其他方补偿的，则补偿金额在基本确定能收到 时，作为资产单独确认。确认的补偿金额不超过所确认预计负债的账面价值。</w:t>
      </w:r>
    </w:p>
    <w:p>
      <w:pPr>
        <w:pStyle w:val="Style38"/>
        <w:keepNext/>
        <w:keepLines/>
        <w:widowControl w:val="0"/>
        <w:shd w:val="clear" w:color="auto" w:fill="auto"/>
        <w:bidi w:val="0"/>
        <w:spacing w:before="0" w:after="0" w:line="432" w:lineRule="auto"/>
        <w:ind w:left="0" w:right="0" w:firstLine="420"/>
        <w:jc w:val="left"/>
      </w:pPr>
      <w:bookmarkStart w:id="663" w:name="bookmark663"/>
      <w:bookmarkStart w:id="664" w:name="bookmark664"/>
      <w:bookmarkStart w:id="665" w:name="bookmark665"/>
      <w:r>
        <w:rPr>
          <w:rFonts w:ascii="Arial Narrow" w:eastAsia="Arial Narrow" w:hAnsi="Arial Narrow" w:cs="Arial Narrow"/>
          <w:color w:val="000000"/>
          <w:spacing w:val="0"/>
          <w:w w:val="100"/>
          <w:position w:val="0"/>
          <w:sz w:val="20"/>
          <w:szCs w:val="20"/>
        </w:rPr>
        <w:t>（</w:t>
      </w:r>
      <w:r>
        <w:rPr>
          <w:color w:val="000000"/>
          <w:spacing w:val="0"/>
          <w:w w:val="100"/>
          <w:position w:val="0"/>
        </w:rPr>
        <w:t>十八</w:t>
      </w:r>
      <w:r>
        <w:rPr>
          <w:color w:val="000000"/>
          <w:spacing w:val="0"/>
          <w:w w:val="100"/>
          <w:position w:val="0"/>
          <w:sz w:val="24"/>
          <w:szCs w:val="24"/>
        </w:rPr>
        <w:t>）</w:t>
      </w:r>
      <w:r>
        <w:rPr>
          <w:color w:val="000000"/>
          <w:spacing w:val="0"/>
          <w:w w:val="100"/>
          <w:position w:val="0"/>
        </w:rPr>
        <w:t>收入</w:t>
      </w:r>
      <w:bookmarkEnd w:id="663"/>
      <w:bookmarkEnd w:id="664"/>
      <w:bookmarkEnd w:id="665"/>
    </w:p>
    <w:p>
      <w:pPr>
        <w:pStyle w:val="Style38"/>
        <w:keepNext/>
        <w:keepLines/>
        <w:widowControl w:val="0"/>
        <w:shd w:val="clear" w:color="auto" w:fill="auto"/>
        <w:tabs>
          <w:tab w:pos="826" w:val="left"/>
        </w:tabs>
        <w:bidi w:val="0"/>
        <w:spacing w:before="0" w:after="0" w:line="432" w:lineRule="auto"/>
        <w:ind w:left="0" w:right="0" w:firstLine="420"/>
        <w:jc w:val="left"/>
      </w:pPr>
      <w:bookmarkStart w:id="663" w:name="bookmark663"/>
      <w:bookmarkStart w:id="664" w:name="bookmark664"/>
      <w:bookmarkStart w:id="666" w:name="bookmark666"/>
      <w:bookmarkStart w:id="667" w:name="bookmark667"/>
      <w:r>
        <w:rPr>
          <w:rFonts w:ascii="Arial Narrow" w:eastAsia="Arial Narrow" w:hAnsi="Arial Narrow" w:cs="Arial Narrow"/>
          <w:color w:val="000000"/>
          <w:spacing w:val="0"/>
          <w:w w:val="100"/>
          <w:position w:val="0"/>
          <w:sz w:val="20"/>
          <w:szCs w:val="20"/>
        </w:rPr>
        <w:t>1</w:t>
      </w:r>
      <w:bookmarkEnd w:id="666"/>
      <w:r>
        <w:rPr>
          <w:color w:val="000000"/>
          <w:spacing w:val="0"/>
          <w:w w:val="100"/>
          <w:position w:val="0"/>
        </w:rPr>
        <w:t>、</w:t>
        <w:tab/>
        <w:t>销售商品的收入，在下列条件均能满足时予以确认：</w:t>
      </w:r>
      <w:bookmarkEnd w:id="663"/>
      <w:bookmarkEnd w:id="664"/>
      <w:bookmarkEnd w:id="667"/>
    </w:p>
    <w:p>
      <w:pPr>
        <w:pStyle w:val="Style35"/>
        <w:keepNext w:val="0"/>
        <w:keepLines w:val="0"/>
        <w:widowControl w:val="0"/>
        <w:shd w:val="clear" w:color="auto" w:fill="auto"/>
        <w:tabs>
          <w:tab w:pos="898" w:val="left"/>
        </w:tabs>
        <w:bidi w:val="0"/>
        <w:spacing w:before="0" w:after="0" w:line="413" w:lineRule="exact"/>
        <w:ind w:left="0" w:right="0" w:firstLine="420"/>
        <w:jc w:val="left"/>
      </w:pPr>
      <w:bookmarkStart w:id="668" w:name="bookmark668"/>
      <w:r>
        <w:rPr>
          <w:color w:val="000000"/>
          <w:spacing w:val="0"/>
          <w:w w:val="100"/>
          <w:position w:val="0"/>
        </w:rPr>
        <w:t>（</w:t>
      </w:r>
      <w:bookmarkEnd w:id="668"/>
      <w:r>
        <w:rPr>
          <w:rFonts w:ascii="Arial Narrow" w:eastAsia="Arial Narrow" w:hAnsi="Arial Narrow" w:cs="Arial Narrow"/>
          <w:color w:val="000000"/>
          <w:spacing w:val="0"/>
          <w:w w:val="100"/>
          <w:position w:val="0"/>
        </w:rPr>
        <w:t>1</w:t>
      </w:r>
      <w:r>
        <w:rPr>
          <w:color w:val="000000"/>
          <w:spacing w:val="0"/>
          <w:w w:val="100"/>
          <w:position w:val="0"/>
        </w:rPr>
        <w:t>）</w:t>
        <w:tab/>
        <w:t>公司己将商品所有权上的主要风险和报酬转移给购货方。</w:t>
      </w:r>
    </w:p>
    <w:p>
      <w:pPr>
        <w:pStyle w:val="Style35"/>
        <w:keepNext w:val="0"/>
        <w:keepLines w:val="0"/>
        <w:widowControl w:val="0"/>
        <w:shd w:val="clear" w:color="auto" w:fill="auto"/>
        <w:tabs>
          <w:tab w:pos="898" w:val="left"/>
        </w:tabs>
        <w:bidi w:val="0"/>
        <w:spacing w:before="0" w:after="0" w:line="413" w:lineRule="exact"/>
        <w:ind w:left="0" w:right="0" w:firstLine="420"/>
        <w:jc w:val="left"/>
      </w:pPr>
      <w:bookmarkStart w:id="669" w:name="bookmark669"/>
      <w:r>
        <w:rPr>
          <w:color w:val="000000"/>
          <w:spacing w:val="0"/>
          <w:w w:val="100"/>
          <w:position w:val="0"/>
        </w:rPr>
        <w:t>（</w:t>
      </w:r>
      <w:bookmarkEnd w:id="669"/>
      <w:r>
        <w:rPr>
          <w:rFonts w:ascii="Arial Narrow" w:eastAsia="Arial Narrow" w:hAnsi="Arial Narrow" w:cs="Arial Narrow"/>
          <w:color w:val="000000"/>
          <w:spacing w:val="0"/>
          <w:w w:val="100"/>
          <w:position w:val="0"/>
        </w:rPr>
        <w:t>2</w:t>
      </w:r>
      <w:r>
        <w:rPr>
          <w:color w:val="000000"/>
          <w:spacing w:val="0"/>
          <w:w w:val="100"/>
          <w:position w:val="0"/>
        </w:rPr>
        <w:t>）</w:t>
        <w:tab/>
        <w:t>公司既没有保留通常与所有权相联系的继续管理权，也没有对已售出的商品实施有效控制。</w:t>
      </w:r>
    </w:p>
    <w:p>
      <w:pPr>
        <w:pStyle w:val="Style35"/>
        <w:keepNext w:val="0"/>
        <w:keepLines w:val="0"/>
        <w:widowControl w:val="0"/>
        <w:shd w:val="clear" w:color="auto" w:fill="auto"/>
        <w:tabs>
          <w:tab w:pos="898" w:val="left"/>
        </w:tabs>
        <w:bidi w:val="0"/>
        <w:spacing w:before="0" w:after="0" w:line="413" w:lineRule="exact"/>
        <w:ind w:left="0" w:right="0" w:firstLine="420"/>
        <w:jc w:val="left"/>
      </w:pPr>
      <w:bookmarkStart w:id="670" w:name="bookmark670"/>
      <w:r>
        <w:rPr>
          <w:color w:val="000000"/>
          <w:spacing w:val="0"/>
          <w:w w:val="100"/>
          <w:position w:val="0"/>
        </w:rPr>
        <w:t>（</w:t>
      </w:r>
      <w:bookmarkEnd w:id="670"/>
      <w:r>
        <w:rPr>
          <w:rFonts w:ascii="Arial Narrow" w:eastAsia="Arial Narrow" w:hAnsi="Arial Narrow" w:cs="Arial Narrow"/>
          <w:color w:val="000000"/>
          <w:spacing w:val="0"/>
          <w:w w:val="100"/>
          <w:position w:val="0"/>
        </w:rPr>
        <w:t>3</w:t>
      </w:r>
      <w:r>
        <w:rPr>
          <w:color w:val="000000"/>
          <w:spacing w:val="0"/>
          <w:w w:val="100"/>
          <w:position w:val="0"/>
        </w:rPr>
        <w:t>）</w:t>
        <w:tab/>
        <w:t>收入的金额能够可靠计量。</w:t>
      </w:r>
    </w:p>
    <w:p>
      <w:pPr>
        <w:pStyle w:val="Style35"/>
        <w:keepNext w:val="0"/>
        <w:keepLines w:val="0"/>
        <w:widowControl w:val="0"/>
        <w:shd w:val="clear" w:color="auto" w:fill="auto"/>
        <w:tabs>
          <w:tab w:pos="898" w:val="left"/>
        </w:tabs>
        <w:bidi w:val="0"/>
        <w:spacing w:before="0" w:after="0" w:line="413" w:lineRule="exact"/>
        <w:ind w:left="0" w:right="0" w:firstLine="420"/>
        <w:jc w:val="left"/>
      </w:pPr>
      <w:bookmarkStart w:id="671" w:name="bookmark671"/>
      <w:r>
        <w:rPr>
          <w:color w:val="000000"/>
          <w:spacing w:val="0"/>
          <w:w w:val="100"/>
          <w:position w:val="0"/>
        </w:rPr>
        <w:t>（</w:t>
      </w:r>
      <w:bookmarkEnd w:id="671"/>
      <w:r>
        <w:rPr>
          <w:rFonts w:ascii="Arial Narrow" w:eastAsia="Arial Narrow" w:hAnsi="Arial Narrow" w:cs="Arial Narrow"/>
          <w:color w:val="000000"/>
          <w:spacing w:val="0"/>
          <w:w w:val="100"/>
          <w:position w:val="0"/>
        </w:rPr>
        <w:t>4</w:t>
      </w:r>
      <w:r>
        <w:rPr>
          <w:color w:val="000000"/>
          <w:spacing w:val="0"/>
          <w:w w:val="100"/>
          <w:position w:val="0"/>
        </w:rPr>
        <w:t>）</w:t>
        <w:tab/>
        <w:t>相关经济利益很可能流入企业。</w:t>
      </w:r>
    </w:p>
    <w:p>
      <w:pPr>
        <w:pStyle w:val="Style35"/>
        <w:keepNext w:val="0"/>
        <w:keepLines w:val="0"/>
        <w:widowControl w:val="0"/>
        <w:shd w:val="clear" w:color="auto" w:fill="auto"/>
        <w:tabs>
          <w:tab w:pos="898" w:val="left"/>
        </w:tabs>
        <w:bidi w:val="0"/>
        <w:spacing w:before="0" w:after="180" w:line="413" w:lineRule="exact"/>
        <w:ind w:left="0" w:right="0" w:firstLine="420"/>
        <w:jc w:val="left"/>
      </w:pPr>
      <w:bookmarkStart w:id="672" w:name="bookmark672"/>
      <w:r>
        <w:rPr>
          <w:color w:val="000000"/>
          <w:spacing w:val="0"/>
          <w:w w:val="100"/>
          <w:position w:val="0"/>
        </w:rPr>
        <w:t>（</w:t>
      </w:r>
      <w:bookmarkEnd w:id="672"/>
      <w:r>
        <w:rPr>
          <w:rFonts w:ascii="Arial Narrow" w:eastAsia="Arial Narrow" w:hAnsi="Arial Narrow" w:cs="Arial Narrow"/>
          <w:color w:val="000000"/>
          <w:spacing w:val="0"/>
          <w:w w:val="100"/>
          <w:position w:val="0"/>
        </w:rPr>
        <w:t>5</w:t>
      </w:r>
      <w:r>
        <w:rPr>
          <w:color w:val="000000"/>
          <w:spacing w:val="0"/>
          <w:w w:val="100"/>
          <w:position w:val="0"/>
        </w:rPr>
        <w:t>）</w:t>
        <w:tab/>
        <w:t>相关的、已发生的或将发生的成本能够可靠计量。</w:t>
      </w:r>
    </w:p>
    <w:p>
      <w:pPr>
        <w:pStyle w:val="Style38"/>
        <w:keepNext/>
        <w:keepLines/>
        <w:widowControl w:val="0"/>
        <w:shd w:val="clear" w:color="auto" w:fill="auto"/>
        <w:tabs>
          <w:tab w:pos="826" w:val="left"/>
        </w:tabs>
        <w:bidi w:val="0"/>
        <w:spacing w:before="0" w:after="0" w:line="432" w:lineRule="auto"/>
        <w:ind w:left="0" w:right="0" w:firstLine="420"/>
        <w:jc w:val="left"/>
      </w:pPr>
      <w:bookmarkStart w:id="673" w:name="bookmark673"/>
      <w:bookmarkStart w:id="674" w:name="bookmark674"/>
      <w:bookmarkStart w:id="675" w:name="bookmark675"/>
      <w:bookmarkStart w:id="676" w:name="bookmark676"/>
      <w:r>
        <w:rPr>
          <w:rFonts w:ascii="Arial Narrow" w:eastAsia="Arial Narrow" w:hAnsi="Arial Narrow" w:cs="Arial Narrow"/>
          <w:color w:val="000000"/>
          <w:spacing w:val="0"/>
          <w:w w:val="100"/>
          <w:position w:val="0"/>
          <w:sz w:val="20"/>
          <w:szCs w:val="20"/>
        </w:rPr>
        <w:t>2</w:t>
      </w:r>
      <w:bookmarkEnd w:id="675"/>
      <w:r>
        <w:rPr>
          <w:color w:val="000000"/>
          <w:spacing w:val="0"/>
          <w:w w:val="100"/>
          <w:position w:val="0"/>
        </w:rPr>
        <w:t>、</w:t>
        <w:tab/>
        <w:t>提供劳务的收入，在下列条件均能满足时予以确认：</w:t>
      </w:r>
      <w:bookmarkEnd w:id="673"/>
      <w:bookmarkEnd w:id="674"/>
      <w:bookmarkEnd w:id="676"/>
    </w:p>
    <w:p>
      <w:pPr>
        <w:pStyle w:val="Style35"/>
        <w:keepNext w:val="0"/>
        <w:keepLines w:val="0"/>
        <w:widowControl w:val="0"/>
        <w:shd w:val="clear" w:color="auto" w:fill="auto"/>
        <w:tabs>
          <w:tab w:pos="898" w:val="left"/>
        </w:tabs>
        <w:bidi w:val="0"/>
        <w:spacing w:before="0" w:after="0" w:line="413" w:lineRule="exact"/>
        <w:ind w:left="0" w:right="0" w:firstLine="420"/>
        <w:jc w:val="left"/>
      </w:pPr>
      <w:bookmarkStart w:id="677" w:name="bookmark677"/>
      <w:r>
        <w:rPr>
          <w:color w:val="000000"/>
          <w:spacing w:val="0"/>
          <w:w w:val="100"/>
          <w:position w:val="0"/>
        </w:rPr>
        <w:t>（</w:t>
      </w:r>
      <w:bookmarkEnd w:id="677"/>
      <w:r>
        <w:rPr>
          <w:rFonts w:ascii="Arial Narrow" w:eastAsia="Arial Narrow" w:hAnsi="Arial Narrow" w:cs="Arial Narrow"/>
          <w:color w:val="000000"/>
          <w:spacing w:val="0"/>
          <w:w w:val="100"/>
          <w:position w:val="0"/>
        </w:rPr>
        <w:t>1</w:t>
      </w:r>
      <w:r>
        <w:rPr>
          <w:color w:val="000000"/>
          <w:spacing w:val="0"/>
          <w:w w:val="100"/>
          <w:position w:val="0"/>
        </w:rPr>
        <w:t>）</w:t>
        <w:tab/>
        <w:t>收入的金额能够可靠计量。</w:t>
      </w:r>
    </w:p>
    <w:p>
      <w:pPr>
        <w:pStyle w:val="Style35"/>
        <w:keepNext w:val="0"/>
        <w:keepLines w:val="0"/>
        <w:widowControl w:val="0"/>
        <w:shd w:val="clear" w:color="auto" w:fill="auto"/>
        <w:tabs>
          <w:tab w:pos="898" w:val="left"/>
        </w:tabs>
        <w:bidi w:val="0"/>
        <w:spacing w:before="0" w:after="0" w:line="413" w:lineRule="exact"/>
        <w:ind w:left="0" w:right="0" w:firstLine="420"/>
        <w:jc w:val="left"/>
      </w:pPr>
      <w:bookmarkStart w:id="678" w:name="bookmark678"/>
      <w:r>
        <w:rPr>
          <w:color w:val="000000"/>
          <w:spacing w:val="0"/>
          <w:w w:val="100"/>
          <w:position w:val="0"/>
        </w:rPr>
        <w:t>（</w:t>
      </w:r>
      <w:bookmarkEnd w:id="678"/>
      <w:r>
        <w:rPr>
          <w:rFonts w:ascii="Arial Narrow" w:eastAsia="Arial Narrow" w:hAnsi="Arial Narrow" w:cs="Arial Narrow"/>
          <w:color w:val="000000"/>
          <w:spacing w:val="0"/>
          <w:w w:val="100"/>
          <w:position w:val="0"/>
        </w:rPr>
        <w:t>2</w:t>
      </w:r>
      <w:r>
        <w:rPr>
          <w:color w:val="000000"/>
          <w:spacing w:val="0"/>
          <w:w w:val="100"/>
          <w:position w:val="0"/>
        </w:rPr>
        <w:t>）</w:t>
        <w:tab/>
        <w:t>相关的经济利益很可能流入企业。</w:t>
      </w:r>
    </w:p>
    <w:p>
      <w:pPr>
        <w:pStyle w:val="Style35"/>
        <w:keepNext w:val="0"/>
        <w:keepLines w:val="0"/>
        <w:widowControl w:val="0"/>
        <w:shd w:val="clear" w:color="auto" w:fill="auto"/>
        <w:tabs>
          <w:tab w:pos="898" w:val="left"/>
        </w:tabs>
        <w:bidi w:val="0"/>
        <w:spacing w:before="0" w:after="0" w:line="413" w:lineRule="exact"/>
        <w:ind w:left="0" w:right="0" w:firstLine="420"/>
        <w:jc w:val="left"/>
      </w:pPr>
      <w:bookmarkStart w:id="679" w:name="bookmark679"/>
      <w:r>
        <w:rPr>
          <w:color w:val="000000"/>
          <w:spacing w:val="0"/>
          <w:w w:val="100"/>
          <w:position w:val="0"/>
        </w:rPr>
        <w:t>（</w:t>
      </w:r>
      <w:bookmarkEnd w:id="679"/>
      <w:r>
        <w:rPr>
          <w:rFonts w:ascii="Arial Narrow" w:eastAsia="Arial Narrow" w:hAnsi="Arial Narrow" w:cs="Arial Narrow"/>
          <w:color w:val="000000"/>
          <w:spacing w:val="0"/>
          <w:w w:val="100"/>
          <w:position w:val="0"/>
        </w:rPr>
        <w:t>3</w:t>
      </w:r>
      <w:r>
        <w:rPr>
          <w:color w:val="000000"/>
          <w:spacing w:val="0"/>
          <w:w w:val="100"/>
          <w:position w:val="0"/>
        </w:rPr>
        <w:t>）</w:t>
        <w:tab/>
        <w:t>交易的完工进度能够可靠确定。</w:t>
      </w:r>
    </w:p>
    <w:p>
      <w:pPr>
        <w:pStyle w:val="Style35"/>
        <w:keepNext w:val="0"/>
        <w:keepLines w:val="0"/>
        <w:widowControl w:val="0"/>
        <w:shd w:val="clear" w:color="auto" w:fill="auto"/>
        <w:tabs>
          <w:tab w:pos="898" w:val="left"/>
        </w:tabs>
        <w:bidi w:val="0"/>
        <w:spacing w:before="0" w:after="0" w:line="413" w:lineRule="exact"/>
        <w:ind w:left="0" w:right="0" w:firstLine="420"/>
        <w:jc w:val="left"/>
      </w:pPr>
      <w:bookmarkStart w:id="680" w:name="bookmark680"/>
      <w:r>
        <w:rPr>
          <w:color w:val="000000"/>
          <w:spacing w:val="0"/>
          <w:w w:val="100"/>
          <w:position w:val="0"/>
        </w:rPr>
        <w:t>（</w:t>
      </w:r>
      <w:bookmarkEnd w:id="680"/>
      <w:r>
        <w:rPr>
          <w:rFonts w:ascii="Arial Narrow" w:eastAsia="Arial Narrow" w:hAnsi="Arial Narrow" w:cs="Arial Narrow"/>
          <w:color w:val="000000"/>
          <w:spacing w:val="0"/>
          <w:w w:val="100"/>
          <w:position w:val="0"/>
        </w:rPr>
        <w:t>4</w:t>
      </w:r>
      <w:r>
        <w:rPr>
          <w:color w:val="000000"/>
          <w:spacing w:val="0"/>
          <w:w w:val="100"/>
          <w:position w:val="0"/>
        </w:rPr>
        <w:t>）</w:t>
        <w:tab/>
        <w:t>交易中已发生的和将发生的成本能够可靠计量。</w:t>
      </w:r>
    </w:p>
    <w:p>
      <w:pPr>
        <w:pStyle w:val="Style35"/>
        <w:keepNext w:val="0"/>
        <w:keepLines w:val="0"/>
        <w:widowControl w:val="0"/>
        <w:shd w:val="clear" w:color="auto" w:fill="auto"/>
        <w:bidi w:val="0"/>
        <w:spacing w:before="0" w:after="180" w:line="413" w:lineRule="exact"/>
        <w:ind w:left="0" w:right="0" w:firstLine="420"/>
        <w:jc w:val="left"/>
      </w:pPr>
      <w:r>
        <w:rPr>
          <w:color w:val="000000"/>
          <w:spacing w:val="0"/>
          <w:w w:val="100"/>
          <w:position w:val="0"/>
        </w:rPr>
        <w:t>在同一个会计年度内开始并完工的劳务，在完成劳务时确认收入。</w:t>
      </w:r>
    </w:p>
    <w:p>
      <w:pPr>
        <w:pStyle w:val="Style38"/>
        <w:keepNext/>
        <w:keepLines/>
        <w:widowControl w:val="0"/>
        <w:shd w:val="clear" w:color="auto" w:fill="auto"/>
        <w:tabs>
          <w:tab w:pos="826" w:val="left"/>
        </w:tabs>
        <w:bidi w:val="0"/>
        <w:spacing w:before="0" w:after="0" w:line="432" w:lineRule="auto"/>
        <w:ind w:left="0" w:right="0" w:firstLine="420"/>
        <w:jc w:val="left"/>
      </w:pPr>
      <w:bookmarkStart w:id="681" w:name="bookmark681"/>
      <w:bookmarkStart w:id="682" w:name="bookmark682"/>
      <w:bookmarkStart w:id="683" w:name="bookmark683"/>
      <w:bookmarkStart w:id="684" w:name="bookmark684"/>
      <w:r>
        <w:rPr>
          <w:rFonts w:ascii="Arial Narrow" w:eastAsia="Arial Narrow" w:hAnsi="Arial Narrow" w:cs="Arial Narrow"/>
          <w:color w:val="000000"/>
          <w:spacing w:val="0"/>
          <w:w w:val="100"/>
          <w:position w:val="0"/>
          <w:sz w:val="20"/>
          <w:szCs w:val="20"/>
        </w:rPr>
        <w:t>3</w:t>
      </w:r>
      <w:bookmarkEnd w:id="683"/>
      <w:r>
        <w:rPr>
          <w:color w:val="000000"/>
          <w:spacing w:val="0"/>
          <w:w w:val="100"/>
          <w:position w:val="0"/>
        </w:rPr>
        <w:t>、</w:t>
        <w:tab/>
        <w:t>让渡资产使用权收入在下列条件均能满足时予以确认：</w:t>
      </w:r>
      <w:bookmarkEnd w:id="681"/>
      <w:bookmarkEnd w:id="682"/>
      <w:bookmarkEnd w:id="684"/>
    </w:p>
    <w:p>
      <w:pPr>
        <w:pStyle w:val="Style35"/>
        <w:keepNext w:val="0"/>
        <w:keepLines w:val="0"/>
        <w:widowControl w:val="0"/>
        <w:shd w:val="clear" w:color="auto" w:fill="auto"/>
        <w:bidi w:val="0"/>
        <w:spacing w:before="0" w:after="180" w:line="413" w:lineRule="exact"/>
        <w:ind w:left="0" w:right="0" w:firstLine="420"/>
        <w:jc w:val="left"/>
      </w:pPr>
      <w:bookmarkStart w:id="685" w:name="bookmark685"/>
      <w:r>
        <w:rPr>
          <w:color w:val="000000"/>
          <w:spacing w:val="0"/>
          <w:w w:val="100"/>
          <w:position w:val="0"/>
        </w:rPr>
        <w:t>（</w:t>
      </w:r>
      <w:bookmarkEnd w:id="685"/>
      <w:r>
        <w:rPr>
          <w:rFonts w:ascii="Arial Narrow" w:eastAsia="Arial Narrow" w:hAnsi="Arial Narrow" w:cs="Arial Narrow"/>
          <w:color w:val="000000"/>
          <w:spacing w:val="0"/>
          <w:w w:val="100"/>
          <w:position w:val="0"/>
        </w:rPr>
        <w:t>1</w:t>
      </w:r>
      <w:r>
        <w:rPr>
          <w:color w:val="000000"/>
          <w:spacing w:val="0"/>
          <w:w w:val="100"/>
          <w:position w:val="0"/>
        </w:rPr>
        <w:t>）相关的经济利益很可能流入公司。</w:t>
      </w:r>
    </w:p>
    <w:p>
      <w:pPr>
        <w:pStyle w:val="Style35"/>
        <w:keepNext w:val="0"/>
        <w:keepLines w:val="0"/>
        <w:widowControl w:val="0"/>
        <w:shd w:val="clear" w:color="auto" w:fill="auto"/>
        <w:bidi w:val="0"/>
        <w:spacing w:before="0" w:after="140" w:line="410" w:lineRule="exact"/>
        <w:ind w:left="0" w:right="0" w:firstLine="440"/>
        <w:jc w:val="both"/>
      </w:pPr>
      <w:bookmarkStart w:id="686" w:name="bookmark686"/>
      <w:r>
        <w:rPr>
          <w:color w:val="000000"/>
          <w:spacing w:val="0"/>
          <w:w w:val="100"/>
          <w:position w:val="0"/>
        </w:rPr>
        <w:t>（</w:t>
      </w:r>
      <w:bookmarkEnd w:id="686"/>
      <w:r>
        <w:rPr>
          <w:rFonts w:ascii="Arial Narrow" w:eastAsia="Arial Narrow" w:hAnsi="Arial Narrow" w:cs="Arial Narrow"/>
          <w:color w:val="000000"/>
          <w:spacing w:val="0"/>
          <w:w w:val="100"/>
          <w:position w:val="0"/>
        </w:rPr>
        <w:t>2</w:t>
      </w:r>
      <w:r>
        <w:rPr>
          <w:color w:val="000000"/>
          <w:spacing w:val="0"/>
          <w:w w:val="100"/>
          <w:position w:val="0"/>
        </w:rPr>
        <w:t>）收入的金额能够可靠计量。</w:t>
      </w:r>
    </w:p>
    <w:p>
      <w:pPr>
        <w:pStyle w:val="Style38"/>
        <w:keepNext/>
        <w:keepLines/>
        <w:widowControl w:val="0"/>
        <w:shd w:val="clear" w:color="auto" w:fill="auto"/>
        <w:bidi w:val="0"/>
        <w:spacing w:before="0" w:after="0" w:line="410" w:lineRule="exact"/>
        <w:ind w:left="0" w:right="0"/>
        <w:jc w:val="both"/>
      </w:pPr>
      <w:bookmarkStart w:id="687" w:name="bookmark687"/>
      <w:bookmarkStart w:id="688" w:name="bookmark688"/>
      <w:bookmarkStart w:id="689" w:name="bookmark689"/>
      <w:r>
        <w:rPr>
          <w:rFonts w:ascii="Arial Narrow" w:eastAsia="Arial Narrow" w:hAnsi="Arial Narrow" w:cs="Arial Narrow"/>
          <w:color w:val="000000"/>
          <w:spacing w:val="0"/>
          <w:w w:val="100"/>
          <w:position w:val="0"/>
        </w:rPr>
        <w:t>（</w:t>
      </w:r>
      <w:r>
        <w:rPr>
          <w:color w:val="000000"/>
          <w:spacing w:val="0"/>
          <w:w w:val="100"/>
          <w:position w:val="0"/>
        </w:rPr>
        <w:t>十九</w:t>
      </w:r>
      <w:r>
        <w:rPr>
          <w:color w:val="000000"/>
          <w:spacing w:val="0"/>
          <w:w w:val="100"/>
          <w:position w:val="0"/>
          <w:sz w:val="24"/>
          <w:szCs w:val="24"/>
        </w:rPr>
        <w:t>）</w:t>
      </w:r>
      <w:r>
        <w:rPr>
          <w:color w:val="000000"/>
          <w:spacing w:val="0"/>
          <w:w w:val="100"/>
          <w:position w:val="0"/>
        </w:rPr>
        <w:t>政府补助</w:t>
      </w:r>
      <w:bookmarkEnd w:id="687"/>
      <w:bookmarkEnd w:id="688"/>
      <w:bookmarkEnd w:id="689"/>
    </w:p>
    <w:p>
      <w:pPr>
        <w:pStyle w:val="Style3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公司在能够满足政府补助所附条件且能够收到政府补助时确认政府补助。其中：</w:t>
      </w:r>
    </w:p>
    <w:p>
      <w:pPr>
        <w:pStyle w:val="Style35"/>
        <w:keepNext w:val="0"/>
        <w:keepLines w:val="0"/>
        <w:widowControl w:val="0"/>
        <w:shd w:val="clear" w:color="auto" w:fill="auto"/>
        <w:tabs>
          <w:tab w:pos="1016" w:val="left"/>
        </w:tabs>
        <w:bidi w:val="0"/>
        <w:spacing w:before="0" w:after="0" w:line="410" w:lineRule="exact"/>
        <w:ind w:left="0" w:right="0" w:firstLine="440"/>
        <w:jc w:val="both"/>
      </w:pPr>
      <w:bookmarkStart w:id="690" w:name="bookmark690"/>
      <w:r>
        <w:rPr>
          <w:color w:val="000000"/>
          <w:spacing w:val="0"/>
          <w:w w:val="100"/>
          <w:position w:val="0"/>
        </w:rPr>
        <w:t>（</w:t>
      </w:r>
      <w:bookmarkEnd w:id="690"/>
      <w:r>
        <w:rPr>
          <w:rFonts w:ascii="Arial Narrow" w:eastAsia="Arial Narrow" w:hAnsi="Arial Narrow" w:cs="Arial Narrow"/>
          <w:color w:val="000000"/>
          <w:spacing w:val="0"/>
          <w:w w:val="100"/>
          <w:position w:val="0"/>
        </w:rPr>
        <w:t>1</w:t>
      </w:r>
      <w:r>
        <w:rPr>
          <w:color w:val="000000"/>
          <w:spacing w:val="0"/>
          <w:w w:val="100"/>
          <w:position w:val="0"/>
        </w:rPr>
        <w:t>）</w:t>
        <w:tab/>
        <w:t>政府补助为货币性资产的，按收到或应收的金额计量，政府补助为非货币性资产的，按公允价 值计量，如公允价值不能可靠取得，则按名义金额计量。</w:t>
      </w:r>
    </w:p>
    <w:p>
      <w:pPr>
        <w:pStyle w:val="Style35"/>
        <w:keepNext w:val="0"/>
        <w:keepLines w:val="0"/>
        <w:widowControl w:val="0"/>
        <w:shd w:val="clear" w:color="auto" w:fill="auto"/>
        <w:tabs>
          <w:tab w:pos="1016" w:val="left"/>
        </w:tabs>
        <w:bidi w:val="0"/>
        <w:spacing w:before="0" w:after="140" w:line="410" w:lineRule="exact"/>
        <w:ind w:left="0" w:right="0" w:firstLine="440"/>
        <w:jc w:val="both"/>
      </w:pPr>
      <w:bookmarkStart w:id="691" w:name="bookmark691"/>
      <w:r>
        <w:rPr>
          <w:color w:val="000000"/>
          <w:spacing w:val="0"/>
          <w:w w:val="100"/>
          <w:position w:val="0"/>
        </w:rPr>
        <w:t>（</w:t>
      </w:r>
      <w:bookmarkEnd w:id="691"/>
      <w:r>
        <w:rPr>
          <w:rFonts w:ascii="Arial Narrow" w:eastAsia="Arial Narrow" w:hAnsi="Arial Narrow" w:cs="Arial Narrow"/>
          <w:color w:val="000000"/>
          <w:spacing w:val="0"/>
          <w:w w:val="100"/>
          <w:position w:val="0"/>
        </w:rPr>
        <w:t>2</w:t>
      </w:r>
      <w:r>
        <w:rPr>
          <w:color w:val="000000"/>
          <w:spacing w:val="0"/>
          <w:w w:val="100"/>
          <w:position w:val="0"/>
        </w:rPr>
        <w:t>）</w:t>
        <w:tab/>
        <w:t>与资产相关的政府补助，应确认为递延收益，并在相关资产使用寿命内平均分配，计入当期损 益，其中，按名义金额计量的政府补助直接计入当期损益。与收益相关的政府补助，用于补偿以后期间的 相关费用或损失的，应确认为递延收益，并在确认相关费用的期间计入当期损益，用于补偿已发生的相关 费用或损失的，直接计入当期损益。</w:t>
      </w:r>
    </w:p>
    <w:p>
      <w:pPr>
        <w:pStyle w:val="Style38"/>
        <w:keepNext/>
        <w:keepLines/>
        <w:widowControl w:val="0"/>
        <w:shd w:val="clear" w:color="auto" w:fill="auto"/>
        <w:bidi w:val="0"/>
        <w:spacing w:before="0" w:after="0" w:line="413" w:lineRule="exact"/>
        <w:ind w:left="0" w:right="0"/>
        <w:jc w:val="both"/>
      </w:pPr>
      <w:bookmarkStart w:id="692" w:name="bookmark692"/>
      <w:bookmarkStart w:id="693" w:name="bookmark693"/>
      <w:bookmarkStart w:id="694" w:name="bookmark694"/>
      <w:r>
        <w:rPr>
          <w:rFonts w:ascii="Arial Narrow" w:eastAsia="Arial Narrow" w:hAnsi="Arial Narrow" w:cs="Arial Narrow"/>
          <w:color w:val="000000"/>
          <w:spacing w:val="0"/>
          <w:w w:val="100"/>
          <w:position w:val="0"/>
        </w:rPr>
        <w:t>（</w:t>
      </w:r>
      <w:r>
        <w:rPr>
          <w:color w:val="000000"/>
          <w:spacing w:val="0"/>
          <w:w w:val="100"/>
          <w:position w:val="0"/>
        </w:rPr>
        <w:t>二十</w:t>
      </w:r>
      <w:r>
        <w:rPr>
          <w:color w:val="000000"/>
          <w:spacing w:val="0"/>
          <w:w w:val="100"/>
          <w:position w:val="0"/>
          <w:sz w:val="24"/>
          <w:szCs w:val="24"/>
        </w:rPr>
        <w:t>）</w:t>
      </w:r>
      <w:r>
        <w:rPr>
          <w:color w:val="000000"/>
          <w:spacing w:val="0"/>
          <w:w w:val="100"/>
          <w:position w:val="0"/>
        </w:rPr>
        <w:t>递延所得税资产和递延所得税负债</w:t>
      </w:r>
      <w:bookmarkEnd w:id="692"/>
      <w:bookmarkEnd w:id="693"/>
      <w:bookmarkEnd w:id="694"/>
    </w:p>
    <w:p>
      <w:pPr>
        <w:pStyle w:val="Style38"/>
        <w:keepNext/>
        <w:keepLines/>
        <w:widowControl w:val="0"/>
        <w:shd w:val="clear" w:color="auto" w:fill="auto"/>
        <w:tabs>
          <w:tab w:pos="886" w:val="left"/>
        </w:tabs>
        <w:bidi w:val="0"/>
        <w:spacing w:before="0" w:after="0" w:line="413" w:lineRule="exact"/>
        <w:ind w:left="0" w:right="0"/>
        <w:jc w:val="both"/>
      </w:pPr>
      <w:bookmarkStart w:id="692" w:name="bookmark692"/>
      <w:bookmarkStart w:id="693" w:name="bookmark693"/>
      <w:bookmarkStart w:id="695" w:name="bookmark695"/>
      <w:bookmarkStart w:id="696" w:name="bookmark696"/>
      <w:r>
        <w:rPr>
          <w:rFonts w:ascii="Arial Narrow" w:eastAsia="Arial Narrow" w:hAnsi="Arial Narrow" w:cs="Arial Narrow"/>
          <w:color w:val="000000"/>
          <w:spacing w:val="0"/>
          <w:w w:val="100"/>
          <w:position w:val="0"/>
          <w:sz w:val="20"/>
          <w:szCs w:val="20"/>
        </w:rPr>
        <w:t>1</w:t>
      </w:r>
      <w:bookmarkEnd w:id="695"/>
      <w:r>
        <w:rPr>
          <w:color w:val="000000"/>
          <w:spacing w:val="0"/>
          <w:w w:val="100"/>
          <w:position w:val="0"/>
        </w:rPr>
        <w:t>、</w:t>
        <w:tab/>
        <w:t>确认递延所得税资产的依据</w:t>
      </w:r>
      <w:bookmarkEnd w:id="692"/>
      <w:bookmarkEnd w:id="693"/>
      <w:bookmarkEnd w:id="696"/>
    </w:p>
    <w:p>
      <w:pPr>
        <w:pStyle w:val="Style35"/>
        <w:keepNext w:val="0"/>
        <w:keepLines w:val="0"/>
        <w:widowControl w:val="0"/>
        <w:shd w:val="clear" w:color="auto" w:fill="auto"/>
        <w:bidi w:val="0"/>
        <w:spacing w:before="0" w:after="0" w:line="413" w:lineRule="exact"/>
        <w:ind w:left="0" w:right="0" w:firstLine="440"/>
        <w:jc w:val="both"/>
      </w:pPr>
      <w:r>
        <w:rPr>
          <w:color w:val="000000"/>
          <w:spacing w:val="0"/>
          <w:w w:val="100"/>
          <w:position w:val="0"/>
        </w:rPr>
        <w:t>公司以很可能取得用来抵扣可抵扣暂时性差异的应纳税所得额为限，确认由可抵扣暂时性差异产生的 递延所得税资产。</w:t>
      </w:r>
    </w:p>
    <w:p>
      <w:pPr>
        <w:pStyle w:val="Style38"/>
        <w:keepNext/>
        <w:keepLines/>
        <w:widowControl w:val="0"/>
        <w:shd w:val="clear" w:color="auto" w:fill="auto"/>
        <w:tabs>
          <w:tab w:pos="886" w:val="left"/>
        </w:tabs>
        <w:bidi w:val="0"/>
        <w:spacing w:before="0" w:after="0" w:line="413" w:lineRule="exact"/>
        <w:ind w:left="0" w:right="0"/>
        <w:jc w:val="both"/>
      </w:pPr>
      <w:bookmarkStart w:id="697" w:name="bookmark697"/>
      <w:bookmarkStart w:id="698" w:name="bookmark698"/>
      <w:bookmarkStart w:id="699" w:name="bookmark699"/>
      <w:bookmarkStart w:id="700" w:name="bookmark700"/>
      <w:r>
        <w:rPr>
          <w:rFonts w:ascii="Arial Narrow" w:eastAsia="Arial Narrow" w:hAnsi="Arial Narrow" w:cs="Arial Narrow"/>
          <w:color w:val="000000"/>
          <w:spacing w:val="0"/>
          <w:w w:val="100"/>
          <w:position w:val="0"/>
          <w:sz w:val="20"/>
          <w:szCs w:val="20"/>
        </w:rPr>
        <w:t>2</w:t>
      </w:r>
      <w:bookmarkEnd w:id="699"/>
      <w:r>
        <w:rPr>
          <w:color w:val="000000"/>
          <w:spacing w:val="0"/>
          <w:w w:val="100"/>
          <w:position w:val="0"/>
        </w:rPr>
        <w:t>、</w:t>
        <w:tab/>
        <w:t>确认递延所得税负债的依据</w:t>
      </w:r>
      <w:bookmarkEnd w:id="697"/>
      <w:bookmarkEnd w:id="698"/>
      <w:bookmarkEnd w:id="700"/>
    </w:p>
    <w:p>
      <w:pPr>
        <w:pStyle w:val="Style35"/>
        <w:keepNext w:val="0"/>
        <w:keepLines w:val="0"/>
        <w:widowControl w:val="0"/>
        <w:shd w:val="clear" w:color="auto" w:fill="auto"/>
        <w:bidi w:val="0"/>
        <w:spacing w:before="0" w:after="140" w:line="413" w:lineRule="exact"/>
        <w:ind w:left="0" w:right="0" w:firstLine="440"/>
        <w:jc w:val="both"/>
      </w:pPr>
      <w:r>
        <w:rPr>
          <w:color w:val="000000"/>
          <w:spacing w:val="0"/>
          <w:w w:val="100"/>
          <w:position w:val="0"/>
        </w:rPr>
        <w:t>公司将当期与以前期间应交未交的应纳税暂时性差异确认为递延所得税负债。但不包括商誉、非企业 合并形成的交易且该交易发生时既不影响会计利润也不影响应纳税所得额所形成的暂时性差异。</w:t>
      </w:r>
    </w:p>
    <w:p>
      <w:pPr>
        <w:pStyle w:val="Style38"/>
        <w:keepNext/>
        <w:keepLines/>
        <w:widowControl w:val="0"/>
        <w:shd w:val="clear" w:color="auto" w:fill="auto"/>
        <w:bidi w:val="0"/>
        <w:spacing w:before="0" w:after="0" w:line="410" w:lineRule="exact"/>
        <w:ind w:left="0" w:right="0"/>
        <w:jc w:val="both"/>
      </w:pPr>
      <w:bookmarkStart w:id="701" w:name="bookmark701"/>
      <w:bookmarkStart w:id="702" w:name="bookmark702"/>
      <w:bookmarkStart w:id="703" w:name="bookmark703"/>
      <w:r>
        <w:rPr>
          <w:rFonts w:ascii="Arial Narrow" w:eastAsia="Arial Narrow" w:hAnsi="Arial Narrow" w:cs="Arial Narrow"/>
          <w:color w:val="000000"/>
          <w:spacing w:val="0"/>
          <w:w w:val="100"/>
          <w:position w:val="0"/>
        </w:rPr>
        <w:t>（</w:t>
      </w:r>
      <w:r>
        <w:rPr>
          <w:color w:val="000000"/>
          <w:spacing w:val="0"/>
          <w:w w:val="100"/>
          <w:position w:val="0"/>
        </w:rPr>
        <w:t>二</w:t>
      </w:r>
      <w:r>
        <w:rPr>
          <w:rFonts w:ascii="Arial Narrow" w:eastAsia="Arial Narrow" w:hAnsi="Arial Narrow" w:cs="Arial Narrow"/>
          <w:color w:val="000000"/>
          <w:spacing w:val="0"/>
          <w:w w:val="100"/>
          <w:position w:val="0"/>
        </w:rPr>
        <w:t>^</w:t>
      </w:r>
      <w:r>
        <w:rPr>
          <w:color w:val="000000"/>
          <w:spacing w:val="0"/>
          <w:w w:val="100"/>
          <w:position w:val="0"/>
          <w:sz w:val="24"/>
          <w:szCs w:val="24"/>
        </w:rPr>
        <w:t>一</w:t>
      </w:r>
      <w:r>
        <w:rPr>
          <w:rFonts w:ascii="Arial Narrow" w:eastAsia="Arial Narrow" w:hAnsi="Arial Narrow" w:cs="Arial Narrow"/>
          <w:color w:val="000000"/>
          <w:spacing w:val="0"/>
          <w:w w:val="100"/>
          <w:position w:val="0"/>
        </w:rPr>
        <w:t>）</w:t>
      </w:r>
      <w:r>
        <w:rPr>
          <w:color w:val="000000"/>
          <w:spacing w:val="0"/>
          <w:w w:val="100"/>
          <w:position w:val="0"/>
        </w:rPr>
        <w:t>主要会计政策、会计估计的变更</w:t>
      </w:r>
      <w:bookmarkEnd w:id="701"/>
      <w:bookmarkEnd w:id="702"/>
      <w:bookmarkEnd w:id="703"/>
    </w:p>
    <w:p>
      <w:pPr>
        <w:pStyle w:val="Style35"/>
        <w:keepNext w:val="0"/>
        <w:keepLines w:val="0"/>
        <w:widowControl w:val="0"/>
        <w:shd w:val="clear" w:color="auto" w:fill="auto"/>
        <w:bidi w:val="0"/>
        <w:spacing w:before="0" w:after="140" w:line="410" w:lineRule="exact"/>
        <w:ind w:left="0" w:right="0" w:firstLine="440"/>
        <w:jc w:val="both"/>
      </w:pPr>
      <w:r>
        <w:rPr>
          <w:color w:val="000000"/>
          <w:spacing w:val="0"/>
          <w:w w:val="100"/>
          <w:position w:val="0"/>
        </w:rPr>
        <w:t>本报告期主要会计政策和会计估计未变更。</w:t>
      </w:r>
    </w:p>
    <w:p>
      <w:pPr>
        <w:pStyle w:val="Style38"/>
        <w:keepNext/>
        <w:keepLines/>
        <w:widowControl w:val="0"/>
        <w:shd w:val="clear" w:color="auto" w:fill="auto"/>
        <w:bidi w:val="0"/>
        <w:spacing w:before="0" w:after="0" w:line="410" w:lineRule="exact"/>
        <w:ind w:left="0" w:right="0"/>
        <w:jc w:val="both"/>
      </w:pPr>
      <w:bookmarkStart w:id="704" w:name="bookmark704"/>
      <w:bookmarkStart w:id="705" w:name="bookmark705"/>
      <w:bookmarkStart w:id="706" w:name="bookmark706"/>
      <w:r>
        <w:rPr>
          <w:rFonts w:ascii="Arial Narrow" w:eastAsia="Arial Narrow" w:hAnsi="Arial Narrow" w:cs="Arial Narrow"/>
          <w:color w:val="000000"/>
          <w:spacing w:val="0"/>
          <w:w w:val="100"/>
          <w:position w:val="0"/>
        </w:rPr>
        <w:t>（</w:t>
      </w:r>
      <w:r>
        <w:rPr>
          <w:color w:val="000000"/>
          <w:spacing w:val="0"/>
          <w:w w:val="100"/>
          <w:position w:val="0"/>
        </w:rPr>
        <w:t>二十二</w:t>
      </w:r>
      <w:r>
        <w:rPr>
          <w:rFonts w:ascii="Arial Narrow" w:eastAsia="Arial Narrow" w:hAnsi="Arial Narrow" w:cs="Arial Narrow"/>
          <w:color w:val="000000"/>
          <w:spacing w:val="0"/>
          <w:w w:val="100"/>
          <w:position w:val="0"/>
        </w:rPr>
        <w:t>）</w:t>
      </w:r>
      <w:r>
        <w:rPr>
          <w:color w:val="000000"/>
          <w:spacing w:val="0"/>
          <w:w w:val="100"/>
          <w:position w:val="0"/>
        </w:rPr>
        <w:t>前期差错更正</w:t>
      </w:r>
      <w:bookmarkEnd w:id="704"/>
      <w:bookmarkEnd w:id="705"/>
      <w:bookmarkEnd w:id="706"/>
    </w:p>
    <w:p>
      <w:pPr>
        <w:pStyle w:val="Style35"/>
        <w:keepNext w:val="0"/>
        <w:keepLines w:val="0"/>
        <w:widowControl w:val="0"/>
        <w:shd w:val="clear" w:color="auto" w:fill="auto"/>
        <w:bidi w:val="0"/>
        <w:spacing w:before="0" w:after="140" w:line="410" w:lineRule="exact"/>
        <w:ind w:left="0" w:right="0" w:firstLine="440"/>
        <w:jc w:val="both"/>
      </w:pPr>
      <w:r>
        <w:rPr>
          <w:color w:val="000000"/>
          <w:spacing w:val="0"/>
          <w:w w:val="100"/>
          <w:position w:val="0"/>
        </w:rPr>
        <w:t>本报告期未发现前期差错更正。</w:t>
      </w:r>
    </w:p>
    <w:p>
      <w:pPr>
        <w:pStyle w:val="Style38"/>
        <w:keepNext/>
        <w:keepLines/>
        <w:widowControl w:val="0"/>
        <w:shd w:val="clear" w:color="auto" w:fill="auto"/>
        <w:bidi w:val="0"/>
        <w:spacing w:before="0" w:after="0" w:line="410" w:lineRule="exact"/>
        <w:ind w:left="0" w:right="0"/>
        <w:jc w:val="left"/>
      </w:pPr>
      <w:bookmarkStart w:id="707" w:name="bookmark707"/>
      <w:bookmarkStart w:id="708" w:name="bookmark708"/>
      <w:bookmarkStart w:id="709" w:name="bookmark709"/>
      <w:r>
        <w:rPr>
          <w:rFonts w:ascii="Arial Narrow" w:eastAsia="Arial Narrow" w:hAnsi="Arial Narrow" w:cs="Arial Narrow"/>
          <w:color w:val="000000"/>
          <w:spacing w:val="0"/>
          <w:w w:val="100"/>
          <w:position w:val="0"/>
        </w:rPr>
        <w:t>（</w:t>
      </w:r>
      <w:r>
        <w:rPr>
          <w:color w:val="000000"/>
          <w:spacing w:val="0"/>
          <w:w w:val="100"/>
          <w:position w:val="0"/>
        </w:rPr>
        <w:t>二十三</w:t>
      </w:r>
      <w:r>
        <w:rPr>
          <w:rFonts w:ascii="Arial Narrow" w:eastAsia="Arial Narrow" w:hAnsi="Arial Narrow" w:cs="Arial Narrow"/>
          <w:color w:val="000000"/>
          <w:spacing w:val="0"/>
          <w:w w:val="100"/>
          <w:position w:val="0"/>
        </w:rPr>
        <w:t>）</w:t>
      </w:r>
      <w:r>
        <w:rPr>
          <w:color w:val="000000"/>
          <w:spacing w:val="0"/>
          <w:w w:val="100"/>
          <w:position w:val="0"/>
        </w:rPr>
        <w:t>其他主要会计政策、会计估计和财务报表编制方法</w:t>
      </w:r>
      <w:bookmarkEnd w:id="707"/>
      <w:bookmarkEnd w:id="708"/>
      <w:bookmarkEnd w:id="709"/>
    </w:p>
    <w:p>
      <w:pPr>
        <w:pStyle w:val="Style38"/>
        <w:keepNext/>
        <w:keepLines/>
        <w:widowControl w:val="0"/>
        <w:shd w:val="clear" w:color="auto" w:fill="auto"/>
        <w:bidi w:val="0"/>
        <w:spacing w:before="0" w:after="0" w:line="410" w:lineRule="exact"/>
        <w:ind w:left="0" w:right="0"/>
        <w:jc w:val="both"/>
      </w:pPr>
      <w:bookmarkStart w:id="707" w:name="bookmark707"/>
      <w:bookmarkStart w:id="708" w:name="bookmark708"/>
      <w:bookmarkStart w:id="710" w:name="bookmark710"/>
      <w:r>
        <w:rPr>
          <w:rFonts w:ascii="Arial Narrow" w:eastAsia="Arial Narrow" w:hAnsi="Arial Narrow" w:cs="Arial Narrow"/>
          <w:color w:val="000000"/>
          <w:spacing w:val="0"/>
          <w:w w:val="100"/>
          <w:position w:val="0"/>
          <w:sz w:val="20"/>
          <w:szCs w:val="20"/>
        </w:rPr>
        <w:t>1</w:t>
      </w:r>
      <w:r>
        <w:rPr>
          <w:color w:val="000000"/>
          <w:spacing w:val="0"/>
          <w:w w:val="100"/>
          <w:position w:val="0"/>
        </w:rPr>
        <w:t>、资产减值</w:t>
      </w:r>
      <w:bookmarkEnd w:id="707"/>
      <w:bookmarkEnd w:id="708"/>
      <w:bookmarkEnd w:id="710"/>
    </w:p>
    <w:p>
      <w:pPr>
        <w:pStyle w:val="Style3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资产减值，是指资产的可收回金额低于其账面价值。企业应当在资产负债表日判断资产是否存在可能 发生减值的迹象。当资产存在减值迹象时，估计其可收回金额，资产的可收回金额低于其账面价值的，将 资产的账面价值减记至可收回金额，减记的金额确认为资产减值损失，计入当期损益，同时计提相应的资 产减值准备。商誉和使用寿命不确定的无形资产，无论是否存在减值迹象，每年都应当进行减值测试。商 誉结合与其相关的资产组或者资产组组合进行减值测试。长期股权投资、固定资产、在建工程、无形资产 等资产减值准备的计提依据、确定方法：</w:t>
      </w:r>
    </w:p>
    <w:p>
      <w:pPr>
        <w:pStyle w:val="Style35"/>
        <w:keepNext w:val="0"/>
        <w:keepLines w:val="0"/>
        <w:widowControl w:val="0"/>
        <w:shd w:val="clear" w:color="auto" w:fill="auto"/>
        <w:bidi w:val="0"/>
        <w:spacing w:before="0" w:after="0" w:line="410" w:lineRule="exact"/>
        <w:ind w:left="0" w:right="0" w:firstLine="440"/>
        <w:jc w:val="both"/>
      </w:pPr>
      <w:bookmarkStart w:id="711" w:name="bookmark711"/>
      <w:r>
        <w:rPr>
          <w:color w:val="000000"/>
          <w:spacing w:val="0"/>
          <w:w w:val="100"/>
          <w:position w:val="0"/>
        </w:rPr>
        <w:t>（</w:t>
      </w:r>
      <w:bookmarkEnd w:id="711"/>
      <w:r>
        <w:rPr>
          <w:rFonts w:ascii="Arial Narrow" w:eastAsia="Arial Narrow" w:hAnsi="Arial Narrow" w:cs="Arial Narrow"/>
          <w:color w:val="000000"/>
          <w:spacing w:val="0"/>
          <w:w w:val="100"/>
          <w:position w:val="0"/>
        </w:rPr>
        <w:t>1</w:t>
      </w:r>
      <w:r>
        <w:rPr>
          <w:color w:val="000000"/>
          <w:spacing w:val="0"/>
          <w:w w:val="100"/>
          <w:position w:val="0"/>
        </w:rPr>
        <w:t>）公司在资产负债表日判断长期股权投资、固定资产、在建工程、无形资产等资产是否存在可能 发生减值的迹象。存在下列迹象的，表明资产可能发生了减值：</w:t>
      </w:r>
    </w:p>
    <w:p>
      <w:pPr>
        <w:pStyle w:val="Style35"/>
        <w:keepNext w:val="0"/>
        <w:keepLines w:val="0"/>
        <w:widowControl w:val="0"/>
        <w:numPr>
          <w:ilvl w:val="0"/>
          <w:numId w:val="7"/>
        </w:numPr>
        <w:shd w:val="clear" w:color="auto" w:fill="auto"/>
        <w:tabs>
          <w:tab w:pos="832" w:val="left"/>
        </w:tabs>
        <w:bidi w:val="0"/>
        <w:spacing w:before="0" w:after="0" w:line="410" w:lineRule="exact"/>
        <w:ind w:left="0" w:right="0" w:firstLine="440"/>
        <w:jc w:val="both"/>
      </w:pPr>
      <w:bookmarkStart w:id="712" w:name="bookmark712"/>
      <w:bookmarkEnd w:id="712"/>
      <w:r>
        <w:rPr>
          <w:color w:val="000000"/>
          <w:spacing w:val="0"/>
          <w:w w:val="100"/>
          <w:position w:val="0"/>
        </w:rPr>
        <w:t>资产的市价当期大幅下跌，其跌幅明显高于因时间的推移或者正常使用而预计的下跌。</w:t>
      </w:r>
    </w:p>
    <w:p>
      <w:pPr>
        <w:pStyle w:val="Style35"/>
        <w:keepNext w:val="0"/>
        <w:keepLines w:val="0"/>
        <w:widowControl w:val="0"/>
        <w:numPr>
          <w:ilvl w:val="0"/>
          <w:numId w:val="7"/>
        </w:numPr>
        <w:shd w:val="clear" w:color="auto" w:fill="auto"/>
        <w:tabs>
          <w:tab w:pos="397" w:val="left"/>
        </w:tabs>
        <w:bidi w:val="0"/>
        <w:spacing w:before="0" w:after="0" w:line="410" w:lineRule="exact"/>
        <w:ind w:left="0" w:right="0" w:firstLine="440"/>
        <w:jc w:val="both"/>
      </w:pPr>
      <w:bookmarkStart w:id="713" w:name="bookmark713"/>
      <w:bookmarkEnd w:id="713"/>
      <w:r>
        <w:rPr>
          <w:color w:val="000000"/>
          <w:spacing w:val="0"/>
          <w:w w:val="100"/>
          <w:position w:val="0"/>
        </w:rPr>
        <w:t xml:space="preserve">企业经营所处的经济、技术或者法律等环境以及资产所处的市场在当期或者将在近期发生重大变 </w:t>
      </w:r>
      <w:r>
        <w:rPr>
          <w:color w:val="000000"/>
          <w:spacing w:val="0"/>
          <w:w w:val="100"/>
          <w:position w:val="0"/>
        </w:rPr>
        <w:t>化，从而对企业产生不利影响。</w:t>
      </w:r>
    </w:p>
    <w:p>
      <w:pPr>
        <w:pStyle w:val="Style35"/>
        <w:keepNext w:val="0"/>
        <w:keepLines w:val="0"/>
        <w:widowControl w:val="0"/>
        <w:numPr>
          <w:ilvl w:val="0"/>
          <w:numId w:val="7"/>
        </w:numPr>
        <w:shd w:val="clear" w:color="auto" w:fill="auto"/>
        <w:tabs>
          <w:tab w:pos="749" w:val="left"/>
        </w:tabs>
        <w:bidi w:val="0"/>
        <w:spacing w:before="0" w:after="0" w:line="409" w:lineRule="exact"/>
        <w:ind w:left="0" w:right="0" w:firstLine="440"/>
        <w:jc w:val="both"/>
      </w:pPr>
      <w:bookmarkStart w:id="714" w:name="bookmark714"/>
      <w:bookmarkEnd w:id="714"/>
      <w:r>
        <w:rPr>
          <w:color w:val="000000"/>
          <w:spacing w:val="0"/>
          <w:w w:val="100"/>
          <w:position w:val="0"/>
        </w:rPr>
        <w:t>市场利率或者其他市场投资报酬率在当期已经提高，从而影响企业计算资产预计未来现金流量现值 的折现率导致资产可收回金额大幅度降低。</w:t>
      </w:r>
    </w:p>
    <w:p>
      <w:pPr>
        <w:pStyle w:val="Style35"/>
        <w:keepNext w:val="0"/>
        <w:keepLines w:val="0"/>
        <w:widowControl w:val="0"/>
        <w:numPr>
          <w:ilvl w:val="0"/>
          <w:numId w:val="7"/>
        </w:numPr>
        <w:shd w:val="clear" w:color="auto" w:fill="auto"/>
        <w:tabs>
          <w:tab w:pos="786" w:val="left"/>
        </w:tabs>
        <w:bidi w:val="0"/>
        <w:spacing w:before="0" w:after="0" w:line="409" w:lineRule="exact"/>
        <w:ind w:left="0" w:right="0" w:firstLine="440"/>
        <w:jc w:val="both"/>
      </w:pPr>
      <w:bookmarkStart w:id="715" w:name="bookmark715"/>
      <w:bookmarkEnd w:id="715"/>
      <w:r>
        <w:rPr>
          <w:color w:val="000000"/>
          <w:spacing w:val="0"/>
          <w:w w:val="100"/>
          <w:position w:val="0"/>
        </w:rPr>
        <w:t>有证据表明资产已经陈旧过时或者其实体已经损坏。</w:t>
      </w:r>
    </w:p>
    <w:p>
      <w:pPr>
        <w:pStyle w:val="Style35"/>
        <w:keepNext w:val="0"/>
        <w:keepLines w:val="0"/>
        <w:widowControl w:val="0"/>
        <w:numPr>
          <w:ilvl w:val="0"/>
          <w:numId w:val="7"/>
        </w:numPr>
        <w:shd w:val="clear" w:color="auto" w:fill="auto"/>
        <w:tabs>
          <w:tab w:pos="786" w:val="left"/>
        </w:tabs>
        <w:bidi w:val="0"/>
        <w:spacing w:before="0" w:after="0" w:line="409" w:lineRule="exact"/>
        <w:ind w:left="0" w:right="0" w:firstLine="440"/>
        <w:jc w:val="both"/>
      </w:pPr>
      <w:bookmarkStart w:id="716" w:name="bookmark716"/>
      <w:bookmarkEnd w:id="716"/>
      <w:r>
        <w:rPr>
          <w:color w:val="000000"/>
          <w:spacing w:val="0"/>
          <w:w w:val="100"/>
          <w:position w:val="0"/>
        </w:rPr>
        <w:t>资产已经或者将被闲置、终止使用或者计划提前处置。</w:t>
      </w:r>
    </w:p>
    <w:p>
      <w:pPr>
        <w:pStyle w:val="Style35"/>
        <w:keepNext w:val="0"/>
        <w:keepLines w:val="0"/>
        <w:widowControl w:val="0"/>
        <w:numPr>
          <w:ilvl w:val="0"/>
          <w:numId w:val="7"/>
        </w:numPr>
        <w:shd w:val="clear" w:color="auto" w:fill="auto"/>
        <w:tabs>
          <w:tab w:pos="764" w:val="left"/>
        </w:tabs>
        <w:bidi w:val="0"/>
        <w:spacing w:before="0" w:after="0" w:line="409" w:lineRule="exact"/>
        <w:ind w:left="0" w:right="0" w:firstLine="440"/>
        <w:jc w:val="both"/>
      </w:pPr>
      <w:bookmarkStart w:id="717" w:name="bookmark717"/>
      <w:bookmarkEnd w:id="717"/>
      <w:r>
        <w:rPr>
          <w:color w:val="000000"/>
          <w:spacing w:val="0"/>
          <w:w w:val="100"/>
          <w:position w:val="0"/>
        </w:rPr>
        <w:t>企业内部报告的证据表明资产的经济绩效已经低于或者将低于预期，如资产所创造的净现金流量或 者实现的营业利润（或者亏损）远远低于（或者高于）预计金额等。</w:t>
      </w:r>
    </w:p>
    <w:p>
      <w:pPr>
        <w:pStyle w:val="Style35"/>
        <w:keepNext w:val="0"/>
        <w:keepLines w:val="0"/>
        <w:widowControl w:val="0"/>
        <w:numPr>
          <w:ilvl w:val="0"/>
          <w:numId w:val="7"/>
        </w:numPr>
        <w:shd w:val="clear" w:color="auto" w:fill="auto"/>
        <w:tabs>
          <w:tab w:pos="786" w:val="left"/>
        </w:tabs>
        <w:bidi w:val="0"/>
        <w:spacing w:before="0" w:after="0" w:line="409" w:lineRule="exact"/>
        <w:ind w:left="0" w:right="0" w:firstLine="440"/>
        <w:jc w:val="both"/>
      </w:pPr>
      <w:bookmarkStart w:id="718" w:name="bookmark718"/>
      <w:bookmarkEnd w:id="718"/>
      <w:r>
        <w:rPr>
          <w:color w:val="000000"/>
          <w:spacing w:val="0"/>
          <w:w w:val="100"/>
          <w:position w:val="0"/>
        </w:rPr>
        <w:t>其他表明资产可能已经发生减值的迹象。</w:t>
      </w:r>
    </w:p>
    <w:p>
      <w:pPr>
        <w:pStyle w:val="Style35"/>
        <w:keepNext w:val="0"/>
        <w:keepLines w:val="0"/>
        <w:widowControl w:val="0"/>
        <w:shd w:val="clear" w:color="auto" w:fill="auto"/>
        <w:tabs>
          <w:tab w:pos="965" w:val="left"/>
        </w:tabs>
        <w:bidi w:val="0"/>
        <w:spacing w:before="0" w:after="0" w:line="409" w:lineRule="exact"/>
        <w:ind w:left="0" w:right="0" w:firstLine="440"/>
        <w:jc w:val="both"/>
      </w:pPr>
      <w:bookmarkStart w:id="719" w:name="bookmark719"/>
      <w:r>
        <w:rPr>
          <w:color w:val="000000"/>
          <w:spacing w:val="0"/>
          <w:w w:val="100"/>
          <w:position w:val="0"/>
        </w:rPr>
        <w:t>（</w:t>
      </w:r>
      <w:bookmarkEnd w:id="719"/>
      <w:r>
        <w:rPr>
          <w:rFonts w:ascii="Arial Narrow" w:eastAsia="Arial Narrow" w:hAnsi="Arial Narrow" w:cs="Arial Narrow"/>
          <w:color w:val="000000"/>
          <w:spacing w:val="0"/>
          <w:w w:val="100"/>
          <w:position w:val="0"/>
        </w:rPr>
        <w:t>2</w:t>
      </w:r>
      <w:r>
        <w:rPr>
          <w:color w:val="000000"/>
          <w:spacing w:val="0"/>
          <w:w w:val="100"/>
          <w:position w:val="0"/>
        </w:rPr>
        <w:t>）</w:t>
        <w:tab/>
        <w:t>资产存在减值迹象的，估计其可收回金额。可收回金额应当根据资产的公允价值减去处置费用 后的净额与资产预计未来现金流量的现值两者之间较高者确定。资产的公允价值减去处置费用后的净额与 资产预计未来现金流量的现值，只要有一项超过了资产的账面价值，就表明资产没有发生减值，不需再估 计另一项金额。</w:t>
      </w:r>
    </w:p>
    <w:p>
      <w:pPr>
        <w:pStyle w:val="Style3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资产的公允价值减去处置费用后的净额，根据公平交易中销售协议价格减去可直接归属于该资产处置 费用的金额确定。不存在销售协议但存在资产活跃市场的，按照该资产的市场价格减去处置费用后的金额 确定。资产的市场价格通常应当根据资产的买方出价确定。在不存在销售协议和资产活跃市场的情况下， 当以可获取的最佳信息为基础，估计资产的公允价值减去处置费用后的净额，该净额可以参考同行业类似 资产的最近交易价格或者结果进行估计。按照上述规定仍然无法可靠估计资产的公允价值减去处置费用后 的净额的，以该资产预计未来现金流量的现值作为其可收回金额。</w:t>
      </w:r>
    </w:p>
    <w:p>
      <w:pPr>
        <w:pStyle w:val="Style3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资产预计未来现金流量的现值，按照资产在持续使用过程中和最终处置时所产生的预计未来现金流 量，选择恰当的折现率对其进行折现后的金额加以确定。预计资产未来现金流量的现值，应当综合考虑资 产的预计未来现金流量、使用寿命和折现率等因素。</w:t>
      </w:r>
    </w:p>
    <w:p>
      <w:pPr>
        <w:pStyle w:val="Style35"/>
        <w:keepNext w:val="0"/>
        <w:keepLines w:val="0"/>
        <w:widowControl w:val="0"/>
        <w:shd w:val="clear" w:color="auto" w:fill="auto"/>
        <w:tabs>
          <w:tab w:pos="965" w:val="left"/>
        </w:tabs>
        <w:bidi w:val="0"/>
        <w:spacing w:before="0" w:after="0" w:line="409" w:lineRule="exact"/>
        <w:ind w:left="0" w:right="0" w:firstLine="440"/>
        <w:jc w:val="both"/>
      </w:pPr>
      <w:bookmarkStart w:id="720" w:name="bookmark720"/>
      <w:r>
        <w:rPr>
          <w:color w:val="000000"/>
          <w:spacing w:val="0"/>
          <w:w w:val="100"/>
          <w:position w:val="0"/>
        </w:rPr>
        <w:t>（</w:t>
      </w:r>
      <w:bookmarkEnd w:id="720"/>
      <w:r>
        <w:rPr>
          <w:rFonts w:ascii="Arial Narrow" w:eastAsia="Arial Narrow" w:hAnsi="Arial Narrow" w:cs="Arial Narrow"/>
          <w:color w:val="000000"/>
          <w:spacing w:val="0"/>
          <w:w w:val="100"/>
          <w:position w:val="0"/>
        </w:rPr>
        <w:t>3</w:t>
      </w:r>
      <w:r>
        <w:rPr>
          <w:color w:val="000000"/>
          <w:spacing w:val="0"/>
          <w:w w:val="100"/>
          <w:position w:val="0"/>
        </w:rPr>
        <w:t>）</w:t>
        <w:tab/>
        <w:t>可收回金额的计量结果表明，资产的可收回金额低于其账面价值的，将资产的账面价值减记至 可收回金额，减记的金额确认为资产减值损失，计入当期损益，同时计提相应的资产减值准备。资产减值 损失确认后，减值资产的折旧或者摊销费用应当在未来期间作相应调整，以使该资产在剩余使用寿命内， 系统地分摊调整后的资产账面价值（扣除预计净残值）。资产减值损失一经确认，在以后会计期间不得转 回。</w:t>
      </w:r>
    </w:p>
    <w:p>
      <w:pPr>
        <w:pStyle w:val="Style35"/>
        <w:keepNext w:val="0"/>
        <w:keepLines w:val="0"/>
        <w:widowControl w:val="0"/>
        <w:shd w:val="clear" w:color="auto" w:fill="auto"/>
        <w:tabs>
          <w:tab w:pos="965" w:val="left"/>
        </w:tabs>
        <w:bidi w:val="0"/>
        <w:spacing w:before="0" w:after="160" w:line="411" w:lineRule="exact"/>
        <w:ind w:left="0" w:right="0" w:firstLine="440"/>
        <w:jc w:val="both"/>
      </w:pPr>
      <w:bookmarkStart w:id="721" w:name="bookmark721"/>
      <w:r>
        <w:rPr>
          <w:color w:val="000000"/>
          <w:spacing w:val="0"/>
          <w:w w:val="100"/>
          <w:position w:val="0"/>
        </w:rPr>
        <w:t>（</w:t>
      </w:r>
      <w:bookmarkEnd w:id="721"/>
      <w:r>
        <w:rPr>
          <w:rFonts w:ascii="Arial Narrow" w:eastAsia="Arial Narrow" w:hAnsi="Arial Narrow" w:cs="Arial Narrow"/>
          <w:color w:val="000000"/>
          <w:spacing w:val="0"/>
          <w:w w:val="100"/>
          <w:position w:val="0"/>
        </w:rPr>
        <w:t>4</w:t>
      </w:r>
      <w:r>
        <w:rPr>
          <w:color w:val="000000"/>
          <w:spacing w:val="0"/>
          <w:w w:val="100"/>
          <w:position w:val="0"/>
        </w:rPr>
        <w:t>）</w:t>
        <w:tab/>
        <w:t>表明一项资产可能发生减值的，一般以单项资产为基础估计其可收回金额。难以对单项资产的 可收回金额进行估计的，以该资产所属的资产组为基础确定资产组的可收回金额。在认定资产组时，以资 产组产生的主要现金流入是否独立于其他资产或者资产组的现金流入为依据。同时，在认定资产组时，考 虑管理层管理生产经营活动的方式和对资产的持续使用或者处置的决策方式等。</w:t>
      </w:r>
    </w:p>
    <w:p>
      <w:pPr>
        <w:pStyle w:val="Style38"/>
        <w:keepNext/>
        <w:keepLines/>
        <w:widowControl w:val="0"/>
        <w:shd w:val="clear" w:color="auto" w:fill="auto"/>
        <w:bidi w:val="0"/>
        <w:spacing w:before="0" w:after="0" w:line="430" w:lineRule="auto"/>
        <w:ind w:left="0" w:right="0"/>
        <w:jc w:val="both"/>
      </w:pPr>
      <w:bookmarkStart w:id="722" w:name="bookmark722"/>
      <w:bookmarkStart w:id="723" w:name="bookmark723"/>
      <w:bookmarkStart w:id="724" w:name="bookmark724"/>
      <w:r>
        <w:rPr>
          <w:rFonts w:ascii="Arial Narrow" w:eastAsia="Arial Narrow" w:hAnsi="Arial Narrow" w:cs="Arial Narrow"/>
          <w:color w:val="000000"/>
          <w:spacing w:val="0"/>
          <w:w w:val="100"/>
          <w:position w:val="0"/>
          <w:sz w:val="20"/>
          <w:szCs w:val="20"/>
        </w:rPr>
        <w:t>2</w:t>
      </w:r>
      <w:r>
        <w:rPr>
          <w:color w:val="000000"/>
          <w:spacing w:val="0"/>
          <w:w w:val="100"/>
          <w:position w:val="0"/>
        </w:rPr>
        <w:t>、职工薪酬</w:t>
      </w:r>
      <w:bookmarkEnd w:id="722"/>
      <w:bookmarkEnd w:id="723"/>
      <w:bookmarkEnd w:id="724"/>
    </w:p>
    <w:p>
      <w:pPr>
        <w:pStyle w:val="Style35"/>
        <w:keepNext w:val="0"/>
        <w:keepLines w:val="0"/>
        <w:widowControl w:val="0"/>
        <w:shd w:val="clear" w:color="auto" w:fill="auto"/>
        <w:bidi w:val="0"/>
        <w:spacing w:before="0" w:after="160" w:line="411" w:lineRule="exact"/>
        <w:ind w:left="0" w:right="0" w:firstLine="440"/>
        <w:jc w:val="both"/>
      </w:pPr>
      <w:r>
        <w:rPr>
          <w:color w:val="000000"/>
          <w:spacing w:val="0"/>
          <w:w w:val="100"/>
          <w:position w:val="0"/>
        </w:rPr>
        <w:t xml:space="preserve">职工薪酬，是指公司为获得职工提供的服务而给予各种形式的报酬以及其他相关支出。职工薪酬包括 职工工资、奖金、津贴和补贴、职工福利费、医疗保险费、养老保险费、失业保险费、工伤保险费和生育 保险费等社会保险费、住房公积金、工会经费和职工教育经费、非货币性福利、解除劳动关系给予的补偿 </w:t>
      </w:r>
      <w:r>
        <w:rPr>
          <w:color w:val="000000"/>
          <w:spacing w:val="0"/>
          <w:w w:val="100"/>
          <w:position w:val="0"/>
        </w:rPr>
        <w:t>金等。公司在职工为其提供服务的会计期间，将应付的职工薪酬确认为负债，除因解除劳动关系外，根据 职工提供服务的受益对象，计入相关费用或资产。根据有关规定，保险费及公积金一般按工资总额的一定 比例且在不超过规定上限的基础上提取并向劳动和社会保障机构缴纳，相应的支出计入当期生产成本或费 用。</w:t>
      </w:r>
    </w:p>
    <w:p>
      <w:pPr>
        <w:pStyle w:val="Style38"/>
        <w:keepNext/>
        <w:keepLines/>
        <w:widowControl w:val="0"/>
        <w:shd w:val="clear" w:color="auto" w:fill="auto"/>
        <w:bidi w:val="0"/>
        <w:spacing w:before="0" w:after="0" w:line="430" w:lineRule="auto"/>
        <w:ind w:left="0" w:right="0"/>
        <w:jc w:val="both"/>
      </w:pPr>
      <w:bookmarkStart w:id="725" w:name="bookmark725"/>
      <w:bookmarkStart w:id="726" w:name="bookmark726"/>
      <w:bookmarkStart w:id="727" w:name="bookmark727"/>
      <w:bookmarkStart w:id="728" w:name="bookmark728"/>
      <w:r>
        <w:rPr>
          <w:rFonts w:ascii="Arial Narrow" w:eastAsia="Arial Narrow" w:hAnsi="Arial Narrow" w:cs="Arial Narrow"/>
          <w:color w:val="000000"/>
          <w:spacing w:val="0"/>
          <w:w w:val="100"/>
          <w:position w:val="0"/>
          <w:sz w:val="20"/>
          <w:szCs w:val="20"/>
        </w:rPr>
        <w:t>3</w:t>
      </w:r>
      <w:bookmarkEnd w:id="727"/>
      <w:r>
        <w:rPr>
          <w:color w:val="000000"/>
          <w:spacing w:val="0"/>
          <w:w w:val="100"/>
          <w:position w:val="0"/>
        </w:rPr>
        <w:t>、利润分配政策</w:t>
      </w:r>
      <w:bookmarkEnd w:id="725"/>
      <w:bookmarkEnd w:id="726"/>
      <w:bookmarkEnd w:id="728"/>
    </w:p>
    <w:p>
      <w:pPr>
        <w:pStyle w:val="Style3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公司缴纳所得税后的利润按下列顺序分配：</w:t>
      </w:r>
    </w:p>
    <w:p>
      <w:pPr>
        <w:pStyle w:val="Style35"/>
        <w:keepNext w:val="0"/>
        <w:keepLines w:val="0"/>
        <w:widowControl w:val="0"/>
        <w:numPr>
          <w:ilvl w:val="0"/>
          <w:numId w:val="9"/>
        </w:numPr>
        <w:shd w:val="clear" w:color="auto" w:fill="auto"/>
        <w:tabs>
          <w:tab w:pos="832" w:val="left"/>
        </w:tabs>
        <w:bidi w:val="0"/>
        <w:spacing w:before="0" w:after="0" w:line="411" w:lineRule="exact"/>
        <w:ind w:left="0" w:right="0" w:firstLine="440"/>
        <w:jc w:val="both"/>
      </w:pPr>
      <w:bookmarkStart w:id="729" w:name="bookmark729"/>
      <w:bookmarkEnd w:id="729"/>
      <w:r>
        <w:rPr>
          <w:color w:val="000000"/>
          <w:spacing w:val="0"/>
          <w:w w:val="100"/>
          <w:position w:val="0"/>
        </w:rPr>
        <w:t>弥补以前年度亏损。</w:t>
      </w:r>
    </w:p>
    <w:p>
      <w:pPr>
        <w:pStyle w:val="Style35"/>
        <w:keepNext w:val="0"/>
        <w:keepLines w:val="0"/>
        <w:widowControl w:val="0"/>
        <w:numPr>
          <w:ilvl w:val="0"/>
          <w:numId w:val="9"/>
        </w:numPr>
        <w:shd w:val="clear" w:color="auto" w:fill="auto"/>
        <w:tabs>
          <w:tab w:pos="837" w:val="left"/>
        </w:tabs>
        <w:bidi w:val="0"/>
        <w:spacing w:before="0" w:after="0" w:line="411" w:lineRule="exact"/>
        <w:ind w:left="0" w:right="0" w:firstLine="440"/>
        <w:jc w:val="both"/>
      </w:pPr>
      <w:bookmarkStart w:id="730" w:name="bookmark730"/>
      <w:bookmarkEnd w:id="730"/>
      <w:r>
        <w:rPr>
          <w:color w:val="000000"/>
          <w:spacing w:val="0"/>
          <w:w w:val="100"/>
          <w:position w:val="0"/>
        </w:rPr>
        <w:t>按净利润的</w:t>
      </w:r>
      <w:r>
        <w:rPr>
          <w:rFonts w:ascii="Arial Narrow" w:eastAsia="Arial Narrow" w:hAnsi="Arial Narrow" w:cs="Arial Narrow"/>
          <w:color w:val="000000"/>
          <w:spacing w:val="0"/>
          <w:w w:val="100"/>
          <w:position w:val="0"/>
        </w:rPr>
        <w:t>10%</w:t>
      </w:r>
      <w:r>
        <w:rPr>
          <w:color w:val="000000"/>
          <w:spacing w:val="0"/>
          <w:w w:val="100"/>
          <w:position w:val="0"/>
        </w:rPr>
        <w:t>提取法定公积金。</w:t>
      </w:r>
    </w:p>
    <w:p>
      <w:pPr>
        <w:pStyle w:val="Style35"/>
        <w:keepNext w:val="0"/>
        <w:keepLines w:val="0"/>
        <w:widowControl w:val="0"/>
        <w:numPr>
          <w:ilvl w:val="0"/>
          <w:numId w:val="9"/>
        </w:numPr>
        <w:shd w:val="clear" w:color="auto" w:fill="auto"/>
        <w:tabs>
          <w:tab w:pos="837" w:val="left"/>
        </w:tabs>
        <w:bidi w:val="0"/>
        <w:spacing w:before="0" w:after="0" w:line="411" w:lineRule="exact"/>
        <w:ind w:left="0" w:right="0" w:firstLine="440"/>
        <w:jc w:val="both"/>
      </w:pPr>
      <w:bookmarkStart w:id="731" w:name="bookmark731"/>
      <w:bookmarkEnd w:id="731"/>
      <w:r>
        <w:rPr>
          <w:color w:val="000000"/>
          <w:spacing w:val="0"/>
          <w:w w:val="100"/>
          <w:position w:val="0"/>
        </w:rPr>
        <w:t>经股东大会决议，可提取任意公积金。</w:t>
      </w:r>
    </w:p>
    <w:p>
      <w:pPr>
        <w:pStyle w:val="Style35"/>
        <w:keepNext w:val="0"/>
        <w:keepLines w:val="0"/>
        <w:widowControl w:val="0"/>
        <w:numPr>
          <w:ilvl w:val="0"/>
          <w:numId w:val="9"/>
        </w:numPr>
        <w:shd w:val="clear" w:color="auto" w:fill="auto"/>
        <w:tabs>
          <w:tab w:pos="837" w:val="left"/>
        </w:tabs>
        <w:bidi w:val="0"/>
        <w:spacing w:before="0" w:after="480" w:line="411" w:lineRule="exact"/>
        <w:ind w:left="0" w:right="0" w:firstLine="440"/>
        <w:jc w:val="both"/>
      </w:pPr>
      <w:bookmarkStart w:id="732" w:name="bookmark732"/>
      <w:bookmarkEnd w:id="732"/>
      <w:r>
        <w:rPr>
          <w:color w:val="000000"/>
          <w:spacing w:val="0"/>
          <w:w w:val="100"/>
          <w:position w:val="0"/>
        </w:rPr>
        <w:t>剩余利润根据股东大会决议进行分配。</w:t>
      </w:r>
    </w:p>
    <w:p>
      <w:pPr>
        <w:pStyle w:val="Style25"/>
        <w:keepNext/>
        <w:keepLines/>
        <w:widowControl w:val="0"/>
        <w:shd w:val="clear" w:color="auto" w:fill="auto"/>
        <w:bidi w:val="0"/>
        <w:spacing w:before="0" w:after="360" w:line="240" w:lineRule="auto"/>
        <w:ind w:left="0" w:right="0" w:firstLine="0"/>
        <w:jc w:val="left"/>
      </w:pPr>
      <w:bookmarkStart w:id="733" w:name="bookmark733"/>
      <w:bookmarkStart w:id="734" w:name="bookmark734"/>
      <w:bookmarkStart w:id="735" w:name="bookmark735"/>
      <w:bookmarkStart w:id="736" w:name="bookmark736"/>
      <w:r>
        <w:rPr>
          <w:color w:val="000000"/>
          <w:spacing w:val="0"/>
          <w:w w:val="100"/>
          <w:position w:val="0"/>
        </w:rPr>
        <w:t>五</w:t>
      </w:r>
      <w:bookmarkEnd w:id="735"/>
      <w:r>
        <w:rPr>
          <w:color w:val="000000"/>
          <w:spacing w:val="0"/>
          <w:w w:val="100"/>
          <w:position w:val="0"/>
        </w:rPr>
        <w:t>、税项</w:t>
      </w:r>
      <w:bookmarkEnd w:id="733"/>
      <w:bookmarkEnd w:id="734"/>
      <w:bookmarkEnd w:id="736"/>
    </w:p>
    <w:p>
      <w:pPr>
        <w:pStyle w:val="Style38"/>
        <w:keepNext/>
        <w:keepLines/>
        <w:widowControl w:val="0"/>
        <w:shd w:val="clear" w:color="auto" w:fill="auto"/>
        <w:bidi w:val="0"/>
        <w:spacing w:before="0" w:after="320" w:line="240" w:lineRule="auto"/>
        <w:ind w:left="0" w:right="0" w:firstLine="0"/>
        <w:jc w:val="left"/>
      </w:pPr>
      <w:bookmarkStart w:id="737" w:name="bookmark737"/>
      <w:bookmarkStart w:id="738" w:name="bookmark738"/>
      <w:bookmarkStart w:id="739" w:name="bookmark739"/>
      <w:r>
        <w:rPr>
          <w:rFonts w:ascii="Times New Roman" w:eastAsia="Times New Roman" w:hAnsi="Times New Roman" w:cs="Times New Roman"/>
          <w:color w:val="000000"/>
          <w:spacing w:val="0"/>
          <w:w w:val="100"/>
          <w:position w:val="0"/>
        </w:rPr>
        <w:t>1</w:t>
      </w:r>
      <w:r>
        <w:rPr>
          <w:color w:val="000000"/>
          <w:spacing w:val="0"/>
          <w:w w:val="100"/>
          <w:position w:val="0"/>
        </w:rPr>
        <w:t>、公司主要税种和税率</w:t>
      </w:r>
      <w:bookmarkEnd w:id="737"/>
      <w:bookmarkEnd w:id="738"/>
      <w:bookmarkEnd w:id="739"/>
    </w:p>
    <w:tbl>
      <w:tblPr>
        <w:tblOverlap w:val="never"/>
        <w:jc w:val="center"/>
        <w:tblLayout w:type="fixed"/>
      </w:tblPr>
      <w:tblGrid>
        <w:gridCol w:w="3523"/>
        <w:gridCol w:w="3024"/>
        <w:gridCol w:w="3038"/>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税种</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计税依据</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税率</w:t>
            </w:r>
          </w:p>
        </w:tc>
      </w:tr>
      <w:tr>
        <w:trPr>
          <w:trHeight w:val="71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销售收入（营改增试点地区适用应税劳 务收入）</w:t>
            </w:r>
          </w:p>
        </w:tc>
        <w:tc>
          <w:tcPr>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营业税</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应纳税营业额</w:t>
            </w:r>
          </w:p>
        </w:tc>
        <w:tc>
          <w:tcPr>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left w:val="single" w:sz="4"/>
              <w:bottom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应缴流转税税额</w:t>
            </w:r>
          </w:p>
        </w:tc>
        <w:tc>
          <w:tcPr>
            <w:tcBorders>
              <w:top w:val="single" w:sz="4"/>
              <w:left w:val="single" w:sz="4"/>
              <w:bottom w:val="single" w:sz="4"/>
              <w:righ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p>
        </w:tc>
      </w:tr>
    </w:tbl>
    <w:p>
      <w:pPr>
        <w:widowControl w:val="0"/>
        <w:spacing w:after="15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19" w:right="0" w:firstLine="0"/>
        <w:jc w:val="left"/>
      </w:pPr>
      <w:r>
        <w:rPr>
          <w:color w:val="000000"/>
          <w:spacing w:val="0"/>
          <w:w w:val="100"/>
          <w:position w:val="0"/>
        </w:rPr>
        <w:t>企业所得税</w:t>
      </w:r>
    </w:p>
    <w:tbl>
      <w:tblPr>
        <w:tblOverlap w:val="never"/>
        <w:jc w:val="center"/>
        <w:tblLayout w:type="fixed"/>
      </w:tblPr>
      <w:tblGrid>
        <w:gridCol w:w="4003"/>
        <w:gridCol w:w="2813"/>
        <w:gridCol w:w="2794"/>
      </w:tblGrid>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公司名称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税率</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r>
        <w:trPr>
          <w:trHeight w:val="346"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蓝盾信息安全技术股份有限公司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蓝盾信息安全技术有限公司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两免三减半</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广东省蓝盾职业培训学院</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广东蓝盾乐庚信息技术有限公司</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19" w:line="1" w:lineRule="exact"/>
      </w:pPr>
    </w:p>
    <w:p>
      <w:pPr>
        <w:pStyle w:val="Style38"/>
        <w:keepNext/>
        <w:keepLines/>
        <w:widowControl w:val="0"/>
        <w:shd w:val="clear" w:color="auto" w:fill="auto"/>
        <w:bidi w:val="0"/>
        <w:spacing w:before="0" w:after="220" w:line="397" w:lineRule="exact"/>
        <w:ind w:left="0" w:right="0" w:firstLine="0"/>
        <w:jc w:val="left"/>
      </w:pPr>
      <w:bookmarkStart w:id="740" w:name="bookmark740"/>
      <w:bookmarkStart w:id="741" w:name="bookmark741"/>
      <w:bookmarkStart w:id="742" w:name="bookmark742"/>
      <w:r>
        <w:rPr>
          <w:rFonts w:ascii="Times New Roman" w:eastAsia="Times New Roman" w:hAnsi="Times New Roman" w:cs="Times New Roman"/>
          <w:color w:val="000000"/>
          <w:spacing w:val="0"/>
          <w:w w:val="100"/>
          <w:position w:val="0"/>
        </w:rPr>
        <w:t>2</w:t>
      </w:r>
      <w:r>
        <w:rPr>
          <w:color w:val="000000"/>
          <w:spacing w:val="0"/>
          <w:w w:val="100"/>
          <w:position w:val="0"/>
        </w:rPr>
        <w:t>、税收优惠及批文</w:t>
      </w:r>
      <w:bookmarkEnd w:id="740"/>
      <w:bookmarkEnd w:id="741"/>
      <w:bookmarkEnd w:id="742"/>
    </w:p>
    <w:p>
      <w:pPr>
        <w:pStyle w:val="Style38"/>
        <w:keepNext/>
        <w:keepLines/>
        <w:widowControl w:val="0"/>
        <w:shd w:val="clear" w:color="auto" w:fill="auto"/>
        <w:bidi w:val="0"/>
        <w:spacing w:before="0" w:after="0" w:line="397" w:lineRule="exact"/>
        <w:ind w:left="0" w:right="0"/>
        <w:jc w:val="both"/>
      </w:pPr>
      <w:bookmarkStart w:id="740" w:name="bookmark740"/>
      <w:bookmarkStart w:id="741" w:name="bookmark741"/>
      <w:bookmarkStart w:id="743" w:name="bookmark743"/>
      <w:r>
        <w:rPr>
          <w:color w:val="000000"/>
          <w:spacing w:val="0"/>
          <w:w w:val="100"/>
          <w:position w:val="0"/>
        </w:rPr>
        <w:t>增值税</w:t>
      </w:r>
      <w:bookmarkEnd w:id="740"/>
      <w:bookmarkEnd w:id="741"/>
      <w:bookmarkEnd w:id="743"/>
    </w:p>
    <w:p>
      <w:pPr>
        <w:pStyle w:val="Style35"/>
        <w:keepNext w:val="0"/>
        <w:keepLines w:val="0"/>
        <w:widowControl w:val="0"/>
        <w:shd w:val="clear" w:color="auto" w:fill="auto"/>
        <w:bidi w:val="0"/>
        <w:spacing w:before="0" w:after="0" w:line="397" w:lineRule="exact"/>
        <w:ind w:left="0" w:right="0" w:firstLine="440"/>
        <w:jc w:val="both"/>
      </w:pPr>
      <w:r>
        <w:rPr>
          <w:color w:val="000000"/>
          <w:spacing w:val="0"/>
          <w:w w:val="100"/>
          <w:position w:val="0"/>
        </w:rPr>
        <w:t>公司及子公司蓝盾信息安全技术有限公司被认定为软件企业，取得广东省信息产业厅颁发的《软件企 业认定证书》。根据财政部、国家税务总局、海关总署颁布的《关于鼓励软件产业和集成电路产业发展有 关税收政策问题的通知》（财税</w:t>
      </w:r>
      <w:r>
        <w:rPr>
          <w:rFonts w:ascii="Times New Roman" w:eastAsia="Times New Roman" w:hAnsi="Times New Roman" w:cs="Times New Roman"/>
          <w:color w:val="000000"/>
          <w:spacing w:val="0"/>
          <w:w w:val="100"/>
          <w:position w:val="0"/>
        </w:rPr>
        <w:t>[2000]25</w:t>
      </w:r>
      <w:r>
        <w:rPr>
          <w:color w:val="000000"/>
          <w:spacing w:val="0"/>
          <w:w w:val="100"/>
          <w:position w:val="0"/>
        </w:rPr>
        <w:t>号）以及国务院颁布的《进一步鼓励软件产业和集成电路产业发 展的若干政策》（国发</w:t>
      </w:r>
      <w:r>
        <w:rPr>
          <w:rFonts w:ascii="Times New Roman" w:eastAsia="Times New Roman" w:hAnsi="Times New Roman" w:cs="Times New Roman"/>
          <w:color w:val="000000"/>
          <w:spacing w:val="0"/>
          <w:w w:val="100"/>
          <w:position w:val="0"/>
        </w:rPr>
        <w:t>[2011]4</w:t>
      </w:r>
      <w:r>
        <w:rPr>
          <w:color w:val="000000"/>
          <w:spacing w:val="0"/>
          <w:w w:val="100"/>
          <w:position w:val="0"/>
        </w:rPr>
        <w:t>号）的规定，对增值税一般纳税人销售自行开发生产的软件产品，按</w:t>
      </w:r>
      <w:r>
        <w:rPr>
          <w:rFonts w:ascii="Times New Roman" w:eastAsia="Times New Roman" w:hAnsi="Times New Roman" w:cs="Times New Roman"/>
          <w:color w:val="000000"/>
          <w:spacing w:val="0"/>
          <w:w w:val="100"/>
          <w:position w:val="0"/>
        </w:rPr>
        <w:t>17%</w:t>
      </w:r>
      <w:r>
        <w:rPr>
          <w:color w:val="000000"/>
          <w:spacing w:val="0"/>
          <w:w w:val="100"/>
          <w:position w:val="0"/>
        </w:rPr>
        <w:t>的 法定税率征收增值税后，对增值税实际税负超过</w:t>
      </w:r>
      <w:r>
        <w:rPr>
          <w:rFonts w:ascii="Times New Roman" w:eastAsia="Times New Roman" w:hAnsi="Times New Roman" w:cs="Times New Roman"/>
          <w:color w:val="000000"/>
          <w:spacing w:val="0"/>
          <w:w w:val="100"/>
          <w:position w:val="0"/>
        </w:rPr>
        <w:t>3%</w:t>
      </w:r>
      <w:r>
        <w:rPr>
          <w:color w:val="000000"/>
          <w:spacing w:val="0"/>
          <w:w w:val="100"/>
          <w:position w:val="0"/>
        </w:rPr>
        <w:t xml:space="preserve">的部分实行即征即退政策。所退税款由企业用于研究开 </w:t>
      </w:r>
      <w:r>
        <w:rPr>
          <w:color w:val="000000"/>
          <w:spacing w:val="0"/>
          <w:w w:val="100"/>
          <w:position w:val="0"/>
        </w:rPr>
        <w:t>发软件产品和扩大再生产，不作为企业所得税应税收入，不予征收企业所得税。</w:t>
      </w:r>
    </w:p>
    <w:p>
      <w:pPr>
        <w:pStyle w:val="Style38"/>
        <w:keepNext/>
        <w:keepLines/>
        <w:widowControl w:val="0"/>
        <w:shd w:val="clear" w:color="auto" w:fill="auto"/>
        <w:bidi w:val="0"/>
        <w:spacing w:before="0" w:after="0" w:line="401" w:lineRule="exact"/>
        <w:ind w:left="0" w:right="0"/>
        <w:jc w:val="both"/>
      </w:pPr>
      <w:bookmarkStart w:id="744" w:name="bookmark744"/>
      <w:bookmarkStart w:id="745" w:name="bookmark745"/>
      <w:bookmarkStart w:id="746" w:name="bookmark746"/>
      <w:r>
        <w:rPr>
          <w:color w:val="000000"/>
          <w:spacing w:val="0"/>
          <w:w w:val="100"/>
          <w:position w:val="0"/>
        </w:rPr>
        <w:t>营业税</w:t>
      </w:r>
      <w:bookmarkEnd w:id="744"/>
      <w:bookmarkEnd w:id="745"/>
      <w:bookmarkEnd w:id="746"/>
    </w:p>
    <w:p>
      <w:pPr>
        <w:pStyle w:val="Style35"/>
        <w:keepNext w:val="0"/>
        <w:keepLines w:val="0"/>
        <w:widowControl w:val="0"/>
        <w:shd w:val="clear" w:color="auto" w:fill="auto"/>
        <w:bidi w:val="0"/>
        <w:spacing w:before="0" w:after="0" w:line="401" w:lineRule="exact"/>
        <w:ind w:left="0" w:right="0" w:firstLine="440"/>
        <w:jc w:val="both"/>
      </w:pPr>
      <w:r>
        <w:rPr>
          <w:color w:val="000000"/>
          <w:spacing w:val="0"/>
          <w:w w:val="100"/>
          <w:position w:val="0"/>
        </w:rPr>
        <w:t>根据国家税收法规，按照营业税征缴范围的营业收入的</w:t>
      </w:r>
      <w:r>
        <w:rPr>
          <w:rFonts w:ascii="Times New Roman" w:eastAsia="Times New Roman" w:hAnsi="Times New Roman" w:cs="Times New Roman"/>
          <w:color w:val="000000"/>
          <w:spacing w:val="0"/>
          <w:w w:val="100"/>
          <w:position w:val="0"/>
        </w:rPr>
        <w:t>3%</w:t>
      </w:r>
      <w:r>
        <w:rPr>
          <w:color w:val="000000"/>
          <w:spacing w:val="0"/>
          <w:w w:val="100"/>
          <w:position w:val="0"/>
        </w:rPr>
        <w:t>或</w:t>
      </w:r>
      <w:r>
        <w:rPr>
          <w:rFonts w:ascii="Times New Roman" w:eastAsia="Times New Roman" w:hAnsi="Times New Roman" w:cs="Times New Roman"/>
          <w:color w:val="000000"/>
          <w:spacing w:val="0"/>
          <w:w w:val="100"/>
          <w:position w:val="0"/>
        </w:rPr>
        <w:t>5%</w:t>
      </w:r>
      <w:r>
        <w:rPr>
          <w:color w:val="000000"/>
          <w:spacing w:val="0"/>
          <w:w w:val="100"/>
          <w:position w:val="0"/>
        </w:rPr>
        <w:t>计提缴纳，对符合规定的技术开发收 入免征营业税。</w:t>
      </w:r>
    </w:p>
    <w:p>
      <w:pPr>
        <w:pStyle w:val="Style38"/>
        <w:keepNext/>
        <w:keepLines/>
        <w:widowControl w:val="0"/>
        <w:shd w:val="clear" w:color="auto" w:fill="auto"/>
        <w:bidi w:val="0"/>
        <w:spacing w:before="0" w:after="0" w:line="401" w:lineRule="exact"/>
        <w:ind w:left="0" w:right="0"/>
        <w:jc w:val="both"/>
      </w:pPr>
      <w:bookmarkStart w:id="747" w:name="bookmark747"/>
      <w:bookmarkStart w:id="748" w:name="bookmark748"/>
      <w:bookmarkStart w:id="749" w:name="bookmark749"/>
      <w:r>
        <w:rPr>
          <w:color w:val="000000"/>
          <w:spacing w:val="0"/>
          <w:w w:val="100"/>
          <w:position w:val="0"/>
        </w:rPr>
        <w:t>企业所得税</w:t>
      </w:r>
      <w:bookmarkEnd w:id="747"/>
      <w:bookmarkEnd w:id="748"/>
      <w:bookmarkEnd w:id="749"/>
    </w:p>
    <w:p>
      <w:pPr>
        <w:pStyle w:val="Style35"/>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日取得广东省科学技术厅、广东省财政厅、广东省国家税务局、广东省地方税务 局联合下发的编号为：</w:t>
      </w:r>
      <w:r>
        <w:rPr>
          <w:rFonts w:ascii="Times New Roman" w:eastAsia="Times New Roman" w:hAnsi="Times New Roman" w:cs="Times New Roman"/>
          <w:color w:val="000000"/>
          <w:spacing w:val="0"/>
          <w:w w:val="100"/>
          <w:position w:val="0"/>
        </w:rPr>
        <w:t>GF201144000376</w:t>
      </w:r>
      <w:r>
        <w:rPr>
          <w:color w:val="000000"/>
          <w:spacing w:val="0"/>
          <w:w w:val="100"/>
          <w:position w:val="0"/>
        </w:rPr>
        <w:t>的《高新技术企业证书》，该认定有效期为三年。根据</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16</w:t>
      </w:r>
      <w:r>
        <w:rPr>
          <w:color w:val="000000"/>
          <w:spacing w:val="0"/>
          <w:w w:val="100"/>
          <w:position w:val="0"/>
        </w:rPr>
        <w:t>0</w:t>
      </w:r>
      <w:r>
        <w:rPr>
          <w:color w:val="000000"/>
          <w:spacing w:val="0"/>
          <w:w w:val="100"/>
          <w:position w:val="0"/>
        </w:rPr>
        <w:t>发布的《中华人民共和国企业所得税法》（以下简称</w:t>
      </w:r>
      <w:r>
        <w:rPr>
          <w:rFonts w:ascii="Times New Roman" w:eastAsia="Times New Roman" w:hAnsi="Times New Roman" w:cs="Times New Roman"/>
          <w:color w:val="000000"/>
          <w:spacing w:val="0"/>
          <w:w w:val="100"/>
          <w:position w:val="0"/>
        </w:rPr>
        <w:t>“</w:t>
      </w:r>
      <w:r>
        <w:rPr>
          <w:color w:val="000000"/>
          <w:spacing w:val="0"/>
          <w:w w:val="100"/>
          <w:position w:val="0"/>
        </w:rPr>
        <w:t>新企业所得税法</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的规定，公司自</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 xml:space="preserve">1 </w:t>
      </w:r>
      <w:r>
        <w:rPr>
          <w:color w:val="000000"/>
          <w:spacing w:val="0"/>
          <w:w w:val="100"/>
          <w:position w:val="0"/>
        </w:rPr>
        <w:t>日起按照新企业所得税税法的规定计缴企业所得税。新企业所得税规定：企业所得税税率为</w:t>
      </w:r>
      <w:r>
        <w:rPr>
          <w:rFonts w:ascii="Times New Roman" w:eastAsia="Times New Roman" w:hAnsi="Times New Roman" w:cs="Times New Roman"/>
          <w:color w:val="000000"/>
          <w:spacing w:val="0"/>
          <w:w w:val="100"/>
          <w:position w:val="0"/>
        </w:rPr>
        <w:t>25%</w:t>
      </w:r>
      <w:r>
        <w:rPr>
          <w:color w:val="000000"/>
          <w:spacing w:val="0"/>
          <w:w w:val="100"/>
          <w:position w:val="0"/>
        </w:rPr>
        <w:t>,国家规 划布局内的重点软件生产企业和集成电路设计企业，减按</w:t>
      </w:r>
      <w:r>
        <w:rPr>
          <w:rFonts w:ascii="Times New Roman" w:eastAsia="Times New Roman" w:hAnsi="Times New Roman" w:cs="Times New Roman"/>
          <w:color w:val="000000"/>
          <w:spacing w:val="0"/>
          <w:w w:val="100"/>
          <w:position w:val="0"/>
        </w:rPr>
        <w:t>10</w:t>
      </w:r>
      <w:r>
        <w:rPr>
          <w:color w:val="000000"/>
          <w:spacing w:val="0"/>
          <w:w w:val="100"/>
          <w:position w:val="0"/>
        </w:rPr>
        <w:t>%的税率征收企业所得税。公司于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21</w:t>
      </w:r>
      <w:r>
        <w:rPr>
          <w:color w:val="000000"/>
          <w:spacing w:val="0"/>
          <w:w w:val="100"/>
          <w:position w:val="0"/>
        </w:rPr>
        <w:t>0</w:t>
      </w:r>
      <w:r>
        <w:rPr>
          <w:color w:val="000000"/>
          <w:spacing w:val="0"/>
          <w:w w:val="100"/>
          <w:position w:val="0"/>
        </w:rPr>
        <w:t>取得认证，公司</w:t>
      </w:r>
      <w:r>
        <w:rPr>
          <w:rFonts w:ascii="Times New Roman" w:eastAsia="Times New Roman" w:hAnsi="Times New Roman" w:cs="Times New Roman"/>
          <w:color w:val="000000"/>
          <w:spacing w:val="0"/>
          <w:w w:val="100"/>
          <w:position w:val="0"/>
        </w:rPr>
        <w:t>2013</w:t>
      </w:r>
      <w:r>
        <w:rPr>
          <w:color w:val="000000"/>
          <w:spacing w:val="0"/>
          <w:w w:val="100"/>
          <w:position w:val="0"/>
        </w:rPr>
        <w:t>年适用的所得税税率为</w:t>
      </w:r>
      <w:r>
        <w:rPr>
          <w:rFonts w:ascii="Times New Roman" w:eastAsia="Times New Roman" w:hAnsi="Times New Roman" w:cs="Times New Roman"/>
          <w:color w:val="000000"/>
          <w:spacing w:val="0"/>
          <w:w w:val="100"/>
          <w:position w:val="0"/>
        </w:rPr>
        <w:t>10%</w:t>
      </w:r>
      <w:r>
        <w:rPr>
          <w:color w:val="000000"/>
          <w:spacing w:val="0"/>
          <w:w w:val="100"/>
          <w:position w:val="0"/>
        </w:rPr>
        <w:t>。</w:t>
      </w:r>
    </w:p>
    <w:p>
      <w:pPr>
        <w:pStyle w:val="Style35"/>
        <w:keepNext w:val="0"/>
        <w:keepLines w:val="0"/>
        <w:widowControl w:val="0"/>
        <w:shd w:val="clear" w:color="auto" w:fill="auto"/>
        <w:bidi w:val="0"/>
        <w:spacing w:before="0" w:after="380" w:line="401" w:lineRule="exact"/>
        <w:ind w:left="0" w:right="0" w:firstLine="440"/>
        <w:jc w:val="both"/>
      </w:pPr>
      <w:r>
        <w:rPr>
          <w:color w:val="000000"/>
          <w:spacing w:val="0"/>
          <w:w w:val="100"/>
          <w:position w:val="0"/>
        </w:rPr>
        <w:t>公司子公司蓝盾信息安全技术有限公司于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0</w:t>
      </w:r>
      <w:r>
        <w:rPr>
          <w:color w:val="000000"/>
          <w:spacing w:val="0"/>
          <w:w w:val="100"/>
          <w:position w:val="0"/>
        </w:rPr>
        <w:t>取得广东省经济和信息化委员会下发的编 号为：粤</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R2013-0555</w:t>
      </w:r>
      <w:r>
        <w:rPr>
          <w:color w:val="000000"/>
          <w:spacing w:val="0"/>
          <w:w w:val="100"/>
          <w:position w:val="0"/>
        </w:rPr>
        <w:t>的《软件企业认定证书》。根据财税</w:t>
      </w:r>
      <w:r>
        <w:rPr>
          <w:rFonts w:ascii="Times New Roman" w:eastAsia="Times New Roman" w:hAnsi="Times New Roman" w:cs="Times New Roman"/>
          <w:color w:val="000000"/>
          <w:spacing w:val="0"/>
          <w:w w:val="100"/>
          <w:position w:val="0"/>
        </w:rPr>
        <w:t xml:space="preserve">[2008] </w:t>
      </w:r>
      <w:r>
        <w:rPr>
          <w:rFonts w:ascii="Times New Roman" w:eastAsia="Times New Roman" w:hAnsi="Times New Roman" w:cs="Times New Roman"/>
          <w:color w:val="000000"/>
          <w:spacing w:val="0"/>
          <w:w w:val="100"/>
          <w:position w:val="0"/>
        </w:rPr>
        <w:t>1</w:t>
      </w:r>
      <w:r>
        <w:rPr>
          <w:color w:val="000000"/>
          <w:spacing w:val="0"/>
          <w:w w:val="100"/>
          <w:position w:val="0"/>
        </w:rPr>
        <w:t>号《财政部、国家税务总局关于企业所 得税若干优惠政策的通知》，从</w:t>
      </w:r>
      <w:r>
        <w:rPr>
          <w:rFonts w:ascii="Times New Roman" w:eastAsia="Times New Roman" w:hAnsi="Times New Roman" w:cs="Times New Roman"/>
          <w:color w:val="000000"/>
          <w:spacing w:val="0"/>
          <w:w w:val="100"/>
          <w:position w:val="0"/>
        </w:rPr>
        <w:t>2 012</w:t>
      </w:r>
      <w:r>
        <w:rPr>
          <w:color w:val="000000"/>
          <w:spacing w:val="0"/>
          <w:w w:val="100"/>
          <w:position w:val="0"/>
        </w:rPr>
        <w:t>年开始享受企业所得税两免三减半优惠。</w:t>
      </w:r>
    </w:p>
    <w:p>
      <w:pPr>
        <w:pStyle w:val="Style25"/>
        <w:keepNext/>
        <w:keepLines/>
        <w:widowControl w:val="0"/>
        <w:shd w:val="clear" w:color="auto" w:fill="auto"/>
        <w:bidi w:val="0"/>
        <w:spacing w:before="0" w:after="180" w:line="240" w:lineRule="auto"/>
        <w:ind w:left="0" w:right="0" w:firstLine="0"/>
        <w:jc w:val="both"/>
        <w:sectPr>
          <w:headerReference w:type="default" r:id="rId517"/>
          <w:footerReference w:type="default" r:id="rId518"/>
          <w:footnotePr>
            <w:pos w:val="pageBottom"/>
            <w:numFmt w:val="decimal"/>
            <w:numRestart w:val="continuous"/>
          </w:footnotePr>
          <w:pgSz w:w="11900" w:h="16840"/>
          <w:pgMar w:top="1278" w:right="962" w:bottom="1528" w:left="1006" w:header="0" w:footer="3" w:gutter="0"/>
          <w:cols w:space="720"/>
          <w:noEndnote/>
          <w:rtlGutter w:val="0"/>
          <w:docGrid w:linePitch="360"/>
        </w:sectPr>
      </w:pPr>
      <w:bookmarkStart w:id="750" w:name="bookmark750"/>
      <w:bookmarkStart w:id="751" w:name="bookmark751"/>
      <w:bookmarkStart w:id="752" w:name="bookmark752"/>
      <w:bookmarkStart w:id="753" w:name="bookmark753"/>
      <w:r>
        <w:rPr>
          <w:color w:val="000000"/>
          <w:spacing w:val="0"/>
          <w:w w:val="100"/>
          <w:position w:val="0"/>
        </w:rPr>
        <w:t>六</w:t>
      </w:r>
      <w:bookmarkEnd w:id="752"/>
      <w:r>
        <w:rPr>
          <w:color w:val="000000"/>
          <w:spacing w:val="0"/>
          <w:w w:val="100"/>
          <w:position w:val="0"/>
        </w:rPr>
        <w:t>、企业合并及合并财务报表</w:t>
      </w:r>
      <w:bookmarkEnd w:id="750"/>
      <w:bookmarkEnd w:id="751"/>
      <w:bookmarkEnd w:id="753"/>
    </w:p>
    <w:p>
      <w:pPr>
        <w:pStyle w:val="Style38"/>
        <w:keepNext/>
        <w:keepLines/>
        <w:widowControl w:val="0"/>
        <w:shd w:val="clear" w:color="auto" w:fill="auto"/>
        <w:bidi w:val="0"/>
        <w:spacing w:before="0" w:after="360" w:line="240" w:lineRule="auto"/>
        <w:ind w:left="1220" w:right="0" w:firstLine="0"/>
        <w:jc w:val="left"/>
      </w:pPr>
      <w:bookmarkStart w:id="754" w:name="bookmark754"/>
      <w:bookmarkStart w:id="755" w:name="bookmark755"/>
      <w:bookmarkStart w:id="756" w:name="bookmark756"/>
      <w:r>
        <w:rPr>
          <w:rFonts w:ascii="Times New Roman" w:eastAsia="Times New Roman" w:hAnsi="Times New Roman" w:cs="Times New Roman"/>
          <w:color w:val="000000"/>
          <w:spacing w:val="0"/>
          <w:w w:val="100"/>
          <w:position w:val="0"/>
        </w:rPr>
        <w:t>1</w:t>
      </w:r>
      <w:r>
        <w:rPr>
          <w:color w:val="000000"/>
          <w:spacing w:val="0"/>
          <w:w w:val="100"/>
          <w:position w:val="0"/>
        </w:rPr>
        <w:t>、子公司情况</w:t>
      </w:r>
      <w:bookmarkEnd w:id="754"/>
      <w:bookmarkEnd w:id="755"/>
      <w:bookmarkEnd w:id="756"/>
    </w:p>
    <w:p>
      <w:pPr>
        <w:pStyle w:val="Style38"/>
        <w:keepNext/>
        <w:keepLines/>
        <w:widowControl w:val="0"/>
        <w:numPr>
          <w:ilvl w:val="0"/>
          <w:numId w:val="11"/>
        </w:numPr>
        <w:shd w:val="clear" w:color="auto" w:fill="auto"/>
        <w:bidi w:val="0"/>
        <w:spacing w:before="0" w:after="360" w:line="240" w:lineRule="auto"/>
        <w:ind w:left="1340" w:right="0" w:firstLine="0"/>
        <w:jc w:val="left"/>
      </w:pPr>
      <w:bookmarkStart w:id="754" w:name="bookmark754"/>
      <w:bookmarkStart w:id="755" w:name="bookmark755"/>
      <w:bookmarkStart w:id="757" w:name="bookmark757"/>
      <w:bookmarkStart w:id="758" w:name="bookmark758"/>
      <w:bookmarkEnd w:id="757"/>
      <w:r>
        <w:rPr>
          <w:color w:val="000000"/>
          <w:spacing w:val="0"/>
          <w:w w:val="100"/>
          <w:position w:val="0"/>
        </w:rPr>
        <w:t>通过设立或投资等方式取得的子公司</w:t>
      </w:r>
      <w:bookmarkEnd w:id="754"/>
      <w:bookmarkEnd w:id="755"/>
      <w:bookmarkEnd w:id="758"/>
    </w:p>
    <w:p>
      <w:pPr>
        <w:pStyle w:val="Style27"/>
        <w:keepNext w:val="0"/>
        <w:keepLines w:val="0"/>
        <w:widowControl w:val="0"/>
        <w:shd w:val="clear" w:color="auto" w:fill="auto"/>
        <w:bidi w:val="0"/>
        <w:spacing w:before="0" w:after="360" w:line="240" w:lineRule="auto"/>
        <w:ind w:left="14280" w:right="0" w:firstLine="0"/>
        <w:jc w:val="left"/>
      </w:pPr>
      <w:r>
        <w:rPr>
          <w:color w:val="000000"/>
          <w:spacing w:val="0"/>
          <w:w w:val="100"/>
          <w:position w:val="0"/>
        </w:rPr>
        <w:t>单位：元</w:t>
      </w:r>
    </w:p>
    <w:tbl>
      <w:tblPr>
        <w:tblOverlap w:val="never"/>
        <w:jc w:val="center"/>
        <w:tblLayout w:type="fixed"/>
      </w:tblPr>
      <w:tblGrid>
        <w:gridCol w:w="1555"/>
        <w:gridCol w:w="696"/>
        <w:gridCol w:w="682"/>
        <w:gridCol w:w="682"/>
        <w:gridCol w:w="1349"/>
        <w:gridCol w:w="3010"/>
        <w:gridCol w:w="1334"/>
        <w:gridCol w:w="1138"/>
        <w:gridCol w:w="682"/>
        <w:gridCol w:w="682"/>
        <w:gridCol w:w="682"/>
        <w:gridCol w:w="1013"/>
        <w:gridCol w:w="1094"/>
        <w:gridCol w:w="1838"/>
      </w:tblGrid>
      <w:tr>
        <w:trPr>
          <w:trHeight w:val="196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40"/>
              <w:jc w:val="both"/>
              <w:rPr>
                <w:sz w:val="17"/>
                <w:szCs w:val="17"/>
              </w:rPr>
            </w:pPr>
            <w:r>
              <w:rPr>
                <w:color w:val="000000"/>
                <w:spacing w:val="0"/>
                <w:w w:val="100"/>
                <w:position w:val="0"/>
                <w:sz w:val="17"/>
                <w:szCs w:val="17"/>
              </w:rPr>
              <w:t>子公司全称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子公司 类型</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业务性 质</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经营范围</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期末实际投资额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实质上构成 对子公司净 投资的其他 项目余额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持股比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24" w:lineRule="exact"/>
              <w:ind w:left="0" w:right="0" w:firstLine="0"/>
              <w:jc w:val="center"/>
              <w:rPr>
                <w:sz w:val="18"/>
                <w:szCs w:val="18"/>
              </w:rPr>
            </w:pPr>
            <w:r>
              <w:rPr>
                <w:color w:val="000000"/>
                <w:spacing w:val="0"/>
                <w:w w:val="100"/>
                <w:position w:val="0"/>
                <w:sz w:val="17"/>
                <w:szCs w:val="17"/>
              </w:rPr>
              <w:t xml:space="preserve">表决权 比例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是否合</w:t>
            </w:r>
          </w:p>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并报表</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少数股东权 益</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少数股东权 益中用于冲 减少数股东 损益的金额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313" w:lineRule="exact"/>
              <w:ind w:left="0" w:right="0" w:firstLine="0"/>
              <w:jc w:val="center"/>
              <w:rPr>
                <w:sz w:val="17"/>
                <w:szCs w:val="17"/>
              </w:rPr>
            </w:pPr>
            <w:r>
              <w:rPr>
                <w:color w:val="000000"/>
                <w:spacing w:val="0"/>
                <w:w w:val="100"/>
                <w:position w:val="0"/>
                <w:sz w:val="17"/>
                <w:szCs w:val="17"/>
              </w:rPr>
              <w:t>从母公司所有者权益 冲减子公司少数股东 分担的本期亏损超过 少数股东在该子公司 年初所有者权益中所 享有份额后的余额</w:t>
            </w:r>
          </w:p>
        </w:tc>
      </w:tr>
      <w:tr>
        <w:trPr>
          <w:trHeight w:val="1651"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蓝盾信息安全技术</w:t>
            </w:r>
          </w:p>
          <w:p>
            <w:pPr>
              <w:pStyle w:val="Style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有限公司</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全资子</w:t>
            </w:r>
          </w:p>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计算机 应用服 务业</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110,000,000.00</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计算机软、硬件开发；计算机信息系 统集成、布线；承接网络工程建设项 目；信息技术开发、服务；计算机网 络技术服务、咨询；销售：计算机及 辅助设备、文体用品、电子产品</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广东省蓝盾职业培 训学院</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全资子</w:t>
            </w:r>
          </w:p>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教育培</w:t>
            </w:r>
          </w:p>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训服务</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计算机网络管理员、计算机程序设计 员、电子商务师、通信网络管理员(三 四级)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1037" w:hRule="exact"/>
        </w:trPr>
        <w:tc>
          <w:tcPr>
            <w:tcBorders>
              <w:top w:val="single" w:sz="4"/>
              <w:left w:val="single" w:sz="4"/>
              <w:bottom w:val="single" w:sz="4"/>
            </w:tcBorders>
            <w:shd w:val="clear" w:color="auto" w:fill="CCE8CF"/>
            <w:vAlign w:val="center"/>
          </w:tcPr>
          <w:p>
            <w:pPr>
              <w:pStyle w:val="Style8"/>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广东蓝盾乐庚信息 技术有限公司</w:t>
            </w:r>
          </w:p>
        </w:tc>
        <w:tc>
          <w:tcPr>
            <w:tcBorders>
              <w:top w:val="single" w:sz="4"/>
              <w:left w:val="single" w:sz="4"/>
              <w:bottom w:val="single" w:sz="4"/>
            </w:tcBorders>
            <w:shd w:val="clear" w:color="auto" w:fill="CCE8CF"/>
            <w:vAlign w:val="center"/>
          </w:tcPr>
          <w:p>
            <w:pPr>
              <w:pStyle w:val="Style8"/>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控股子</w:t>
            </w:r>
          </w:p>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bottom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w:t>
            </w:r>
          </w:p>
        </w:tc>
        <w:tc>
          <w:tcPr>
            <w:tcBorders>
              <w:top w:val="single" w:sz="4"/>
              <w:left w:val="single" w:sz="4"/>
              <w:bottom w:val="single" w:sz="4"/>
            </w:tcBorders>
            <w:shd w:val="clear" w:color="auto" w:fill="CCE8CF"/>
            <w:vAlign w:val="center"/>
          </w:tcPr>
          <w:p>
            <w:pPr>
              <w:pStyle w:val="Style8"/>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计算机 应用服 务业</w:t>
            </w:r>
          </w:p>
        </w:tc>
        <w:tc>
          <w:tcPr>
            <w:tcBorders>
              <w:top w:val="single" w:sz="4"/>
              <w:left w:val="single" w:sz="4"/>
              <w:bottom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tcBorders>
            <w:shd w:val="clear" w:color="auto" w:fill="CCE8CF"/>
            <w:vAlign w:val="center"/>
          </w:tcPr>
          <w:p>
            <w:pPr>
              <w:pStyle w:val="Style8"/>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承接计算机软件和网络工程；计算机 系统集成；软件咨询；计算机软硬件 及网络维护</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4,010,574.32</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sectPr>
          <w:headerReference w:type="default" r:id="rId519"/>
          <w:footerReference w:type="default" r:id="rId520"/>
          <w:footnotePr>
            <w:pos w:val="pageBottom"/>
            <w:numFmt w:val="decimal"/>
            <w:numRestart w:val="continuous"/>
          </w:footnotePr>
          <w:pgSz w:w="16840" w:h="11900" w:orient="landscape"/>
          <w:pgMar w:top="1158" w:right="202" w:bottom="1158" w:left="202" w:header="0" w:footer="3" w:gutter="0"/>
          <w:cols w:space="720"/>
          <w:noEndnote/>
          <w:rtlGutter w:val="0"/>
          <w:docGrid w:linePitch="360"/>
        </w:sectPr>
      </w:pPr>
    </w:p>
    <w:p>
      <w:pPr>
        <w:pStyle w:val="Style38"/>
        <w:keepNext/>
        <w:keepLines/>
        <w:widowControl w:val="0"/>
        <w:numPr>
          <w:ilvl w:val="0"/>
          <w:numId w:val="11"/>
        </w:numPr>
        <w:shd w:val="clear" w:color="auto" w:fill="auto"/>
        <w:tabs>
          <w:tab w:pos="493" w:val="left"/>
        </w:tabs>
        <w:bidi w:val="0"/>
        <w:spacing w:before="280" w:after="380" w:line="240" w:lineRule="auto"/>
        <w:ind w:left="0" w:right="0" w:firstLine="0"/>
        <w:jc w:val="left"/>
      </w:pPr>
      <w:bookmarkStart w:id="759" w:name="bookmark759"/>
      <w:bookmarkStart w:id="760" w:name="bookmark760"/>
      <w:bookmarkStart w:id="761" w:name="bookmark761"/>
      <w:bookmarkStart w:id="762" w:name="bookmark762"/>
      <w:bookmarkEnd w:id="761"/>
      <w:r>
        <w:rPr>
          <w:color w:val="000000"/>
          <w:spacing w:val="0"/>
          <w:w w:val="100"/>
          <w:position w:val="0"/>
        </w:rPr>
        <w:t>同一控制下企业合并取得的子公司</w:t>
      </w:r>
      <w:bookmarkEnd w:id="759"/>
      <w:bookmarkEnd w:id="760"/>
      <w:bookmarkEnd w:id="762"/>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公司无同一控制下企业合并取得的子公司。</w:t>
      </w:r>
    </w:p>
    <w:p>
      <w:pPr>
        <w:pStyle w:val="Style38"/>
        <w:keepNext/>
        <w:keepLines/>
        <w:widowControl w:val="0"/>
        <w:numPr>
          <w:ilvl w:val="0"/>
          <w:numId w:val="11"/>
        </w:numPr>
        <w:shd w:val="clear" w:color="auto" w:fill="auto"/>
        <w:tabs>
          <w:tab w:pos="493" w:val="left"/>
        </w:tabs>
        <w:bidi w:val="0"/>
        <w:spacing w:before="0" w:after="380" w:line="240" w:lineRule="auto"/>
        <w:ind w:left="0" w:right="0" w:firstLine="0"/>
        <w:jc w:val="left"/>
      </w:pPr>
      <w:bookmarkStart w:id="763" w:name="bookmark763"/>
      <w:bookmarkStart w:id="764" w:name="bookmark764"/>
      <w:bookmarkStart w:id="765" w:name="bookmark765"/>
      <w:bookmarkStart w:id="766" w:name="bookmark766"/>
      <w:bookmarkEnd w:id="765"/>
      <w:r>
        <w:rPr>
          <w:color w:val="000000"/>
          <w:spacing w:val="0"/>
          <w:w w:val="100"/>
          <w:position w:val="0"/>
        </w:rPr>
        <w:t>非同一控制下企业合并取得的子公司</w:t>
      </w:r>
      <w:bookmarkEnd w:id="763"/>
      <w:bookmarkEnd w:id="764"/>
      <w:bookmarkEnd w:id="766"/>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公司无非同一控制下企业合并取得的子公司。</w:t>
      </w:r>
    </w:p>
    <w:p>
      <w:pPr>
        <w:pStyle w:val="Style38"/>
        <w:keepNext/>
        <w:keepLines/>
        <w:widowControl w:val="0"/>
        <w:shd w:val="clear" w:color="auto" w:fill="auto"/>
        <w:tabs>
          <w:tab w:pos="378" w:val="left"/>
        </w:tabs>
        <w:bidi w:val="0"/>
        <w:spacing w:before="0" w:after="380" w:line="240" w:lineRule="auto"/>
        <w:ind w:left="0" w:right="0" w:firstLine="0"/>
        <w:jc w:val="left"/>
      </w:pPr>
      <w:bookmarkStart w:id="767" w:name="bookmark767"/>
      <w:bookmarkStart w:id="768" w:name="bookmark768"/>
      <w:bookmarkStart w:id="769" w:name="bookmark769"/>
      <w:bookmarkStart w:id="770" w:name="bookmark770"/>
      <w:r>
        <w:rPr>
          <w:rFonts w:ascii="Times New Roman" w:eastAsia="Times New Roman" w:hAnsi="Times New Roman" w:cs="Times New Roman"/>
          <w:color w:val="000000"/>
          <w:spacing w:val="0"/>
          <w:w w:val="100"/>
          <w:position w:val="0"/>
        </w:rPr>
        <w:t>2</w:t>
      </w:r>
      <w:bookmarkEnd w:id="769"/>
      <w:r>
        <w:rPr>
          <w:color w:val="000000"/>
          <w:spacing w:val="0"/>
          <w:w w:val="100"/>
          <w:position w:val="0"/>
        </w:rPr>
        <w:t>、</w:t>
        <w:tab/>
        <w:t>特殊目的主体或通过受托经营或承租等方式形成控制权的经营实体</w:t>
      </w:r>
      <w:bookmarkEnd w:id="767"/>
      <w:bookmarkEnd w:id="768"/>
      <w:bookmarkEnd w:id="770"/>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公司无特殊目的主体或通过受托经营或承租等方式形成控制权的经营实体。</w:t>
      </w:r>
    </w:p>
    <w:p>
      <w:pPr>
        <w:pStyle w:val="Style38"/>
        <w:keepNext/>
        <w:keepLines/>
        <w:widowControl w:val="0"/>
        <w:shd w:val="clear" w:color="auto" w:fill="auto"/>
        <w:tabs>
          <w:tab w:pos="378" w:val="left"/>
        </w:tabs>
        <w:bidi w:val="0"/>
        <w:spacing w:before="0" w:after="380" w:line="240" w:lineRule="auto"/>
        <w:ind w:left="0" w:right="0" w:firstLine="0"/>
        <w:jc w:val="left"/>
      </w:pPr>
      <w:bookmarkStart w:id="771" w:name="bookmark771"/>
      <w:bookmarkStart w:id="772" w:name="bookmark772"/>
      <w:bookmarkStart w:id="773" w:name="bookmark773"/>
      <w:bookmarkStart w:id="774" w:name="bookmark774"/>
      <w:r>
        <w:rPr>
          <w:rFonts w:ascii="Times New Roman" w:eastAsia="Times New Roman" w:hAnsi="Times New Roman" w:cs="Times New Roman"/>
          <w:color w:val="000000"/>
          <w:spacing w:val="0"/>
          <w:w w:val="100"/>
          <w:position w:val="0"/>
        </w:rPr>
        <w:t>3</w:t>
      </w:r>
      <w:bookmarkEnd w:id="773"/>
      <w:r>
        <w:rPr>
          <w:color w:val="000000"/>
          <w:spacing w:val="0"/>
          <w:w w:val="100"/>
          <w:position w:val="0"/>
        </w:rPr>
        <w:t>、</w:t>
        <w:tab/>
        <w:t>合并范围发生变更的说明</w:t>
      </w:r>
      <w:bookmarkEnd w:id="771"/>
      <w:bookmarkEnd w:id="772"/>
      <w:bookmarkEnd w:id="774"/>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合并报表范围发生变更说明</w:t>
      </w:r>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tabs>
          <w:tab w:pos="378" w:val="left"/>
        </w:tabs>
        <w:bidi w:val="0"/>
        <w:spacing w:before="0" w:after="380" w:line="240" w:lineRule="auto"/>
        <w:ind w:left="0" w:right="0" w:firstLine="0"/>
        <w:jc w:val="left"/>
      </w:pPr>
      <w:bookmarkStart w:id="775" w:name="bookmark775"/>
      <w:bookmarkStart w:id="776" w:name="bookmark776"/>
      <w:bookmarkStart w:id="777" w:name="bookmark777"/>
      <w:bookmarkStart w:id="778" w:name="bookmark778"/>
      <w:r>
        <w:rPr>
          <w:rFonts w:ascii="Times New Roman" w:eastAsia="Times New Roman" w:hAnsi="Times New Roman" w:cs="Times New Roman"/>
          <w:color w:val="000000"/>
          <w:spacing w:val="0"/>
          <w:w w:val="100"/>
          <w:position w:val="0"/>
        </w:rPr>
        <w:t>4</w:t>
      </w:r>
      <w:bookmarkEnd w:id="777"/>
      <w:r>
        <w:rPr>
          <w:color w:val="000000"/>
          <w:spacing w:val="0"/>
          <w:w w:val="100"/>
          <w:position w:val="0"/>
        </w:rPr>
        <w:t>、</w:t>
        <w:tab/>
        <w:t>报告期内新纳入合并范围的主体和报告期内不再纳入合并范围的主体</w:t>
      </w:r>
      <w:bookmarkEnd w:id="775"/>
      <w:bookmarkEnd w:id="776"/>
      <w:bookmarkEnd w:id="778"/>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8"/>
        <w:keepNext/>
        <w:keepLines/>
        <w:widowControl w:val="0"/>
        <w:shd w:val="clear" w:color="auto" w:fill="auto"/>
        <w:tabs>
          <w:tab w:pos="378" w:val="left"/>
        </w:tabs>
        <w:bidi w:val="0"/>
        <w:spacing w:before="0" w:after="380" w:line="240" w:lineRule="auto"/>
        <w:ind w:left="0" w:right="0" w:firstLine="0"/>
        <w:jc w:val="left"/>
      </w:pPr>
      <w:bookmarkStart w:id="779" w:name="bookmark779"/>
      <w:bookmarkStart w:id="780" w:name="bookmark780"/>
      <w:bookmarkStart w:id="781" w:name="bookmark781"/>
      <w:bookmarkStart w:id="782" w:name="bookmark782"/>
      <w:r>
        <w:rPr>
          <w:rFonts w:ascii="Times New Roman" w:eastAsia="Times New Roman" w:hAnsi="Times New Roman" w:cs="Times New Roman"/>
          <w:color w:val="000000"/>
          <w:spacing w:val="0"/>
          <w:w w:val="100"/>
          <w:position w:val="0"/>
        </w:rPr>
        <w:t>5</w:t>
      </w:r>
      <w:bookmarkEnd w:id="781"/>
      <w:r>
        <w:rPr>
          <w:color w:val="000000"/>
          <w:spacing w:val="0"/>
          <w:w w:val="100"/>
          <w:position w:val="0"/>
        </w:rPr>
        <w:t>、</w:t>
        <w:tab/>
        <w:t>报告期内发生的同一控制下企业合并</w:t>
      </w:r>
      <w:bookmarkEnd w:id="779"/>
      <w:bookmarkEnd w:id="780"/>
      <w:bookmarkEnd w:id="782"/>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8"/>
        <w:keepNext/>
        <w:keepLines/>
        <w:widowControl w:val="0"/>
        <w:shd w:val="clear" w:color="auto" w:fill="auto"/>
        <w:tabs>
          <w:tab w:pos="378" w:val="left"/>
        </w:tabs>
        <w:bidi w:val="0"/>
        <w:spacing w:before="0" w:after="380" w:line="240" w:lineRule="auto"/>
        <w:ind w:left="0" w:right="0" w:firstLine="0"/>
        <w:jc w:val="left"/>
      </w:pPr>
      <w:bookmarkStart w:id="783" w:name="bookmark783"/>
      <w:bookmarkStart w:id="784" w:name="bookmark784"/>
      <w:bookmarkStart w:id="785" w:name="bookmark785"/>
      <w:bookmarkStart w:id="786" w:name="bookmark786"/>
      <w:r>
        <w:rPr>
          <w:rFonts w:ascii="Times New Roman" w:eastAsia="Times New Roman" w:hAnsi="Times New Roman" w:cs="Times New Roman"/>
          <w:color w:val="000000"/>
          <w:spacing w:val="0"/>
          <w:w w:val="100"/>
          <w:position w:val="0"/>
        </w:rPr>
        <w:t>6</w:t>
      </w:r>
      <w:bookmarkEnd w:id="785"/>
      <w:r>
        <w:rPr>
          <w:color w:val="000000"/>
          <w:spacing w:val="0"/>
          <w:w w:val="100"/>
          <w:position w:val="0"/>
        </w:rPr>
        <w:t>、</w:t>
        <w:tab/>
        <w:t>报告期内发生的非同一控制下企业合并</w:t>
      </w:r>
      <w:bookmarkEnd w:id="783"/>
      <w:bookmarkEnd w:id="784"/>
      <w:bookmarkEnd w:id="786"/>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after="380" w:line="240" w:lineRule="auto"/>
        <w:ind w:left="0" w:right="0" w:firstLine="0"/>
        <w:jc w:val="left"/>
      </w:pPr>
      <w:bookmarkStart w:id="787" w:name="bookmark787"/>
      <w:bookmarkStart w:id="788" w:name="bookmark788"/>
      <w:bookmarkStart w:id="789" w:name="bookmark789"/>
      <w:bookmarkStart w:id="790" w:name="bookmark790"/>
      <w:r>
        <w:rPr>
          <w:color w:val="000000"/>
          <w:spacing w:val="0"/>
          <w:w w:val="100"/>
          <w:position w:val="0"/>
        </w:rPr>
        <w:t>七</w:t>
      </w:r>
      <w:bookmarkEnd w:id="789"/>
      <w:r>
        <w:rPr>
          <w:color w:val="000000"/>
          <w:spacing w:val="0"/>
          <w:w w:val="100"/>
          <w:position w:val="0"/>
        </w:rPr>
        <w:t>、合并财务报表主要项目注释</w:t>
      </w:r>
      <w:bookmarkEnd w:id="787"/>
      <w:bookmarkEnd w:id="788"/>
      <w:bookmarkEnd w:id="790"/>
    </w:p>
    <w:p>
      <w:pPr>
        <w:pStyle w:val="Style38"/>
        <w:keepNext/>
        <w:keepLines/>
        <w:widowControl w:val="0"/>
        <w:shd w:val="clear" w:color="auto" w:fill="auto"/>
        <w:bidi w:val="0"/>
        <w:spacing w:before="0" w:after="380" w:line="240" w:lineRule="auto"/>
        <w:ind w:left="0" w:right="0" w:firstLine="0"/>
        <w:jc w:val="left"/>
      </w:pPr>
      <w:bookmarkStart w:id="791" w:name="bookmark791"/>
      <w:bookmarkStart w:id="792" w:name="bookmark792"/>
      <w:bookmarkStart w:id="793" w:name="bookmark793"/>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791"/>
      <w:bookmarkEnd w:id="792"/>
      <w:bookmarkEnd w:id="793"/>
    </w:p>
    <w:p>
      <w:pPr>
        <w:pStyle w:val="Style3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006"/>
        <w:gridCol w:w="1325"/>
        <w:gridCol w:w="931"/>
        <w:gridCol w:w="1464"/>
        <w:gridCol w:w="1325"/>
        <w:gridCol w:w="931"/>
        <w:gridCol w:w="1603"/>
      </w:tblGrid>
      <w:tr>
        <w:trPr>
          <w:trHeight w:val="408"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c>
          <w:tcPr>
            <w:gridSpan w:val="3"/>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外币金额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折算率</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人民币金额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外币金额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折算率</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人民币金额</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现金</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69,549.27</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212,927.47</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69,549.27</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212,927.47</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银行存款：</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396,747,843.80</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440,317,862.60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396,747,843.80</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440,317,862.60</w:t>
            </w:r>
          </w:p>
        </w:tc>
      </w:tr>
      <w:tr>
        <w:trPr>
          <w:trHeight w:val="40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其他货币资金：</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11,860,431.05</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7,880,383.63</w:t>
            </w:r>
          </w:p>
        </w:tc>
      </w:tr>
    </w:tbl>
    <w:p>
      <w:pPr>
        <w:spacing w:lineRule="exact" w:line="1"/>
        <w:rPr>
          <w:sz w:val="2"/>
          <w:szCs w:val="2"/>
        </w:rPr>
      </w:pPr>
      <w:r>
        <w:br w:type="page"/>
      </w:r>
    </w:p>
    <w:tbl>
      <w:tblPr>
        <w:tblOverlap w:val="never"/>
        <w:jc w:val="center"/>
        <w:tblLayout w:type="fixed"/>
      </w:tblPr>
      <w:tblGrid>
        <w:gridCol w:w="2006"/>
        <w:gridCol w:w="1325"/>
        <w:gridCol w:w="931"/>
        <w:gridCol w:w="1464"/>
        <w:gridCol w:w="1325"/>
        <w:gridCol w:w="931"/>
        <w:gridCol w:w="1603"/>
      </w:tblGrid>
      <w:tr>
        <w:trPr>
          <w:trHeight w:val="403"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c>
          <w:tcPr>
            <w:gridSpan w:val="3"/>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外币金额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折算率</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人民币金额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外币金额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折算率</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人民币金额</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11,860,431.05</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7,880,383.63</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408,677,824.12</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448,411,173.70</w:t>
            </w:r>
          </w:p>
        </w:tc>
      </w:tr>
    </w:tbl>
    <w:p>
      <w:pPr>
        <w:widowControl w:val="0"/>
        <w:spacing w:after="419" w:line="1" w:lineRule="exact"/>
      </w:pPr>
    </w:p>
    <w:p>
      <w:pPr>
        <w:pStyle w:val="Style35"/>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其中受限制的货币资金明细如下:</w:t>
      </w:r>
    </w:p>
    <w:tbl>
      <w:tblPr>
        <w:tblOverlap w:val="never"/>
        <w:jc w:val="center"/>
        <w:tblLayout w:type="fixed"/>
      </w:tblPr>
      <w:tblGrid>
        <w:gridCol w:w="4512"/>
        <w:gridCol w:w="2443"/>
        <w:gridCol w:w="2750"/>
      </w:tblGrid>
      <w:tr>
        <w:trPr>
          <w:trHeight w:val="408" w:hRule="exact"/>
        </w:trPr>
        <w:tc>
          <w:tcPr>
            <w:tcBorders>
              <w:top w:val="single" w:sz="4"/>
              <w:left w:val="single" w:sz="4"/>
            </w:tcBorders>
            <w:shd w:val="clear" w:color="auto" w:fill="FFFFFF"/>
            <w:vAlign w:val="center"/>
          </w:tcPr>
          <w:p>
            <w:pPr>
              <w:pStyle w:val="Style8"/>
              <w:keepNext w:val="0"/>
              <w:keepLines w:val="0"/>
              <w:widowControl w:val="0"/>
              <w:shd w:val="clear" w:color="auto" w:fill="auto"/>
              <w:tabs>
                <w:tab w:pos="480" w:val="left"/>
              </w:tabs>
              <w:bidi w:val="0"/>
              <w:spacing w:before="0" w:after="0" w:line="240" w:lineRule="auto"/>
              <w:ind w:left="0" w:right="0" w:firstLine="0"/>
              <w:jc w:val="center"/>
              <w:rPr>
                <w:sz w:val="17"/>
                <w:szCs w:val="17"/>
              </w:rPr>
            </w:pPr>
            <w:r>
              <w:rPr>
                <w:color w:val="000000"/>
                <w:spacing w:val="0"/>
                <w:w w:val="100"/>
                <w:position w:val="0"/>
                <w:sz w:val="17"/>
                <w:szCs w:val="17"/>
              </w:rPr>
              <w:t>项</w:t>
              <w:tab/>
              <w:t>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银行承兑汇票保证金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60" w:right="0" w:firstLine="0"/>
              <w:jc w:val="left"/>
              <w:rPr>
                <w:sz w:val="18"/>
                <w:szCs w:val="18"/>
              </w:rPr>
            </w:pPr>
            <w:r>
              <w:rPr>
                <w:rFonts w:ascii="Arial Narrow" w:eastAsia="Arial Narrow" w:hAnsi="Arial Narrow" w:cs="Arial Narrow"/>
                <w:color w:val="000000"/>
                <w:spacing w:val="0"/>
                <w:w w:val="100"/>
                <w:position w:val="0"/>
                <w:sz w:val="18"/>
                <w:szCs w:val="18"/>
              </w:rPr>
              <w:t>4,143,249.75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760" w:right="0" w:firstLine="0"/>
              <w:jc w:val="left"/>
              <w:rPr>
                <w:sz w:val="18"/>
                <w:szCs w:val="18"/>
              </w:rPr>
            </w:pPr>
            <w:r>
              <w:rPr>
                <w:rFonts w:ascii="Arial Narrow" w:eastAsia="Arial Narrow" w:hAnsi="Arial Narrow" w:cs="Arial Narrow"/>
                <w:color w:val="000000"/>
                <w:spacing w:val="0"/>
                <w:w w:val="100"/>
                <w:position w:val="0"/>
                <w:sz w:val="18"/>
                <w:szCs w:val="18"/>
              </w:rPr>
              <w:t>3,119,184.00</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履约保证金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60" w:right="0" w:firstLine="0"/>
              <w:jc w:val="left"/>
              <w:rPr>
                <w:sz w:val="18"/>
                <w:szCs w:val="18"/>
              </w:rPr>
            </w:pPr>
            <w:r>
              <w:rPr>
                <w:rFonts w:ascii="Arial Narrow" w:eastAsia="Arial Narrow" w:hAnsi="Arial Narrow" w:cs="Arial Narrow"/>
                <w:color w:val="000000"/>
                <w:spacing w:val="0"/>
                <w:w w:val="100"/>
                <w:position w:val="0"/>
                <w:sz w:val="18"/>
                <w:szCs w:val="18"/>
              </w:rPr>
              <w:t>7,717,181.30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760" w:right="0" w:firstLine="0"/>
              <w:jc w:val="left"/>
              <w:rPr>
                <w:sz w:val="18"/>
                <w:szCs w:val="18"/>
              </w:rPr>
            </w:pPr>
            <w:r>
              <w:rPr>
                <w:rFonts w:ascii="Arial Narrow" w:eastAsia="Arial Narrow" w:hAnsi="Arial Narrow" w:cs="Arial Narrow"/>
                <w:color w:val="000000"/>
                <w:spacing w:val="0"/>
                <w:w w:val="100"/>
                <w:position w:val="0"/>
                <w:sz w:val="18"/>
                <w:szCs w:val="18"/>
              </w:rPr>
              <w:t>4,761,199.63</w:t>
            </w:r>
          </w:p>
        </w:tc>
      </w:tr>
      <w:tr>
        <w:trPr>
          <w:trHeight w:val="408"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tabs>
                <w:tab w:pos="538" w:val="left"/>
              </w:tabs>
              <w:bidi w:val="0"/>
              <w:spacing w:before="0" w:after="0" w:line="240" w:lineRule="auto"/>
              <w:ind w:left="0" w:right="0" w:firstLine="0"/>
              <w:jc w:val="center"/>
              <w:rPr>
                <w:sz w:val="17"/>
                <w:szCs w:val="17"/>
              </w:rPr>
            </w:pPr>
            <w:r>
              <w:rPr>
                <w:color w:val="000000"/>
                <w:spacing w:val="0"/>
                <w:w w:val="100"/>
                <w:position w:val="0"/>
                <w:sz w:val="17"/>
                <w:szCs w:val="17"/>
              </w:rPr>
              <w:t>合</w:t>
              <w:tab/>
              <w:t>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11,860,431.05</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760" w:right="0" w:firstLine="0"/>
              <w:jc w:val="left"/>
              <w:rPr>
                <w:sz w:val="18"/>
                <w:szCs w:val="18"/>
              </w:rPr>
            </w:pPr>
            <w:r>
              <w:rPr>
                <w:rFonts w:ascii="Arial Narrow" w:eastAsia="Arial Narrow" w:hAnsi="Arial Narrow" w:cs="Arial Narrow"/>
                <w:color w:val="000000"/>
                <w:spacing w:val="0"/>
                <w:w w:val="100"/>
                <w:position w:val="0"/>
                <w:sz w:val="18"/>
                <w:szCs w:val="18"/>
              </w:rPr>
              <w:t>7,880,383.63</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both"/>
      </w:pPr>
      <w:bookmarkStart w:id="794" w:name="bookmark794"/>
      <w:bookmarkStart w:id="795" w:name="bookmark795"/>
      <w:bookmarkStart w:id="796" w:name="bookmark796"/>
      <w:r>
        <w:rPr>
          <w:rFonts w:ascii="Times New Roman" w:eastAsia="Times New Roman" w:hAnsi="Times New Roman" w:cs="Times New Roman"/>
          <w:color w:val="000000"/>
          <w:spacing w:val="0"/>
          <w:w w:val="100"/>
          <w:position w:val="0"/>
        </w:rPr>
        <w:t>2</w:t>
      </w:r>
      <w:r>
        <w:rPr>
          <w:color w:val="000000"/>
          <w:spacing w:val="0"/>
          <w:w w:val="100"/>
          <w:position w:val="0"/>
        </w:rPr>
        <w:t>、应收账款</w:t>
      </w:r>
      <w:bookmarkEnd w:id="794"/>
      <w:bookmarkEnd w:id="795"/>
      <w:bookmarkEnd w:id="796"/>
    </w:p>
    <w:p>
      <w:pPr>
        <w:pStyle w:val="Style38"/>
        <w:keepNext/>
        <w:keepLines/>
        <w:widowControl w:val="0"/>
        <w:shd w:val="clear" w:color="auto" w:fill="auto"/>
        <w:bidi w:val="0"/>
        <w:spacing w:before="0" w:after="340" w:line="240" w:lineRule="auto"/>
        <w:ind w:left="0" w:right="0" w:firstLine="0"/>
        <w:jc w:val="both"/>
      </w:pPr>
      <w:bookmarkStart w:id="794" w:name="bookmark794"/>
      <w:bookmarkStart w:id="795" w:name="bookmark795"/>
      <w:bookmarkStart w:id="797" w:name="bookmark797"/>
      <w:bookmarkStart w:id="798" w:name="bookmark798"/>
      <w:r>
        <w:rPr>
          <w:color w:val="000000"/>
          <w:spacing w:val="0"/>
          <w:w w:val="100"/>
          <w:position w:val="0"/>
        </w:rPr>
        <w:t>（</w:t>
      </w:r>
      <w:bookmarkEnd w:id="797"/>
      <w:r>
        <w:rPr>
          <w:rFonts w:ascii="Times New Roman" w:eastAsia="Times New Roman" w:hAnsi="Times New Roman" w:cs="Times New Roman"/>
          <w:color w:val="000000"/>
          <w:spacing w:val="0"/>
          <w:w w:val="100"/>
          <w:position w:val="0"/>
        </w:rPr>
        <w:t>1</w:t>
      </w:r>
      <w:r>
        <w:rPr>
          <w:color w:val="000000"/>
          <w:spacing w:val="0"/>
          <w:w w:val="100"/>
          <w:position w:val="0"/>
        </w:rPr>
        <w:t>）应收账款按种类披露</w:t>
      </w:r>
      <w:bookmarkEnd w:id="794"/>
      <w:bookmarkEnd w:id="795"/>
      <w:bookmarkEnd w:id="798"/>
    </w:p>
    <w:p>
      <w:pPr>
        <w:pStyle w:val="Style3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006"/>
        <w:gridCol w:w="1262"/>
        <w:gridCol w:w="710"/>
        <w:gridCol w:w="1133"/>
        <w:gridCol w:w="710"/>
        <w:gridCol w:w="1272"/>
        <w:gridCol w:w="710"/>
        <w:gridCol w:w="1133"/>
        <w:gridCol w:w="720"/>
      </w:tblGrid>
      <w:tr>
        <w:trPr>
          <w:trHeight w:val="408"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种类</w:t>
            </w:r>
          </w:p>
        </w:tc>
        <w:tc>
          <w:tcPr>
            <w:gridSpan w:val="4"/>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c>
          <w:tcPr>
            <w:gridSpan w:val="4"/>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180" w:firstLine="0"/>
              <w:jc w:val="right"/>
              <w:rPr>
                <w:sz w:val="17"/>
                <w:szCs w:val="17"/>
              </w:rPr>
            </w:pPr>
            <w:r>
              <w:rPr>
                <w:color w:val="000000"/>
                <w:spacing w:val="0"/>
                <w:w w:val="100"/>
                <w:position w:val="0"/>
                <w:sz w:val="17"/>
                <w:szCs w:val="17"/>
              </w:rPr>
              <w:t>比例</w:t>
            </w:r>
          </w:p>
        </w:tc>
      </w:tr>
      <w:tr>
        <w:trPr>
          <w:trHeight w:val="403" w:hRule="exact"/>
        </w:trPr>
        <w:tc>
          <w:tcPr>
            <w:gridSpan w:val="9"/>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按组合计提坏账准备的应收账款</w:t>
            </w:r>
          </w:p>
        </w:tc>
      </w:tr>
      <w:tr>
        <w:trPr>
          <w:trHeight w:val="715"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采用账龄分析法计提坏 账准备</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221,428,717.10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16,498,877.57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7.45%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171,302,834.90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11,030,318.96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组合小计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221,428,717.10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16,498,877.57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7.45%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171,302,834.90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11,030,318.96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221,428,717.10</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16,498,877.57</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171,302,834.90</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11,030,318.96</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30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39" w:line="1" w:lineRule="exact"/>
      </w:pP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应收账款种类的说明</w:t>
      </w: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期末单项金额重大并单项计提坏账准备的应收账款</w:t>
      </w:r>
    </w:p>
    <w:p>
      <w:pPr>
        <w:pStyle w:val="Style2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组合中，按账龄分析法计提坏账准备的应收账款</w:t>
      </w:r>
    </w:p>
    <w:p>
      <w:pPr>
        <w:pStyle w:val="Style2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1474"/>
        <w:gridCol w:w="1594"/>
        <w:gridCol w:w="931"/>
        <w:gridCol w:w="1728"/>
        <w:gridCol w:w="1459"/>
        <w:gridCol w:w="931"/>
        <w:gridCol w:w="1469"/>
      </w:tblGrid>
      <w:tr>
        <w:trPr>
          <w:trHeight w:val="403"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gridSpan w:val="3"/>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c>
          <w:tcPr>
            <w:gridSpan w:val="3"/>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vMerge w:val="restart"/>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169,229,742.98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76.43%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8,461,487.15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141,459,558.93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7,072,977.95</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42,312,362.14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19.11%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4,231,236.21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25,862,159.80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15.1%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2,586,215.98</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6,567,588.76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2.97%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1,970,276.63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3,176,328.99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1.85%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952,898.70</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2,766,320.51</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1.25%</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1,383,160.26</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752,011.38</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0.44%</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376,005.69</w:t>
            </w:r>
          </w:p>
        </w:tc>
      </w:tr>
    </w:tbl>
    <w:tbl>
      <w:tblPr>
        <w:tblOverlap w:val="never"/>
        <w:jc w:val="center"/>
        <w:tblLayout w:type="fixed"/>
      </w:tblPr>
      <w:tblGrid>
        <w:gridCol w:w="1474"/>
        <w:gridCol w:w="1594"/>
        <w:gridCol w:w="931"/>
        <w:gridCol w:w="1728"/>
        <w:gridCol w:w="1459"/>
        <w:gridCol w:w="931"/>
        <w:gridCol w:w="1469"/>
      </w:tblGrid>
      <w:tr>
        <w:trPr>
          <w:trHeight w:val="403"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账龄</w:t>
            </w:r>
          </w:p>
        </w:tc>
        <w:tc>
          <w:tcPr>
            <w:gridSpan w:val="3"/>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c>
          <w:tcPr>
            <w:gridSpan w:val="3"/>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vMerge w:val="restart"/>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280" w:firstLine="0"/>
              <w:jc w:val="right"/>
              <w:rPr>
                <w:sz w:val="17"/>
                <w:szCs w:val="17"/>
              </w:rPr>
            </w:pPr>
            <w:r>
              <w:rPr>
                <w:color w:val="000000"/>
                <w:spacing w:val="0"/>
                <w:w w:val="100"/>
                <w:position w:val="0"/>
                <w:sz w:val="17"/>
                <w:szCs w:val="17"/>
              </w:rPr>
              <w:t>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499,926.91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399,941.52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52,775.80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42,220.64</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52,775.80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52,775.80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221,428,717.10</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16,498,877.57</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171,302,834.90</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40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11,030,318.96</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组合中，采用余额百分比法计提坏账准备的应收账款</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组合中，采用其他方法计提坏账准备的应收账款</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期末单项金额虽不重大但单项计提坏账准备的应收账款</w:t>
      </w:r>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tabs>
          <w:tab w:pos="493" w:val="left"/>
        </w:tabs>
        <w:bidi w:val="0"/>
        <w:spacing w:before="0" w:after="380" w:line="240" w:lineRule="auto"/>
        <w:ind w:left="0" w:right="0" w:firstLine="0"/>
        <w:jc w:val="left"/>
      </w:pPr>
      <w:bookmarkStart w:id="799" w:name="bookmark799"/>
      <w:bookmarkStart w:id="800" w:name="bookmark800"/>
      <w:bookmarkStart w:id="801" w:name="bookmark801"/>
      <w:bookmarkStart w:id="802" w:name="bookmark802"/>
      <w:r>
        <w:rPr>
          <w:color w:val="000000"/>
          <w:spacing w:val="0"/>
          <w:w w:val="100"/>
          <w:position w:val="0"/>
        </w:rPr>
        <w:t>（</w:t>
      </w:r>
      <w:bookmarkEnd w:id="801"/>
      <w:r>
        <w:rPr>
          <w:rFonts w:ascii="Times New Roman" w:eastAsia="Times New Roman" w:hAnsi="Times New Roman" w:cs="Times New Roman"/>
          <w:color w:val="000000"/>
          <w:spacing w:val="0"/>
          <w:w w:val="100"/>
          <w:position w:val="0"/>
        </w:rPr>
        <w:t>2</w:t>
      </w:r>
      <w:r>
        <w:rPr>
          <w:color w:val="000000"/>
          <w:spacing w:val="0"/>
          <w:w w:val="100"/>
          <w:position w:val="0"/>
        </w:rPr>
        <w:t>）</w:t>
        <w:tab/>
        <w:t>本报告期转回或收回的应收账款情况</w:t>
      </w:r>
      <w:bookmarkEnd w:id="799"/>
      <w:bookmarkEnd w:id="800"/>
      <w:bookmarkEnd w:id="802"/>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8"/>
        <w:keepNext/>
        <w:keepLines/>
        <w:widowControl w:val="0"/>
        <w:shd w:val="clear" w:color="auto" w:fill="auto"/>
        <w:tabs>
          <w:tab w:pos="493" w:val="left"/>
        </w:tabs>
        <w:bidi w:val="0"/>
        <w:spacing w:before="0" w:after="380" w:line="240" w:lineRule="auto"/>
        <w:ind w:left="0" w:right="0" w:firstLine="0"/>
        <w:jc w:val="left"/>
      </w:pPr>
      <w:bookmarkStart w:id="803" w:name="bookmark803"/>
      <w:bookmarkStart w:id="804" w:name="bookmark804"/>
      <w:bookmarkStart w:id="805" w:name="bookmark805"/>
      <w:bookmarkStart w:id="806" w:name="bookmark806"/>
      <w:r>
        <w:rPr>
          <w:color w:val="000000"/>
          <w:spacing w:val="0"/>
          <w:w w:val="100"/>
          <w:position w:val="0"/>
        </w:rPr>
        <w:t>（</w:t>
      </w:r>
      <w:bookmarkEnd w:id="805"/>
      <w:r>
        <w:rPr>
          <w:rFonts w:ascii="Times New Roman" w:eastAsia="Times New Roman" w:hAnsi="Times New Roman" w:cs="Times New Roman"/>
          <w:color w:val="000000"/>
          <w:spacing w:val="0"/>
          <w:w w:val="100"/>
          <w:position w:val="0"/>
        </w:rPr>
        <w:t>3</w:t>
      </w:r>
      <w:r>
        <w:rPr>
          <w:color w:val="000000"/>
          <w:spacing w:val="0"/>
          <w:w w:val="100"/>
          <w:position w:val="0"/>
        </w:rPr>
        <w:t>）</w:t>
        <w:tab/>
        <w:t>本报告期实际核销的应收账款情况</w:t>
      </w:r>
      <w:bookmarkEnd w:id="803"/>
      <w:bookmarkEnd w:id="804"/>
      <w:bookmarkEnd w:id="806"/>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8"/>
        <w:keepNext/>
        <w:keepLines/>
        <w:widowControl w:val="0"/>
        <w:shd w:val="clear" w:color="auto" w:fill="auto"/>
        <w:bidi w:val="0"/>
        <w:spacing w:before="0" w:after="380" w:line="240" w:lineRule="auto"/>
        <w:ind w:left="0" w:right="0" w:firstLine="0"/>
        <w:jc w:val="left"/>
      </w:pPr>
      <w:bookmarkStart w:id="807" w:name="bookmark807"/>
      <w:bookmarkStart w:id="808" w:name="bookmark808"/>
      <w:bookmarkStart w:id="809" w:name="bookmark809"/>
      <w:bookmarkStart w:id="810" w:name="bookmark810"/>
      <w:r>
        <w:rPr>
          <w:color w:val="000000"/>
          <w:spacing w:val="0"/>
          <w:w w:val="100"/>
          <w:position w:val="0"/>
        </w:rPr>
        <w:t>（</w:t>
      </w:r>
      <w:bookmarkEnd w:id="809"/>
      <w:r>
        <w:rPr>
          <w:rFonts w:ascii="Times New Roman" w:eastAsia="Times New Roman" w:hAnsi="Times New Roman" w:cs="Times New Roman"/>
          <w:color w:val="000000"/>
          <w:spacing w:val="0"/>
          <w:w w:val="100"/>
          <w:position w:val="0"/>
        </w:rPr>
        <w:t>4</w:t>
      </w:r>
      <w:r>
        <w:rPr>
          <w:color w:val="000000"/>
          <w:spacing w:val="0"/>
          <w:w w:val="100"/>
          <w:position w:val="0"/>
        </w:rPr>
        <w:t>） 本报告期应收账款中持有公司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807"/>
      <w:bookmarkEnd w:id="808"/>
      <w:bookmarkEnd w:id="810"/>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8"/>
        <w:keepNext/>
        <w:keepLines/>
        <w:widowControl w:val="0"/>
        <w:shd w:val="clear" w:color="auto" w:fill="auto"/>
        <w:tabs>
          <w:tab w:pos="493" w:val="left"/>
        </w:tabs>
        <w:bidi w:val="0"/>
        <w:spacing w:before="0" w:after="380" w:line="240" w:lineRule="auto"/>
        <w:ind w:left="0" w:right="0" w:firstLine="0"/>
        <w:jc w:val="left"/>
      </w:pPr>
      <w:bookmarkStart w:id="811" w:name="bookmark811"/>
      <w:bookmarkStart w:id="812" w:name="bookmark812"/>
      <w:bookmarkStart w:id="813" w:name="bookmark813"/>
      <w:bookmarkStart w:id="814" w:name="bookmark814"/>
      <w:r>
        <w:rPr>
          <w:color w:val="000000"/>
          <w:spacing w:val="0"/>
          <w:w w:val="100"/>
          <w:position w:val="0"/>
        </w:rPr>
        <w:t>（</w:t>
      </w:r>
      <w:bookmarkEnd w:id="813"/>
      <w:r>
        <w:rPr>
          <w:rFonts w:ascii="Times New Roman" w:eastAsia="Times New Roman" w:hAnsi="Times New Roman" w:cs="Times New Roman"/>
          <w:color w:val="000000"/>
          <w:spacing w:val="0"/>
          <w:w w:val="100"/>
          <w:position w:val="0"/>
        </w:rPr>
        <w:t>5</w:t>
      </w:r>
      <w:r>
        <w:rPr>
          <w:color w:val="000000"/>
          <w:spacing w:val="0"/>
          <w:w w:val="100"/>
          <w:position w:val="0"/>
        </w:rPr>
        <w:t>）</w:t>
        <w:tab/>
        <w:t>应收账款中金额前五名单位情况</w:t>
      </w:r>
      <w:bookmarkEnd w:id="811"/>
      <w:bookmarkEnd w:id="812"/>
      <w:bookmarkEnd w:id="814"/>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19"/>
        <w:gridCol w:w="1416"/>
        <w:gridCol w:w="1704"/>
        <w:gridCol w:w="1488"/>
        <w:gridCol w:w="2275"/>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与本公司关系</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年限</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占应收账款总额的比例</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广州市社会保险基金管理中心</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客户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49,617,605.99</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22.41%</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增城市教育局</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客户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20,026,394.10</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广东兴业国际实业有限公司</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客户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16,073,859.76</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w:t>
            </w:r>
          </w:p>
        </w:tc>
      </w:tr>
      <w:tr>
        <w:trPr>
          <w:trHeight w:val="398"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海口市公安局交通警察支队</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客户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5,336,310.00</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w:t>
            </w:r>
          </w:p>
        </w:tc>
      </w:tr>
      <w:tr>
        <w:trPr>
          <w:trHeight w:val="403" w:hRule="exact"/>
        </w:trPr>
        <w:tc>
          <w:tcPr>
            <w:vMerge w:val="restart"/>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广东省公安厅</w:t>
            </w:r>
          </w:p>
        </w:tc>
        <w:tc>
          <w:tcPr>
            <w:vMerge w:val="restart"/>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客户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740,950.00</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w:t>
            </w:r>
          </w:p>
        </w:tc>
      </w:tr>
      <w:tr>
        <w:trPr>
          <w:trHeight w:val="403" w:hRule="exact"/>
        </w:trPr>
        <w:tc>
          <w:tcPr>
            <w:vMerge/>
            <w:tcBorders>
              <w:left w:val="single" w:sz="4"/>
            </w:tcBorders>
            <w:shd w:val="clear" w:color="auto" w:fill="CCE8CF"/>
            <w:vAlign w:val="center"/>
          </w:tcPr>
          <w:p>
            <w:pPr/>
          </w:p>
        </w:tc>
        <w:tc>
          <w:tcPr>
            <w:vMerge/>
            <w:tcBorders>
              <w:left w:val="single" w:sz="4"/>
            </w:tcBorders>
            <w:shd w:val="clear" w:color="auto" w:fill="CCE8CF"/>
            <w:vAlign w:val="center"/>
          </w:tcPr>
          <w:p>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4,298,434.33</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96,093,554.18</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43.39%</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815" w:name="bookmark815"/>
      <w:bookmarkStart w:id="816" w:name="bookmark816"/>
      <w:bookmarkStart w:id="817" w:name="bookmark817"/>
      <w:bookmarkStart w:id="818" w:name="bookmark818"/>
      <w:r>
        <w:rPr>
          <w:color w:val="000000"/>
          <w:spacing w:val="0"/>
          <w:w w:val="100"/>
          <w:position w:val="0"/>
        </w:rPr>
        <w:t>（</w:t>
      </w:r>
      <w:bookmarkEnd w:id="817"/>
      <w:r>
        <w:rPr>
          <w:rFonts w:ascii="Times New Roman" w:eastAsia="Times New Roman" w:hAnsi="Times New Roman" w:cs="Times New Roman"/>
          <w:color w:val="000000"/>
          <w:spacing w:val="0"/>
          <w:w w:val="100"/>
          <w:position w:val="0"/>
        </w:rPr>
        <w:t>6</w:t>
      </w:r>
      <w:r>
        <w:rPr>
          <w:color w:val="000000"/>
          <w:spacing w:val="0"/>
          <w:w w:val="100"/>
          <w:position w:val="0"/>
        </w:rPr>
        <w:t>）应收关联方账款情况</w:t>
      </w:r>
      <w:bookmarkEnd w:id="815"/>
      <w:bookmarkEnd w:id="816"/>
      <w:bookmarkEnd w:id="818"/>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8"/>
        <w:keepNext/>
        <w:keepLines/>
        <w:widowControl w:val="0"/>
        <w:numPr>
          <w:ilvl w:val="0"/>
          <w:numId w:val="13"/>
        </w:numPr>
        <w:shd w:val="clear" w:color="auto" w:fill="auto"/>
        <w:tabs>
          <w:tab w:pos="493" w:val="left"/>
        </w:tabs>
        <w:bidi w:val="0"/>
        <w:spacing w:before="0" w:after="380" w:line="240" w:lineRule="auto"/>
        <w:ind w:left="0" w:right="0" w:firstLine="0"/>
        <w:jc w:val="left"/>
      </w:pPr>
      <w:bookmarkStart w:id="819" w:name="bookmark819"/>
      <w:bookmarkStart w:id="820" w:name="bookmark820"/>
      <w:bookmarkStart w:id="821" w:name="bookmark821"/>
      <w:bookmarkStart w:id="822" w:name="bookmark822"/>
      <w:bookmarkEnd w:id="821"/>
      <w:r>
        <w:rPr>
          <w:color w:val="000000"/>
          <w:spacing w:val="0"/>
          <w:w w:val="100"/>
          <w:position w:val="0"/>
        </w:rPr>
        <w:t>终止确认的应收款项情况</w:t>
      </w:r>
      <w:bookmarkEnd w:id="819"/>
      <w:bookmarkEnd w:id="820"/>
      <w:bookmarkEnd w:id="822"/>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8"/>
        <w:keepNext/>
        <w:keepLines/>
        <w:widowControl w:val="0"/>
        <w:numPr>
          <w:ilvl w:val="0"/>
          <w:numId w:val="13"/>
        </w:numPr>
        <w:shd w:val="clear" w:color="auto" w:fill="auto"/>
        <w:tabs>
          <w:tab w:pos="493" w:val="left"/>
        </w:tabs>
        <w:bidi w:val="0"/>
        <w:spacing w:before="0" w:after="380" w:line="240" w:lineRule="auto"/>
        <w:ind w:left="0" w:right="0" w:firstLine="0"/>
        <w:jc w:val="left"/>
      </w:pPr>
      <w:bookmarkStart w:id="823" w:name="bookmark823"/>
      <w:bookmarkStart w:id="824" w:name="bookmark824"/>
      <w:bookmarkStart w:id="825" w:name="bookmark825"/>
      <w:bookmarkStart w:id="826" w:name="bookmark826"/>
      <w:bookmarkEnd w:id="825"/>
      <w:r>
        <w:rPr>
          <w:color w:val="000000"/>
          <w:spacing w:val="0"/>
          <w:w w:val="100"/>
          <w:position w:val="0"/>
        </w:rPr>
        <w:t>以应收款项为标的进行证券化的，列示继续涉入形成的资产、负债的金额</w:t>
      </w:r>
      <w:bookmarkEnd w:id="823"/>
      <w:bookmarkEnd w:id="824"/>
      <w:bookmarkEnd w:id="826"/>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8"/>
        <w:keepNext/>
        <w:keepLines/>
        <w:widowControl w:val="0"/>
        <w:shd w:val="clear" w:color="auto" w:fill="auto"/>
        <w:bidi w:val="0"/>
        <w:spacing w:before="0" w:after="380" w:line="240" w:lineRule="auto"/>
        <w:ind w:left="0" w:right="0" w:firstLine="0"/>
        <w:jc w:val="left"/>
      </w:pPr>
      <w:bookmarkStart w:id="827" w:name="bookmark827"/>
      <w:bookmarkStart w:id="828" w:name="bookmark828"/>
      <w:bookmarkStart w:id="829" w:name="bookmark829"/>
      <w:bookmarkStart w:id="830" w:name="bookmark830"/>
      <w:r>
        <w:rPr>
          <w:rFonts w:ascii="Times New Roman" w:eastAsia="Times New Roman" w:hAnsi="Times New Roman" w:cs="Times New Roman"/>
          <w:color w:val="000000"/>
          <w:spacing w:val="0"/>
          <w:w w:val="100"/>
          <w:position w:val="0"/>
        </w:rPr>
        <w:t>3</w:t>
      </w:r>
      <w:bookmarkEnd w:id="829"/>
      <w:r>
        <w:rPr>
          <w:color w:val="000000"/>
          <w:spacing w:val="0"/>
          <w:w w:val="100"/>
          <w:position w:val="0"/>
        </w:rPr>
        <w:t>、其他应收款</w:t>
      </w:r>
      <w:bookmarkEnd w:id="827"/>
      <w:bookmarkEnd w:id="828"/>
      <w:bookmarkEnd w:id="830"/>
    </w:p>
    <w:p>
      <w:pPr>
        <w:pStyle w:val="Style38"/>
        <w:keepNext/>
        <w:keepLines/>
        <w:widowControl w:val="0"/>
        <w:numPr>
          <w:ilvl w:val="0"/>
          <w:numId w:val="15"/>
        </w:numPr>
        <w:shd w:val="clear" w:color="auto" w:fill="auto"/>
        <w:bidi w:val="0"/>
        <w:spacing w:before="0" w:after="380" w:line="240" w:lineRule="auto"/>
        <w:ind w:left="0" w:right="0" w:firstLine="140"/>
        <w:jc w:val="left"/>
      </w:pPr>
      <w:bookmarkStart w:id="827" w:name="bookmark827"/>
      <w:bookmarkStart w:id="828" w:name="bookmark828"/>
      <w:bookmarkStart w:id="831" w:name="bookmark831"/>
      <w:bookmarkStart w:id="832" w:name="bookmark832"/>
      <w:bookmarkEnd w:id="831"/>
      <w:r>
        <w:rPr>
          <w:color w:val="000000"/>
          <w:spacing w:val="0"/>
          <w:w w:val="100"/>
          <w:position w:val="0"/>
        </w:rPr>
        <w:t>其他应收款按种类披露</w:t>
      </w:r>
      <w:bookmarkEnd w:id="827"/>
      <w:bookmarkEnd w:id="828"/>
      <w:bookmarkEnd w:id="832"/>
    </w:p>
    <w:p>
      <w:pPr>
        <w:pStyle w:val="Style3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10"/>
        <w:gridCol w:w="1219"/>
        <w:gridCol w:w="792"/>
        <w:gridCol w:w="1056"/>
        <w:gridCol w:w="792"/>
        <w:gridCol w:w="1061"/>
        <w:gridCol w:w="835"/>
        <w:gridCol w:w="1186"/>
        <w:gridCol w:w="802"/>
      </w:tblGrid>
      <w:tr>
        <w:trPr>
          <w:trHeight w:val="408"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种类</w:t>
            </w:r>
          </w:p>
        </w:tc>
        <w:tc>
          <w:tcPr>
            <w:gridSpan w:val="4"/>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c>
          <w:tcPr>
            <w:gridSpan w:val="4"/>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r>
      <w:tr>
        <w:trPr>
          <w:trHeight w:val="403" w:hRule="exact"/>
        </w:trPr>
        <w:tc>
          <w:tcPr>
            <w:gridSpan w:val="9"/>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按组合计提坏账准备的其他应收款</w:t>
            </w:r>
          </w:p>
        </w:tc>
      </w:tr>
      <w:tr>
        <w:trPr>
          <w:trHeight w:val="715"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采用账龄分析法计提坏 账准备</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14,524,595.22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1,435,561.10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9.88%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8,818,516.07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831,051.98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组合小计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14,524,595.22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1,435,561.10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9.88%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8,818,516.07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831,051.98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w:t>
            </w:r>
          </w:p>
        </w:tc>
      </w:tr>
      <w:tr>
        <w:trPr>
          <w:trHeight w:val="40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14,524,595.22</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1,435,561.10</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8,818,516.07</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34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831,051.98</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34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341" w:lineRule="exact"/>
        <w:ind w:left="0" w:right="0" w:firstLine="0"/>
        <w:jc w:val="left"/>
      </w:pPr>
      <w:r>
        <w:rPr>
          <w:color w:val="000000"/>
          <w:spacing w:val="0"/>
          <w:w w:val="100"/>
          <w:position w:val="0"/>
        </w:rPr>
        <w:t>其他应收款种类的说明</w:t>
      </w:r>
    </w:p>
    <w:p>
      <w:pPr>
        <w:pStyle w:val="Style27"/>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341" w:lineRule="exact"/>
        <w:ind w:left="0" w:right="0" w:firstLine="0"/>
        <w:jc w:val="left"/>
      </w:pPr>
      <w:r>
        <w:rPr>
          <w:color w:val="000000"/>
          <w:spacing w:val="0"/>
          <w:w w:val="100"/>
          <w:position w:val="0"/>
        </w:rPr>
        <w:t>组合中，采用账龄分析法计提坏账准备的其他应收款</w:t>
      </w:r>
    </w:p>
    <w:p>
      <w:pPr>
        <w:pStyle w:val="Style27"/>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1858"/>
        <w:gridCol w:w="1838"/>
        <w:gridCol w:w="658"/>
        <w:gridCol w:w="1450"/>
        <w:gridCol w:w="1450"/>
        <w:gridCol w:w="658"/>
        <w:gridCol w:w="1675"/>
      </w:tblGrid>
      <w:tr>
        <w:trPr>
          <w:trHeight w:val="408"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gridSpan w:val="3"/>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c>
          <w:tcPr>
            <w:gridSpan w:val="3"/>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vMerge w:val="restart"/>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11,821,073.56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81.39%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591,053.68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7,241,917.69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362,095.89</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1,368,671.69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9.42%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136,867.17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674,397.96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7.65%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67,439.80</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521,401.05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3.59%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156,420.32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408,307.24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4.63%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122,492.17</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394,533.24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2.72%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197,266.62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399,789.32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4.53%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199,894.66</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324,811.82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259,849.45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74,872.00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0.85%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59,897.60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94,103.86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0.64%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94,103.86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19,231.86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19,231.86</w:t>
            </w:r>
          </w:p>
        </w:tc>
      </w:tr>
      <w:tr>
        <w:trPr>
          <w:trHeight w:val="40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14,524,595.22</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1,435,561.10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8,818,516.07</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831,051.98</w:t>
            </w:r>
          </w:p>
        </w:tc>
      </w:tr>
    </w:tbl>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组合中，采用余额百分比法计提坏账准备的其他应收款</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组合中，采用其他方法计提坏账准备的其他应收款</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期末单项金额虽不重大但单项计提坏账准备的其他应收款</w:t>
      </w:r>
    </w:p>
    <w:p>
      <w:pPr>
        <w:pStyle w:val="Style27"/>
        <w:keepNext w:val="0"/>
        <w:keepLines w:val="0"/>
        <w:widowControl w:val="0"/>
        <w:shd w:val="clear" w:color="auto" w:fill="auto"/>
        <w:bidi w:val="0"/>
        <w:spacing w:before="0" w:after="4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numPr>
          <w:ilvl w:val="0"/>
          <w:numId w:val="15"/>
        </w:numPr>
        <w:shd w:val="clear" w:color="auto" w:fill="auto"/>
        <w:tabs>
          <w:tab w:pos="493" w:val="left"/>
        </w:tabs>
        <w:bidi w:val="0"/>
        <w:spacing w:before="0" w:after="400" w:line="240" w:lineRule="auto"/>
        <w:ind w:left="0" w:right="0" w:firstLine="0"/>
        <w:jc w:val="left"/>
      </w:pPr>
      <w:bookmarkStart w:id="833" w:name="bookmark833"/>
      <w:bookmarkStart w:id="834" w:name="bookmark834"/>
      <w:bookmarkStart w:id="835" w:name="bookmark835"/>
      <w:bookmarkStart w:id="836" w:name="bookmark836"/>
      <w:bookmarkEnd w:id="835"/>
      <w:r>
        <w:rPr>
          <w:color w:val="000000"/>
          <w:spacing w:val="0"/>
          <w:w w:val="100"/>
          <w:position w:val="0"/>
        </w:rPr>
        <w:t>本报告期转回或收回的其他应收款情况</w:t>
      </w:r>
      <w:bookmarkEnd w:id="833"/>
      <w:bookmarkEnd w:id="834"/>
      <w:bookmarkEnd w:id="836"/>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8"/>
        <w:keepNext/>
        <w:keepLines/>
        <w:widowControl w:val="0"/>
        <w:numPr>
          <w:ilvl w:val="0"/>
          <w:numId w:val="15"/>
        </w:numPr>
        <w:shd w:val="clear" w:color="auto" w:fill="auto"/>
        <w:tabs>
          <w:tab w:pos="493" w:val="left"/>
        </w:tabs>
        <w:bidi w:val="0"/>
        <w:spacing w:before="0" w:after="400" w:line="240" w:lineRule="auto"/>
        <w:ind w:left="0" w:right="0" w:firstLine="0"/>
        <w:jc w:val="left"/>
      </w:pPr>
      <w:bookmarkStart w:id="837" w:name="bookmark837"/>
      <w:bookmarkStart w:id="838" w:name="bookmark838"/>
      <w:bookmarkStart w:id="839" w:name="bookmark839"/>
      <w:bookmarkStart w:id="840" w:name="bookmark840"/>
      <w:bookmarkEnd w:id="839"/>
      <w:r>
        <w:rPr>
          <w:color w:val="000000"/>
          <w:spacing w:val="0"/>
          <w:w w:val="100"/>
          <w:position w:val="0"/>
        </w:rPr>
        <w:t>本报告期实际核销的其他应收款情况</w:t>
      </w:r>
      <w:bookmarkEnd w:id="837"/>
      <w:bookmarkEnd w:id="838"/>
      <w:bookmarkEnd w:id="840"/>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8"/>
        <w:keepNext/>
        <w:keepLines/>
        <w:widowControl w:val="0"/>
        <w:numPr>
          <w:ilvl w:val="0"/>
          <w:numId w:val="15"/>
        </w:numPr>
        <w:shd w:val="clear" w:color="auto" w:fill="auto"/>
        <w:bidi w:val="0"/>
        <w:spacing w:before="0" w:after="400" w:line="240" w:lineRule="auto"/>
        <w:ind w:left="0" w:right="0" w:firstLine="0"/>
        <w:jc w:val="left"/>
      </w:pPr>
      <w:bookmarkStart w:id="841" w:name="bookmark841"/>
      <w:bookmarkStart w:id="842" w:name="bookmark842"/>
      <w:bookmarkStart w:id="843" w:name="bookmark843"/>
      <w:bookmarkStart w:id="844" w:name="bookmark844"/>
      <w:bookmarkEnd w:id="843"/>
      <w:r>
        <w:rPr>
          <w:color w:val="000000"/>
          <w:spacing w:val="0"/>
          <w:w w:val="100"/>
          <w:position w:val="0"/>
        </w:rPr>
        <w:t xml:space="preserve"> 本报告期其他应收款中持有公司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841"/>
      <w:bookmarkEnd w:id="842"/>
      <w:bookmarkEnd w:id="844"/>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8"/>
        <w:keepNext/>
        <w:keepLines/>
        <w:widowControl w:val="0"/>
        <w:numPr>
          <w:ilvl w:val="0"/>
          <w:numId w:val="15"/>
        </w:numPr>
        <w:shd w:val="clear" w:color="auto" w:fill="auto"/>
        <w:tabs>
          <w:tab w:pos="493" w:val="left"/>
        </w:tabs>
        <w:bidi w:val="0"/>
        <w:spacing w:before="0" w:after="400" w:line="240" w:lineRule="auto"/>
        <w:ind w:left="0" w:right="0" w:firstLine="0"/>
        <w:jc w:val="left"/>
      </w:pPr>
      <w:bookmarkStart w:id="845" w:name="bookmark845"/>
      <w:bookmarkStart w:id="846" w:name="bookmark846"/>
      <w:bookmarkStart w:id="847" w:name="bookmark847"/>
      <w:bookmarkStart w:id="848" w:name="bookmark848"/>
      <w:bookmarkEnd w:id="847"/>
      <w:r>
        <w:rPr>
          <w:color w:val="000000"/>
          <w:spacing w:val="0"/>
          <w:w w:val="100"/>
          <w:position w:val="0"/>
        </w:rPr>
        <w:t>金额较大的其他应收款的性质或内容</w:t>
      </w:r>
      <w:bookmarkEnd w:id="845"/>
      <w:bookmarkEnd w:id="846"/>
      <w:bookmarkEnd w:id="848"/>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30"/>
        <w:gridCol w:w="1982"/>
        <w:gridCol w:w="1915"/>
        <w:gridCol w:w="2486"/>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款项的性质或内容</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240" w:firstLine="0"/>
              <w:jc w:val="right"/>
              <w:rPr>
                <w:sz w:val="17"/>
                <w:szCs w:val="17"/>
              </w:rPr>
            </w:pPr>
            <w:r>
              <w:rPr>
                <w:color w:val="000000"/>
                <w:spacing w:val="0"/>
                <w:w w:val="100"/>
                <w:position w:val="0"/>
                <w:sz w:val="17"/>
                <w:szCs w:val="17"/>
              </w:rPr>
              <w:t>占其他应收款总额的比例</w:t>
            </w:r>
          </w:p>
        </w:tc>
      </w:tr>
      <w:tr>
        <w:trPr>
          <w:trHeight w:val="398"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广州市地下铁道总公司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投标保证金</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广州市御发置业有限公司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251,339.46</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押金</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广州市悦禾物业管理有限公司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320,990.68</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保证金</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广东省政府采购中心</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222,953.00</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投标保证金</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w:t>
            </w:r>
          </w:p>
        </w:tc>
      </w:tr>
      <w:tr>
        <w:trPr>
          <w:trHeight w:val="710"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中国南方电网有限责任公司招标服务中 心</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220,000.00</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投标保证金</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中国平安财产保险股份有限公司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219,533.24</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保险赔款</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北京中关村软件园发展有限责任公司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202,569.53</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押金</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1,637,385.91</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w:t>
            </w:r>
          </w:p>
        </w:tc>
      </w:tr>
    </w:tbl>
    <w:p>
      <w:pPr>
        <w:widowControl w:val="0"/>
        <w:spacing w:after="659" w:line="1" w:lineRule="exact"/>
      </w:pPr>
    </w:p>
    <w:p>
      <w:pPr>
        <w:pStyle w:val="Style38"/>
        <w:keepNext/>
        <w:keepLines/>
        <w:widowControl w:val="0"/>
        <w:numPr>
          <w:ilvl w:val="0"/>
          <w:numId w:val="15"/>
        </w:numPr>
        <w:shd w:val="clear" w:color="auto" w:fill="auto"/>
        <w:bidi w:val="0"/>
        <w:spacing w:before="0" w:after="400" w:line="240" w:lineRule="auto"/>
        <w:ind w:left="0" w:right="0" w:firstLine="0"/>
        <w:jc w:val="left"/>
      </w:pPr>
      <w:bookmarkStart w:id="849" w:name="bookmark849"/>
      <w:bookmarkStart w:id="850" w:name="bookmark850"/>
      <w:bookmarkStart w:id="851" w:name="bookmark851"/>
      <w:bookmarkStart w:id="852" w:name="bookmark852"/>
      <w:bookmarkEnd w:id="851"/>
      <w:r>
        <w:rPr>
          <w:color w:val="000000"/>
          <w:spacing w:val="0"/>
          <w:w w:val="100"/>
          <w:position w:val="0"/>
        </w:rPr>
        <w:t>其他应收款金额前五名单位情况</w:t>
      </w:r>
      <w:bookmarkEnd w:id="849"/>
      <w:bookmarkEnd w:id="850"/>
      <w:bookmarkEnd w:id="852"/>
    </w:p>
    <w:p>
      <w:pPr>
        <w:pStyle w:val="Style3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419"/>
        <w:gridCol w:w="1560"/>
        <w:gridCol w:w="1843"/>
        <w:gridCol w:w="1272"/>
        <w:gridCol w:w="2491"/>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与本公司关系</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年限</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占其他应收款总额的比例</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广州市高级技工学校</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客户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1,780,155.60</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12.26%</w:t>
            </w:r>
          </w:p>
        </w:tc>
      </w:tr>
      <w:tr>
        <w:trPr>
          <w:trHeight w:val="413" w:hRule="exact"/>
        </w:trPr>
        <w:tc>
          <w:tcPr>
            <w:tcBorders>
              <w:top w:val="single" w:sz="4"/>
              <w:left w:val="single" w:sz="4"/>
              <w:bottom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广州市信息工程招投标中心</w:t>
            </w:r>
          </w:p>
        </w:tc>
        <w:tc>
          <w:tcPr>
            <w:tcBorders>
              <w:top w:val="single" w:sz="4"/>
              <w:left w:val="single" w:sz="4"/>
              <w:bottom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中介机构</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1,566,641.00</w:t>
            </w:r>
          </w:p>
        </w:tc>
        <w:tc>
          <w:tcPr>
            <w:tcBorders>
              <w:top w:val="single" w:sz="4"/>
              <w:left w:val="single" w:sz="4"/>
              <w:bottom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w:t>
            </w:r>
          </w:p>
        </w:tc>
      </w:tr>
    </w:tbl>
    <w:p>
      <w:pPr>
        <w:spacing w:lineRule="exact" w:line="1"/>
        <w:rPr>
          <w:sz w:val="2"/>
          <w:szCs w:val="2"/>
        </w:rPr>
      </w:pPr>
      <w:r>
        <w:br w:type="page"/>
      </w:r>
    </w:p>
    <w:tbl>
      <w:tblPr>
        <w:tblOverlap w:val="never"/>
        <w:jc w:val="center"/>
        <w:tblLayout w:type="fixed"/>
      </w:tblPr>
      <w:tblGrid>
        <w:gridCol w:w="2419"/>
        <w:gridCol w:w="1560"/>
        <w:gridCol w:w="1843"/>
        <w:gridCol w:w="1272"/>
        <w:gridCol w:w="2491"/>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与本公司关系</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年限</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占其他应收款总额的比例</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中国民航大学</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客户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549,942.60</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广东省计量科学研究院</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客户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415,542.50</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潮州市政府采购中心</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客户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346,000.00</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4,658,281.70</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32.08%</w:t>
            </w:r>
          </w:p>
        </w:tc>
      </w:tr>
    </w:tbl>
    <w:p>
      <w:pPr>
        <w:widowControl w:val="0"/>
        <w:spacing w:after="379" w:line="1" w:lineRule="exact"/>
      </w:pPr>
    </w:p>
    <w:p>
      <w:pPr>
        <w:pStyle w:val="Style38"/>
        <w:keepNext/>
        <w:keepLines/>
        <w:widowControl w:val="0"/>
        <w:shd w:val="clear" w:color="auto" w:fill="auto"/>
        <w:tabs>
          <w:tab w:pos="493" w:val="left"/>
        </w:tabs>
        <w:bidi w:val="0"/>
        <w:spacing w:before="0" w:after="380" w:line="240" w:lineRule="auto"/>
        <w:ind w:left="0" w:right="0" w:firstLine="0"/>
        <w:jc w:val="left"/>
      </w:pPr>
      <w:bookmarkStart w:id="853" w:name="bookmark853"/>
      <w:bookmarkStart w:id="854" w:name="bookmark854"/>
      <w:bookmarkStart w:id="855" w:name="bookmark855"/>
      <w:bookmarkStart w:id="856" w:name="bookmark856"/>
      <w:r>
        <w:rPr>
          <w:color w:val="000000"/>
          <w:spacing w:val="0"/>
          <w:w w:val="100"/>
          <w:position w:val="0"/>
        </w:rPr>
        <w:t>（</w:t>
      </w:r>
      <w:bookmarkEnd w:id="855"/>
      <w:r>
        <w:rPr>
          <w:rFonts w:ascii="Times New Roman" w:eastAsia="Times New Roman" w:hAnsi="Times New Roman" w:cs="Times New Roman"/>
          <w:color w:val="000000"/>
          <w:spacing w:val="0"/>
          <w:w w:val="100"/>
          <w:position w:val="0"/>
        </w:rPr>
        <w:t>7</w:t>
      </w:r>
      <w:r>
        <w:rPr>
          <w:color w:val="000000"/>
          <w:spacing w:val="0"/>
          <w:w w:val="100"/>
          <w:position w:val="0"/>
        </w:rPr>
        <w:t>）</w:t>
        <w:tab/>
        <w:t>其他应收关联方账款情况</w:t>
      </w:r>
      <w:bookmarkEnd w:id="853"/>
      <w:bookmarkEnd w:id="854"/>
      <w:bookmarkEnd w:id="856"/>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8"/>
        <w:keepNext/>
        <w:keepLines/>
        <w:widowControl w:val="0"/>
        <w:shd w:val="clear" w:color="auto" w:fill="auto"/>
        <w:tabs>
          <w:tab w:pos="493" w:val="left"/>
        </w:tabs>
        <w:bidi w:val="0"/>
        <w:spacing w:before="0" w:after="380" w:line="240" w:lineRule="auto"/>
        <w:ind w:left="0" w:right="0" w:firstLine="0"/>
        <w:jc w:val="left"/>
      </w:pPr>
      <w:bookmarkStart w:id="857" w:name="bookmark857"/>
      <w:bookmarkStart w:id="858" w:name="bookmark858"/>
      <w:bookmarkStart w:id="859" w:name="bookmark859"/>
      <w:bookmarkStart w:id="860" w:name="bookmark860"/>
      <w:r>
        <w:rPr>
          <w:color w:val="000000"/>
          <w:spacing w:val="0"/>
          <w:w w:val="100"/>
          <w:position w:val="0"/>
        </w:rPr>
        <w:t>（</w:t>
      </w:r>
      <w:bookmarkEnd w:id="859"/>
      <w:r>
        <w:rPr>
          <w:rFonts w:ascii="Times New Roman" w:eastAsia="Times New Roman" w:hAnsi="Times New Roman" w:cs="Times New Roman"/>
          <w:color w:val="000000"/>
          <w:spacing w:val="0"/>
          <w:w w:val="100"/>
          <w:position w:val="0"/>
        </w:rPr>
        <w:t>8</w:t>
      </w:r>
      <w:r>
        <w:rPr>
          <w:color w:val="000000"/>
          <w:spacing w:val="0"/>
          <w:w w:val="100"/>
          <w:position w:val="0"/>
        </w:rPr>
        <w:t>）</w:t>
        <w:tab/>
        <w:t>终止确认的其他应收款项情况</w:t>
      </w:r>
      <w:bookmarkEnd w:id="857"/>
      <w:bookmarkEnd w:id="858"/>
      <w:bookmarkEnd w:id="860"/>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8"/>
        <w:keepNext/>
        <w:keepLines/>
        <w:widowControl w:val="0"/>
        <w:shd w:val="clear" w:color="auto" w:fill="auto"/>
        <w:tabs>
          <w:tab w:pos="493" w:val="left"/>
        </w:tabs>
        <w:bidi w:val="0"/>
        <w:spacing w:before="0" w:after="380" w:line="240" w:lineRule="auto"/>
        <w:ind w:left="0" w:right="0" w:firstLine="0"/>
        <w:jc w:val="left"/>
      </w:pPr>
      <w:bookmarkStart w:id="861" w:name="bookmark861"/>
      <w:bookmarkStart w:id="862" w:name="bookmark862"/>
      <w:bookmarkStart w:id="863" w:name="bookmark863"/>
      <w:bookmarkStart w:id="864" w:name="bookmark864"/>
      <w:r>
        <w:rPr>
          <w:color w:val="000000"/>
          <w:spacing w:val="0"/>
          <w:w w:val="100"/>
          <w:position w:val="0"/>
        </w:rPr>
        <w:t>（</w:t>
      </w:r>
      <w:bookmarkEnd w:id="863"/>
      <w:r>
        <w:rPr>
          <w:rFonts w:ascii="Times New Roman" w:eastAsia="Times New Roman" w:hAnsi="Times New Roman" w:cs="Times New Roman"/>
          <w:color w:val="000000"/>
          <w:spacing w:val="0"/>
          <w:w w:val="100"/>
          <w:position w:val="0"/>
        </w:rPr>
        <w:t>9</w:t>
      </w:r>
      <w:r>
        <w:rPr>
          <w:color w:val="000000"/>
          <w:spacing w:val="0"/>
          <w:w w:val="100"/>
          <w:position w:val="0"/>
        </w:rPr>
        <w:t>）</w:t>
        <w:tab/>
        <w:t>以其他应收款为标的进行证券化的，列示继续涉入形成的资产、负债的金额</w:t>
      </w:r>
      <w:bookmarkEnd w:id="861"/>
      <w:bookmarkEnd w:id="862"/>
      <w:bookmarkEnd w:id="864"/>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8"/>
        <w:keepNext/>
        <w:keepLines/>
        <w:widowControl w:val="0"/>
        <w:shd w:val="clear" w:color="auto" w:fill="auto"/>
        <w:bidi w:val="0"/>
        <w:spacing w:before="0" w:after="380" w:line="240" w:lineRule="auto"/>
        <w:ind w:left="0" w:right="0" w:firstLine="0"/>
        <w:jc w:val="left"/>
      </w:pPr>
      <w:bookmarkStart w:id="865" w:name="bookmark865"/>
      <w:bookmarkStart w:id="866" w:name="bookmark866"/>
      <w:bookmarkStart w:id="867" w:name="bookmark867"/>
      <w:bookmarkStart w:id="868" w:name="bookmark868"/>
      <w:r>
        <w:rPr>
          <w:color w:val="000000"/>
          <w:spacing w:val="0"/>
          <w:w w:val="100"/>
          <w:position w:val="0"/>
        </w:rPr>
        <w:t>（</w:t>
      </w:r>
      <w:bookmarkEnd w:id="867"/>
      <w:r>
        <w:rPr>
          <w:rFonts w:ascii="Times New Roman" w:eastAsia="Times New Roman" w:hAnsi="Times New Roman" w:cs="Times New Roman"/>
          <w:color w:val="000000"/>
          <w:spacing w:val="0"/>
          <w:w w:val="100"/>
          <w:position w:val="0"/>
        </w:rPr>
        <w:t>10</w:t>
      </w:r>
      <w:r>
        <w:rPr>
          <w:color w:val="000000"/>
          <w:spacing w:val="0"/>
          <w:w w:val="100"/>
          <w:position w:val="0"/>
        </w:rPr>
        <w:t>）报告期末按应收金额确认的政府补助</w:t>
      </w:r>
      <w:bookmarkEnd w:id="865"/>
      <w:bookmarkEnd w:id="866"/>
      <w:bookmarkEnd w:id="868"/>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8"/>
        <w:keepNext/>
        <w:keepLines/>
        <w:widowControl w:val="0"/>
        <w:shd w:val="clear" w:color="auto" w:fill="auto"/>
        <w:bidi w:val="0"/>
        <w:spacing w:before="0" w:after="380" w:line="240" w:lineRule="auto"/>
        <w:ind w:left="0" w:right="0" w:firstLine="0"/>
        <w:jc w:val="left"/>
      </w:pPr>
      <w:bookmarkStart w:id="869" w:name="bookmark869"/>
      <w:bookmarkStart w:id="870" w:name="bookmark870"/>
      <w:bookmarkStart w:id="871" w:name="bookmark871"/>
      <w:bookmarkStart w:id="872" w:name="bookmark872"/>
      <w:r>
        <w:rPr>
          <w:rFonts w:ascii="Times New Roman" w:eastAsia="Times New Roman" w:hAnsi="Times New Roman" w:cs="Times New Roman"/>
          <w:color w:val="000000"/>
          <w:spacing w:val="0"/>
          <w:w w:val="100"/>
          <w:position w:val="0"/>
        </w:rPr>
        <w:t>4</w:t>
      </w:r>
      <w:bookmarkEnd w:id="871"/>
      <w:r>
        <w:rPr>
          <w:color w:val="000000"/>
          <w:spacing w:val="0"/>
          <w:w w:val="100"/>
          <w:position w:val="0"/>
        </w:rPr>
        <w:t>、预付款项</w:t>
      </w:r>
      <w:bookmarkEnd w:id="869"/>
      <w:bookmarkEnd w:id="870"/>
      <w:bookmarkEnd w:id="872"/>
    </w:p>
    <w:p>
      <w:pPr>
        <w:pStyle w:val="Style38"/>
        <w:keepNext/>
        <w:keepLines/>
        <w:widowControl w:val="0"/>
        <w:shd w:val="clear" w:color="auto" w:fill="auto"/>
        <w:bidi w:val="0"/>
        <w:spacing w:before="0" w:after="380" w:line="240" w:lineRule="auto"/>
        <w:ind w:left="0" w:right="0" w:firstLine="0"/>
        <w:jc w:val="left"/>
      </w:pPr>
      <w:bookmarkStart w:id="869" w:name="bookmark869"/>
      <w:bookmarkStart w:id="870" w:name="bookmark870"/>
      <w:bookmarkStart w:id="873" w:name="bookmark873"/>
      <w:bookmarkStart w:id="874" w:name="bookmark874"/>
      <w:r>
        <w:rPr>
          <w:color w:val="000000"/>
          <w:spacing w:val="0"/>
          <w:w w:val="100"/>
          <w:position w:val="0"/>
        </w:rPr>
        <w:t>（</w:t>
      </w:r>
      <w:bookmarkEnd w:id="873"/>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869"/>
      <w:bookmarkEnd w:id="870"/>
      <w:bookmarkEnd w:id="874"/>
    </w:p>
    <w:p>
      <w:pPr>
        <w:pStyle w:val="Style31"/>
        <w:keepNext w:val="0"/>
        <w:keepLines w:val="0"/>
        <w:widowControl w:val="0"/>
        <w:shd w:val="clear" w:color="auto" w:fill="auto"/>
        <w:bidi w:val="0"/>
        <w:spacing w:before="0" w:after="0" w:line="240" w:lineRule="auto"/>
        <w:ind w:left="8818"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210"/>
        <w:gridCol w:w="3187"/>
        <w:gridCol w:w="1066"/>
        <w:gridCol w:w="3053"/>
        <w:gridCol w:w="1070"/>
      </w:tblGrid>
      <w:tr>
        <w:trPr>
          <w:trHeight w:val="408"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账龄</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c>
          <w:tcPr>
            <w:gridSpan w:val="2"/>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15,250,837.84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96.45%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2,821,333.08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96.51%</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459,647.24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2.91%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97,750.46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97,750.46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0.62%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4,428.00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4,428.00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15,812,663.54</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2,923,511.54</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79" w:line="1" w:lineRule="exact"/>
      </w:pPr>
    </w:p>
    <w:p>
      <w:pPr>
        <w:pStyle w:val="Style38"/>
        <w:keepNext/>
        <w:keepLines/>
        <w:widowControl w:val="0"/>
        <w:shd w:val="clear" w:color="auto" w:fill="auto"/>
        <w:bidi w:val="0"/>
        <w:spacing w:before="0" w:after="380" w:line="240" w:lineRule="auto"/>
        <w:ind w:left="0" w:right="0" w:firstLine="140"/>
        <w:jc w:val="left"/>
      </w:pPr>
      <w:bookmarkStart w:id="875" w:name="bookmark875"/>
      <w:bookmarkStart w:id="876" w:name="bookmark876"/>
      <w:bookmarkStart w:id="877" w:name="bookmark877"/>
      <w:bookmarkStart w:id="878" w:name="bookmark878"/>
      <w:r>
        <w:rPr>
          <w:color w:val="000000"/>
          <w:spacing w:val="0"/>
          <w:w w:val="100"/>
          <w:position w:val="0"/>
        </w:rPr>
        <w:t>（</w:t>
      </w:r>
      <w:bookmarkEnd w:id="877"/>
      <w:r>
        <w:rPr>
          <w:rFonts w:ascii="Times New Roman" w:eastAsia="Times New Roman" w:hAnsi="Times New Roman" w:cs="Times New Roman"/>
          <w:color w:val="000000"/>
          <w:spacing w:val="0"/>
          <w:w w:val="100"/>
          <w:position w:val="0"/>
        </w:rPr>
        <w:t>2</w:t>
      </w:r>
      <w:r>
        <w:rPr>
          <w:color w:val="000000"/>
          <w:spacing w:val="0"/>
          <w:w w:val="100"/>
          <w:position w:val="0"/>
        </w:rPr>
        <w:t>）预付款项金额前五名单位情况</w:t>
      </w:r>
      <w:bookmarkEnd w:id="875"/>
      <w:bookmarkEnd w:id="876"/>
      <w:bookmarkEnd w:id="878"/>
    </w:p>
    <w:p>
      <w:pPr>
        <w:pStyle w:val="Style31"/>
        <w:keepNext w:val="0"/>
        <w:keepLines w:val="0"/>
        <w:widowControl w:val="0"/>
        <w:shd w:val="clear" w:color="auto" w:fill="auto"/>
        <w:bidi w:val="0"/>
        <w:spacing w:before="0" w:after="0" w:line="240" w:lineRule="auto"/>
        <w:ind w:left="8827"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2712"/>
        <w:gridCol w:w="1560"/>
        <w:gridCol w:w="1915"/>
        <w:gridCol w:w="1344"/>
        <w:gridCol w:w="2290"/>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与本公司关系</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时间</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未结算原因</w:t>
            </w:r>
          </w:p>
        </w:tc>
      </w:tr>
      <w:tr>
        <w:trPr>
          <w:trHeight w:val="427" w:hRule="exact"/>
        </w:trPr>
        <w:tc>
          <w:tcPr>
            <w:tcBorders>
              <w:top w:val="single" w:sz="4"/>
              <w:left w:val="single" w:sz="4"/>
              <w:bottom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广州惠海信息科技有限公司</w:t>
            </w:r>
          </w:p>
        </w:tc>
        <w:tc>
          <w:tcPr>
            <w:tcBorders>
              <w:top w:val="single" w:sz="4"/>
              <w:left w:val="single" w:sz="4"/>
              <w:bottom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供应商</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4,000,865.00</w:t>
            </w:r>
          </w:p>
        </w:tc>
        <w:tc>
          <w:tcPr>
            <w:tcBorders>
              <w:top w:val="single" w:sz="4"/>
              <w:left w:val="single" w:sz="4"/>
              <w:bottom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bottom w:val="single" w:sz="4"/>
              <w:righ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预付材料款未到货</w:t>
            </w:r>
          </w:p>
        </w:tc>
      </w:tr>
    </w:tbl>
    <w:p>
      <w:pPr>
        <w:spacing w:lineRule="exact" w:line="1"/>
        <w:rPr>
          <w:sz w:val="2"/>
          <w:szCs w:val="2"/>
        </w:rPr>
      </w:pPr>
      <w:r>
        <w:br w:type="page"/>
      </w:r>
    </w:p>
    <w:tbl>
      <w:tblPr>
        <w:tblOverlap w:val="never"/>
        <w:jc w:val="center"/>
        <w:tblLayout w:type="fixed"/>
      </w:tblPr>
      <w:tblGrid>
        <w:gridCol w:w="2702"/>
        <w:gridCol w:w="1560"/>
        <w:gridCol w:w="1915"/>
        <w:gridCol w:w="1344"/>
        <w:gridCol w:w="2280"/>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与本公司关系</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时间</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未结算原因</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中山市诚进网络技术有限公司</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供应商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2,245,679.08</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预付材料款未到货</w:t>
            </w:r>
          </w:p>
        </w:tc>
      </w:tr>
      <w:tr>
        <w:trPr>
          <w:trHeight w:val="715"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广州安卡乐事企业管理咨询有限 公司</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1,480,250.00</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尚未提供服务</w:t>
            </w:r>
          </w:p>
        </w:tc>
      </w:tr>
      <w:tr>
        <w:trPr>
          <w:trHeight w:val="715"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广州天河高新技术产业开发区华 力科技开发有限公司</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供应商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1,300,039.00</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预付材料款未到货</w:t>
            </w:r>
          </w:p>
        </w:tc>
      </w:tr>
      <w:tr>
        <w:trPr>
          <w:trHeight w:val="398"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珠海彩珠实业有限公司</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供应商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预付材料款未到货</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9,826,833.08</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8"/>
        <w:keepNext/>
        <w:keepLines/>
        <w:widowControl w:val="0"/>
        <w:shd w:val="clear" w:color="auto" w:fill="auto"/>
        <w:bidi w:val="0"/>
        <w:spacing w:before="0" w:after="400" w:line="240" w:lineRule="auto"/>
        <w:ind w:left="0" w:right="0" w:firstLine="0"/>
        <w:jc w:val="left"/>
      </w:pPr>
      <w:bookmarkStart w:id="879" w:name="bookmark879"/>
      <w:bookmarkStart w:id="880" w:name="bookmark880"/>
      <w:bookmarkStart w:id="881" w:name="bookmark881"/>
      <w:bookmarkStart w:id="882" w:name="bookmark882"/>
      <w:r>
        <w:rPr>
          <w:color w:val="000000"/>
          <w:spacing w:val="0"/>
          <w:w w:val="100"/>
          <w:position w:val="0"/>
        </w:rPr>
        <w:t>（</w:t>
      </w:r>
      <w:bookmarkEnd w:id="881"/>
      <w:r>
        <w:rPr>
          <w:rFonts w:ascii="Times New Roman" w:eastAsia="Times New Roman" w:hAnsi="Times New Roman" w:cs="Times New Roman"/>
          <w:color w:val="000000"/>
          <w:spacing w:val="0"/>
          <w:w w:val="100"/>
          <w:position w:val="0"/>
        </w:rPr>
        <w:t>3</w:t>
      </w:r>
      <w:r>
        <w:rPr>
          <w:color w:val="000000"/>
          <w:spacing w:val="0"/>
          <w:w w:val="100"/>
          <w:position w:val="0"/>
        </w:rPr>
        <w:t>）本报告期预付款项中持有本公司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879"/>
      <w:bookmarkEnd w:id="880"/>
      <w:bookmarkEnd w:id="882"/>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8"/>
        <w:keepNext/>
        <w:keepLines/>
        <w:widowControl w:val="0"/>
        <w:shd w:val="clear" w:color="auto" w:fill="auto"/>
        <w:bidi w:val="0"/>
        <w:spacing w:before="0" w:after="360" w:line="240" w:lineRule="auto"/>
        <w:ind w:left="0" w:right="0" w:firstLine="0"/>
        <w:jc w:val="left"/>
      </w:pPr>
      <w:bookmarkStart w:id="883" w:name="bookmark883"/>
      <w:bookmarkStart w:id="884" w:name="bookmark884"/>
      <w:bookmarkStart w:id="885" w:name="bookmark885"/>
      <w:bookmarkStart w:id="886" w:name="bookmark886"/>
      <w:r>
        <w:rPr>
          <w:rFonts w:ascii="Times New Roman" w:eastAsia="Times New Roman" w:hAnsi="Times New Roman" w:cs="Times New Roman"/>
          <w:color w:val="000000"/>
          <w:spacing w:val="0"/>
          <w:w w:val="100"/>
          <w:position w:val="0"/>
        </w:rPr>
        <w:t>5</w:t>
      </w:r>
      <w:bookmarkEnd w:id="885"/>
      <w:r>
        <w:rPr>
          <w:color w:val="000000"/>
          <w:spacing w:val="0"/>
          <w:w w:val="100"/>
          <w:position w:val="0"/>
        </w:rPr>
        <w:t>、存货</w:t>
      </w:r>
      <w:bookmarkEnd w:id="883"/>
      <w:bookmarkEnd w:id="884"/>
      <w:bookmarkEnd w:id="886"/>
    </w:p>
    <w:p>
      <w:pPr>
        <w:pStyle w:val="Style38"/>
        <w:keepNext/>
        <w:keepLines/>
        <w:widowControl w:val="0"/>
        <w:shd w:val="clear" w:color="auto" w:fill="auto"/>
        <w:bidi w:val="0"/>
        <w:spacing w:before="0" w:after="360" w:line="240" w:lineRule="auto"/>
        <w:ind w:left="0" w:right="0" w:firstLine="0"/>
        <w:jc w:val="left"/>
      </w:pPr>
      <w:bookmarkStart w:id="883" w:name="bookmark883"/>
      <w:bookmarkStart w:id="884" w:name="bookmark884"/>
      <w:bookmarkStart w:id="887" w:name="bookmark887"/>
      <w:bookmarkStart w:id="888" w:name="bookmark888"/>
      <w:r>
        <w:rPr>
          <w:color w:val="000000"/>
          <w:spacing w:val="0"/>
          <w:w w:val="100"/>
          <w:position w:val="0"/>
        </w:rPr>
        <w:t>（</w:t>
      </w:r>
      <w:bookmarkEnd w:id="887"/>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883"/>
      <w:bookmarkEnd w:id="884"/>
      <w:bookmarkEnd w:id="888"/>
    </w:p>
    <w:p>
      <w:pPr>
        <w:pStyle w:val="Style3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608"/>
        <w:gridCol w:w="1459"/>
        <w:gridCol w:w="1195"/>
        <w:gridCol w:w="1330"/>
        <w:gridCol w:w="1325"/>
        <w:gridCol w:w="1330"/>
        <w:gridCol w:w="1339"/>
      </w:tblGrid>
      <w:tr>
        <w:trPr>
          <w:trHeight w:val="408"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c>
          <w:tcPr>
            <w:gridSpan w:val="3"/>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跌价准备</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跌价准备</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账面价值</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原材料</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6,108,817.16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6,108,817.16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15,034,100.03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15,034,100.03</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在产品</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1,037,662.04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1,037,662.04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9,021,212.99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9,021,212.99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2,704,699.77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2,704,699.77</w:t>
            </w:r>
          </w:p>
        </w:tc>
      </w:tr>
      <w:tr>
        <w:trPr>
          <w:trHeight w:val="398"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发出商品</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3,672,321.14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3,672,321.14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19,840,013.33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19,840,013.33</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17,738,799.80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17,738,799.80</w:t>
            </w:r>
          </w:p>
        </w:tc>
      </w:tr>
    </w:tbl>
    <w:p>
      <w:pPr>
        <w:widowControl w:val="0"/>
        <w:spacing w:after="359" w:line="1" w:lineRule="exact"/>
      </w:pPr>
    </w:p>
    <w:p>
      <w:pPr>
        <w:pStyle w:val="Style38"/>
        <w:keepNext/>
        <w:keepLines/>
        <w:widowControl w:val="0"/>
        <w:shd w:val="clear" w:color="auto" w:fill="auto"/>
        <w:bidi w:val="0"/>
        <w:spacing w:before="0" w:after="400" w:line="240" w:lineRule="auto"/>
        <w:ind w:left="0" w:right="0" w:firstLine="140"/>
        <w:jc w:val="left"/>
      </w:pPr>
      <w:bookmarkStart w:id="889" w:name="bookmark889"/>
      <w:bookmarkStart w:id="890" w:name="bookmark890"/>
      <w:bookmarkStart w:id="891" w:name="bookmark891"/>
      <w:bookmarkStart w:id="892" w:name="bookmark892"/>
      <w:r>
        <w:rPr>
          <w:rFonts w:ascii="Times New Roman" w:eastAsia="Times New Roman" w:hAnsi="Times New Roman" w:cs="Times New Roman"/>
          <w:color w:val="000000"/>
          <w:spacing w:val="0"/>
          <w:w w:val="100"/>
          <w:position w:val="0"/>
        </w:rPr>
        <w:t>（</w:t>
      </w:r>
      <w:bookmarkEnd w:id="891"/>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889"/>
      <w:bookmarkEnd w:id="890"/>
      <w:bookmarkEnd w:id="892"/>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8"/>
        <w:keepNext/>
        <w:keepLines/>
        <w:widowControl w:val="0"/>
        <w:shd w:val="clear" w:color="auto" w:fill="auto"/>
        <w:bidi w:val="0"/>
        <w:spacing w:before="0" w:after="360" w:line="240" w:lineRule="auto"/>
        <w:ind w:left="0" w:right="0" w:firstLine="0"/>
        <w:jc w:val="left"/>
      </w:pPr>
      <w:bookmarkStart w:id="893" w:name="bookmark893"/>
      <w:bookmarkStart w:id="894" w:name="bookmark894"/>
      <w:bookmarkStart w:id="895" w:name="bookmark895"/>
      <w:bookmarkStart w:id="896" w:name="bookmark896"/>
      <w:r>
        <w:rPr>
          <w:rFonts w:ascii="Times New Roman" w:eastAsia="Times New Roman" w:hAnsi="Times New Roman" w:cs="Times New Roman"/>
          <w:color w:val="000000"/>
          <w:spacing w:val="0"/>
          <w:w w:val="100"/>
          <w:position w:val="0"/>
        </w:rPr>
        <w:t>6</w:t>
      </w:r>
      <w:bookmarkEnd w:id="895"/>
      <w:r>
        <w:rPr>
          <w:color w:val="000000"/>
          <w:spacing w:val="0"/>
          <w:w w:val="100"/>
          <w:position w:val="0"/>
        </w:rPr>
        <w:t>、其他流动资产</w:t>
      </w:r>
      <w:bookmarkEnd w:id="893"/>
      <w:bookmarkEnd w:id="894"/>
      <w:bookmarkEnd w:id="896"/>
    </w:p>
    <w:p>
      <w:pPr>
        <w:pStyle w:val="Style3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466"/>
        <w:gridCol w:w="2923"/>
        <w:gridCol w:w="3197"/>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待抵扣进项税</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22,338.40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22,338.40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8"/>
        <w:keepNext/>
        <w:keepLines/>
        <w:widowControl w:val="0"/>
        <w:shd w:val="clear" w:color="auto" w:fill="auto"/>
        <w:bidi w:val="0"/>
        <w:spacing w:before="0" w:after="360" w:line="240" w:lineRule="auto"/>
        <w:ind w:left="0" w:right="0" w:firstLine="0"/>
        <w:jc w:val="left"/>
      </w:pPr>
      <w:bookmarkStart w:id="897" w:name="bookmark897"/>
      <w:bookmarkStart w:id="898" w:name="bookmark898"/>
      <w:bookmarkStart w:id="899" w:name="bookmark899"/>
      <w:bookmarkStart w:id="900" w:name="bookmark900"/>
      <w:r>
        <w:rPr>
          <w:rFonts w:ascii="Times New Roman" w:eastAsia="Times New Roman" w:hAnsi="Times New Roman" w:cs="Times New Roman"/>
          <w:color w:val="000000"/>
          <w:spacing w:val="0"/>
          <w:w w:val="100"/>
          <w:position w:val="0"/>
        </w:rPr>
        <w:t>7</w:t>
      </w:r>
      <w:bookmarkEnd w:id="899"/>
      <w:r>
        <w:rPr>
          <w:color w:val="000000"/>
          <w:spacing w:val="0"/>
          <w:w w:val="100"/>
          <w:position w:val="0"/>
        </w:rPr>
        <w:t>、固定资产</w:t>
      </w:r>
      <w:bookmarkEnd w:id="897"/>
      <w:bookmarkEnd w:id="898"/>
      <w:bookmarkEnd w:id="900"/>
    </w:p>
    <w:p>
      <w:pPr>
        <w:pStyle w:val="Style38"/>
        <w:keepNext/>
        <w:keepLines/>
        <w:widowControl w:val="0"/>
        <w:shd w:val="clear" w:color="auto" w:fill="auto"/>
        <w:bidi w:val="0"/>
        <w:spacing w:before="0" w:after="360" w:line="240" w:lineRule="auto"/>
        <w:ind w:left="0" w:right="0" w:firstLine="0"/>
        <w:jc w:val="left"/>
      </w:pPr>
      <w:bookmarkStart w:id="897" w:name="bookmark897"/>
      <w:bookmarkStart w:id="898" w:name="bookmark898"/>
      <w:bookmarkStart w:id="901" w:name="bookmark901"/>
      <w:bookmarkStart w:id="902" w:name="bookmark902"/>
      <w:r>
        <w:rPr>
          <w:color w:val="000000"/>
          <w:spacing w:val="0"/>
          <w:w w:val="100"/>
          <w:position w:val="0"/>
        </w:rPr>
        <w:t>（</w:t>
      </w:r>
      <w:bookmarkEnd w:id="901"/>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897"/>
      <w:bookmarkEnd w:id="898"/>
      <w:bookmarkEnd w:id="902"/>
    </w:p>
    <w:p>
      <w:pPr>
        <w:pStyle w:val="Style3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136"/>
        <w:gridCol w:w="1464"/>
        <w:gridCol w:w="1325"/>
        <w:gridCol w:w="1594"/>
        <w:gridCol w:w="1598"/>
        <w:gridCol w:w="1469"/>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期初账面余额</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期末账面余额</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一、账面原值合计：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165,988,726.61</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71,339,766.48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22,136,626.88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215,191,866.21</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其中：房屋及建筑物</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33,293,062.40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33,293,062.40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运输工具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5,026,820.20</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5,634,116.35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75,765.00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10,585,171.55</w:t>
            </w:r>
          </w:p>
        </w:tc>
      </w:tr>
      <w:tr>
        <w:trPr>
          <w:trHeight w:val="398"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固定资产装修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8,573,239.21</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8,573,239.21</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电子设备</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117,982,328.62</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62,574,927.72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21,496,645.34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159,060,611.00</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其它设备</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1,113,276.18</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3,130,722.41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564,216.54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3,679,782.05</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期初账面余额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本期新增</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本期计提</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本期期末余额</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二、累计折旧合计：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37,008,301.63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31,064,186.44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18,102,094.69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49,970,393.38</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其中：房屋及建筑物</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2,505,164.42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930,247.33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3,435,411.75</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运输工具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1,152,633.75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707,714.37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29,359.08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1,830,989.04</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固定资产装修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1,829,864.85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814,457.73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2,644,322.58</w:t>
            </w:r>
          </w:p>
        </w:tc>
      </w:tr>
      <w:tr>
        <w:trPr>
          <w:trHeight w:val="398"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电子设备</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31,321,009.32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27,930,687.76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17,920,989.08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41,330,708.00</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其它设备</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199,629.29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681,079.25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151,746.53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728,962.01</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期初账面余额</w:t>
            </w:r>
          </w:p>
        </w:tc>
        <w:tc>
          <w:tcPr>
            <w:gridSpan w:val="3"/>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本期期末余额</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三、固定资产账面净值合计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128,980,424.98</w:t>
            </w:r>
          </w:p>
        </w:tc>
        <w:tc>
          <w:tcPr>
            <w:gridSpan w:val="3"/>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165,221,472.83</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其中：房屋及建筑物</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30,787,897.98</w:t>
            </w:r>
          </w:p>
        </w:tc>
        <w:tc>
          <w:tcPr>
            <w:gridSpan w:val="3"/>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29,857,650.65</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运输工具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3,874,186.45</w:t>
            </w:r>
          </w:p>
        </w:tc>
        <w:tc>
          <w:tcPr>
            <w:gridSpan w:val="3"/>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8,754,182.51</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固定资产装修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6,743,374.36</w:t>
            </w:r>
          </w:p>
        </w:tc>
        <w:tc>
          <w:tcPr>
            <w:gridSpan w:val="3"/>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5,928,916.63</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电子设备</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86,661,319.30</w:t>
            </w:r>
          </w:p>
        </w:tc>
        <w:tc>
          <w:tcPr>
            <w:gridSpan w:val="3"/>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117,729,903.00</w:t>
            </w:r>
          </w:p>
        </w:tc>
      </w:tr>
      <w:tr>
        <w:trPr>
          <w:trHeight w:val="398"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其它设备</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913,646.89</w:t>
            </w:r>
          </w:p>
        </w:tc>
        <w:tc>
          <w:tcPr>
            <w:gridSpan w:val="3"/>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2,950,820.04</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四、减值准备合计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1,251,960.83</w:t>
            </w:r>
          </w:p>
        </w:tc>
        <w:tc>
          <w:tcPr>
            <w:gridSpan w:val="3"/>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50,239.10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运输工具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42,732.53</w:t>
            </w:r>
          </w:p>
        </w:tc>
        <w:tc>
          <w:tcPr>
            <w:gridSpan w:val="3"/>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35,066.63</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固定资产装修</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电子设备</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1,207,575.69</w:t>
            </w:r>
          </w:p>
        </w:tc>
        <w:tc>
          <w:tcPr>
            <w:gridSpan w:val="3"/>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14,948.11</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其它设备</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1,652.61</w:t>
            </w:r>
          </w:p>
        </w:tc>
        <w:tc>
          <w:tcPr>
            <w:gridSpan w:val="3"/>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224.36</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五、固定资产账面价值合计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127,728,464.15</w:t>
            </w:r>
          </w:p>
        </w:tc>
        <w:tc>
          <w:tcPr>
            <w:gridSpan w:val="3"/>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165,171,233.73</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其中：房屋及建筑物</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30,787,897.98</w:t>
            </w:r>
          </w:p>
        </w:tc>
        <w:tc>
          <w:tcPr>
            <w:gridSpan w:val="3"/>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29,857,650.65</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运输工具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3,831,453.92</w:t>
            </w:r>
          </w:p>
        </w:tc>
        <w:tc>
          <w:tcPr>
            <w:gridSpan w:val="3"/>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8,719,115.88</w:t>
            </w:r>
          </w:p>
        </w:tc>
      </w:tr>
      <w:tr>
        <w:trPr>
          <w:trHeight w:val="413" w:hRule="exact"/>
        </w:trPr>
        <w:tc>
          <w:tcPr>
            <w:tcBorders>
              <w:top w:val="single" w:sz="4"/>
              <w:left w:val="single" w:sz="4"/>
              <w:bottom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固定资产装修</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6,743,374.36</w:t>
            </w:r>
          </w:p>
        </w:tc>
        <w:tc>
          <w:tcPr>
            <w:gridSpan w:val="3"/>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5,928,916.63</w:t>
            </w:r>
          </w:p>
        </w:tc>
      </w:tr>
    </w:tbl>
    <w:tbl>
      <w:tblPr>
        <w:tblOverlap w:val="never"/>
        <w:jc w:val="center"/>
        <w:tblLayout w:type="fixed"/>
      </w:tblPr>
      <w:tblGrid>
        <w:gridCol w:w="2136"/>
        <w:gridCol w:w="1464"/>
        <w:gridCol w:w="4517"/>
        <w:gridCol w:w="1469"/>
      </w:tblGrid>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电子设备</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85,453,743.61</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117,714,954.89</w:t>
            </w:r>
          </w:p>
        </w:tc>
      </w:tr>
      <w:tr>
        <w:trPr>
          <w:trHeight w:val="413" w:hRule="exact"/>
        </w:trPr>
        <w:tc>
          <w:tcPr>
            <w:tcBorders>
              <w:top w:val="single" w:sz="4"/>
              <w:left w:val="single" w:sz="4"/>
              <w:bottom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其它设备</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911,994.28</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2,950,595.68</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本期折旧额</w:t>
      </w:r>
      <w:r>
        <w:rPr>
          <w:rFonts w:ascii="Times New Roman" w:eastAsia="Times New Roman" w:hAnsi="Times New Roman" w:cs="Times New Roman"/>
          <w:color w:val="000000"/>
          <w:spacing w:val="0"/>
          <w:w w:val="100"/>
          <w:position w:val="0"/>
          <w:sz w:val="18"/>
          <w:szCs w:val="18"/>
        </w:rPr>
        <w:t>31,064,186.44</w:t>
      </w:r>
      <w:r>
        <w:rPr>
          <w:color w:val="000000"/>
          <w:spacing w:val="0"/>
          <w:w w:val="100"/>
          <w:position w:val="0"/>
        </w:rPr>
        <w:t>元；本期由在建工程转入固定资产原价为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8"/>
        <w:keepNext/>
        <w:keepLines/>
        <w:widowControl w:val="0"/>
        <w:shd w:val="clear" w:color="auto" w:fill="auto"/>
        <w:tabs>
          <w:tab w:pos="493" w:val="left"/>
        </w:tabs>
        <w:bidi w:val="0"/>
        <w:spacing w:before="0" w:after="380" w:line="240" w:lineRule="auto"/>
        <w:ind w:left="0" w:right="0" w:firstLine="0"/>
        <w:jc w:val="left"/>
      </w:pPr>
      <w:bookmarkStart w:id="903" w:name="bookmark903"/>
      <w:bookmarkStart w:id="904" w:name="bookmark904"/>
      <w:bookmarkStart w:id="905" w:name="bookmark905"/>
      <w:bookmarkStart w:id="906" w:name="bookmark906"/>
      <w:r>
        <w:rPr>
          <w:color w:val="000000"/>
          <w:spacing w:val="0"/>
          <w:w w:val="100"/>
          <w:position w:val="0"/>
        </w:rPr>
        <w:t>（</w:t>
      </w:r>
      <w:bookmarkEnd w:id="905"/>
      <w:r>
        <w:rPr>
          <w:rFonts w:ascii="Times New Roman" w:eastAsia="Times New Roman" w:hAnsi="Times New Roman" w:cs="Times New Roman"/>
          <w:color w:val="000000"/>
          <w:spacing w:val="0"/>
          <w:w w:val="100"/>
          <w:position w:val="0"/>
        </w:rPr>
        <w:t>2</w:t>
      </w:r>
      <w:r>
        <w:rPr>
          <w:color w:val="000000"/>
          <w:spacing w:val="0"/>
          <w:w w:val="100"/>
          <w:position w:val="0"/>
        </w:rPr>
        <w:t>）</w:t>
        <w:tab/>
        <w:t>暂时闲置的固定资产情况</w:t>
      </w:r>
      <w:bookmarkEnd w:id="903"/>
      <w:bookmarkEnd w:id="904"/>
      <w:bookmarkEnd w:id="906"/>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8"/>
        <w:keepNext/>
        <w:keepLines/>
        <w:widowControl w:val="0"/>
        <w:shd w:val="clear" w:color="auto" w:fill="auto"/>
        <w:tabs>
          <w:tab w:pos="493" w:val="left"/>
        </w:tabs>
        <w:bidi w:val="0"/>
        <w:spacing w:before="0" w:after="380" w:line="240" w:lineRule="auto"/>
        <w:ind w:left="0" w:right="0" w:firstLine="0"/>
        <w:jc w:val="left"/>
      </w:pPr>
      <w:bookmarkStart w:id="907" w:name="bookmark907"/>
      <w:bookmarkStart w:id="908" w:name="bookmark908"/>
      <w:bookmarkStart w:id="909" w:name="bookmark909"/>
      <w:bookmarkStart w:id="910" w:name="bookmark910"/>
      <w:r>
        <w:rPr>
          <w:color w:val="000000"/>
          <w:spacing w:val="0"/>
          <w:w w:val="100"/>
          <w:position w:val="0"/>
        </w:rPr>
        <w:t>（</w:t>
      </w:r>
      <w:bookmarkEnd w:id="909"/>
      <w:r>
        <w:rPr>
          <w:rFonts w:ascii="Times New Roman" w:eastAsia="Times New Roman" w:hAnsi="Times New Roman" w:cs="Times New Roman"/>
          <w:color w:val="000000"/>
          <w:spacing w:val="0"/>
          <w:w w:val="100"/>
          <w:position w:val="0"/>
        </w:rPr>
        <w:t>3</w:t>
      </w:r>
      <w:r>
        <w:rPr>
          <w:color w:val="000000"/>
          <w:spacing w:val="0"/>
          <w:w w:val="100"/>
          <w:position w:val="0"/>
        </w:rPr>
        <w:t>）</w:t>
        <w:tab/>
        <w:t>通过融资租赁租入的固定资产</w:t>
      </w:r>
      <w:bookmarkEnd w:id="907"/>
      <w:bookmarkEnd w:id="908"/>
      <w:bookmarkEnd w:id="910"/>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8"/>
        <w:keepNext/>
        <w:keepLines/>
        <w:widowControl w:val="0"/>
        <w:shd w:val="clear" w:color="auto" w:fill="auto"/>
        <w:tabs>
          <w:tab w:pos="493" w:val="left"/>
        </w:tabs>
        <w:bidi w:val="0"/>
        <w:spacing w:before="0" w:after="380" w:line="240" w:lineRule="auto"/>
        <w:ind w:left="0" w:right="0" w:firstLine="0"/>
        <w:jc w:val="left"/>
      </w:pPr>
      <w:bookmarkStart w:id="911" w:name="bookmark911"/>
      <w:bookmarkStart w:id="912" w:name="bookmark912"/>
      <w:bookmarkStart w:id="913" w:name="bookmark913"/>
      <w:bookmarkStart w:id="914" w:name="bookmark914"/>
      <w:r>
        <w:rPr>
          <w:color w:val="000000"/>
          <w:spacing w:val="0"/>
          <w:w w:val="100"/>
          <w:position w:val="0"/>
        </w:rPr>
        <w:t>（</w:t>
      </w:r>
      <w:bookmarkEnd w:id="913"/>
      <w:r>
        <w:rPr>
          <w:rFonts w:ascii="Times New Roman" w:eastAsia="Times New Roman" w:hAnsi="Times New Roman" w:cs="Times New Roman"/>
          <w:color w:val="000000"/>
          <w:spacing w:val="0"/>
          <w:w w:val="100"/>
          <w:position w:val="0"/>
        </w:rPr>
        <w:t>4</w:t>
      </w:r>
      <w:r>
        <w:rPr>
          <w:color w:val="000000"/>
          <w:spacing w:val="0"/>
          <w:w w:val="100"/>
          <w:position w:val="0"/>
        </w:rPr>
        <w:t>）</w:t>
        <w:tab/>
        <w:t>通过经营租赁租出的固定资产</w:t>
      </w:r>
      <w:bookmarkEnd w:id="911"/>
      <w:bookmarkEnd w:id="912"/>
      <w:bookmarkEnd w:id="914"/>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8"/>
        <w:keepNext/>
        <w:keepLines/>
        <w:widowControl w:val="0"/>
        <w:shd w:val="clear" w:color="auto" w:fill="auto"/>
        <w:tabs>
          <w:tab w:pos="493" w:val="left"/>
        </w:tabs>
        <w:bidi w:val="0"/>
        <w:spacing w:before="0" w:after="380" w:line="240" w:lineRule="auto"/>
        <w:ind w:left="0" w:right="0" w:firstLine="0"/>
        <w:jc w:val="left"/>
      </w:pPr>
      <w:bookmarkStart w:id="915" w:name="bookmark915"/>
      <w:bookmarkStart w:id="916" w:name="bookmark916"/>
      <w:bookmarkStart w:id="917" w:name="bookmark917"/>
      <w:bookmarkStart w:id="918" w:name="bookmark918"/>
      <w:r>
        <w:rPr>
          <w:color w:val="000000"/>
          <w:spacing w:val="0"/>
          <w:w w:val="100"/>
          <w:position w:val="0"/>
        </w:rPr>
        <w:t>（</w:t>
      </w:r>
      <w:bookmarkEnd w:id="917"/>
      <w:r>
        <w:rPr>
          <w:rFonts w:ascii="Times New Roman" w:eastAsia="Times New Roman" w:hAnsi="Times New Roman" w:cs="Times New Roman"/>
          <w:color w:val="000000"/>
          <w:spacing w:val="0"/>
          <w:w w:val="100"/>
          <w:position w:val="0"/>
        </w:rPr>
        <w:t>5</w:t>
      </w:r>
      <w:r>
        <w:rPr>
          <w:color w:val="000000"/>
          <w:spacing w:val="0"/>
          <w:w w:val="100"/>
          <w:position w:val="0"/>
        </w:rPr>
        <w:t>）</w:t>
        <w:tab/>
        <w:t>期末持有待售的固定资产情况</w:t>
      </w:r>
      <w:bookmarkEnd w:id="915"/>
      <w:bookmarkEnd w:id="916"/>
      <w:bookmarkEnd w:id="918"/>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8"/>
        <w:keepNext/>
        <w:keepLines/>
        <w:widowControl w:val="0"/>
        <w:shd w:val="clear" w:color="auto" w:fill="auto"/>
        <w:tabs>
          <w:tab w:pos="493" w:val="left"/>
        </w:tabs>
        <w:bidi w:val="0"/>
        <w:spacing w:before="0" w:after="380" w:line="240" w:lineRule="auto"/>
        <w:ind w:left="0" w:right="0" w:firstLine="0"/>
        <w:jc w:val="left"/>
      </w:pPr>
      <w:bookmarkStart w:id="919" w:name="bookmark919"/>
      <w:bookmarkStart w:id="920" w:name="bookmark920"/>
      <w:bookmarkStart w:id="921" w:name="bookmark921"/>
      <w:bookmarkStart w:id="922" w:name="bookmark922"/>
      <w:r>
        <w:rPr>
          <w:color w:val="000000"/>
          <w:spacing w:val="0"/>
          <w:w w:val="100"/>
          <w:position w:val="0"/>
        </w:rPr>
        <w:t>（</w:t>
      </w:r>
      <w:bookmarkEnd w:id="921"/>
      <w:r>
        <w:rPr>
          <w:rFonts w:ascii="Times New Roman" w:eastAsia="Times New Roman" w:hAnsi="Times New Roman" w:cs="Times New Roman"/>
          <w:color w:val="000000"/>
          <w:spacing w:val="0"/>
          <w:w w:val="100"/>
          <w:position w:val="0"/>
        </w:rPr>
        <w:t>6</w:t>
      </w:r>
      <w:r>
        <w:rPr>
          <w:color w:val="000000"/>
          <w:spacing w:val="0"/>
          <w:w w:val="100"/>
          <w:position w:val="0"/>
        </w:rPr>
        <w:t>）</w:t>
        <w:tab/>
        <w:t>未办妥产权证书的固定资产情况</w:t>
      </w:r>
      <w:bookmarkEnd w:id="919"/>
      <w:bookmarkEnd w:id="920"/>
      <w:bookmarkEnd w:id="922"/>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8"/>
        <w:keepNext/>
        <w:keepLines/>
        <w:widowControl w:val="0"/>
        <w:shd w:val="clear" w:color="auto" w:fill="auto"/>
        <w:bidi w:val="0"/>
        <w:spacing w:before="0" w:after="380" w:line="240" w:lineRule="auto"/>
        <w:ind w:left="0" w:right="0" w:firstLine="0"/>
        <w:jc w:val="left"/>
      </w:pPr>
      <w:bookmarkStart w:id="923" w:name="bookmark923"/>
      <w:bookmarkStart w:id="924" w:name="bookmark924"/>
      <w:bookmarkStart w:id="925" w:name="bookmark925"/>
      <w:bookmarkStart w:id="926" w:name="bookmark926"/>
      <w:r>
        <w:rPr>
          <w:rFonts w:ascii="Times New Roman" w:eastAsia="Times New Roman" w:hAnsi="Times New Roman" w:cs="Times New Roman"/>
          <w:color w:val="000000"/>
          <w:spacing w:val="0"/>
          <w:w w:val="100"/>
          <w:position w:val="0"/>
        </w:rPr>
        <w:t>8</w:t>
      </w:r>
      <w:bookmarkEnd w:id="925"/>
      <w:r>
        <w:rPr>
          <w:color w:val="000000"/>
          <w:spacing w:val="0"/>
          <w:w w:val="100"/>
          <w:position w:val="0"/>
        </w:rPr>
        <w:t>、在建工程</w:t>
      </w:r>
      <w:bookmarkEnd w:id="923"/>
      <w:bookmarkEnd w:id="924"/>
      <w:bookmarkEnd w:id="926"/>
    </w:p>
    <w:p>
      <w:pPr>
        <w:pStyle w:val="Style38"/>
        <w:keepNext/>
        <w:keepLines/>
        <w:widowControl w:val="0"/>
        <w:shd w:val="clear" w:color="auto" w:fill="auto"/>
        <w:bidi w:val="0"/>
        <w:spacing w:before="0" w:after="380" w:line="240" w:lineRule="auto"/>
        <w:ind w:left="0" w:right="0" w:firstLine="0"/>
        <w:jc w:val="left"/>
      </w:pPr>
      <w:bookmarkStart w:id="923" w:name="bookmark923"/>
      <w:bookmarkStart w:id="924" w:name="bookmark924"/>
      <w:bookmarkStart w:id="927" w:name="bookmark927"/>
      <w:bookmarkStart w:id="928" w:name="bookmark928"/>
      <w:r>
        <w:rPr>
          <w:color w:val="000000"/>
          <w:spacing w:val="0"/>
          <w:w w:val="100"/>
          <w:position w:val="0"/>
        </w:rPr>
        <w:t>（</w:t>
      </w:r>
      <w:bookmarkEnd w:id="927"/>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923"/>
      <w:bookmarkEnd w:id="924"/>
      <w:bookmarkEnd w:id="928"/>
    </w:p>
    <w:p>
      <w:pPr>
        <w:pStyle w:val="Style3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275"/>
        <w:gridCol w:w="1195"/>
        <w:gridCol w:w="1195"/>
        <w:gridCol w:w="1195"/>
        <w:gridCol w:w="1190"/>
        <w:gridCol w:w="1195"/>
        <w:gridCol w:w="1339"/>
      </w:tblGrid>
      <w:tr>
        <w:trPr>
          <w:trHeight w:val="408"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c>
          <w:tcPr>
            <w:gridSpan w:val="3"/>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r>
        <w:trPr>
          <w:trHeight w:val="715"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蓝盾信息安全产业基地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高</w:t>
            </w:r>
          </w:p>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唐基地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113,950,553.09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113,950,553.09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83,382,822.30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83,382,822.30</w:t>
            </w:r>
          </w:p>
        </w:tc>
      </w:tr>
      <w:tr>
        <w:trPr>
          <w:trHeight w:val="710"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蓝盾信息安全产业基地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萝 岗基地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368,905.60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368,905.60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114,319,458.69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114,319,458.69</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83,382,822.30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83,382,822.30</w:t>
            </w:r>
          </w:p>
        </w:tc>
      </w:tr>
    </w:tbl>
    <w:p>
      <w:pPr>
        <w:sectPr>
          <w:headerReference w:type="default" r:id="rId521"/>
          <w:footerReference w:type="default" r:id="rId522"/>
          <w:footnotePr>
            <w:pos w:val="pageBottom"/>
            <w:numFmt w:val="decimal"/>
            <w:numRestart w:val="continuous"/>
          </w:footnotePr>
          <w:pgSz w:w="11900" w:h="16840"/>
          <w:pgMar w:top="1441" w:right="1033" w:bottom="1470" w:left="1041" w:header="0" w:footer="3" w:gutter="0"/>
          <w:cols w:space="720"/>
          <w:noEndnote/>
          <w:rtlGutter w:val="0"/>
          <w:docGrid w:linePitch="360"/>
        </w:sectPr>
      </w:pPr>
    </w:p>
    <w:p>
      <w:pPr>
        <w:pStyle w:val="Style38"/>
        <w:keepNext/>
        <w:keepLines/>
        <w:widowControl w:val="0"/>
        <w:numPr>
          <w:ilvl w:val="0"/>
          <w:numId w:val="17"/>
        </w:numPr>
        <w:shd w:val="clear" w:color="auto" w:fill="auto"/>
        <w:bidi w:val="0"/>
        <w:spacing w:before="0" w:after="420" w:line="240" w:lineRule="auto"/>
        <w:ind w:left="0" w:right="0" w:firstLine="140"/>
        <w:jc w:val="left"/>
      </w:pPr>
      <w:bookmarkStart w:id="929" w:name="bookmark929"/>
      <w:bookmarkStart w:id="930" w:name="bookmark930"/>
      <w:bookmarkStart w:id="931" w:name="bookmark931"/>
      <w:bookmarkStart w:id="932" w:name="bookmark932"/>
      <w:bookmarkEnd w:id="931"/>
      <w:r>
        <w:rPr>
          <w:color w:val="000000"/>
          <w:spacing w:val="0"/>
          <w:w w:val="100"/>
          <w:position w:val="0"/>
        </w:rPr>
        <w:t>重大在建工程项目变动情况</w:t>
      </w:r>
      <w:bookmarkEnd w:id="929"/>
      <w:bookmarkEnd w:id="930"/>
      <w:bookmarkEnd w:id="932"/>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426"/>
        <w:gridCol w:w="1277"/>
        <w:gridCol w:w="1277"/>
        <w:gridCol w:w="1133"/>
        <w:gridCol w:w="734"/>
        <w:gridCol w:w="734"/>
        <w:gridCol w:w="941"/>
        <w:gridCol w:w="734"/>
        <w:gridCol w:w="1109"/>
        <w:gridCol w:w="1133"/>
        <w:gridCol w:w="739"/>
        <w:gridCol w:w="1104"/>
        <w:gridCol w:w="1286"/>
      </w:tblGrid>
      <w:tr>
        <w:trPr>
          <w:trHeight w:val="1027"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预算数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转入固 定资产</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其他减 少</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工程投入 占预算比</w:t>
            </w:r>
          </w:p>
          <w:p>
            <w:pPr>
              <w:pStyle w:val="Style8"/>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工程进 度</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利息资本化 累计金额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其中：本期利 息资本化金 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7"/>
                <w:szCs w:val="17"/>
              </w:rPr>
              <w:t>本期利 息资本 化率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资金来源</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r>
      <w:tr>
        <w:trPr>
          <w:trHeight w:val="1027"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蓝盾信息安全产 业基地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高唐基地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176,987,700.00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83,382,822.30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30,567,730.79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64.38%</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6,165,795.63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4,593,274.80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募股资金、金 融机构贷款 和自筹</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113,950,553.09</w:t>
            </w:r>
          </w:p>
        </w:tc>
      </w:tr>
      <w:tr>
        <w:trPr>
          <w:trHeight w:val="715"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蓝盾信息安全产 业基地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萝岗基地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368,905.60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自筹资金</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368,905.60</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436,987,700.00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83,382,822.30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30,936,636.39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6,165,795.63</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4,593,274.80</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114,319,458.69</w:t>
            </w:r>
          </w:p>
        </w:tc>
      </w:tr>
    </w:tbl>
    <w:p>
      <w:pPr>
        <w:sectPr>
          <w:headerReference w:type="default" r:id="rId523"/>
          <w:footerReference w:type="default" r:id="rId524"/>
          <w:footnotePr>
            <w:pos w:val="pageBottom"/>
            <w:numFmt w:val="decimal"/>
            <w:numRestart w:val="continuous"/>
          </w:footnotePr>
          <w:pgSz w:w="16840" w:h="11900" w:orient="landscape"/>
          <w:pgMar w:top="1417" w:right="1810" w:bottom="1417" w:left="1402" w:header="0" w:footer="3" w:gutter="0"/>
          <w:cols w:space="720"/>
          <w:noEndnote/>
          <w:rtlGutter w:val="0"/>
          <w:docGrid w:linePitch="360"/>
        </w:sectPr>
      </w:pPr>
    </w:p>
    <w:p>
      <w:pPr>
        <w:pStyle w:val="Style38"/>
        <w:keepNext/>
        <w:keepLines/>
        <w:widowControl w:val="0"/>
        <w:shd w:val="clear" w:color="auto" w:fill="auto"/>
        <w:tabs>
          <w:tab w:pos="493" w:val="left"/>
        </w:tabs>
        <w:bidi w:val="0"/>
        <w:spacing w:before="480" w:after="340" w:line="240" w:lineRule="auto"/>
        <w:ind w:left="0" w:right="0" w:firstLine="0"/>
        <w:jc w:val="left"/>
      </w:pPr>
      <w:bookmarkStart w:id="933" w:name="bookmark933"/>
      <w:bookmarkStart w:id="934" w:name="bookmark934"/>
      <w:bookmarkStart w:id="935" w:name="bookmark935"/>
      <w:bookmarkStart w:id="936" w:name="bookmark936"/>
      <w:r>
        <w:rPr>
          <w:rFonts w:ascii="Times New Roman" w:eastAsia="Times New Roman" w:hAnsi="Times New Roman" w:cs="Times New Roman"/>
          <w:color w:val="000000"/>
          <w:spacing w:val="0"/>
          <w:w w:val="100"/>
          <w:position w:val="0"/>
        </w:rPr>
        <w:t>（</w:t>
      </w:r>
      <w:bookmarkEnd w:id="935"/>
      <w:r>
        <w:rPr>
          <w:rFonts w:ascii="Times New Roman" w:eastAsia="Times New Roman" w:hAnsi="Times New Roman" w:cs="Times New Roman"/>
          <w:color w:val="000000"/>
          <w:spacing w:val="0"/>
          <w:w w:val="100"/>
          <w:position w:val="0"/>
        </w:rPr>
        <w:t>3</w:t>
      </w:r>
      <w:r>
        <w:rPr>
          <w:color w:val="000000"/>
          <w:spacing w:val="0"/>
          <w:w w:val="100"/>
          <w:position w:val="0"/>
        </w:rPr>
        <w:t>）</w:t>
        <w:tab/>
        <w:t>在建工程减值准备</w:t>
      </w:r>
      <w:bookmarkEnd w:id="933"/>
      <w:bookmarkEnd w:id="934"/>
      <w:bookmarkEnd w:id="936"/>
    </w:p>
    <w:p>
      <w:pPr>
        <w:pStyle w:val="Style38"/>
        <w:keepNext/>
        <w:keepLines/>
        <w:widowControl w:val="0"/>
        <w:shd w:val="clear" w:color="auto" w:fill="auto"/>
        <w:tabs>
          <w:tab w:pos="493" w:val="left"/>
        </w:tabs>
        <w:bidi w:val="0"/>
        <w:spacing w:before="0" w:after="340" w:line="240" w:lineRule="auto"/>
        <w:ind w:left="0" w:right="0" w:firstLine="0"/>
        <w:jc w:val="left"/>
      </w:pPr>
      <w:bookmarkStart w:id="933" w:name="bookmark933"/>
      <w:bookmarkStart w:id="934" w:name="bookmark934"/>
      <w:bookmarkStart w:id="937" w:name="bookmark937"/>
      <w:bookmarkStart w:id="938" w:name="bookmark938"/>
      <w:r>
        <w:rPr>
          <w:rFonts w:ascii="Times New Roman" w:eastAsia="Times New Roman" w:hAnsi="Times New Roman" w:cs="Times New Roman"/>
          <w:color w:val="000000"/>
          <w:spacing w:val="0"/>
          <w:w w:val="100"/>
          <w:position w:val="0"/>
        </w:rPr>
        <w:t>（</w:t>
      </w:r>
      <w:bookmarkEnd w:id="937"/>
      <w:r>
        <w:rPr>
          <w:rFonts w:ascii="Times New Roman" w:eastAsia="Times New Roman" w:hAnsi="Times New Roman" w:cs="Times New Roman"/>
          <w:color w:val="000000"/>
          <w:spacing w:val="0"/>
          <w:w w:val="100"/>
          <w:position w:val="0"/>
        </w:rPr>
        <w:t>4</w:t>
      </w:r>
      <w:r>
        <w:rPr>
          <w:color w:val="000000"/>
          <w:spacing w:val="0"/>
          <w:w w:val="100"/>
          <w:position w:val="0"/>
        </w:rPr>
        <w:t>）</w:t>
        <w:tab/>
        <w:t>重大在建工程的工程进度情况</w:t>
      </w:r>
      <w:bookmarkEnd w:id="933"/>
      <w:bookmarkEnd w:id="934"/>
      <w:bookmarkEnd w:id="938"/>
    </w:p>
    <w:tbl>
      <w:tblPr>
        <w:tblOverlap w:val="never"/>
        <w:jc w:val="left"/>
        <w:tblLayout w:type="fixed"/>
      </w:tblPr>
      <w:tblGrid>
        <w:gridCol w:w="4373"/>
        <w:gridCol w:w="4368"/>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工程进度</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蓝盾信息安全产业基地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高唐基地</w:t>
            </w:r>
          </w:p>
        </w:tc>
        <w:tc>
          <w:tcPr>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64.38%</w:t>
            </w:r>
          </w:p>
        </w:tc>
      </w:tr>
      <w:tr>
        <w:trPr>
          <w:trHeight w:val="413" w:hRule="exact"/>
        </w:trPr>
        <w:tc>
          <w:tcPr>
            <w:tcBorders>
              <w:top w:val="single" w:sz="4"/>
              <w:left w:val="single" w:sz="4"/>
              <w:bottom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蓝盾信息安全产业基地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萝岗基地</w:t>
            </w:r>
          </w:p>
        </w:tc>
        <w:tc>
          <w:tcPr>
            <w:tcBorders>
              <w:top w:val="single" w:sz="4"/>
              <w:left w:val="single" w:sz="4"/>
              <w:bottom w:val="single" w:sz="4"/>
              <w:righ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0.14%</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left"/>
      </w:pPr>
      <w:bookmarkStart w:id="939" w:name="bookmark939"/>
      <w:bookmarkStart w:id="940" w:name="bookmark940"/>
      <w:bookmarkStart w:id="941" w:name="bookmark941"/>
      <w:bookmarkStart w:id="942" w:name="bookmark942"/>
      <w:r>
        <w:rPr>
          <w:rFonts w:ascii="Times New Roman" w:eastAsia="Times New Roman" w:hAnsi="Times New Roman" w:cs="Times New Roman"/>
          <w:color w:val="000000"/>
          <w:spacing w:val="0"/>
          <w:w w:val="100"/>
          <w:position w:val="0"/>
        </w:rPr>
        <w:t>9</w:t>
      </w:r>
      <w:bookmarkEnd w:id="941"/>
      <w:r>
        <w:rPr>
          <w:color w:val="000000"/>
          <w:spacing w:val="0"/>
          <w:w w:val="100"/>
          <w:position w:val="0"/>
        </w:rPr>
        <w:t>、无形资产</w:t>
      </w:r>
      <w:bookmarkEnd w:id="939"/>
      <w:bookmarkEnd w:id="940"/>
      <w:bookmarkEnd w:id="942"/>
    </w:p>
    <w:p>
      <w:pPr>
        <w:pStyle w:val="Style38"/>
        <w:keepNext/>
        <w:keepLines/>
        <w:widowControl w:val="0"/>
        <w:shd w:val="clear" w:color="auto" w:fill="auto"/>
        <w:bidi w:val="0"/>
        <w:spacing w:before="0" w:after="340" w:line="240" w:lineRule="auto"/>
        <w:ind w:left="0" w:right="0" w:firstLine="0"/>
        <w:jc w:val="left"/>
      </w:pPr>
      <w:bookmarkStart w:id="939" w:name="bookmark939"/>
      <w:bookmarkStart w:id="940" w:name="bookmark940"/>
      <w:bookmarkStart w:id="943" w:name="bookmark94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939"/>
      <w:bookmarkEnd w:id="940"/>
      <w:bookmarkEnd w:id="943"/>
    </w:p>
    <w:p>
      <w:pPr>
        <w:pStyle w:val="Style3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203"/>
        <w:gridCol w:w="1843"/>
        <w:gridCol w:w="1838"/>
        <w:gridCol w:w="1843"/>
        <w:gridCol w:w="1853"/>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期初账面余额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期末账面余额</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一、账面原值合计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82,249,273.87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33,926,980.45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116,176,254.32</w:t>
            </w:r>
          </w:p>
        </w:tc>
      </w:tr>
      <w:tr>
        <w:trPr>
          <w:trHeight w:val="398"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软件著作权（投资）</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45,000,000.00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26,405,882.70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71,405,882.70</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软件著作权（外购）</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12,105,287.87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949,697.75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13,054,985.62</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土地使用权（外购）</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25,143,986.00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6,571,400.00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31,715,386.00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二、累计摊销合计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49,294,803.22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5,275,180.08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54,569,983.30</w:t>
            </w:r>
          </w:p>
        </w:tc>
      </w:tr>
      <w:tr>
        <w:trPr>
          <w:trHeight w:val="398"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软件著作权（投资）</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45,000,000.00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2,548,882.03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47,548,882.03</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软件著作权（外购）</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3,540,483.66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2,157,704.39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5,698,188.05</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土地使用权（外购）</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754,319.56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568,593.66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1,322,913.22</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三、无形资产账面净值合计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32,954,470.65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28,651,800.37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61,606,271.02</w:t>
            </w:r>
          </w:p>
        </w:tc>
      </w:tr>
      <w:tr>
        <w:trPr>
          <w:trHeight w:val="398"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软件著作权（投资）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23,857,000.67</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软件著作权（外购）</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8,564,804.21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7,356,797.57</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土地使用权（外购）</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24,389,666.44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30,392,472.78</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四、减值准备合计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软件著作权（投资）</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软件著作权（外购）</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土地使用权（外购）</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无形资产账面价值合计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32,954,470.65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28,651,800.37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61,606,271.02</w:t>
            </w:r>
          </w:p>
        </w:tc>
      </w:tr>
      <w:tr>
        <w:trPr>
          <w:trHeight w:val="398"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软件著作权（投资）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23,857,000.67</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软件著作权（外购）</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8,564,804.21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7,356,797.57</w:t>
            </w:r>
          </w:p>
        </w:tc>
      </w:tr>
      <w:tr>
        <w:trPr>
          <w:trHeight w:val="413" w:hRule="exact"/>
        </w:trPr>
        <w:tc>
          <w:tcPr>
            <w:tcBorders>
              <w:top w:val="single" w:sz="4"/>
              <w:left w:val="single" w:sz="4"/>
              <w:bottom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土地使用权（外购）</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24,389,666.44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30,392,472.78</w:t>
            </w:r>
          </w:p>
        </w:tc>
      </w:tr>
    </w:tbl>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本期摊销额</w:t>
      </w:r>
      <w:r>
        <w:rPr>
          <w:rFonts w:ascii="Times New Roman" w:eastAsia="Times New Roman" w:hAnsi="Times New Roman" w:cs="Times New Roman"/>
          <w:color w:val="000000"/>
          <w:spacing w:val="0"/>
          <w:w w:val="100"/>
          <w:position w:val="0"/>
          <w:sz w:val="18"/>
          <w:szCs w:val="18"/>
        </w:rPr>
        <w:t>5,275,180.08</w:t>
      </w:r>
      <w:r>
        <w:rPr>
          <w:color w:val="000000"/>
          <w:spacing w:val="0"/>
          <w:w w:val="100"/>
          <w:position w:val="0"/>
          <w:sz w:val="17"/>
          <w:szCs w:val="17"/>
        </w:rPr>
        <w:t>元。</w:t>
      </w:r>
      <w:r>
        <w:br w:type="page"/>
      </w:r>
    </w:p>
    <w:p>
      <w:pPr>
        <w:pStyle w:val="Style38"/>
        <w:keepNext/>
        <w:keepLines/>
        <w:widowControl w:val="0"/>
        <w:shd w:val="clear" w:color="auto" w:fill="auto"/>
        <w:bidi w:val="0"/>
        <w:spacing w:before="0" w:after="360" w:line="240" w:lineRule="auto"/>
        <w:ind w:left="0" w:right="0" w:firstLine="0"/>
        <w:jc w:val="left"/>
      </w:pPr>
      <w:bookmarkStart w:id="944" w:name="bookmark944"/>
      <w:bookmarkStart w:id="945" w:name="bookmark945"/>
      <w:bookmarkStart w:id="946" w:name="bookmark946"/>
      <w:r>
        <w:rPr>
          <w:rFonts w:ascii="Times New Roman" w:eastAsia="Times New Roman" w:hAnsi="Times New Roman" w:cs="Times New Roman"/>
          <w:color w:val="000000"/>
          <w:spacing w:val="0"/>
          <w:w w:val="100"/>
          <w:position w:val="0"/>
        </w:rPr>
        <w:t>(2</w:t>
      </w:r>
      <w:r>
        <w:rPr>
          <w:color w:val="000000"/>
          <w:spacing w:val="0"/>
          <w:w w:val="100"/>
          <w:position w:val="0"/>
        </w:rPr>
        <w:t>)公司开发项目支出</w:t>
      </w:r>
      <w:bookmarkEnd w:id="944"/>
      <w:bookmarkEnd w:id="945"/>
      <w:bookmarkEnd w:id="946"/>
    </w:p>
    <w:p>
      <w:pPr>
        <w:pStyle w:val="Style3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608"/>
        <w:gridCol w:w="1594"/>
        <w:gridCol w:w="1594"/>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期初数</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期末数</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计入当期损益</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确认为无形资产</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蓝盾网络安全云平 台项目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3,034,920.84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3,034,920.84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服务器安全综合监</w:t>
            </w:r>
          </w:p>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测平台项目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2,465,884.17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4,150,549.14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6,616,433.31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NxSOC</w:t>
            </w:r>
            <w:r>
              <w:rPr>
                <w:color w:val="000000"/>
                <w:spacing w:val="0"/>
                <w:w w:val="100"/>
                <w:position w:val="0"/>
                <w:sz w:val="17"/>
                <w:szCs w:val="17"/>
              </w:rPr>
              <w:t>新一代安全 综合运维管理平台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2,999,001.40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6,320,245.58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9,319,246.98</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UltraUTM</w:t>
            </w:r>
            <w:r>
              <w:rPr>
                <w:color w:val="000000"/>
                <w:spacing w:val="0"/>
                <w:w w:val="100"/>
                <w:position w:val="0"/>
                <w:sz w:val="17"/>
                <w:szCs w:val="17"/>
              </w:rPr>
              <w:t>统一安全 网关项目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2,613,318.04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5,147,769.97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1,166,415.18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6,594,672.83</w:t>
            </w:r>
          </w:p>
        </w:tc>
      </w:tr>
      <w:tr>
        <w:trPr>
          <w:trHeight w:val="715"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全网综合监控审计</w:t>
            </w:r>
          </w:p>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平台项目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4,065,887.54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9,467,416.76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3,006,240.08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10,527,064.22</w:t>
            </w:r>
          </w:p>
        </w:tc>
      </w:tr>
      <w:tr>
        <w:trPr>
          <w:trHeight w:val="715"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研发及培训中心建 设项目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1,613,781.82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5,693,842.62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1,262,626.31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6,044,998.13</w:t>
            </w:r>
          </w:p>
        </w:tc>
      </w:tr>
      <w:tr>
        <w:trPr>
          <w:trHeight w:val="715"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蓝盾互联网舆情分</w:t>
            </w:r>
          </w:p>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析平台项目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1,332,581.23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9,753,326.66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11,085,907.89</w:t>
            </w:r>
          </w:p>
        </w:tc>
      </w:tr>
      <w:tr>
        <w:trPr>
          <w:trHeight w:val="1022"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立项项目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云计算 安全监控及管理中 心项目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208,471.34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208,471.34</w:t>
            </w:r>
          </w:p>
        </w:tc>
      </w:tr>
      <w:tr>
        <w:trPr>
          <w:trHeight w:val="715"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政府综合应急平台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1,455,990.46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480,323.10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975,667.36</w:t>
            </w:r>
          </w:p>
        </w:tc>
      </w:tr>
      <w:tr>
        <w:trPr>
          <w:trHeight w:val="715"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安全生产应急管理 平台项目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1,194,309.49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371,195.15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823,114.34</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费用化支出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38,332,581.30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38,332,581.30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18,125,375.04</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81,724,503.32</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39,184,099.55</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24,405,882.70</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36,259,896.11</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本期开发支出占本期研究开发项目支出总额的比例</w:t>
      </w:r>
      <w:r>
        <w:rPr>
          <w:rFonts w:ascii="Times New Roman" w:eastAsia="Times New Roman" w:hAnsi="Times New Roman" w:cs="Times New Roman"/>
          <w:color w:val="000000"/>
          <w:spacing w:val="0"/>
          <w:w w:val="100"/>
          <w:position w:val="0"/>
          <w:sz w:val="18"/>
          <w:szCs w:val="18"/>
        </w:rPr>
        <w:t>52.05%</w:t>
      </w:r>
      <w:r>
        <w:rPr>
          <w:color w:val="000000"/>
          <w:spacing w:val="0"/>
          <w:w w:val="100"/>
          <w:position w:val="0"/>
        </w:rPr>
        <w:t>。</w:t>
      </w:r>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通过公司内部研发形成的无形资产占无形资产期末账面价值的比例</w:t>
      </w:r>
      <w:r>
        <w:rPr>
          <w:rFonts w:ascii="Times New Roman" w:eastAsia="Times New Roman" w:hAnsi="Times New Roman" w:cs="Times New Roman"/>
          <w:color w:val="000000"/>
          <w:spacing w:val="0"/>
          <w:w w:val="100"/>
          <w:position w:val="0"/>
          <w:sz w:val="18"/>
          <w:szCs w:val="18"/>
        </w:rPr>
        <w:t>35.75%</w:t>
      </w:r>
      <w:r>
        <w:rPr>
          <w:color w:val="000000"/>
          <w:spacing w:val="0"/>
          <w:w w:val="100"/>
          <w:position w:val="0"/>
        </w:rPr>
        <w:t>。</w:t>
      </w:r>
    </w:p>
    <w:p>
      <w:pPr>
        <w:pStyle w:val="Style38"/>
        <w:keepNext/>
        <w:keepLines/>
        <w:widowControl w:val="0"/>
        <w:shd w:val="clear" w:color="auto" w:fill="auto"/>
        <w:bidi w:val="0"/>
        <w:spacing w:before="0" w:after="360" w:line="240" w:lineRule="auto"/>
        <w:ind w:left="0" w:right="0" w:firstLine="0"/>
        <w:jc w:val="left"/>
      </w:pPr>
      <w:bookmarkStart w:id="947" w:name="bookmark947"/>
      <w:bookmarkStart w:id="948" w:name="bookmark948"/>
      <w:bookmarkStart w:id="949" w:name="bookmark949"/>
      <w:bookmarkStart w:id="950" w:name="bookmark950"/>
      <w:r>
        <w:rPr>
          <w:rFonts w:ascii="Times New Roman" w:eastAsia="Times New Roman" w:hAnsi="Times New Roman" w:cs="Times New Roman"/>
          <w:color w:val="000000"/>
          <w:spacing w:val="0"/>
          <w:w w:val="100"/>
          <w:position w:val="0"/>
        </w:rPr>
        <w:t>1</w:t>
      </w:r>
      <w:bookmarkEnd w:id="949"/>
      <w:r>
        <w:rPr>
          <w:rFonts w:ascii="Times New Roman" w:eastAsia="Times New Roman" w:hAnsi="Times New Roman" w:cs="Times New Roman"/>
          <w:color w:val="000000"/>
          <w:spacing w:val="0"/>
          <w:w w:val="100"/>
          <w:position w:val="0"/>
        </w:rPr>
        <w:t>0</w:t>
      </w:r>
      <w:r>
        <w:rPr>
          <w:color w:val="000000"/>
          <w:spacing w:val="0"/>
          <w:w w:val="100"/>
          <w:position w:val="0"/>
        </w:rPr>
        <w:t>、长期待摊费用</w:t>
      </w:r>
      <w:bookmarkEnd w:id="947"/>
      <w:bookmarkEnd w:id="948"/>
      <w:bookmarkEnd w:id="950"/>
    </w:p>
    <w:p>
      <w:pPr>
        <w:pStyle w:val="Style3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期初数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本期增加额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本期摊销额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其他减少额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其他减少的原因</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办公室装修费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5,187,291.70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1,696,500.00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1,309,445.95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5,574,345.75</w:t>
            </w:r>
          </w:p>
        </w:tc>
        <w:tc>
          <w:tcPr>
            <w:tcBorders>
              <w:top w:val="single" w:sz="4"/>
              <w:left w:val="single" w:sz="4"/>
              <w:right w:val="single" w:sz="4"/>
            </w:tcBorders>
            <w:shd w:val="clear" w:color="auto" w:fill="CCE8C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5,187,291.70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1,696,500.00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1,309,445.95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5,574,345.75</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38"/>
        <w:keepNext/>
        <w:keepLines/>
        <w:widowControl w:val="0"/>
        <w:shd w:val="clear" w:color="auto" w:fill="auto"/>
        <w:bidi w:val="0"/>
        <w:spacing w:before="0" w:after="380" w:line="240" w:lineRule="auto"/>
        <w:ind w:left="0" w:right="0" w:firstLine="0"/>
        <w:jc w:val="left"/>
      </w:pPr>
      <w:bookmarkStart w:id="951" w:name="bookmark951"/>
      <w:bookmarkStart w:id="952" w:name="bookmark952"/>
      <w:bookmarkStart w:id="953" w:name="bookmark953"/>
      <w:bookmarkStart w:id="954" w:name="bookmark954"/>
      <w:r>
        <w:rPr>
          <w:rFonts w:ascii="Times New Roman" w:eastAsia="Times New Roman" w:hAnsi="Times New Roman" w:cs="Times New Roman"/>
          <w:color w:val="000000"/>
          <w:spacing w:val="0"/>
          <w:w w:val="100"/>
          <w:position w:val="0"/>
        </w:rPr>
        <w:t>1</w:t>
      </w:r>
      <w:bookmarkEnd w:id="953"/>
      <w:r>
        <w:rPr>
          <w:rFonts w:ascii="Times New Roman" w:eastAsia="Times New Roman" w:hAnsi="Times New Roman" w:cs="Times New Roman"/>
          <w:color w:val="000000"/>
          <w:spacing w:val="0"/>
          <w:w w:val="100"/>
          <w:position w:val="0"/>
        </w:rPr>
        <w:t>1</w:t>
      </w:r>
      <w:r>
        <w:rPr>
          <w:color w:val="000000"/>
          <w:spacing w:val="0"/>
          <w:w w:val="100"/>
          <w:position w:val="0"/>
        </w:rPr>
        <w:t>、递延所得税资产和递延所得税负债</w:t>
      </w:r>
      <w:bookmarkEnd w:id="951"/>
      <w:bookmarkEnd w:id="952"/>
      <w:bookmarkEnd w:id="954"/>
    </w:p>
    <w:p>
      <w:pPr>
        <w:pStyle w:val="Style38"/>
        <w:keepNext/>
        <w:keepLines/>
        <w:widowControl w:val="0"/>
        <w:shd w:val="clear" w:color="auto" w:fill="auto"/>
        <w:bidi w:val="0"/>
        <w:spacing w:before="0" w:after="380" w:line="240" w:lineRule="auto"/>
        <w:ind w:left="0" w:right="0" w:firstLine="0"/>
        <w:jc w:val="left"/>
      </w:pPr>
      <w:bookmarkStart w:id="951" w:name="bookmark951"/>
      <w:bookmarkStart w:id="952" w:name="bookmark952"/>
      <w:bookmarkStart w:id="955" w:name="bookmark95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）递延所得税资产和递延所得税负债不以抵销后的净额列示</w:t>
      </w:r>
      <w:bookmarkEnd w:id="951"/>
      <w:bookmarkEnd w:id="952"/>
      <w:bookmarkEnd w:id="955"/>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已确认的递延所得税资产和递延所得税负债</w:t>
      </w:r>
    </w:p>
    <w:p>
      <w:pPr>
        <w:pStyle w:val="Style3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730"/>
        <w:gridCol w:w="2923"/>
        <w:gridCol w:w="2933"/>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68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r>
      <w:tr>
        <w:trPr>
          <w:trHeight w:val="398" w:hRule="exact"/>
        </w:trPr>
        <w:tc>
          <w:tcPr>
            <w:gridSpan w:val="3"/>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递延所得税资产：</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资产减值准备</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1,831,070.55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2,019,790.74</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320,087.45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1,115,209.21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2,015,524.43</w:t>
            </w:r>
          </w:p>
        </w:tc>
      </w:tr>
      <w:tr>
        <w:trPr>
          <w:trHeight w:val="398"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589,830.98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332,483.70</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未实现内部交易</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11,792.45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3,867,990.64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4,367,798.87</w:t>
            </w:r>
          </w:p>
        </w:tc>
      </w:tr>
      <w:tr>
        <w:trPr>
          <w:trHeight w:val="413" w:hRule="exact"/>
        </w:trPr>
        <w:tc>
          <w:tcPr>
            <w:gridSpan w:val="3"/>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递延所得税负债：</w:t>
            </w:r>
          </w:p>
        </w:tc>
      </w:tr>
    </w:tbl>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应纳税差异和可抵扣差异项目明细</w:t>
      </w:r>
    </w:p>
    <w:p>
      <w:pPr>
        <w:widowControl w:val="0"/>
        <w:spacing w:after="11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864"/>
        <w:gridCol w:w="2923"/>
        <w:gridCol w:w="2798"/>
      </w:tblGrid>
      <w:tr>
        <w:trPr>
          <w:trHeight w:val="408"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暂时性差异金额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w:t>
            </w:r>
          </w:p>
        </w:tc>
      </w:tr>
      <w:tr>
        <w:trPr>
          <w:trHeight w:val="403" w:hRule="exact"/>
        </w:trPr>
        <w:tc>
          <w:tcPr>
            <w:gridSpan w:val="3"/>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可抵扣差异项目</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17,934,438.67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11,861,370.94</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固定资产减值准备</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50,239.10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1,251,960.83</w:t>
            </w:r>
          </w:p>
        </w:tc>
      </w:tr>
      <w:tr>
        <w:trPr>
          <w:trHeight w:val="398"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10,982,037.77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13,416,193.33</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4,826,161.31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2,094,623.91</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1,280,349.80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未实现内部交易影响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47,169.80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35,120,396.45</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28,624,149.01</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956" w:name="bookmark956"/>
      <w:bookmarkStart w:id="957" w:name="bookmark957"/>
      <w:bookmarkStart w:id="958" w:name="bookmark958"/>
      <w:bookmarkStart w:id="959" w:name="bookmark959"/>
      <w:r>
        <w:rPr>
          <w:rFonts w:ascii="Times New Roman" w:eastAsia="Times New Roman" w:hAnsi="Times New Roman" w:cs="Times New Roman"/>
          <w:color w:val="000000"/>
          <w:spacing w:val="0"/>
          <w:w w:val="100"/>
          <w:position w:val="0"/>
        </w:rPr>
        <w:t>1</w:t>
      </w:r>
      <w:bookmarkEnd w:id="958"/>
      <w:r>
        <w:rPr>
          <w:rFonts w:ascii="Times New Roman" w:eastAsia="Times New Roman" w:hAnsi="Times New Roman" w:cs="Times New Roman"/>
          <w:color w:val="000000"/>
          <w:spacing w:val="0"/>
          <w:w w:val="100"/>
          <w:position w:val="0"/>
        </w:rPr>
        <w:t>2</w:t>
      </w:r>
      <w:r>
        <w:rPr>
          <w:color w:val="000000"/>
          <w:spacing w:val="0"/>
          <w:w w:val="100"/>
          <w:position w:val="0"/>
        </w:rPr>
        <w:t>、资产减值准备明细</w:t>
      </w:r>
      <w:bookmarkEnd w:id="956"/>
      <w:bookmarkEnd w:id="957"/>
      <w:bookmarkEnd w:id="959"/>
    </w:p>
    <w:p>
      <w:pPr>
        <w:pStyle w:val="Style3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2275"/>
        <w:gridCol w:w="1526"/>
        <w:gridCol w:w="1526"/>
        <w:gridCol w:w="1402"/>
        <w:gridCol w:w="1397"/>
        <w:gridCol w:w="1459"/>
      </w:tblGrid>
      <w:tr>
        <w:trPr>
          <w:trHeight w:val="408"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期初账面余额</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期末账面余额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转回</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转销</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一、坏账准备</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11,861,370.94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6,073,067.73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17,934,438.67</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二、固定资产减值准备</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1,251,960.83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1,201,721.73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50,239.10</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13,113,331.77</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6,073,067.73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1,201,721.73</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17,984,677.77</w:t>
            </w:r>
          </w:p>
        </w:tc>
      </w:tr>
    </w:tbl>
    <w:p>
      <w:pPr>
        <w:pStyle w:val="Style35"/>
        <w:keepNext w:val="0"/>
        <w:keepLines w:val="0"/>
        <w:widowControl w:val="0"/>
        <w:shd w:val="clear" w:color="auto" w:fill="auto"/>
        <w:bidi w:val="0"/>
        <w:spacing w:before="0" w:after="380" w:line="240" w:lineRule="auto"/>
        <w:ind w:left="0" w:right="0" w:firstLine="0"/>
        <w:jc w:val="left"/>
      </w:pPr>
      <w:bookmarkStart w:id="960" w:name="bookmark960"/>
      <w:r>
        <w:rPr>
          <w:rFonts w:ascii="Times New Roman" w:eastAsia="Times New Roman" w:hAnsi="Times New Roman" w:cs="Times New Roman"/>
          <w:b/>
          <w:bCs/>
          <w:color w:val="000000"/>
          <w:spacing w:val="0"/>
          <w:w w:val="100"/>
          <w:position w:val="0"/>
        </w:rPr>
        <w:t>1</w:t>
      </w:r>
      <w:bookmarkEnd w:id="960"/>
      <w:r>
        <w:rPr>
          <w:rFonts w:ascii="Times New Roman" w:eastAsia="Times New Roman" w:hAnsi="Times New Roman" w:cs="Times New Roman"/>
          <w:b/>
          <w:bCs/>
          <w:color w:val="000000"/>
          <w:spacing w:val="0"/>
          <w:w w:val="100"/>
          <w:position w:val="0"/>
        </w:rPr>
        <w:t>3</w:t>
      </w:r>
      <w:r>
        <w:rPr>
          <w:b/>
          <w:bCs/>
          <w:color w:val="000000"/>
          <w:spacing w:val="0"/>
          <w:w w:val="100"/>
          <w:position w:val="0"/>
        </w:rPr>
        <w:t>、其他非流动资产</w:t>
      </w:r>
    </w:p>
    <w:p>
      <w:pPr>
        <w:pStyle w:val="Style3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600"/>
        <w:gridCol w:w="2918"/>
        <w:gridCol w:w="3067"/>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r>
      <w:tr>
        <w:trPr>
          <w:trHeight w:val="398"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预付工程款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37,725,830.00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33,720,830.00</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预付设备款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1,807,142.00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39,532,972.00</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33,720,830.00</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961" w:name="bookmark961"/>
      <w:bookmarkStart w:id="962" w:name="bookmark962"/>
      <w:bookmarkStart w:id="963" w:name="bookmark963"/>
      <w:bookmarkStart w:id="964" w:name="bookmark964"/>
      <w:r>
        <w:rPr>
          <w:rFonts w:ascii="Times New Roman" w:eastAsia="Times New Roman" w:hAnsi="Times New Roman" w:cs="Times New Roman"/>
          <w:color w:val="000000"/>
          <w:spacing w:val="0"/>
          <w:w w:val="100"/>
          <w:position w:val="0"/>
        </w:rPr>
        <w:t>1</w:t>
      </w:r>
      <w:bookmarkEnd w:id="963"/>
      <w:r>
        <w:rPr>
          <w:rFonts w:ascii="Times New Roman" w:eastAsia="Times New Roman" w:hAnsi="Times New Roman" w:cs="Times New Roman"/>
          <w:color w:val="000000"/>
          <w:spacing w:val="0"/>
          <w:w w:val="100"/>
          <w:position w:val="0"/>
        </w:rPr>
        <w:t>4</w:t>
      </w:r>
      <w:r>
        <w:rPr>
          <w:color w:val="000000"/>
          <w:spacing w:val="0"/>
          <w:w w:val="100"/>
          <w:position w:val="0"/>
        </w:rPr>
        <w:t>、短期借款</w:t>
      </w:r>
      <w:bookmarkEnd w:id="961"/>
      <w:bookmarkEnd w:id="962"/>
      <w:bookmarkEnd w:id="964"/>
    </w:p>
    <w:p>
      <w:pPr>
        <w:pStyle w:val="Style38"/>
        <w:keepNext/>
        <w:keepLines/>
        <w:widowControl w:val="0"/>
        <w:shd w:val="clear" w:color="auto" w:fill="auto"/>
        <w:bidi w:val="0"/>
        <w:spacing w:before="0" w:after="380" w:line="240" w:lineRule="auto"/>
        <w:ind w:left="0" w:right="0" w:firstLine="0"/>
        <w:jc w:val="left"/>
      </w:pPr>
      <w:bookmarkStart w:id="961" w:name="bookmark961"/>
      <w:bookmarkStart w:id="962" w:name="bookmark962"/>
      <w:bookmarkStart w:id="965" w:name="bookmark96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961"/>
      <w:bookmarkEnd w:id="962"/>
      <w:bookmarkEnd w:id="965"/>
    </w:p>
    <w:p>
      <w:pPr>
        <w:pStyle w:val="Style3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3600"/>
        <w:gridCol w:w="2918"/>
        <w:gridCol w:w="3067"/>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抵押借款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22,900,000.00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保证借款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100,000,000.00</w:t>
            </w:r>
          </w:p>
        </w:tc>
      </w:tr>
      <w:tr>
        <w:trPr>
          <w:trHeight w:val="40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162,900,000.00</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短期借款分类的说明</w:t>
      </w:r>
    </w:p>
    <w:p>
      <w:pPr>
        <w:pStyle w:val="Style35"/>
        <w:keepNext w:val="0"/>
        <w:keepLines w:val="0"/>
        <w:widowControl w:val="0"/>
        <w:shd w:val="clear" w:color="auto" w:fill="auto"/>
        <w:bidi w:val="0"/>
        <w:spacing w:before="0" w:after="0" w:line="406" w:lineRule="exact"/>
        <w:ind w:left="0" w:right="0" w:firstLine="440"/>
        <w:jc w:val="both"/>
      </w:pPr>
      <w:r>
        <w:rPr>
          <w:color w:val="000000"/>
          <w:spacing w:val="0"/>
          <w:w w:val="100"/>
          <w:position w:val="0"/>
        </w:rPr>
        <w:t>抵押借款期末余额</w:t>
      </w:r>
      <w:r>
        <w:rPr>
          <w:rFonts w:ascii="Times New Roman" w:eastAsia="Times New Roman" w:hAnsi="Times New Roman" w:cs="Times New Roman"/>
          <w:color w:val="000000"/>
          <w:spacing w:val="0"/>
          <w:w w:val="100"/>
          <w:position w:val="0"/>
        </w:rPr>
        <w:t>22,900,000.00</w:t>
      </w:r>
      <w:r>
        <w:rPr>
          <w:color w:val="000000"/>
          <w:spacing w:val="0"/>
          <w:w w:val="100"/>
          <w:position w:val="0"/>
        </w:rPr>
        <w:t>元系公司于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月分别向广发银行股份有限公司广州分行借 入，年利率为</w:t>
      </w:r>
      <w:r>
        <w:rPr>
          <w:rFonts w:ascii="Times New Roman" w:eastAsia="Times New Roman" w:hAnsi="Times New Roman" w:cs="Times New Roman"/>
          <w:color w:val="000000"/>
          <w:spacing w:val="0"/>
          <w:w w:val="100"/>
          <w:position w:val="0"/>
        </w:rPr>
        <w:t>6.60%-7.80%</w:t>
      </w:r>
      <w:r>
        <w:rPr>
          <w:color w:val="000000"/>
          <w:spacing w:val="0"/>
          <w:w w:val="100"/>
          <w:position w:val="0"/>
        </w:rPr>
        <w:t>,借款期限为</w:t>
      </w:r>
      <w:r>
        <w:rPr>
          <w:rFonts w:ascii="Times New Roman" w:eastAsia="Times New Roman" w:hAnsi="Times New Roman" w:cs="Times New Roman"/>
          <w:color w:val="000000"/>
          <w:spacing w:val="0"/>
          <w:w w:val="100"/>
          <w:position w:val="0"/>
        </w:rPr>
        <w:t>1</w:t>
      </w:r>
      <w:r>
        <w:rPr>
          <w:color w:val="000000"/>
          <w:spacing w:val="0"/>
          <w:w w:val="100"/>
          <w:position w:val="0"/>
        </w:rPr>
        <w:t>年，由公司以位于广州市天河区科韵路</w:t>
      </w:r>
      <w:r>
        <w:rPr>
          <w:rFonts w:ascii="Times New Roman" w:eastAsia="Times New Roman" w:hAnsi="Times New Roman" w:cs="Times New Roman"/>
          <w:color w:val="000000"/>
          <w:spacing w:val="0"/>
          <w:w w:val="100"/>
          <w:position w:val="0"/>
        </w:rPr>
        <w:t>16</w:t>
      </w:r>
      <w:r>
        <w:rPr>
          <w:color w:val="000000"/>
          <w:spacing w:val="0"/>
          <w:w w:val="100"/>
          <w:position w:val="0"/>
        </w:rPr>
        <w:t>号自编</w:t>
      </w:r>
      <w:r>
        <w:rPr>
          <w:rFonts w:ascii="Times New Roman" w:eastAsia="Times New Roman" w:hAnsi="Times New Roman" w:cs="Times New Roman"/>
          <w:color w:val="000000"/>
          <w:spacing w:val="0"/>
          <w:w w:val="100"/>
          <w:position w:val="0"/>
        </w:rPr>
        <w:t>1</w:t>
      </w:r>
      <w:r>
        <w:rPr>
          <w:color w:val="000000"/>
          <w:spacing w:val="0"/>
          <w:w w:val="100"/>
          <w:position w:val="0"/>
        </w:rPr>
        <w:t>栋</w:t>
      </w:r>
      <w:r>
        <w:rPr>
          <w:rFonts w:ascii="Times New Roman" w:eastAsia="Times New Roman" w:hAnsi="Times New Roman" w:cs="Times New Roman"/>
          <w:color w:val="000000"/>
          <w:spacing w:val="0"/>
          <w:w w:val="100"/>
          <w:position w:val="0"/>
        </w:rPr>
        <w:t>2001</w:t>
      </w:r>
      <w:r>
        <w:rPr>
          <w:color w:val="000000"/>
          <w:spacing w:val="0"/>
          <w:w w:val="100"/>
          <w:position w:val="0"/>
        </w:rPr>
        <w:t>的房产</w:t>
      </w:r>
      <w:r>
        <w:rPr>
          <w:rFonts w:ascii="Times New Roman" w:eastAsia="Times New Roman" w:hAnsi="Times New Roman" w:cs="Times New Roman"/>
          <w:color w:val="000000"/>
          <w:spacing w:val="0"/>
          <w:w w:val="100"/>
          <w:position w:val="0"/>
        </w:rPr>
        <w:t>（</w:t>
      </w:r>
      <w:r>
        <w:rPr>
          <w:color w:val="000000"/>
          <w:spacing w:val="0"/>
          <w:w w:val="100"/>
          <w:position w:val="0"/>
        </w:rPr>
        <w:t>房 产证号：穗字第</w:t>
      </w:r>
      <w:r>
        <w:rPr>
          <w:rFonts w:ascii="Times New Roman" w:eastAsia="Times New Roman" w:hAnsi="Times New Roman" w:cs="Times New Roman"/>
          <w:color w:val="000000"/>
          <w:spacing w:val="0"/>
          <w:w w:val="100"/>
          <w:position w:val="0"/>
        </w:rPr>
        <w:t>0950038444</w:t>
      </w:r>
      <w:r>
        <w:rPr>
          <w:color w:val="000000"/>
          <w:spacing w:val="0"/>
          <w:w w:val="100"/>
          <w:position w:val="0"/>
        </w:rPr>
        <w:t>号，账面原值为</w:t>
      </w:r>
      <w:r>
        <w:rPr>
          <w:rFonts w:ascii="Times New Roman" w:eastAsia="Times New Roman" w:hAnsi="Times New Roman" w:cs="Times New Roman"/>
          <w:color w:val="000000"/>
          <w:spacing w:val="0"/>
          <w:w w:val="100"/>
          <w:position w:val="0"/>
        </w:rPr>
        <w:t>17,870,936.20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作抵押担保，并签订编号为</w:t>
      </w:r>
      <w:r>
        <w:rPr>
          <w:rFonts w:ascii="Times New Roman" w:eastAsia="Times New Roman" w:hAnsi="Times New Roman" w:cs="Times New Roman"/>
          <w:color w:val="000000"/>
          <w:spacing w:val="0"/>
          <w:w w:val="100"/>
          <w:position w:val="0"/>
        </w:rPr>
        <w:t>12176813014-01</w:t>
      </w:r>
      <w:r>
        <w:rPr>
          <w:color w:val="000000"/>
          <w:spacing w:val="0"/>
          <w:w w:val="100"/>
          <w:position w:val="0"/>
        </w:rPr>
        <w:t>号 《最高额抵押合同》，由公司控股股东柯宗庆和柯宗贵提供保证担保，并签订的编号为</w:t>
      </w:r>
      <w:r>
        <w:rPr>
          <w:rFonts w:ascii="Times New Roman" w:eastAsia="Times New Roman" w:hAnsi="Times New Roman" w:cs="Times New Roman"/>
          <w:color w:val="000000"/>
          <w:spacing w:val="0"/>
          <w:w w:val="100"/>
          <w:position w:val="0"/>
        </w:rPr>
        <w:t>12176813014-02</w:t>
      </w:r>
      <w:r>
        <w:rPr>
          <w:color w:val="000000"/>
          <w:spacing w:val="0"/>
          <w:w w:val="100"/>
          <w:position w:val="0"/>
        </w:rPr>
        <w:t>号 《最高额保证担保合同》。</w:t>
      </w:r>
    </w:p>
    <w:p>
      <w:pPr>
        <w:pStyle w:val="Style35"/>
        <w:keepNext w:val="0"/>
        <w:keepLines w:val="0"/>
        <w:widowControl w:val="0"/>
        <w:shd w:val="clear" w:color="auto" w:fill="auto"/>
        <w:bidi w:val="0"/>
        <w:spacing w:before="0" w:after="380" w:line="401" w:lineRule="exact"/>
        <w:ind w:left="0" w:right="0" w:firstLine="440"/>
        <w:jc w:val="both"/>
      </w:pPr>
      <w:r>
        <w:rPr>
          <w:color w:val="000000"/>
          <w:spacing w:val="0"/>
          <w:w w:val="100"/>
          <w:position w:val="0"/>
        </w:rPr>
        <w:t>保证借款期末余额</w:t>
      </w:r>
      <w:r>
        <w:rPr>
          <w:rFonts w:ascii="Times New Roman" w:eastAsia="Times New Roman" w:hAnsi="Times New Roman" w:cs="Times New Roman"/>
          <w:color w:val="000000"/>
          <w:spacing w:val="0"/>
          <w:w w:val="100"/>
          <w:position w:val="0"/>
        </w:rPr>
        <w:t>140,000,000.00</w:t>
      </w:r>
      <w:r>
        <w:rPr>
          <w:color w:val="000000"/>
          <w:spacing w:val="0"/>
          <w:w w:val="100"/>
          <w:position w:val="0"/>
        </w:rPr>
        <w:t>元，其中（</w:t>
      </w:r>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30,000,00.00</w:t>
      </w:r>
      <w:r>
        <w:rPr>
          <w:color w:val="000000"/>
          <w:spacing w:val="0"/>
          <w:w w:val="100"/>
          <w:position w:val="0"/>
        </w:rPr>
        <w:t>元系公司于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月向中国工商银行 广州市白云路支行借入，年利率为</w:t>
      </w:r>
      <w:r>
        <w:rPr>
          <w:rFonts w:ascii="Times New Roman" w:eastAsia="Times New Roman" w:hAnsi="Times New Roman" w:cs="Times New Roman"/>
          <w:color w:val="000000"/>
          <w:spacing w:val="0"/>
          <w:w w:val="100"/>
          <w:position w:val="0"/>
        </w:rPr>
        <w:t>6.00%</w:t>
      </w:r>
      <w:r>
        <w:rPr>
          <w:color w:val="000000"/>
          <w:spacing w:val="0"/>
          <w:w w:val="100"/>
          <w:position w:val="0"/>
        </w:rPr>
        <w:t>,借款期限为</w:t>
      </w:r>
      <w:r>
        <w:rPr>
          <w:rFonts w:ascii="Times New Roman" w:eastAsia="Times New Roman" w:hAnsi="Times New Roman" w:cs="Times New Roman"/>
          <w:color w:val="000000"/>
          <w:spacing w:val="0"/>
          <w:w w:val="100"/>
          <w:position w:val="0"/>
        </w:rPr>
        <w:t>1</w:t>
      </w:r>
      <w:r>
        <w:rPr>
          <w:color w:val="000000"/>
          <w:spacing w:val="0"/>
          <w:w w:val="100"/>
          <w:position w:val="0"/>
        </w:rPr>
        <w:t>年，由公司控股股东柯宗庆和柯宗贵提供保证担保, 并分别签订编号为</w:t>
      </w:r>
      <w:r>
        <w:rPr>
          <w:rFonts w:ascii="Times New Roman" w:eastAsia="Times New Roman" w:hAnsi="Times New Roman" w:cs="Times New Roman"/>
          <w:color w:val="000000"/>
          <w:spacing w:val="0"/>
          <w:w w:val="100"/>
          <w:position w:val="0"/>
        </w:rPr>
        <w:t>36020044-2013</w:t>
      </w:r>
      <w:r>
        <w:rPr>
          <w:color w:val="000000"/>
          <w:spacing w:val="0"/>
          <w:w w:val="100"/>
          <w:position w:val="0"/>
        </w:rPr>
        <w:t>年（白云）字</w:t>
      </w:r>
      <w:r>
        <w:rPr>
          <w:rFonts w:ascii="Times New Roman" w:eastAsia="Times New Roman" w:hAnsi="Times New Roman" w:cs="Times New Roman"/>
          <w:color w:val="000000"/>
          <w:spacing w:val="0"/>
          <w:w w:val="100"/>
          <w:position w:val="0"/>
        </w:rPr>
        <w:t>0213-1</w:t>
      </w:r>
      <w:r>
        <w:rPr>
          <w:color w:val="000000"/>
          <w:spacing w:val="0"/>
          <w:w w:val="100"/>
          <w:position w:val="0"/>
        </w:rPr>
        <w:t>号、</w:t>
      </w:r>
      <w:r>
        <w:rPr>
          <w:rFonts w:ascii="Times New Roman" w:eastAsia="Times New Roman" w:hAnsi="Times New Roman" w:cs="Times New Roman"/>
          <w:color w:val="000000"/>
          <w:spacing w:val="0"/>
          <w:w w:val="100"/>
          <w:position w:val="0"/>
        </w:rPr>
        <w:t>0213-2</w:t>
      </w:r>
      <w:r>
        <w:rPr>
          <w:color w:val="000000"/>
          <w:spacing w:val="0"/>
          <w:w w:val="100"/>
          <w:position w:val="0"/>
        </w:rPr>
        <w:t>号《最高额保证合同》；（</w:t>
      </w:r>
      <w:r>
        <w:rPr>
          <w:rFonts w:ascii="Times New Roman" w:eastAsia="Times New Roman" w:hAnsi="Times New Roman" w:cs="Times New Roman"/>
          <w:color w:val="000000"/>
          <w:spacing w:val="0"/>
          <w:w w:val="100"/>
          <w:position w:val="0"/>
        </w:rPr>
        <w:t>2</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30,000,000.00 </w:t>
      </w:r>
      <w:r>
        <w:rPr>
          <w:color w:val="000000"/>
          <w:spacing w:val="0"/>
          <w:w w:val="100"/>
          <w:position w:val="0"/>
        </w:rPr>
        <w:t>元系公司于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月向中国民生银行股份有限公司广州分行借入，年利率为</w:t>
      </w:r>
      <w:r>
        <w:rPr>
          <w:rFonts w:ascii="Times New Roman" w:eastAsia="Times New Roman" w:hAnsi="Times New Roman" w:cs="Times New Roman"/>
          <w:color w:val="000000"/>
          <w:spacing w:val="0"/>
          <w:w w:val="100"/>
          <w:position w:val="0"/>
        </w:rPr>
        <w:t>6.60%</w:t>
      </w:r>
      <w:r>
        <w:rPr>
          <w:color w:val="000000"/>
          <w:spacing w:val="0"/>
          <w:w w:val="100"/>
          <w:position w:val="0"/>
        </w:rPr>
        <w:t>，借款期限为</w:t>
      </w:r>
      <w:r>
        <w:rPr>
          <w:rFonts w:ascii="Times New Roman" w:eastAsia="Times New Roman" w:hAnsi="Times New Roman" w:cs="Times New Roman"/>
          <w:color w:val="000000"/>
          <w:spacing w:val="0"/>
          <w:w w:val="100"/>
          <w:position w:val="0"/>
        </w:rPr>
        <w:t>1</w:t>
      </w:r>
      <w:r>
        <w:rPr>
          <w:color w:val="000000"/>
          <w:spacing w:val="0"/>
          <w:w w:val="100"/>
          <w:position w:val="0"/>
        </w:rPr>
        <w:t>年，由 公司控股股东柯宗庆和柯宗贵提供保证担保，并分别签订个高保字第</w:t>
      </w:r>
      <w:r>
        <w:rPr>
          <w:rFonts w:ascii="Times New Roman" w:eastAsia="Times New Roman" w:hAnsi="Times New Roman" w:cs="Times New Roman"/>
          <w:color w:val="000000"/>
          <w:spacing w:val="0"/>
          <w:w w:val="100"/>
          <w:position w:val="0"/>
        </w:rPr>
        <w:t>ZH1300000153368-1</w:t>
      </w:r>
      <w:r>
        <w:rPr>
          <w:color w:val="000000"/>
          <w:spacing w:val="0"/>
          <w:w w:val="100"/>
          <w:position w:val="0"/>
        </w:rPr>
        <w:t xml:space="preserve">号、 </w:t>
      </w:r>
      <w:r>
        <w:rPr>
          <w:rFonts w:ascii="Times New Roman" w:eastAsia="Times New Roman" w:hAnsi="Times New Roman" w:cs="Times New Roman"/>
          <w:color w:val="000000"/>
          <w:spacing w:val="0"/>
          <w:w w:val="100"/>
          <w:position w:val="0"/>
        </w:rPr>
        <w:t>ZH1300000153368-2</w:t>
      </w:r>
      <w:r>
        <w:rPr>
          <w:color w:val="000000"/>
          <w:spacing w:val="0"/>
          <w:w w:val="100"/>
          <w:position w:val="0"/>
        </w:rPr>
        <w:t>号《最高额担保合同》；（</w:t>
      </w:r>
      <w:r>
        <w:rPr>
          <w:rFonts w:ascii="Times New Roman" w:eastAsia="Times New Roman" w:hAnsi="Times New Roman" w:cs="Times New Roman"/>
          <w:color w:val="000000"/>
          <w:spacing w:val="0"/>
          <w:w w:val="100"/>
          <w:position w:val="0"/>
        </w:rPr>
        <w:t>3</w:t>
      </w:r>
      <w:r>
        <w:rPr>
          <w:color w:val="000000"/>
          <w:spacing w:val="0"/>
          <w:w w:val="100"/>
          <w:position w:val="0"/>
        </w:rPr>
        <w:t xml:space="preserve">） </w:t>
      </w:r>
      <w:r>
        <w:rPr>
          <w:rFonts w:ascii="Times New Roman" w:eastAsia="Times New Roman" w:hAnsi="Times New Roman" w:cs="Times New Roman"/>
          <w:color w:val="000000"/>
          <w:spacing w:val="0"/>
          <w:w w:val="100"/>
          <w:position w:val="0"/>
        </w:rPr>
        <w:t>50,000,000.00</w:t>
      </w:r>
      <w:r>
        <w:rPr>
          <w:color w:val="000000"/>
          <w:spacing w:val="0"/>
          <w:w w:val="100"/>
          <w:position w:val="0"/>
        </w:rPr>
        <w:t>元系公司于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月向中国民生银行股 份有限公司广州分行借入，年利率为</w:t>
      </w:r>
      <w:r>
        <w:rPr>
          <w:rFonts w:ascii="Times New Roman" w:eastAsia="Times New Roman" w:hAnsi="Times New Roman" w:cs="Times New Roman"/>
          <w:color w:val="000000"/>
          <w:spacing w:val="0"/>
          <w:w w:val="100"/>
          <w:position w:val="0"/>
        </w:rPr>
        <w:t>6.90%</w:t>
      </w:r>
      <w:r>
        <w:rPr>
          <w:color w:val="000000"/>
          <w:spacing w:val="0"/>
          <w:w w:val="100"/>
          <w:position w:val="0"/>
        </w:rPr>
        <w:t>，借款期限为</w:t>
      </w:r>
      <w:r>
        <w:rPr>
          <w:rFonts w:ascii="Times New Roman" w:eastAsia="Times New Roman" w:hAnsi="Times New Roman" w:cs="Times New Roman"/>
          <w:color w:val="000000"/>
          <w:spacing w:val="0"/>
          <w:w w:val="100"/>
          <w:position w:val="0"/>
        </w:rPr>
        <w:t>1</w:t>
      </w:r>
      <w:r>
        <w:rPr>
          <w:color w:val="000000"/>
          <w:spacing w:val="0"/>
          <w:w w:val="100"/>
          <w:position w:val="0"/>
        </w:rPr>
        <w:t>年，由公司控股股东柯宗庆和柯宗贵提供保证担 保，并分别签订个高保字第</w:t>
      </w:r>
      <w:r>
        <w:rPr>
          <w:rFonts w:ascii="Times New Roman" w:eastAsia="Times New Roman" w:hAnsi="Times New Roman" w:cs="Times New Roman"/>
          <w:color w:val="000000"/>
          <w:spacing w:val="0"/>
          <w:w w:val="100"/>
          <w:position w:val="0"/>
        </w:rPr>
        <w:t>ZH1300000153368-1</w:t>
      </w:r>
      <w:r>
        <w:rPr>
          <w:color w:val="000000"/>
          <w:spacing w:val="0"/>
          <w:w w:val="100"/>
          <w:position w:val="0"/>
        </w:rPr>
        <w:t>号、</w:t>
      </w:r>
      <w:r>
        <w:rPr>
          <w:rFonts w:ascii="Times New Roman" w:eastAsia="Times New Roman" w:hAnsi="Times New Roman" w:cs="Times New Roman"/>
          <w:color w:val="000000"/>
          <w:spacing w:val="0"/>
          <w:w w:val="100"/>
          <w:position w:val="0"/>
        </w:rPr>
        <w:t>ZH1300000153368-2</w:t>
      </w:r>
      <w:r>
        <w:rPr>
          <w:color w:val="000000"/>
          <w:spacing w:val="0"/>
          <w:w w:val="100"/>
          <w:position w:val="0"/>
        </w:rPr>
        <w:t>号《最高额担保合同》；（</w:t>
      </w:r>
      <w:r>
        <w:rPr>
          <w:rFonts w:ascii="Times New Roman" w:eastAsia="Times New Roman" w:hAnsi="Times New Roman" w:cs="Times New Roman"/>
          <w:color w:val="000000"/>
          <w:spacing w:val="0"/>
          <w:w w:val="100"/>
          <w:position w:val="0"/>
        </w:rPr>
        <w:t>4</w:t>
      </w:r>
      <w:r>
        <w:rPr>
          <w:color w:val="000000"/>
          <w:spacing w:val="0"/>
          <w:w w:val="100"/>
          <w:position w:val="0"/>
        </w:rPr>
        <w:t xml:space="preserve">） </w:t>
      </w:r>
      <w:r>
        <w:rPr>
          <w:rFonts w:ascii="Times New Roman" w:eastAsia="Times New Roman" w:hAnsi="Times New Roman" w:cs="Times New Roman"/>
          <w:color w:val="000000"/>
          <w:spacing w:val="0"/>
          <w:w w:val="100"/>
          <w:position w:val="0"/>
        </w:rPr>
        <w:t>30,000,000.00</w:t>
      </w:r>
      <w:r>
        <w:rPr>
          <w:color w:val="000000"/>
          <w:spacing w:val="0"/>
          <w:w w:val="100"/>
          <w:position w:val="0"/>
        </w:rPr>
        <w:t>元，系公司于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月向平安银行股份有限公司广州分行科韵支行借入，年利率为</w:t>
      </w:r>
      <w:r>
        <w:rPr>
          <w:rFonts w:ascii="Times New Roman" w:eastAsia="Times New Roman" w:hAnsi="Times New Roman" w:cs="Times New Roman"/>
          <w:color w:val="000000"/>
          <w:spacing w:val="0"/>
          <w:w w:val="100"/>
          <w:position w:val="0"/>
        </w:rPr>
        <w:t>7.80%</w:t>
      </w:r>
      <w:r>
        <w:rPr>
          <w:color w:val="000000"/>
          <w:spacing w:val="0"/>
          <w:w w:val="100"/>
          <w:position w:val="0"/>
        </w:rPr>
        <w:t>, 借款期限为</w:t>
      </w:r>
      <w:r>
        <w:rPr>
          <w:rFonts w:ascii="Times New Roman" w:eastAsia="Times New Roman" w:hAnsi="Times New Roman" w:cs="Times New Roman"/>
          <w:color w:val="000000"/>
          <w:spacing w:val="0"/>
          <w:w w:val="100"/>
          <w:position w:val="0"/>
        </w:rPr>
        <w:t>1</w:t>
      </w:r>
      <w:r>
        <w:rPr>
          <w:color w:val="000000"/>
          <w:spacing w:val="0"/>
          <w:w w:val="100"/>
          <w:position w:val="0"/>
        </w:rPr>
        <w:t>年，由控股股东柯宗贵提供保证担保，并签订编号为平银穗科综字第</w:t>
      </w:r>
      <w:r>
        <w:rPr>
          <w:rFonts w:ascii="Times New Roman" w:eastAsia="Times New Roman" w:hAnsi="Times New Roman" w:cs="Times New Roman"/>
          <w:color w:val="000000"/>
          <w:spacing w:val="0"/>
          <w:w w:val="100"/>
          <w:position w:val="0"/>
        </w:rPr>
        <w:t>201300716</w:t>
      </w:r>
      <w:r>
        <w:rPr>
          <w:color w:val="000000"/>
          <w:spacing w:val="0"/>
          <w:w w:val="100"/>
          <w:position w:val="0"/>
        </w:rPr>
        <w:t>第</w:t>
      </w:r>
      <w:r>
        <w:rPr>
          <w:rFonts w:ascii="Times New Roman" w:eastAsia="Times New Roman" w:hAnsi="Times New Roman" w:cs="Times New Roman"/>
          <w:color w:val="000000"/>
          <w:spacing w:val="0"/>
          <w:w w:val="100"/>
          <w:position w:val="0"/>
        </w:rPr>
        <w:t>001</w:t>
      </w:r>
      <w:r>
        <w:rPr>
          <w:color w:val="000000"/>
          <w:spacing w:val="0"/>
          <w:w w:val="100"/>
          <w:position w:val="0"/>
        </w:rPr>
        <w:t>号的《最 高额保证担保合同》。</w:t>
      </w:r>
      <w:r>
        <w:br w:type="page"/>
      </w:r>
    </w:p>
    <w:p>
      <w:pPr>
        <w:pStyle w:val="Style38"/>
        <w:keepNext/>
        <w:keepLines/>
        <w:widowControl w:val="0"/>
        <w:shd w:val="clear" w:color="auto" w:fill="auto"/>
        <w:bidi w:val="0"/>
        <w:spacing w:before="0" w:after="360" w:line="240" w:lineRule="auto"/>
        <w:ind w:left="0" w:right="0" w:firstLine="0"/>
        <w:jc w:val="left"/>
      </w:pPr>
      <w:bookmarkStart w:id="966" w:name="bookmark966"/>
      <w:bookmarkStart w:id="967" w:name="bookmark967"/>
      <w:bookmarkStart w:id="968" w:name="bookmark96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)已到期未偿还的短期借款情况</w:t>
      </w:r>
      <w:bookmarkEnd w:id="966"/>
      <w:bookmarkEnd w:id="967"/>
      <w:bookmarkEnd w:id="968"/>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8"/>
        <w:keepNext/>
        <w:keepLines/>
        <w:widowControl w:val="0"/>
        <w:shd w:val="clear" w:color="auto" w:fill="auto"/>
        <w:bidi w:val="0"/>
        <w:spacing w:before="0" w:after="360" w:line="240" w:lineRule="auto"/>
        <w:ind w:left="0" w:right="0" w:firstLine="0"/>
        <w:jc w:val="left"/>
      </w:pPr>
      <w:bookmarkStart w:id="969" w:name="bookmark969"/>
      <w:bookmarkStart w:id="970" w:name="bookmark970"/>
      <w:bookmarkStart w:id="971" w:name="bookmark971"/>
      <w:bookmarkStart w:id="972" w:name="bookmark972"/>
      <w:r>
        <w:rPr>
          <w:rFonts w:ascii="Times New Roman" w:eastAsia="Times New Roman" w:hAnsi="Times New Roman" w:cs="Times New Roman"/>
          <w:color w:val="000000"/>
          <w:spacing w:val="0"/>
          <w:w w:val="100"/>
          <w:position w:val="0"/>
        </w:rPr>
        <w:t>1</w:t>
      </w:r>
      <w:bookmarkEnd w:id="971"/>
      <w:r>
        <w:rPr>
          <w:rFonts w:ascii="Times New Roman" w:eastAsia="Times New Roman" w:hAnsi="Times New Roman" w:cs="Times New Roman"/>
          <w:color w:val="000000"/>
          <w:spacing w:val="0"/>
          <w:w w:val="100"/>
          <w:position w:val="0"/>
        </w:rPr>
        <w:t>5</w:t>
      </w:r>
      <w:r>
        <w:rPr>
          <w:color w:val="000000"/>
          <w:spacing w:val="0"/>
          <w:w w:val="100"/>
          <w:position w:val="0"/>
        </w:rPr>
        <w:t>、应付票据</w:t>
      </w:r>
      <w:bookmarkEnd w:id="969"/>
      <w:bookmarkEnd w:id="970"/>
      <w:bookmarkEnd w:id="972"/>
    </w:p>
    <w:p>
      <w:pPr>
        <w:pStyle w:val="Style3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600"/>
        <w:gridCol w:w="2918"/>
        <w:gridCol w:w="3067"/>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种类</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银行承兑汇票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13,806,725.02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3,119,184.00</w:t>
            </w:r>
          </w:p>
        </w:tc>
      </w:tr>
      <w:tr>
        <w:trPr>
          <w:trHeight w:val="40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13,806,725.02</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3,119,184.00</w:t>
            </w:r>
          </w:p>
        </w:tc>
      </w:tr>
    </w:tbl>
    <w:p>
      <w:pPr>
        <w:widowControl w:val="0"/>
        <w:spacing w:after="7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下一会计期间将到期的金额</w:t>
      </w:r>
      <w:r>
        <w:rPr>
          <w:rFonts w:ascii="Times New Roman" w:eastAsia="Times New Roman" w:hAnsi="Times New Roman" w:cs="Times New Roman"/>
          <w:color w:val="000000"/>
          <w:spacing w:val="0"/>
          <w:w w:val="100"/>
          <w:position w:val="0"/>
          <w:sz w:val="18"/>
          <w:szCs w:val="18"/>
        </w:rPr>
        <w:t>13,806,725.02</w:t>
      </w:r>
      <w:r>
        <w:rPr>
          <w:color w:val="000000"/>
          <w:spacing w:val="0"/>
          <w:w w:val="100"/>
          <w:position w:val="0"/>
        </w:rPr>
        <w:t>元。</w:t>
      </w:r>
    </w:p>
    <w:p>
      <w:pPr>
        <w:pStyle w:val="Style38"/>
        <w:keepNext/>
        <w:keepLines/>
        <w:widowControl w:val="0"/>
        <w:shd w:val="clear" w:color="auto" w:fill="auto"/>
        <w:bidi w:val="0"/>
        <w:spacing w:before="0" w:after="360" w:line="240" w:lineRule="auto"/>
        <w:ind w:left="0" w:right="0" w:firstLine="0"/>
        <w:jc w:val="left"/>
      </w:pPr>
      <w:bookmarkStart w:id="973" w:name="bookmark973"/>
      <w:bookmarkStart w:id="974" w:name="bookmark974"/>
      <w:bookmarkStart w:id="975" w:name="bookmark975"/>
      <w:bookmarkStart w:id="976" w:name="bookmark976"/>
      <w:r>
        <w:rPr>
          <w:rFonts w:ascii="Times New Roman" w:eastAsia="Times New Roman" w:hAnsi="Times New Roman" w:cs="Times New Roman"/>
          <w:color w:val="000000"/>
          <w:spacing w:val="0"/>
          <w:w w:val="100"/>
          <w:position w:val="0"/>
        </w:rPr>
        <w:t>1</w:t>
      </w:r>
      <w:bookmarkEnd w:id="975"/>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973"/>
      <w:bookmarkEnd w:id="974"/>
      <w:bookmarkEnd w:id="976"/>
    </w:p>
    <w:p>
      <w:pPr>
        <w:pStyle w:val="Style38"/>
        <w:keepNext/>
        <w:keepLines/>
        <w:widowControl w:val="0"/>
        <w:shd w:val="clear" w:color="auto" w:fill="auto"/>
        <w:bidi w:val="0"/>
        <w:spacing w:before="0" w:after="360" w:line="240" w:lineRule="auto"/>
        <w:ind w:left="0" w:right="0" w:firstLine="220"/>
        <w:jc w:val="left"/>
      </w:pPr>
      <w:bookmarkStart w:id="973" w:name="bookmark973"/>
      <w:bookmarkStart w:id="974" w:name="bookmark974"/>
      <w:bookmarkStart w:id="977" w:name="bookmark977"/>
      <w:r>
        <w:rPr>
          <w:rFonts w:ascii="Times New Roman" w:eastAsia="Times New Roman" w:hAnsi="Times New Roman" w:cs="Times New Roman"/>
          <w:color w:val="000000"/>
          <w:spacing w:val="0"/>
          <w:w w:val="100"/>
          <w:position w:val="0"/>
        </w:rPr>
        <w:t>(1</w:t>
      </w:r>
      <w:r>
        <w:rPr>
          <w:color w:val="000000"/>
          <w:spacing w:val="0"/>
          <w:w w:val="100"/>
          <w:position w:val="0"/>
        </w:rPr>
        <w:t>)应付账款情况</w:t>
      </w:r>
      <w:bookmarkEnd w:id="973"/>
      <w:bookmarkEnd w:id="974"/>
      <w:bookmarkEnd w:id="977"/>
    </w:p>
    <w:p>
      <w:pPr>
        <w:pStyle w:val="Style3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3600"/>
        <w:gridCol w:w="2918"/>
        <w:gridCol w:w="3067"/>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67,939,031.16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57,176,902.21</w:t>
            </w:r>
          </w:p>
        </w:tc>
      </w:tr>
      <w:tr>
        <w:trPr>
          <w:trHeight w:val="398"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13,567,643.91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350,963.11</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58,788.00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63,016.74</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127,200.94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72,944.20</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81,692,664.01</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57,663,826.26</w:t>
            </w:r>
          </w:p>
        </w:tc>
      </w:tr>
    </w:tbl>
    <w:p>
      <w:pPr>
        <w:widowControl w:val="0"/>
        <w:spacing w:after="359" w:line="1" w:lineRule="exact"/>
      </w:pPr>
    </w:p>
    <w:p>
      <w:pPr>
        <w:pStyle w:val="Style38"/>
        <w:keepNext/>
        <w:keepLines/>
        <w:widowControl w:val="0"/>
        <w:shd w:val="clear" w:color="auto" w:fill="auto"/>
        <w:bidi w:val="0"/>
        <w:spacing w:before="0" w:after="360" w:line="240" w:lineRule="auto"/>
        <w:ind w:left="0" w:right="0" w:firstLine="220"/>
        <w:jc w:val="left"/>
      </w:pPr>
      <w:bookmarkStart w:id="978" w:name="bookmark978"/>
      <w:bookmarkStart w:id="979" w:name="bookmark979"/>
      <w:bookmarkStart w:id="980" w:name="bookmark980"/>
      <w:r>
        <w:rPr>
          <w:rFonts w:ascii="Times New Roman" w:eastAsia="Times New Roman" w:hAnsi="Times New Roman" w:cs="Times New Roman"/>
          <w:color w:val="000000"/>
          <w:spacing w:val="0"/>
          <w:w w:val="100"/>
          <w:position w:val="0"/>
        </w:rPr>
        <w:t>(2</w:t>
      </w:r>
      <w:r>
        <w:rPr>
          <w:color w:val="000000"/>
          <w:spacing w:val="0"/>
          <w:w w:val="100"/>
          <w:position w:val="0"/>
        </w:rPr>
        <w:t>)本报告期应付账款中应付持有公司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978"/>
      <w:bookmarkEnd w:id="979"/>
      <w:bookmarkEnd w:id="980"/>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8"/>
        <w:keepNext/>
        <w:keepLines/>
        <w:widowControl w:val="0"/>
        <w:numPr>
          <w:ilvl w:val="0"/>
          <w:numId w:val="17"/>
        </w:numPr>
        <w:shd w:val="clear" w:color="auto" w:fill="auto"/>
        <w:bidi w:val="0"/>
        <w:spacing w:before="0" w:after="360" w:line="240" w:lineRule="auto"/>
        <w:ind w:left="0" w:right="0" w:firstLine="0"/>
        <w:jc w:val="left"/>
      </w:pPr>
      <w:bookmarkStart w:id="981" w:name="bookmark981"/>
      <w:bookmarkStart w:id="982" w:name="bookmark982"/>
      <w:bookmarkStart w:id="983" w:name="bookmark983"/>
      <w:bookmarkStart w:id="984" w:name="bookmark984"/>
      <w:bookmarkEnd w:id="983"/>
      <w:r>
        <w:rPr>
          <w:color w:val="000000"/>
          <w:spacing w:val="0"/>
          <w:w w:val="100"/>
          <w:position w:val="0"/>
        </w:rPr>
        <w:t>账龄超过一年的大额应付账款情况的说明</w:t>
      </w:r>
      <w:bookmarkEnd w:id="981"/>
      <w:bookmarkEnd w:id="982"/>
      <w:bookmarkEnd w:id="984"/>
    </w:p>
    <w:tbl>
      <w:tblPr>
        <w:tblOverlap w:val="never"/>
        <w:jc w:val="center"/>
        <w:tblLayout w:type="fixed"/>
      </w:tblPr>
      <w:tblGrid>
        <w:gridCol w:w="4344"/>
        <w:gridCol w:w="2462"/>
        <w:gridCol w:w="2573"/>
      </w:tblGrid>
      <w:tr>
        <w:trPr>
          <w:trHeight w:val="451"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未结转原因</w:t>
            </w:r>
          </w:p>
        </w:tc>
      </w:tr>
      <w:tr>
        <w:trPr>
          <w:trHeight w:val="442"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深圳市祈飞科技有限公司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1,168,100.00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材料款未结算完毕</w:t>
            </w:r>
          </w:p>
        </w:tc>
      </w:tr>
      <w:tr>
        <w:trPr>
          <w:trHeight w:val="446"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周伟良</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600" w:right="0" w:firstLine="0"/>
              <w:jc w:val="left"/>
              <w:rPr>
                <w:sz w:val="18"/>
                <w:szCs w:val="18"/>
              </w:rPr>
            </w:pPr>
            <w:r>
              <w:rPr>
                <w:rFonts w:ascii="Arial Narrow" w:eastAsia="Arial Narrow" w:hAnsi="Arial Narrow" w:cs="Arial Narrow"/>
                <w:color w:val="000000"/>
                <w:spacing w:val="0"/>
                <w:w w:val="100"/>
                <w:position w:val="0"/>
                <w:sz w:val="18"/>
                <w:szCs w:val="18"/>
              </w:rPr>
              <w:t>716,075.00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工程款未结算完毕</w:t>
            </w:r>
          </w:p>
        </w:tc>
      </w:tr>
      <w:tr>
        <w:trPr>
          <w:trHeight w:val="442"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深圳市自然通电子实业有限公司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600" w:right="0" w:firstLine="0"/>
              <w:jc w:val="left"/>
              <w:rPr>
                <w:sz w:val="18"/>
                <w:szCs w:val="18"/>
              </w:rPr>
            </w:pPr>
            <w:r>
              <w:rPr>
                <w:rFonts w:ascii="Arial Narrow" w:eastAsia="Arial Narrow" w:hAnsi="Arial Narrow" w:cs="Arial Narrow"/>
                <w:color w:val="000000"/>
                <w:spacing w:val="0"/>
                <w:w w:val="100"/>
                <w:position w:val="0"/>
                <w:sz w:val="18"/>
                <w:szCs w:val="18"/>
              </w:rPr>
              <w:t>405,328.79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材料款未结算完毕</w:t>
            </w:r>
          </w:p>
        </w:tc>
      </w:tr>
      <w:tr>
        <w:trPr>
          <w:trHeight w:val="446"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广州市宁众信息技术有限公司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600" w:right="0" w:firstLine="0"/>
              <w:jc w:val="left"/>
              <w:rPr>
                <w:sz w:val="18"/>
                <w:szCs w:val="18"/>
              </w:rPr>
            </w:pPr>
            <w:r>
              <w:rPr>
                <w:rFonts w:ascii="Arial Narrow" w:eastAsia="Arial Narrow" w:hAnsi="Arial Narrow" w:cs="Arial Narrow"/>
                <w:color w:val="000000"/>
                <w:spacing w:val="0"/>
                <w:w w:val="100"/>
                <w:position w:val="0"/>
                <w:sz w:val="18"/>
                <w:szCs w:val="18"/>
              </w:rPr>
              <w:t>396,000.00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材料款未结算完毕</w:t>
            </w:r>
          </w:p>
        </w:tc>
      </w:tr>
      <w:tr>
        <w:trPr>
          <w:trHeight w:val="442"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广州玖通机电设备有限公司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600" w:right="0" w:firstLine="0"/>
              <w:jc w:val="left"/>
              <w:rPr>
                <w:sz w:val="18"/>
                <w:szCs w:val="18"/>
              </w:rPr>
            </w:pPr>
            <w:r>
              <w:rPr>
                <w:rFonts w:ascii="Arial Narrow" w:eastAsia="Arial Narrow" w:hAnsi="Arial Narrow" w:cs="Arial Narrow"/>
                <w:color w:val="000000"/>
                <w:spacing w:val="0"/>
                <w:w w:val="100"/>
                <w:position w:val="0"/>
                <w:sz w:val="18"/>
                <w:szCs w:val="18"/>
              </w:rPr>
              <w:t>216,783.00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材料款未结算完毕</w:t>
            </w:r>
          </w:p>
        </w:tc>
      </w:tr>
      <w:tr>
        <w:trPr>
          <w:trHeight w:val="451"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上海力一富电子科技有限公司</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600" w:right="0" w:firstLine="0"/>
              <w:jc w:val="left"/>
              <w:rPr>
                <w:sz w:val="18"/>
                <w:szCs w:val="18"/>
              </w:rPr>
            </w:pPr>
            <w:r>
              <w:rPr>
                <w:rFonts w:ascii="Arial Narrow" w:eastAsia="Arial Narrow" w:hAnsi="Arial Narrow" w:cs="Arial Narrow"/>
                <w:color w:val="000000"/>
                <w:spacing w:val="0"/>
                <w:w w:val="100"/>
                <w:position w:val="0"/>
                <w:sz w:val="18"/>
                <w:szCs w:val="18"/>
              </w:rPr>
              <w:t>300,000.00</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材料款未结算完毕</w:t>
            </w:r>
          </w:p>
        </w:tc>
      </w:tr>
    </w:tbl>
    <w:p>
      <w:pPr>
        <w:spacing w:lineRule="exact" w:line="1"/>
        <w:rPr>
          <w:sz w:val="2"/>
          <w:szCs w:val="2"/>
        </w:rPr>
      </w:pPr>
      <w:r>
        <w:br w:type="page"/>
      </w:r>
    </w:p>
    <w:p>
      <w:pPr>
        <w:pStyle w:val="Style38"/>
        <w:keepNext/>
        <w:keepLines/>
        <w:widowControl w:val="0"/>
        <w:shd w:val="clear" w:color="auto" w:fill="auto"/>
        <w:bidi w:val="0"/>
        <w:spacing w:before="0" w:after="360" w:line="240" w:lineRule="auto"/>
        <w:ind w:left="0" w:right="0" w:firstLine="0"/>
        <w:jc w:val="left"/>
      </w:pPr>
      <w:bookmarkStart w:id="985" w:name="bookmark985"/>
      <w:bookmarkStart w:id="986" w:name="bookmark986"/>
      <w:bookmarkStart w:id="987" w:name="bookmark987"/>
      <w:bookmarkStart w:id="988" w:name="bookmark988"/>
      <w:r>
        <w:rPr>
          <w:rFonts w:ascii="Times New Roman" w:eastAsia="Times New Roman" w:hAnsi="Times New Roman" w:cs="Times New Roman"/>
          <w:color w:val="000000"/>
          <w:spacing w:val="0"/>
          <w:w w:val="100"/>
          <w:position w:val="0"/>
        </w:rPr>
        <w:t>1</w:t>
      </w:r>
      <w:bookmarkEnd w:id="987"/>
      <w:r>
        <w:rPr>
          <w:rFonts w:ascii="Times New Roman" w:eastAsia="Times New Roman" w:hAnsi="Times New Roman" w:cs="Times New Roman"/>
          <w:color w:val="000000"/>
          <w:spacing w:val="0"/>
          <w:w w:val="100"/>
          <w:position w:val="0"/>
        </w:rPr>
        <w:t>7</w:t>
      </w:r>
      <w:r>
        <w:rPr>
          <w:color w:val="000000"/>
          <w:spacing w:val="0"/>
          <w:w w:val="100"/>
          <w:position w:val="0"/>
        </w:rPr>
        <w:t>、预收账款</w:t>
      </w:r>
      <w:bookmarkEnd w:id="985"/>
      <w:bookmarkEnd w:id="986"/>
      <w:bookmarkEnd w:id="988"/>
    </w:p>
    <w:p>
      <w:pPr>
        <w:pStyle w:val="Style38"/>
        <w:keepNext/>
        <w:keepLines/>
        <w:widowControl w:val="0"/>
        <w:shd w:val="clear" w:color="auto" w:fill="auto"/>
        <w:bidi w:val="0"/>
        <w:spacing w:before="0" w:after="360" w:line="240" w:lineRule="auto"/>
        <w:ind w:left="0" w:right="0" w:firstLine="0"/>
        <w:jc w:val="left"/>
      </w:pPr>
      <w:bookmarkStart w:id="985" w:name="bookmark985"/>
      <w:bookmarkStart w:id="986" w:name="bookmark986"/>
      <w:bookmarkStart w:id="989" w:name="bookmark98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)预收账款情况</w:t>
      </w:r>
      <w:bookmarkEnd w:id="985"/>
      <w:bookmarkEnd w:id="986"/>
      <w:bookmarkEnd w:id="989"/>
    </w:p>
    <w:p>
      <w:pPr>
        <w:pStyle w:val="Style3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864"/>
        <w:gridCol w:w="2789"/>
        <w:gridCol w:w="2933"/>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20,631,561.97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14,365,557.90</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1,790,955.05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92,550.00</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92,550.00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182,460.00</w:t>
            </w:r>
          </w:p>
        </w:tc>
      </w:tr>
      <w:tr>
        <w:trPr>
          <w:trHeight w:val="398"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182,460.00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22,697,527.02</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14,640,567.90</w:t>
            </w:r>
          </w:p>
        </w:tc>
      </w:tr>
    </w:tbl>
    <w:p>
      <w:pPr>
        <w:widowControl w:val="0"/>
        <w:spacing w:after="359" w:line="1" w:lineRule="exact"/>
      </w:pPr>
    </w:p>
    <w:p>
      <w:pPr>
        <w:pStyle w:val="Style38"/>
        <w:keepNext/>
        <w:keepLines/>
        <w:widowControl w:val="0"/>
        <w:shd w:val="clear" w:color="auto" w:fill="auto"/>
        <w:bidi w:val="0"/>
        <w:spacing w:before="0" w:after="360" w:line="240" w:lineRule="auto"/>
        <w:ind w:left="0" w:right="0" w:firstLine="220"/>
        <w:jc w:val="left"/>
      </w:pPr>
      <w:bookmarkStart w:id="990" w:name="bookmark990"/>
      <w:bookmarkStart w:id="991" w:name="bookmark991"/>
      <w:bookmarkStart w:id="992" w:name="bookmark992"/>
      <w:r>
        <w:rPr>
          <w:rFonts w:ascii="Times New Roman" w:eastAsia="Times New Roman" w:hAnsi="Times New Roman" w:cs="Times New Roman"/>
          <w:color w:val="000000"/>
          <w:spacing w:val="0"/>
          <w:w w:val="100"/>
          <w:position w:val="0"/>
        </w:rPr>
        <w:t>(2</w:t>
      </w:r>
      <w:r>
        <w:rPr>
          <w:color w:val="000000"/>
          <w:spacing w:val="0"/>
          <w:w w:val="100"/>
          <w:position w:val="0"/>
        </w:rPr>
        <w:t>)本报告期预收账款中预收持有公司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990"/>
      <w:bookmarkEnd w:id="991"/>
      <w:bookmarkEnd w:id="992"/>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8"/>
        <w:keepNext/>
        <w:keepLines/>
        <w:widowControl w:val="0"/>
        <w:numPr>
          <w:ilvl w:val="0"/>
          <w:numId w:val="19"/>
        </w:numPr>
        <w:shd w:val="clear" w:color="auto" w:fill="auto"/>
        <w:bidi w:val="0"/>
        <w:spacing w:before="0" w:after="360" w:line="240" w:lineRule="auto"/>
        <w:ind w:left="0" w:right="0" w:firstLine="0"/>
        <w:jc w:val="left"/>
      </w:pPr>
      <w:bookmarkStart w:id="993" w:name="bookmark993"/>
      <w:bookmarkStart w:id="994" w:name="bookmark994"/>
      <w:bookmarkStart w:id="995" w:name="bookmark995"/>
      <w:bookmarkStart w:id="996" w:name="bookmark996"/>
      <w:bookmarkEnd w:id="995"/>
      <w:r>
        <w:rPr>
          <w:color w:val="000000"/>
          <w:spacing w:val="0"/>
          <w:w w:val="100"/>
          <w:position w:val="0"/>
        </w:rPr>
        <w:t>账龄超过一年的大额预收账款情况的说明</w:t>
      </w:r>
      <w:bookmarkEnd w:id="993"/>
      <w:bookmarkEnd w:id="994"/>
      <w:bookmarkEnd w:id="996"/>
    </w:p>
    <w:tbl>
      <w:tblPr>
        <w:tblOverlap w:val="never"/>
        <w:jc w:val="center"/>
        <w:tblLayout w:type="fixed"/>
      </w:tblPr>
      <w:tblGrid>
        <w:gridCol w:w="5338"/>
        <w:gridCol w:w="1963"/>
        <w:gridCol w:w="2318"/>
      </w:tblGrid>
      <w:tr>
        <w:trPr>
          <w:trHeight w:val="432"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未结转原因</w:t>
            </w:r>
          </w:p>
        </w:tc>
      </w:tr>
      <w:tr>
        <w:trPr>
          <w:trHeight w:val="42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广州航海高等专科学校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00" w:right="0" w:firstLine="0"/>
              <w:jc w:val="left"/>
              <w:rPr>
                <w:sz w:val="18"/>
                <w:szCs w:val="18"/>
              </w:rPr>
            </w:pPr>
            <w:r>
              <w:rPr>
                <w:rFonts w:ascii="Arial Narrow" w:eastAsia="Arial Narrow" w:hAnsi="Arial Narrow" w:cs="Arial Narrow"/>
                <w:color w:val="000000"/>
                <w:spacing w:val="0"/>
                <w:w w:val="100"/>
                <w:position w:val="0"/>
                <w:sz w:val="18"/>
                <w:szCs w:val="18"/>
              </w:rPr>
              <w:t>521,100.00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业务未完结</w:t>
            </w:r>
          </w:p>
        </w:tc>
      </w:tr>
      <w:tr>
        <w:trPr>
          <w:trHeight w:val="42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中共河源市委组织部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00" w:right="0" w:firstLine="0"/>
              <w:jc w:val="left"/>
              <w:rPr>
                <w:sz w:val="18"/>
                <w:szCs w:val="18"/>
              </w:rPr>
            </w:pPr>
            <w:r>
              <w:rPr>
                <w:rFonts w:ascii="Arial Narrow" w:eastAsia="Arial Narrow" w:hAnsi="Arial Narrow" w:cs="Arial Narrow"/>
                <w:color w:val="000000"/>
                <w:spacing w:val="0"/>
                <w:w w:val="100"/>
                <w:position w:val="0"/>
                <w:sz w:val="18"/>
                <w:szCs w:val="18"/>
              </w:rPr>
              <w:t>338,000.00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业务未完结</w:t>
            </w:r>
          </w:p>
        </w:tc>
      </w:tr>
      <w:tr>
        <w:trPr>
          <w:trHeight w:val="42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广州市嘉逸信息技术有限公司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00" w:right="0" w:firstLine="0"/>
              <w:jc w:val="left"/>
              <w:rPr>
                <w:sz w:val="18"/>
                <w:szCs w:val="18"/>
              </w:rPr>
            </w:pPr>
            <w:r>
              <w:rPr>
                <w:rFonts w:ascii="Arial Narrow" w:eastAsia="Arial Narrow" w:hAnsi="Arial Narrow" w:cs="Arial Narrow"/>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业务未完结</w:t>
            </w:r>
          </w:p>
        </w:tc>
      </w:tr>
      <w:tr>
        <w:trPr>
          <w:trHeight w:val="42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东莞市水务局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00" w:right="0" w:firstLine="0"/>
              <w:jc w:val="left"/>
              <w:rPr>
                <w:sz w:val="18"/>
                <w:szCs w:val="18"/>
              </w:rPr>
            </w:pPr>
            <w:r>
              <w:rPr>
                <w:rFonts w:ascii="Arial Narrow" w:eastAsia="Arial Narrow" w:hAnsi="Arial Narrow" w:cs="Arial Narrow"/>
                <w:color w:val="000000"/>
                <w:spacing w:val="0"/>
                <w:w w:val="100"/>
                <w:position w:val="0"/>
                <w:sz w:val="18"/>
                <w:szCs w:val="18"/>
              </w:rPr>
              <w:t>110,215.00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业务未完结</w:t>
            </w:r>
          </w:p>
        </w:tc>
      </w:tr>
      <w:tr>
        <w:trPr>
          <w:trHeight w:val="432"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广州市友迪资讯科技有限公司</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00" w:right="0" w:firstLine="0"/>
              <w:jc w:val="left"/>
              <w:rPr>
                <w:sz w:val="18"/>
                <w:szCs w:val="18"/>
              </w:rPr>
            </w:pPr>
            <w:r>
              <w:rPr>
                <w:rFonts w:ascii="Arial Narrow" w:eastAsia="Arial Narrow" w:hAnsi="Arial Narrow" w:cs="Arial Narrow"/>
                <w:color w:val="000000"/>
                <w:spacing w:val="0"/>
                <w:w w:val="100"/>
                <w:position w:val="0"/>
                <w:sz w:val="18"/>
                <w:szCs w:val="18"/>
              </w:rPr>
              <w:t>101,014.70</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业务未完结</w:t>
            </w:r>
          </w:p>
        </w:tc>
      </w:tr>
    </w:tbl>
    <w:p>
      <w:pPr>
        <w:widowControl w:val="0"/>
        <w:spacing w:after="619" w:line="1" w:lineRule="exact"/>
      </w:pPr>
    </w:p>
    <w:p>
      <w:pPr>
        <w:pStyle w:val="Style38"/>
        <w:keepNext/>
        <w:keepLines/>
        <w:widowControl w:val="0"/>
        <w:shd w:val="clear" w:color="auto" w:fill="auto"/>
        <w:bidi w:val="0"/>
        <w:spacing w:before="0" w:after="360" w:line="240" w:lineRule="auto"/>
        <w:ind w:left="0" w:right="0" w:firstLine="0"/>
        <w:jc w:val="left"/>
      </w:pPr>
      <w:bookmarkStart w:id="1000" w:name="bookmark1000"/>
      <w:bookmarkStart w:id="997" w:name="bookmark997"/>
      <w:bookmarkStart w:id="998" w:name="bookmark998"/>
      <w:bookmarkStart w:id="999" w:name="bookmark999"/>
      <w:r>
        <w:rPr>
          <w:rFonts w:ascii="Times New Roman" w:eastAsia="Times New Roman" w:hAnsi="Times New Roman" w:cs="Times New Roman"/>
          <w:color w:val="000000"/>
          <w:spacing w:val="0"/>
          <w:w w:val="100"/>
          <w:position w:val="0"/>
        </w:rPr>
        <w:t>1</w:t>
      </w:r>
      <w:bookmarkEnd w:id="999"/>
      <w:r>
        <w:rPr>
          <w:rFonts w:ascii="Times New Roman" w:eastAsia="Times New Roman" w:hAnsi="Times New Roman" w:cs="Times New Roman"/>
          <w:color w:val="000000"/>
          <w:spacing w:val="0"/>
          <w:w w:val="100"/>
          <w:position w:val="0"/>
        </w:rPr>
        <w:t>8</w:t>
      </w:r>
      <w:r>
        <w:rPr>
          <w:color w:val="000000"/>
          <w:spacing w:val="0"/>
          <w:w w:val="100"/>
          <w:position w:val="0"/>
        </w:rPr>
        <w:t>、应付职工薪酬</w:t>
      </w:r>
      <w:bookmarkEnd w:id="1000"/>
      <w:bookmarkEnd w:id="997"/>
      <w:bookmarkEnd w:id="998"/>
    </w:p>
    <w:p>
      <w:pPr>
        <w:pStyle w:val="Style3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1603"/>
        <w:gridCol w:w="1862"/>
        <w:gridCol w:w="1992"/>
        <w:gridCol w:w="2261"/>
        <w:gridCol w:w="1867"/>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期初账面余额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期末账面余额</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一、工资、奖金、津 贴和补贴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3,295,900.37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64,171,062.70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58,265,666.60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9,201,296.47</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二、职工福利费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4,950,055.71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4,950,055.71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三、社会保险费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4,837,281.21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4,837,281.21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四、住房公积金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1,735,982.50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1,735,982.50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402,866.73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402,866.73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3,295,900.37</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76,097,248.85</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70,191,852.75</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9,201,296.47</w:t>
            </w:r>
          </w:p>
        </w:tc>
      </w:tr>
    </w:tbl>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应付职工薪酬中属于拖欠性质的金额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7"/>
          <w:szCs w:val="17"/>
        </w:rPr>
        <w:t>元。</w:t>
      </w:r>
      <w:r>
        <w:br w:type="page"/>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工会经费和职工教育经费金额</w:t>
      </w:r>
      <w:r>
        <w:rPr>
          <w:rFonts w:ascii="Times New Roman" w:eastAsia="Times New Roman" w:hAnsi="Times New Roman" w:cs="Times New Roman"/>
          <w:color w:val="000000"/>
          <w:spacing w:val="0"/>
          <w:w w:val="100"/>
          <w:position w:val="0"/>
          <w:sz w:val="18"/>
          <w:szCs w:val="18"/>
        </w:rPr>
        <w:t>402,866.73</w:t>
      </w:r>
      <w:r>
        <w:rPr>
          <w:color w:val="000000"/>
          <w:spacing w:val="0"/>
          <w:w w:val="100"/>
          <w:position w:val="0"/>
        </w:rPr>
        <w:t>元，非货币性福利金额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元，因解除劳动关系给予补偿</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应付职工薪酬预计发放时间、金额等安排</w:t>
      </w:r>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期末余额为计提的</w:t>
      </w:r>
      <w:r>
        <w:rPr>
          <w:rFonts w:ascii="Arial Narrow" w:eastAsia="Arial Narrow" w:hAnsi="Arial Narrow" w:cs="Arial Narrow"/>
          <w:color w:val="000000"/>
          <w:spacing w:val="0"/>
          <w:w w:val="100"/>
          <w:position w:val="0"/>
          <w:sz w:val="18"/>
          <w:szCs w:val="18"/>
        </w:rPr>
        <w:t>2013</w:t>
      </w:r>
      <w:r>
        <w:rPr>
          <w:color w:val="000000"/>
          <w:spacing w:val="0"/>
          <w:w w:val="100"/>
          <w:position w:val="0"/>
        </w:rPr>
        <w:t>年度年终奖金及</w:t>
      </w:r>
      <w:r>
        <w:rPr>
          <w:rFonts w:ascii="Arial Narrow" w:eastAsia="Arial Narrow" w:hAnsi="Arial Narrow" w:cs="Arial Narrow"/>
          <w:color w:val="000000"/>
          <w:spacing w:val="0"/>
          <w:w w:val="100"/>
          <w:position w:val="0"/>
          <w:sz w:val="18"/>
          <w:szCs w:val="18"/>
        </w:rPr>
        <w:t>2013</w:t>
      </w:r>
      <w:r>
        <w:rPr>
          <w:color w:val="000000"/>
          <w:spacing w:val="0"/>
          <w:w w:val="100"/>
          <w:position w:val="0"/>
        </w:rPr>
        <w:t>年</w:t>
      </w:r>
      <w:r>
        <w:rPr>
          <w:rFonts w:ascii="Arial Narrow" w:eastAsia="Arial Narrow" w:hAnsi="Arial Narrow" w:cs="Arial Narrow"/>
          <w:color w:val="000000"/>
          <w:spacing w:val="0"/>
          <w:w w:val="100"/>
          <w:position w:val="0"/>
          <w:sz w:val="18"/>
          <w:szCs w:val="18"/>
        </w:rPr>
        <w:t>12</w:t>
      </w:r>
      <w:r>
        <w:rPr>
          <w:color w:val="000000"/>
          <w:spacing w:val="0"/>
          <w:w w:val="100"/>
          <w:position w:val="0"/>
        </w:rPr>
        <w:t>月份工资，已于</w:t>
      </w:r>
      <w:r>
        <w:rPr>
          <w:rFonts w:ascii="Arial Narrow" w:eastAsia="Arial Narrow" w:hAnsi="Arial Narrow" w:cs="Arial Narrow"/>
          <w:color w:val="000000"/>
          <w:spacing w:val="0"/>
          <w:w w:val="100"/>
          <w:position w:val="0"/>
          <w:sz w:val="18"/>
          <w:szCs w:val="18"/>
        </w:rPr>
        <w:t>2014</w:t>
      </w:r>
      <w:r>
        <w:rPr>
          <w:color w:val="000000"/>
          <w:spacing w:val="0"/>
          <w:w w:val="100"/>
          <w:position w:val="0"/>
        </w:rPr>
        <w:t>年</w:t>
      </w:r>
      <w:r>
        <w:rPr>
          <w:rFonts w:ascii="Arial Narrow" w:eastAsia="Arial Narrow" w:hAnsi="Arial Narrow" w:cs="Arial Narrow"/>
          <w:color w:val="000000"/>
          <w:spacing w:val="0"/>
          <w:w w:val="100"/>
          <w:position w:val="0"/>
          <w:sz w:val="18"/>
          <w:szCs w:val="18"/>
        </w:rPr>
        <w:t>1</w:t>
      </w:r>
      <w:r>
        <w:rPr>
          <w:color w:val="000000"/>
          <w:spacing w:val="0"/>
          <w:w w:val="100"/>
          <w:position w:val="0"/>
        </w:rPr>
        <w:t>月份发放。</w:t>
      </w:r>
    </w:p>
    <w:p>
      <w:pPr>
        <w:pStyle w:val="Style38"/>
        <w:keepNext/>
        <w:keepLines/>
        <w:widowControl w:val="0"/>
        <w:shd w:val="clear" w:color="auto" w:fill="auto"/>
        <w:bidi w:val="0"/>
        <w:spacing w:before="0" w:after="360" w:line="240" w:lineRule="auto"/>
        <w:ind w:left="0" w:right="0" w:firstLine="0"/>
        <w:jc w:val="left"/>
      </w:pPr>
      <w:bookmarkStart w:id="1001" w:name="bookmark1001"/>
      <w:bookmarkStart w:id="1002" w:name="bookmark1002"/>
      <w:bookmarkStart w:id="1003" w:name="bookmark1003"/>
      <w:bookmarkStart w:id="1004" w:name="bookmark1004"/>
      <w:r>
        <w:rPr>
          <w:rFonts w:ascii="Times New Roman" w:eastAsia="Times New Roman" w:hAnsi="Times New Roman" w:cs="Times New Roman"/>
          <w:color w:val="000000"/>
          <w:spacing w:val="0"/>
          <w:w w:val="100"/>
          <w:position w:val="0"/>
        </w:rPr>
        <w:t>1</w:t>
      </w:r>
      <w:bookmarkEnd w:id="1003"/>
      <w:r>
        <w:rPr>
          <w:rFonts w:ascii="Times New Roman" w:eastAsia="Times New Roman" w:hAnsi="Times New Roman" w:cs="Times New Roman"/>
          <w:color w:val="000000"/>
          <w:spacing w:val="0"/>
          <w:w w:val="100"/>
          <w:position w:val="0"/>
        </w:rPr>
        <w:t>9</w:t>
      </w:r>
      <w:r>
        <w:rPr>
          <w:color w:val="000000"/>
          <w:spacing w:val="0"/>
          <w:w w:val="100"/>
          <w:position w:val="0"/>
        </w:rPr>
        <w:t>、应交税费</w:t>
      </w:r>
      <w:bookmarkEnd w:id="1001"/>
      <w:bookmarkEnd w:id="1002"/>
      <w:bookmarkEnd w:id="1004"/>
    </w:p>
    <w:p>
      <w:pPr>
        <w:pStyle w:val="Style3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4133"/>
        <w:gridCol w:w="2789"/>
        <w:gridCol w:w="2664"/>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88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14,025,368.96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5,377,817.96</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营业税</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362,594.11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474,348.92</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703,846.86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4,721,565.33</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个人所得税</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501,510.79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523,413.03</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239,870.00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114,893.68</w:t>
            </w:r>
          </w:p>
        </w:tc>
      </w:tr>
      <w:tr>
        <w:trPr>
          <w:trHeight w:val="398"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104,292.81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50,731.54</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地方教育费附加</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70,379.43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34,671.91</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堤围防护费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228,361.11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126,659.08</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印花税</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183,632.18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94,308.81</w:t>
            </w:r>
          </w:p>
        </w:tc>
      </w:tr>
      <w:tr>
        <w:trPr>
          <w:trHeight w:val="40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16,419,856.25</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11,518,410.26</w:t>
            </w:r>
          </w:p>
        </w:tc>
      </w:tr>
    </w:tbl>
    <w:p>
      <w:pPr>
        <w:widowControl w:val="0"/>
        <w:spacing w:after="359" w:line="1" w:lineRule="exact"/>
      </w:pPr>
    </w:p>
    <w:p>
      <w:pPr>
        <w:pStyle w:val="Style38"/>
        <w:keepNext/>
        <w:keepLines/>
        <w:widowControl w:val="0"/>
        <w:shd w:val="clear" w:color="auto" w:fill="auto"/>
        <w:bidi w:val="0"/>
        <w:spacing w:before="0" w:after="360" w:line="240" w:lineRule="auto"/>
        <w:ind w:left="0" w:right="0" w:firstLine="0"/>
        <w:jc w:val="left"/>
      </w:pPr>
      <w:bookmarkStart w:id="1005" w:name="bookmark1005"/>
      <w:bookmarkStart w:id="1006" w:name="bookmark1006"/>
      <w:bookmarkStart w:id="1007" w:name="bookmark1007"/>
      <w:bookmarkStart w:id="1008" w:name="bookmark1008"/>
      <w:r>
        <w:rPr>
          <w:rFonts w:ascii="Times New Roman" w:eastAsia="Times New Roman" w:hAnsi="Times New Roman" w:cs="Times New Roman"/>
          <w:color w:val="000000"/>
          <w:spacing w:val="0"/>
          <w:w w:val="100"/>
          <w:position w:val="0"/>
        </w:rPr>
        <w:t>2</w:t>
      </w:r>
      <w:bookmarkEnd w:id="1007"/>
      <w:r>
        <w:rPr>
          <w:rFonts w:ascii="Times New Roman" w:eastAsia="Times New Roman" w:hAnsi="Times New Roman" w:cs="Times New Roman"/>
          <w:color w:val="000000"/>
          <w:spacing w:val="0"/>
          <w:w w:val="100"/>
          <w:position w:val="0"/>
        </w:rPr>
        <w:t>0</w:t>
      </w:r>
      <w:r>
        <w:rPr>
          <w:color w:val="000000"/>
          <w:spacing w:val="0"/>
          <w:w w:val="100"/>
          <w:position w:val="0"/>
        </w:rPr>
        <w:t>、应付利息</w:t>
      </w:r>
      <w:bookmarkEnd w:id="1005"/>
      <w:bookmarkEnd w:id="1006"/>
      <w:bookmarkEnd w:id="1008"/>
    </w:p>
    <w:p>
      <w:pPr>
        <w:pStyle w:val="Style3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4133"/>
        <w:gridCol w:w="2789"/>
        <w:gridCol w:w="2664"/>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88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分期付息到期还本的长期借款利息</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131,541.65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150,333.34</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短期借款应付利息</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342,045.00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186,175.00</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473,586.65</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336,508.34</w:t>
            </w:r>
          </w:p>
        </w:tc>
      </w:tr>
    </w:tbl>
    <w:p>
      <w:pPr>
        <w:widowControl w:val="0"/>
        <w:spacing w:after="359" w:line="1" w:lineRule="exact"/>
      </w:pPr>
    </w:p>
    <w:p>
      <w:pPr>
        <w:pStyle w:val="Style38"/>
        <w:keepNext/>
        <w:keepLines/>
        <w:widowControl w:val="0"/>
        <w:shd w:val="clear" w:color="auto" w:fill="auto"/>
        <w:bidi w:val="0"/>
        <w:spacing w:before="0" w:after="400" w:line="240" w:lineRule="auto"/>
        <w:ind w:left="0" w:right="0" w:firstLine="0"/>
        <w:jc w:val="left"/>
      </w:pPr>
      <w:bookmarkStart w:id="1009" w:name="bookmark1009"/>
      <w:bookmarkStart w:id="1010" w:name="bookmark1010"/>
      <w:bookmarkStart w:id="1011" w:name="bookmark1011"/>
      <w:bookmarkStart w:id="1012" w:name="bookmark1012"/>
      <w:r>
        <w:rPr>
          <w:rFonts w:ascii="Times New Roman" w:eastAsia="Times New Roman" w:hAnsi="Times New Roman" w:cs="Times New Roman"/>
          <w:color w:val="000000"/>
          <w:spacing w:val="0"/>
          <w:w w:val="100"/>
          <w:position w:val="0"/>
        </w:rPr>
        <w:t>2</w:t>
      </w:r>
      <w:bookmarkEnd w:id="1011"/>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009"/>
      <w:bookmarkEnd w:id="1010"/>
      <w:bookmarkEnd w:id="1012"/>
    </w:p>
    <w:p>
      <w:pPr>
        <w:pStyle w:val="Style38"/>
        <w:keepNext/>
        <w:keepLines/>
        <w:widowControl w:val="0"/>
        <w:shd w:val="clear" w:color="auto" w:fill="auto"/>
        <w:bidi w:val="0"/>
        <w:spacing w:before="0" w:after="360" w:line="240" w:lineRule="auto"/>
        <w:ind w:left="0" w:right="0" w:firstLine="0"/>
        <w:jc w:val="left"/>
      </w:pPr>
      <w:bookmarkStart w:id="1009" w:name="bookmark1009"/>
      <w:bookmarkStart w:id="1010" w:name="bookmark1010"/>
      <w:bookmarkStart w:id="1013" w:name="bookmark101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）其他应付款情况</w:t>
      </w:r>
      <w:bookmarkEnd w:id="1009"/>
      <w:bookmarkEnd w:id="1010"/>
      <w:bookmarkEnd w:id="1013"/>
    </w:p>
    <w:p>
      <w:pPr>
        <w:pStyle w:val="Style3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3730"/>
        <w:gridCol w:w="3058"/>
        <w:gridCol w:w="2798"/>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383,607.87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93,703.02</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12,343.00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r>
      <w:tr>
        <w:trPr>
          <w:trHeight w:val="40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395,950.87</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113,703.02</w:t>
            </w:r>
          </w:p>
        </w:tc>
      </w:tr>
    </w:tbl>
    <w:p>
      <w:pPr>
        <w:spacing w:lineRule="exact" w:line="1"/>
        <w:rPr>
          <w:sz w:val="2"/>
          <w:szCs w:val="2"/>
        </w:rPr>
      </w:pPr>
      <w:r>
        <w:br w:type="page"/>
      </w:r>
    </w:p>
    <w:p>
      <w:pPr>
        <w:pStyle w:val="Style38"/>
        <w:keepNext/>
        <w:keepLines/>
        <w:widowControl w:val="0"/>
        <w:numPr>
          <w:ilvl w:val="0"/>
          <w:numId w:val="21"/>
        </w:numPr>
        <w:shd w:val="clear" w:color="auto" w:fill="auto"/>
        <w:bidi w:val="0"/>
        <w:spacing w:before="0" w:after="100" w:line="528" w:lineRule="exact"/>
        <w:ind w:left="0" w:right="0" w:firstLine="0"/>
        <w:jc w:val="left"/>
        <w:rPr>
          <w:sz w:val="17"/>
          <w:szCs w:val="17"/>
        </w:rPr>
      </w:pPr>
      <w:bookmarkStart w:id="1014" w:name="bookmark1014"/>
      <w:bookmarkStart w:id="1015" w:name="bookmark1015"/>
      <w:bookmarkStart w:id="1016" w:name="bookmark1016"/>
      <w:bookmarkStart w:id="1017" w:name="bookmark1017"/>
      <w:bookmarkEnd w:id="1016"/>
      <w:r>
        <w:rPr>
          <w:color w:val="000000"/>
          <w:spacing w:val="0"/>
          <w:w w:val="100"/>
          <w:position w:val="0"/>
          <w:sz w:val="20"/>
          <w:szCs w:val="20"/>
        </w:rPr>
        <w:t xml:space="preserve"> 本报告期其他应付款中应付持有公司</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%(含</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 xml:space="preserve">%)以上表决权股份的股东单位款项 </w:t>
      </w:r>
      <w:r>
        <w:rPr>
          <w:b w:val="0"/>
          <w:bCs w:val="0"/>
          <w:color w:val="000000"/>
          <w:spacing w:val="0"/>
          <w:w w:val="100"/>
          <w:position w:val="0"/>
          <w:sz w:val="17"/>
          <w:szCs w:val="17"/>
        </w:rPr>
        <w:t>无。</w:t>
      </w:r>
      <w:bookmarkEnd w:id="1014"/>
      <w:bookmarkEnd w:id="1015"/>
      <w:bookmarkEnd w:id="1017"/>
    </w:p>
    <w:p>
      <w:pPr>
        <w:pStyle w:val="Style38"/>
        <w:keepNext/>
        <w:keepLines/>
        <w:widowControl w:val="0"/>
        <w:numPr>
          <w:ilvl w:val="0"/>
          <w:numId w:val="21"/>
        </w:numPr>
        <w:shd w:val="clear" w:color="auto" w:fill="auto"/>
        <w:tabs>
          <w:tab w:pos="493" w:val="left"/>
        </w:tabs>
        <w:bidi w:val="0"/>
        <w:spacing w:before="0" w:after="300" w:line="528" w:lineRule="exact"/>
        <w:ind w:left="0" w:right="0" w:firstLine="0"/>
        <w:jc w:val="left"/>
      </w:pPr>
      <w:bookmarkStart w:id="1014" w:name="bookmark1014"/>
      <w:bookmarkStart w:id="1015" w:name="bookmark1015"/>
      <w:bookmarkStart w:id="1018" w:name="bookmark1018"/>
      <w:bookmarkStart w:id="1019" w:name="bookmark1019"/>
      <w:bookmarkEnd w:id="1018"/>
      <w:r>
        <w:rPr>
          <w:color w:val="000000"/>
          <w:spacing w:val="0"/>
          <w:w w:val="100"/>
          <w:position w:val="0"/>
        </w:rPr>
        <w:t>账龄超过一年的大额其他应付款情况的说明</w:t>
      </w:r>
      <w:bookmarkEnd w:id="1014"/>
      <w:bookmarkEnd w:id="1015"/>
      <w:bookmarkEnd w:id="1019"/>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38"/>
        <w:keepNext/>
        <w:keepLines/>
        <w:widowControl w:val="0"/>
        <w:numPr>
          <w:ilvl w:val="0"/>
          <w:numId w:val="21"/>
        </w:numPr>
        <w:shd w:val="clear" w:color="auto" w:fill="auto"/>
        <w:tabs>
          <w:tab w:pos="493" w:val="left"/>
        </w:tabs>
        <w:bidi w:val="0"/>
        <w:spacing w:before="0" w:after="300" w:line="528" w:lineRule="exact"/>
        <w:ind w:left="0" w:right="0" w:firstLine="0"/>
        <w:jc w:val="left"/>
      </w:pPr>
      <w:bookmarkStart w:id="1020" w:name="bookmark1020"/>
      <w:bookmarkStart w:id="1021" w:name="bookmark1021"/>
      <w:bookmarkStart w:id="1022" w:name="bookmark1022"/>
      <w:bookmarkStart w:id="1023" w:name="bookmark1023"/>
      <w:bookmarkEnd w:id="1022"/>
      <w:r>
        <w:rPr>
          <w:color w:val="000000"/>
          <w:spacing w:val="0"/>
          <w:w w:val="100"/>
          <w:position w:val="0"/>
        </w:rPr>
        <w:t>金额较大的其他应付款说明内容</w:t>
      </w:r>
      <w:bookmarkEnd w:id="1020"/>
      <w:bookmarkEnd w:id="1021"/>
      <w:bookmarkEnd w:id="1023"/>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38"/>
        <w:keepNext/>
        <w:keepLines/>
        <w:widowControl w:val="0"/>
        <w:shd w:val="clear" w:color="auto" w:fill="auto"/>
        <w:bidi w:val="0"/>
        <w:spacing w:before="0" w:after="100" w:line="528" w:lineRule="exact"/>
        <w:ind w:left="0" w:right="0" w:firstLine="0"/>
        <w:jc w:val="left"/>
      </w:pPr>
      <w:bookmarkStart w:id="1024" w:name="bookmark1024"/>
      <w:bookmarkStart w:id="1025" w:name="bookmark1025"/>
      <w:bookmarkStart w:id="1026" w:name="bookmark1026"/>
      <w:bookmarkStart w:id="1027" w:name="bookmark1027"/>
      <w:r>
        <w:rPr>
          <w:rFonts w:ascii="Times New Roman" w:eastAsia="Times New Roman" w:hAnsi="Times New Roman" w:cs="Times New Roman"/>
          <w:color w:val="000000"/>
          <w:spacing w:val="0"/>
          <w:w w:val="100"/>
          <w:position w:val="0"/>
        </w:rPr>
        <w:t>2</w:t>
      </w:r>
      <w:bookmarkEnd w:id="1026"/>
      <w:r>
        <w:rPr>
          <w:rFonts w:ascii="Times New Roman" w:eastAsia="Times New Roman" w:hAnsi="Times New Roman" w:cs="Times New Roman"/>
          <w:color w:val="000000"/>
          <w:spacing w:val="0"/>
          <w:w w:val="100"/>
          <w:position w:val="0"/>
        </w:rPr>
        <w:t>2</w:t>
      </w:r>
      <w:r>
        <w:rPr>
          <w:color w:val="000000"/>
          <w:spacing w:val="0"/>
          <w:w w:val="100"/>
          <w:position w:val="0"/>
        </w:rPr>
        <w:t>、长期借款</w:t>
      </w:r>
      <w:bookmarkEnd w:id="1024"/>
      <w:bookmarkEnd w:id="1025"/>
      <w:bookmarkEnd w:id="1027"/>
    </w:p>
    <w:p>
      <w:pPr>
        <w:pStyle w:val="Style38"/>
        <w:keepNext/>
        <w:keepLines/>
        <w:widowControl w:val="0"/>
        <w:shd w:val="clear" w:color="auto" w:fill="auto"/>
        <w:bidi w:val="0"/>
        <w:spacing w:before="0" w:after="380" w:line="528" w:lineRule="exact"/>
        <w:ind w:left="0" w:right="0" w:firstLine="0"/>
        <w:jc w:val="left"/>
      </w:pPr>
      <w:bookmarkStart w:id="1024" w:name="bookmark1024"/>
      <w:bookmarkStart w:id="1025" w:name="bookmark1025"/>
      <w:bookmarkStart w:id="1028" w:name="bookmark102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024"/>
      <w:bookmarkEnd w:id="1025"/>
      <w:bookmarkEnd w:id="1028"/>
    </w:p>
    <w:p>
      <w:pPr>
        <w:pStyle w:val="Style3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600"/>
        <w:gridCol w:w="2918"/>
        <w:gridCol w:w="3067"/>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抵押借款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70,000,000.00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80,000,000.00</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70,000,000.00</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80,000,000.00</w:t>
            </w:r>
          </w:p>
        </w:tc>
      </w:tr>
    </w:tbl>
    <w:p>
      <w:pPr>
        <w:widowControl w:val="0"/>
        <w:spacing w:after="99" w:line="1" w:lineRule="exact"/>
      </w:pPr>
    </w:p>
    <w:p>
      <w:pPr>
        <w:pStyle w:val="Style35"/>
        <w:keepNext w:val="0"/>
        <w:keepLines w:val="0"/>
        <w:widowControl w:val="0"/>
        <w:shd w:val="clear" w:color="auto" w:fill="auto"/>
        <w:bidi w:val="0"/>
        <w:spacing w:before="0" w:after="40" w:line="240" w:lineRule="auto"/>
        <w:ind w:left="0" w:right="0" w:firstLine="0"/>
        <w:jc w:val="left"/>
      </w:pPr>
      <w:r>
        <w:rPr>
          <w:color w:val="000000"/>
          <w:spacing w:val="0"/>
          <w:w w:val="100"/>
          <w:position w:val="0"/>
        </w:rPr>
        <w:t>长期借款分类的说明</w:t>
      </w:r>
    </w:p>
    <w:p>
      <w:pPr>
        <w:pStyle w:val="Style35"/>
        <w:keepNext w:val="0"/>
        <w:keepLines w:val="0"/>
        <w:widowControl w:val="0"/>
        <w:shd w:val="clear" w:color="auto" w:fill="auto"/>
        <w:bidi w:val="0"/>
        <w:spacing w:before="0" w:after="220" w:line="360" w:lineRule="exact"/>
        <w:ind w:left="0" w:right="0" w:firstLine="440"/>
        <w:jc w:val="left"/>
      </w:pPr>
      <w:r>
        <w:rPr>
          <w:color w:val="000000"/>
          <w:spacing w:val="0"/>
          <w:w w:val="100"/>
          <w:position w:val="0"/>
        </w:rPr>
        <w:t>长期借款期末余额</w:t>
      </w:r>
      <w:r>
        <w:rPr>
          <w:rFonts w:ascii="Times New Roman" w:eastAsia="Times New Roman" w:hAnsi="Times New Roman" w:cs="Times New Roman"/>
          <w:color w:val="000000"/>
          <w:spacing w:val="0"/>
          <w:w w:val="100"/>
          <w:position w:val="0"/>
        </w:rPr>
        <w:t>70,000,000.00</w:t>
      </w:r>
      <w:r>
        <w:rPr>
          <w:color w:val="000000"/>
          <w:spacing w:val="0"/>
          <w:w w:val="100"/>
          <w:position w:val="0"/>
        </w:rPr>
        <w:t>元，系公司于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 xml:space="preserve">月向招商银行广州分行借入，年利率为 </w:t>
      </w:r>
      <w:r>
        <w:rPr>
          <w:rFonts w:ascii="Times New Roman" w:eastAsia="Times New Roman" w:hAnsi="Times New Roman" w:cs="Times New Roman"/>
          <w:color w:val="000000"/>
          <w:spacing w:val="0"/>
          <w:w w:val="100"/>
          <w:position w:val="0"/>
        </w:rPr>
        <w:t>6.15%</w:t>
      </w:r>
      <w:r>
        <w:rPr>
          <w:color w:val="000000"/>
          <w:spacing w:val="0"/>
          <w:w w:val="100"/>
          <w:position w:val="0"/>
        </w:rPr>
        <w:t>，借款期限为</w:t>
      </w:r>
      <w:r>
        <w:rPr>
          <w:rFonts w:ascii="Times New Roman" w:eastAsia="Times New Roman" w:hAnsi="Times New Roman" w:cs="Times New Roman"/>
          <w:color w:val="000000"/>
          <w:spacing w:val="0"/>
          <w:w w:val="100"/>
          <w:position w:val="0"/>
        </w:rPr>
        <w:t>3</w:t>
      </w:r>
      <w:r>
        <w:rPr>
          <w:color w:val="000000"/>
          <w:spacing w:val="0"/>
          <w:w w:val="100"/>
          <w:position w:val="0"/>
        </w:rPr>
        <w:t>年，由公司以位于广州市天河区科韵路</w:t>
      </w:r>
      <w:r>
        <w:rPr>
          <w:rFonts w:ascii="Times New Roman" w:eastAsia="Times New Roman" w:hAnsi="Times New Roman" w:cs="Times New Roman"/>
          <w:color w:val="000000"/>
          <w:spacing w:val="0"/>
          <w:w w:val="100"/>
          <w:position w:val="0"/>
        </w:rPr>
        <w:t>16</w:t>
      </w:r>
      <w:r>
        <w:rPr>
          <w:color w:val="000000"/>
          <w:spacing w:val="0"/>
          <w:w w:val="100"/>
          <w:position w:val="0"/>
        </w:rPr>
        <w:t>号自编</w:t>
      </w:r>
      <w:r>
        <w:rPr>
          <w:rFonts w:ascii="Times New Roman" w:eastAsia="Times New Roman" w:hAnsi="Times New Roman" w:cs="Times New Roman"/>
          <w:color w:val="000000"/>
          <w:spacing w:val="0"/>
          <w:w w:val="100"/>
          <w:position w:val="0"/>
        </w:rPr>
        <w:t>1</w:t>
      </w:r>
      <w:r>
        <w:rPr>
          <w:color w:val="000000"/>
          <w:spacing w:val="0"/>
          <w:w w:val="100"/>
          <w:position w:val="0"/>
        </w:rPr>
        <w:t>栋</w:t>
      </w:r>
      <w:r>
        <w:rPr>
          <w:rFonts w:ascii="Times New Roman" w:eastAsia="Times New Roman" w:hAnsi="Times New Roman" w:cs="Times New Roman"/>
          <w:color w:val="000000"/>
          <w:spacing w:val="0"/>
          <w:w w:val="100"/>
          <w:position w:val="0"/>
        </w:rPr>
        <w:t>2101</w:t>
      </w:r>
      <w:r>
        <w:rPr>
          <w:color w:val="000000"/>
          <w:spacing w:val="0"/>
          <w:w w:val="100"/>
          <w:position w:val="0"/>
        </w:rPr>
        <w:t>的房产</w:t>
      </w:r>
      <w:r>
        <w:rPr>
          <w:rFonts w:ascii="Times New Roman" w:eastAsia="Times New Roman" w:hAnsi="Times New Roman" w:cs="Times New Roman"/>
          <w:color w:val="000000"/>
          <w:spacing w:val="0"/>
          <w:w w:val="100"/>
          <w:position w:val="0"/>
        </w:rPr>
        <w:t>(</w:t>
      </w:r>
      <w:r>
        <w:rPr>
          <w:color w:val="000000"/>
          <w:spacing w:val="0"/>
          <w:w w:val="100"/>
          <w:position w:val="0"/>
        </w:rPr>
        <w:t xml:space="preserve">房产证号：穗字第 </w:t>
      </w:r>
      <w:r>
        <w:rPr>
          <w:rFonts w:ascii="Times New Roman" w:eastAsia="Times New Roman" w:hAnsi="Times New Roman" w:cs="Times New Roman"/>
          <w:color w:val="000000"/>
          <w:spacing w:val="0"/>
          <w:w w:val="100"/>
          <w:position w:val="0"/>
        </w:rPr>
        <w:t>0940039965</w:t>
      </w:r>
      <w:r>
        <w:rPr>
          <w:color w:val="000000"/>
          <w:spacing w:val="0"/>
          <w:w w:val="100"/>
          <w:position w:val="0"/>
        </w:rPr>
        <w:t>号)，账面原值为</w:t>
      </w:r>
      <w:r>
        <w:rPr>
          <w:rFonts w:ascii="Times New Roman" w:eastAsia="Times New Roman" w:hAnsi="Times New Roman" w:cs="Times New Roman"/>
          <w:color w:val="000000"/>
          <w:spacing w:val="0"/>
          <w:w w:val="100"/>
          <w:position w:val="0"/>
        </w:rPr>
        <w:t>15,422,126.20</w:t>
      </w:r>
      <w:r>
        <w:rPr>
          <w:color w:val="000000"/>
          <w:spacing w:val="0"/>
          <w:w w:val="100"/>
          <w:position w:val="0"/>
        </w:rPr>
        <w:t>元作为抵押。</w:t>
      </w:r>
    </w:p>
    <w:p>
      <w:pPr>
        <w:pStyle w:val="Style38"/>
        <w:keepNext/>
        <w:keepLines/>
        <w:widowControl w:val="0"/>
        <w:shd w:val="clear" w:color="auto" w:fill="auto"/>
        <w:bidi w:val="0"/>
        <w:spacing w:before="0" w:after="380" w:line="360" w:lineRule="exact"/>
        <w:ind w:left="0" w:right="0" w:firstLine="0"/>
        <w:jc w:val="left"/>
      </w:pPr>
      <w:bookmarkStart w:id="1029" w:name="bookmark1029"/>
      <w:bookmarkStart w:id="1030" w:name="bookmark1030"/>
      <w:bookmarkStart w:id="1031" w:name="bookmark103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)金额前五名的长期借款</w:t>
      </w:r>
      <w:bookmarkEnd w:id="1029"/>
      <w:bookmarkEnd w:id="1030"/>
      <w:bookmarkEnd w:id="1031"/>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054"/>
        <w:gridCol w:w="1608"/>
        <w:gridCol w:w="1608"/>
        <w:gridCol w:w="874"/>
        <w:gridCol w:w="874"/>
        <w:gridCol w:w="1243"/>
        <w:gridCol w:w="1248"/>
      </w:tblGrid>
      <w:tr>
        <w:trPr>
          <w:trHeight w:val="59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贷款单位</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借款起始日</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借款终止日</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币种</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340" w:firstLine="0"/>
              <w:jc w:val="right"/>
              <w:rPr>
                <w:sz w:val="17"/>
                <w:szCs w:val="17"/>
              </w:rPr>
            </w:pPr>
            <w:r>
              <w:rPr>
                <w:color w:val="000000"/>
                <w:spacing w:val="0"/>
                <w:w w:val="100"/>
                <w:position w:val="0"/>
                <w:sz w:val="17"/>
                <w:szCs w:val="17"/>
              </w:rPr>
              <w:t>期初数</w:t>
            </w:r>
          </w:p>
        </w:tc>
      </w:tr>
      <w:tr>
        <w:trPr>
          <w:trHeight w:val="715"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招商银行股份有限公司广</w:t>
            </w:r>
          </w:p>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州黄埔大道支行</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人民币元</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19,000,000.00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29,000,000.00</w:t>
            </w:r>
          </w:p>
        </w:tc>
      </w:tr>
      <w:tr>
        <w:trPr>
          <w:trHeight w:val="715"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招商银行股份有限公司广</w:t>
            </w:r>
          </w:p>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州黄埔大道支行</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人民币元</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51,000,000.00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51,000,000.00</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70,000,000.00</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80,000,000.00</w:t>
            </w:r>
          </w:p>
        </w:tc>
      </w:tr>
    </w:tbl>
    <w:p>
      <w:pPr>
        <w:widowControl w:val="0"/>
        <w:spacing w:after="299" w:line="1" w:lineRule="exact"/>
      </w:pPr>
    </w:p>
    <w:p>
      <w:pPr>
        <w:pStyle w:val="Style38"/>
        <w:keepNext/>
        <w:keepLines/>
        <w:widowControl w:val="0"/>
        <w:shd w:val="clear" w:color="auto" w:fill="auto"/>
        <w:bidi w:val="0"/>
        <w:spacing w:before="0" w:after="380" w:line="240" w:lineRule="auto"/>
        <w:ind w:left="0" w:right="0" w:firstLine="0"/>
        <w:jc w:val="left"/>
      </w:pPr>
      <w:bookmarkStart w:id="1032" w:name="bookmark1032"/>
      <w:bookmarkStart w:id="1033" w:name="bookmark1033"/>
      <w:bookmarkStart w:id="1034" w:name="bookmark1034"/>
      <w:bookmarkStart w:id="1035" w:name="bookmark1035"/>
      <w:r>
        <w:rPr>
          <w:rFonts w:ascii="Times New Roman" w:eastAsia="Times New Roman" w:hAnsi="Times New Roman" w:cs="Times New Roman"/>
          <w:color w:val="000000"/>
          <w:spacing w:val="0"/>
          <w:w w:val="100"/>
          <w:position w:val="0"/>
        </w:rPr>
        <w:t>2</w:t>
      </w:r>
      <w:bookmarkEnd w:id="1034"/>
      <w:r>
        <w:rPr>
          <w:rFonts w:ascii="Times New Roman" w:eastAsia="Times New Roman" w:hAnsi="Times New Roman" w:cs="Times New Roman"/>
          <w:color w:val="000000"/>
          <w:spacing w:val="0"/>
          <w:w w:val="100"/>
          <w:position w:val="0"/>
        </w:rPr>
        <w:t>3</w:t>
      </w:r>
      <w:r>
        <w:rPr>
          <w:color w:val="000000"/>
          <w:spacing w:val="0"/>
          <w:w w:val="100"/>
          <w:position w:val="0"/>
        </w:rPr>
        <w:t>、其他非流动负债</w:t>
      </w:r>
      <w:bookmarkEnd w:id="1032"/>
      <w:bookmarkEnd w:id="1033"/>
      <w:bookmarkEnd w:id="1035"/>
    </w:p>
    <w:p>
      <w:pPr>
        <w:pStyle w:val="Style27"/>
        <w:keepNext w:val="0"/>
        <w:keepLines w:val="0"/>
        <w:widowControl w:val="0"/>
        <w:shd w:val="clear" w:color="auto" w:fill="auto"/>
        <w:bidi w:val="0"/>
        <w:spacing w:before="0" w:after="160" w:line="240" w:lineRule="auto"/>
        <w:ind w:left="0" w:right="0" w:firstLine="0"/>
        <w:jc w:val="right"/>
      </w:pPr>
      <w:r>
        <w:rPr>
          <w:color w:val="000000"/>
          <w:spacing w:val="0"/>
          <w:w w:val="100"/>
          <w:position w:val="0"/>
        </w:rPr>
        <w:t>单位：元</w:t>
      </w:r>
    </w:p>
    <w:p>
      <w:pPr>
        <w:widowControl w:val="0"/>
        <w:spacing w:line="1" w:lineRule="exact"/>
      </w:pPr>
      <w:r>
        <mc:AlternateContent>
          <mc:Choice Requires="wps">
            <w:drawing>
              <wp:anchor distT="41275" distB="509270" distL="0" distR="0" simplePos="0" relativeHeight="125829420" behindDoc="0" locked="0" layoutInCell="1" allowOverlap="1">
                <wp:simplePos x="0" y="0"/>
                <wp:positionH relativeFrom="page">
                  <wp:posOffset>1822450</wp:posOffset>
                </wp:positionH>
                <wp:positionV relativeFrom="paragraph">
                  <wp:posOffset>41275</wp:posOffset>
                </wp:positionV>
                <wp:extent cx="252730" cy="146050"/>
                <wp:wrapTopAndBottom/>
                <wp:docPr id="597" name="Shape 597"/>
                <a:graphic xmlns:a="http://schemas.openxmlformats.org/drawingml/2006/main">
                  <a:graphicData uri="http://schemas.microsoft.com/office/word/2010/wordprocessingShape">
                    <wps:wsp>
                      <wps:cNvSpPr txBox="1"/>
                      <wps:spPr>
                        <a:xfrm>
                          <a:ext cx="252730" cy="146050"/>
                        </a:xfrm>
                        <a:prstGeom prst="rect"/>
                        <a:noFill/>
                      </wps:spPr>
                      <wps:txbx>
                        <w:txbxContent>
                          <w:p>
                            <w:pPr>
                              <w:pStyle w:val="Style27"/>
                              <w:keepNext w:val="0"/>
                              <w:keepLines w:val="0"/>
                              <w:widowControl w:val="0"/>
                              <w:pBdr>
                                <w:top w:val="single" w:sz="0" w:space="0" w:color="D3D3D3"/>
                                <w:left w:val="single" w:sz="0" w:space="1" w:color="D3D3D3"/>
                                <w:bottom w:val="single" w:sz="0" w:space="0" w:color="D3D3D3"/>
                                <w:right w:val="single" w:sz="0" w:space="1" w:color="D3D3D3"/>
                              </w:pBdr>
                              <w:shd w:val="clear" w:color="auto" w:fill="D3D3D3"/>
                              <w:bidi w:val="0"/>
                              <w:spacing w:before="0" w:after="0" w:line="240" w:lineRule="auto"/>
                              <w:ind w:left="0" w:right="0" w:firstLine="0"/>
                              <w:jc w:val="left"/>
                            </w:pPr>
                            <w:r>
                              <w:rPr>
                                <w:color w:val="000000"/>
                                <w:spacing w:val="0"/>
                                <w:w w:val="100"/>
                                <w:position w:val="0"/>
                              </w:rPr>
                              <w:t>项目</w:t>
                            </w:r>
                          </w:p>
                        </w:txbxContent>
                      </wps:txbx>
                      <wps:bodyPr wrap="none" lIns="0" tIns="0" rIns="0" bIns="0">
                        <a:noAutoFit/>
                      </wps:bodyPr>
                    </wps:wsp>
                  </a:graphicData>
                </a:graphic>
              </wp:anchor>
            </w:drawing>
          </mc:Choice>
          <mc:Fallback>
            <w:pict>
              <v:shape id="_x0000_s1623" type="#_x0000_t202" style="position:absolute;margin-left:143.5pt;margin-top:3.25pt;width:19.900000000000002pt;height:11.5pt;z-index:-125829333;mso-wrap-distance-left:0;mso-wrap-distance-top:3.25pt;mso-wrap-distance-right:0;mso-wrap-distance-bottom:40.100000000000001pt;mso-position-horizontal-relative:page" filled="f" stroked="f">
                <v:textbox inset="0,0,0,0">
                  <w:txbxContent>
                    <w:p>
                      <w:pPr>
                        <w:pStyle w:val="Style27"/>
                        <w:keepNext w:val="0"/>
                        <w:keepLines w:val="0"/>
                        <w:widowControl w:val="0"/>
                        <w:pBdr>
                          <w:top w:val="single" w:sz="0" w:space="0" w:color="D3D3D3"/>
                          <w:left w:val="single" w:sz="0" w:space="1" w:color="D3D3D3"/>
                          <w:bottom w:val="single" w:sz="0" w:space="0" w:color="D3D3D3"/>
                          <w:right w:val="single" w:sz="0" w:space="1" w:color="D3D3D3"/>
                        </w:pBdr>
                        <w:shd w:val="clear" w:color="auto" w:fill="D3D3D3"/>
                        <w:bidi w:val="0"/>
                        <w:spacing w:before="0" w:after="0" w:line="240" w:lineRule="auto"/>
                        <w:ind w:left="0" w:right="0" w:firstLine="0"/>
                        <w:jc w:val="left"/>
                      </w:pPr>
                      <w:r>
                        <w:rPr>
                          <w:color w:val="000000"/>
                          <w:spacing w:val="0"/>
                          <w:w w:val="100"/>
                          <w:position w:val="0"/>
                        </w:rPr>
                        <w:t>项目</w:t>
                      </w:r>
                    </w:p>
                  </w:txbxContent>
                </v:textbox>
                <w10:wrap type="topAndBottom" anchorx="page"/>
              </v:shape>
            </w:pict>
          </mc:Fallback>
        </mc:AlternateContent>
      </w:r>
      <w:r>
        <mc:AlternateContent>
          <mc:Choice Requires="wps">
            <w:drawing>
              <wp:anchor distT="38100" distB="514985" distL="0" distR="0" simplePos="0" relativeHeight="125829422" behindDoc="0" locked="0" layoutInCell="1" allowOverlap="1">
                <wp:simplePos x="0" y="0"/>
                <wp:positionH relativeFrom="page">
                  <wp:posOffset>3660140</wp:posOffset>
                </wp:positionH>
                <wp:positionV relativeFrom="paragraph">
                  <wp:posOffset>38100</wp:posOffset>
                </wp:positionV>
                <wp:extent cx="709930" cy="143510"/>
                <wp:wrapTopAndBottom/>
                <wp:docPr id="599" name="Shape 599"/>
                <a:graphic xmlns:a="http://schemas.openxmlformats.org/drawingml/2006/main">
                  <a:graphicData uri="http://schemas.microsoft.com/office/word/2010/wordprocessingShape">
                    <wps:wsp>
                      <wps:cNvSpPr txBox="1"/>
                      <wps:spPr>
                        <a:xfrm>
                          <a:ext cx="709930" cy="143510"/>
                        </a:xfrm>
                        <a:prstGeom prst="rect"/>
                        <a:noFill/>
                      </wps:spPr>
                      <wps:txbx>
                        <w:txbxContent>
                          <w:p>
                            <w:pPr>
                              <w:pStyle w:val="Style27"/>
                              <w:keepNext w:val="0"/>
                              <w:keepLines w:val="0"/>
                              <w:widowControl w:val="0"/>
                              <w:pBdr>
                                <w:top w:val="single" w:sz="0" w:space="0" w:color="D3D3D3"/>
                                <w:left w:val="single" w:sz="0" w:space="1" w:color="D3D3D3"/>
                                <w:bottom w:val="single" w:sz="0" w:space="0" w:color="D3D3D3"/>
                                <w:right w:val="single" w:sz="0" w:space="1" w:color="D3D3D3"/>
                              </w:pBdr>
                              <w:shd w:val="clear" w:color="auto" w:fill="D3D3D3"/>
                              <w:bidi w:val="0"/>
                              <w:spacing w:before="0" w:after="0" w:line="240" w:lineRule="auto"/>
                              <w:ind w:left="0" w:right="0" w:firstLine="0"/>
                              <w:jc w:val="left"/>
                            </w:pPr>
                            <w:r>
                              <w:rPr>
                                <w:color w:val="000000"/>
                                <w:spacing w:val="0"/>
                                <w:w w:val="100"/>
                                <w:position w:val="0"/>
                              </w:rPr>
                              <w:t>期末账面余额</w:t>
                            </w:r>
                          </w:p>
                        </w:txbxContent>
                      </wps:txbx>
                      <wps:bodyPr wrap="none" lIns="0" tIns="0" rIns="0" bIns="0">
                        <a:noAutoFit/>
                      </wps:bodyPr>
                    </wps:wsp>
                  </a:graphicData>
                </a:graphic>
              </wp:anchor>
            </w:drawing>
          </mc:Choice>
          <mc:Fallback>
            <w:pict>
              <v:shape id="_x0000_s1625" type="#_x0000_t202" style="position:absolute;margin-left:288.19999999999999pt;margin-top:3.pt;width:55.899999999999999pt;height:11.300000000000001pt;z-index:-125829331;mso-wrap-distance-left:0;mso-wrap-distance-top:3.pt;mso-wrap-distance-right:0;mso-wrap-distance-bottom:40.550000000000004pt;mso-position-horizontal-relative:page" filled="f" stroked="f">
                <v:textbox inset="0,0,0,0">
                  <w:txbxContent>
                    <w:p>
                      <w:pPr>
                        <w:pStyle w:val="Style27"/>
                        <w:keepNext w:val="0"/>
                        <w:keepLines w:val="0"/>
                        <w:widowControl w:val="0"/>
                        <w:pBdr>
                          <w:top w:val="single" w:sz="0" w:space="0" w:color="D3D3D3"/>
                          <w:left w:val="single" w:sz="0" w:space="1" w:color="D3D3D3"/>
                          <w:bottom w:val="single" w:sz="0" w:space="0" w:color="D3D3D3"/>
                          <w:right w:val="single" w:sz="0" w:space="1" w:color="D3D3D3"/>
                        </w:pBdr>
                        <w:shd w:val="clear" w:color="auto" w:fill="D3D3D3"/>
                        <w:bidi w:val="0"/>
                        <w:spacing w:before="0" w:after="0" w:line="240" w:lineRule="auto"/>
                        <w:ind w:left="0" w:right="0" w:firstLine="0"/>
                        <w:jc w:val="left"/>
                      </w:pPr>
                      <w:r>
                        <w:rPr>
                          <w:color w:val="000000"/>
                          <w:spacing w:val="0"/>
                          <w:w w:val="100"/>
                          <w:position w:val="0"/>
                        </w:rPr>
                        <w:t>期末账面余额</w:t>
                      </w:r>
                    </w:p>
                  </w:txbxContent>
                </v:textbox>
                <w10:wrap type="topAndBottom" anchorx="page"/>
              </v:shape>
            </w:pict>
          </mc:Fallback>
        </mc:AlternateContent>
      </w:r>
      <w:r>
        <mc:AlternateContent>
          <mc:Choice Requires="wps">
            <w:drawing>
              <wp:anchor distT="38100" distB="509270" distL="0" distR="0" simplePos="0" relativeHeight="125829424" behindDoc="0" locked="0" layoutInCell="1" allowOverlap="1">
                <wp:simplePos x="0" y="0"/>
                <wp:positionH relativeFrom="page">
                  <wp:posOffset>5516880</wp:posOffset>
                </wp:positionH>
                <wp:positionV relativeFrom="paragraph">
                  <wp:posOffset>38100</wp:posOffset>
                </wp:positionV>
                <wp:extent cx="709930" cy="149225"/>
                <wp:wrapTopAndBottom/>
                <wp:docPr id="601" name="Shape 601"/>
                <a:graphic xmlns:a="http://schemas.openxmlformats.org/drawingml/2006/main">
                  <a:graphicData uri="http://schemas.microsoft.com/office/word/2010/wordprocessingShape">
                    <wps:wsp>
                      <wps:cNvSpPr txBox="1"/>
                      <wps:spPr>
                        <a:xfrm>
                          <a:ext cx="709930" cy="149225"/>
                        </a:xfrm>
                        <a:prstGeom prst="rect"/>
                        <a:noFill/>
                      </wps:spPr>
                      <wps:txbx>
                        <w:txbxContent>
                          <w:p>
                            <w:pPr>
                              <w:pStyle w:val="Style27"/>
                              <w:keepNext w:val="0"/>
                              <w:keepLines w:val="0"/>
                              <w:widowControl w:val="0"/>
                              <w:pBdr>
                                <w:top w:val="single" w:sz="0" w:space="0" w:color="D3D3D3"/>
                                <w:left w:val="single" w:sz="0" w:space="1" w:color="D3D3D3"/>
                                <w:bottom w:val="single" w:sz="0" w:space="0" w:color="D3D3D3"/>
                                <w:right w:val="single" w:sz="0" w:space="1" w:color="D3D3D3"/>
                              </w:pBdr>
                              <w:shd w:val="clear" w:color="auto" w:fill="D3D3D3"/>
                              <w:bidi w:val="0"/>
                              <w:spacing w:before="0" w:after="0" w:line="240" w:lineRule="auto"/>
                              <w:ind w:left="0" w:right="0" w:firstLine="0"/>
                              <w:jc w:val="right"/>
                            </w:pPr>
                            <w:r>
                              <w:rPr>
                                <w:color w:val="000000"/>
                                <w:spacing w:val="0"/>
                                <w:w w:val="100"/>
                                <w:position w:val="0"/>
                              </w:rPr>
                              <w:t>期初账面余额</w:t>
                            </w:r>
                          </w:p>
                        </w:txbxContent>
                      </wps:txbx>
                      <wps:bodyPr wrap="none" lIns="0" tIns="0" rIns="0" bIns="0">
                        <a:noAutoFit/>
                      </wps:bodyPr>
                    </wps:wsp>
                  </a:graphicData>
                </a:graphic>
              </wp:anchor>
            </w:drawing>
          </mc:Choice>
          <mc:Fallback>
            <w:pict>
              <v:shape id="_x0000_s1627" type="#_x0000_t202" style="position:absolute;margin-left:434.40000000000003pt;margin-top:3.pt;width:55.899999999999999pt;height:11.75pt;z-index:-125829329;mso-wrap-distance-left:0;mso-wrap-distance-top:3.pt;mso-wrap-distance-right:0;mso-wrap-distance-bottom:40.100000000000001pt;mso-position-horizontal-relative:page" filled="f" stroked="f">
                <v:textbox inset="0,0,0,0">
                  <w:txbxContent>
                    <w:p>
                      <w:pPr>
                        <w:pStyle w:val="Style27"/>
                        <w:keepNext w:val="0"/>
                        <w:keepLines w:val="0"/>
                        <w:widowControl w:val="0"/>
                        <w:pBdr>
                          <w:top w:val="single" w:sz="0" w:space="0" w:color="D3D3D3"/>
                          <w:left w:val="single" w:sz="0" w:space="1" w:color="D3D3D3"/>
                          <w:bottom w:val="single" w:sz="0" w:space="0" w:color="D3D3D3"/>
                          <w:right w:val="single" w:sz="0" w:space="1" w:color="D3D3D3"/>
                        </w:pBdr>
                        <w:shd w:val="clear" w:color="auto" w:fill="D3D3D3"/>
                        <w:bidi w:val="0"/>
                        <w:spacing w:before="0" w:after="0" w:line="240" w:lineRule="auto"/>
                        <w:ind w:left="0" w:right="0" w:firstLine="0"/>
                        <w:jc w:val="right"/>
                      </w:pPr>
                      <w:r>
                        <w:rPr>
                          <w:color w:val="000000"/>
                          <w:spacing w:val="0"/>
                          <w:w w:val="100"/>
                          <w:position w:val="0"/>
                        </w:rPr>
                        <w:t>期初账面余额</w:t>
                      </w:r>
                    </w:p>
                  </w:txbxContent>
                </v:textbox>
                <w10:wrap type="topAndBottom" anchorx="page"/>
              </v:shape>
            </w:pict>
          </mc:Fallback>
        </mc:AlternateContent>
      </w:r>
      <w:r>
        <mc:AlternateContent>
          <mc:Choice Requires="wps">
            <w:drawing>
              <wp:anchor distT="294005" distB="0" distL="0" distR="0" simplePos="0" relativeHeight="125829426" behindDoc="0" locked="0" layoutInCell="1" allowOverlap="1">
                <wp:simplePos x="0" y="0"/>
                <wp:positionH relativeFrom="page">
                  <wp:posOffset>770890</wp:posOffset>
                </wp:positionH>
                <wp:positionV relativeFrom="paragraph">
                  <wp:posOffset>294005</wp:posOffset>
                </wp:positionV>
                <wp:extent cx="481330" cy="402590"/>
                <wp:wrapTopAndBottom/>
                <wp:docPr id="603" name="Shape 603"/>
                <a:graphic xmlns:a="http://schemas.openxmlformats.org/drawingml/2006/main">
                  <a:graphicData uri="http://schemas.microsoft.com/office/word/2010/wordprocessingShape">
                    <wps:wsp>
                      <wps:cNvSpPr txBox="1"/>
                      <wps:spPr>
                        <a:xfrm>
                          <a:ext cx="481330" cy="402590"/>
                        </a:xfrm>
                        <a:prstGeom prst="rect"/>
                        <a:noFill/>
                      </wps:spPr>
                      <wps:txbx>
                        <w:txbxContent>
                          <w:p>
                            <w:pPr>
                              <w:pStyle w:val="Style27"/>
                              <w:keepNext w:val="0"/>
                              <w:keepLines w:val="0"/>
                              <w:widowControl w:val="0"/>
                              <w:pBdr>
                                <w:top w:val="single" w:sz="0" w:space="0" w:color="D3D3D3"/>
                                <w:left w:val="single" w:sz="0" w:space="1" w:color="D3D3D3"/>
                                <w:bottom w:val="single" w:sz="0" w:space="0" w:color="D3D3D3"/>
                                <w:right w:val="single" w:sz="0" w:space="1" w:color="D3D3D3"/>
                              </w:pBdr>
                              <w:shd w:val="clear" w:color="auto" w:fill="D3D3D3"/>
                              <w:bidi w:val="0"/>
                              <w:spacing w:before="0" w:after="200" w:line="240" w:lineRule="auto"/>
                              <w:ind w:left="0" w:right="0" w:firstLine="0"/>
                              <w:jc w:val="left"/>
                            </w:pPr>
                            <w:r>
                              <w:rPr>
                                <w:color w:val="000000"/>
                                <w:spacing w:val="0"/>
                                <w:w w:val="100"/>
                                <w:position w:val="0"/>
                              </w:rPr>
                              <w:t>递延收益</w:t>
                            </w:r>
                          </w:p>
                          <w:p>
                            <w:pPr>
                              <w:pStyle w:val="Style27"/>
                              <w:keepNext w:val="0"/>
                              <w:keepLines w:val="0"/>
                              <w:widowControl w:val="0"/>
                              <w:pBdr>
                                <w:top w:val="single" w:sz="0" w:space="0" w:color="D3D3D3"/>
                                <w:left w:val="single" w:sz="0" w:space="1" w:color="D3D3D3"/>
                                <w:bottom w:val="single" w:sz="0" w:space="0" w:color="D3D3D3"/>
                                <w:right w:val="single" w:sz="0" w:space="1" w:color="D3D3D3"/>
                              </w:pBdr>
                              <w:shd w:val="clear" w:color="auto" w:fill="D3D3D3"/>
                              <w:bidi w:val="0"/>
                              <w:spacing w:before="0" w:after="0" w:line="240" w:lineRule="auto"/>
                              <w:ind w:left="0" w:right="0" w:firstLine="0"/>
                              <w:jc w:val="left"/>
                            </w:pPr>
                            <w:r>
                              <w:rPr>
                                <w:color w:val="000000"/>
                                <w:spacing w:val="0"/>
                                <w:w w:val="100"/>
                                <w:position w:val="0"/>
                              </w:rPr>
                              <w:t>合计</w:t>
                            </w:r>
                          </w:p>
                        </w:txbxContent>
                      </wps:txbx>
                      <wps:bodyPr lIns="0" tIns="0" rIns="0" bIns="0">
                        <a:noAutoFit/>
                      </wps:bodyPr>
                    </wps:wsp>
                  </a:graphicData>
                </a:graphic>
              </wp:anchor>
            </w:drawing>
          </mc:Choice>
          <mc:Fallback>
            <w:pict>
              <v:shape id="_x0000_s1629" type="#_x0000_t202" style="position:absolute;margin-left:60.700000000000003pt;margin-top:23.150000000000002pt;width:37.899999999999999pt;height:31.699999999999999pt;z-index:-125829327;mso-wrap-distance-left:0;mso-wrap-distance-top:23.150000000000002pt;mso-wrap-distance-right:0;mso-position-horizontal-relative:page" filled="f" stroked="f">
                <v:textbox inset="0,0,0,0">
                  <w:txbxContent>
                    <w:p>
                      <w:pPr>
                        <w:pStyle w:val="Style27"/>
                        <w:keepNext w:val="0"/>
                        <w:keepLines w:val="0"/>
                        <w:widowControl w:val="0"/>
                        <w:pBdr>
                          <w:top w:val="single" w:sz="0" w:space="0" w:color="D3D3D3"/>
                          <w:left w:val="single" w:sz="0" w:space="1" w:color="D3D3D3"/>
                          <w:bottom w:val="single" w:sz="0" w:space="0" w:color="D3D3D3"/>
                          <w:right w:val="single" w:sz="0" w:space="1" w:color="D3D3D3"/>
                        </w:pBdr>
                        <w:shd w:val="clear" w:color="auto" w:fill="D3D3D3"/>
                        <w:bidi w:val="0"/>
                        <w:spacing w:before="0" w:after="200" w:line="240" w:lineRule="auto"/>
                        <w:ind w:left="0" w:right="0" w:firstLine="0"/>
                        <w:jc w:val="left"/>
                      </w:pPr>
                      <w:r>
                        <w:rPr>
                          <w:color w:val="000000"/>
                          <w:spacing w:val="0"/>
                          <w:w w:val="100"/>
                          <w:position w:val="0"/>
                        </w:rPr>
                        <w:t>递延收益</w:t>
                      </w:r>
                    </w:p>
                    <w:p>
                      <w:pPr>
                        <w:pStyle w:val="Style27"/>
                        <w:keepNext w:val="0"/>
                        <w:keepLines w:val="0"/>
                        <w:widowControl w:val="0"/>
                        <w:pBdr>
                          <w:top w:val="single" w:sz="0" w:space="0" w:color="D3D3D3"/>
                          <w:left w:val="single" w:sz="0" w:space="1" w:color="D3D3D3"/>
                          <w:bottom w:val="single" w:sz="0" w:space="0" w:color="D3D3D3"/>
                          <w:right w:val="single" w:sz="0" w:space="1" w:color="D3D3D3"/>
                        </w:pBdr>
                        <w:shd w:val="clear" w:color="auto" w:fill="D3D3D3"/>
                        <w:bidi w:val="0"/>
                        <w:spacing w:before="0" w:after="0" w:line="240" w:lineRule="auto"/>
                        <w:ind w:left="0" w:right="0" w:firstLine="0"/>
                        <w:jc w:val="left"/>
                      </w:pPr>
                      <w:r>
                        <w:rPr>
                          <w:color w:val="000000"/>
                          <w:spacing w:val="0"/>
                          <w:w w:val="100"/>
                          <w:position w:val="0"/>
                        </w:rPr>
                        <w:t>合计</w:t>
                      </w:r>
                    </w:p>
                  </w:txbxContent>
                </v:textbox>
                <w10:wrap type="topAndBottom" anchorx="page"/>
              </v:shape>
            </w:pict>
          </mc:Fallback>
        </mc:AlternateContent>
      </w:r>
      <w:r>
        <mc:AlternateContent>
          <mc:Choice Requires="wps">
            <w:drawing>
              <wp:anchor distT="300355" distB="0" distL="0" distR="0" simplePos="0" relativeHeight="125829428" behindDoc="0" locked="0" layoutInCell="1" allowOverlap="1">
                <wp:simplePos x="0" y="0"/>
                <wp:positionH relativeFrom="page">
                  <wp:posOffset>4208780</wp:posOffset>
                </wp:positionH>
                <wp:positionV relativeFrom="paragraph">
                  <wp:posOffset>300355</wp:posOffset>
                </wp:positionV>
                <wp:extent cx="688975" cy="396240"/>
                <wp:wrapTopAndBottom/>
                <wp:docPr id="605" name="Shape 605"/>
                <a:graphic xmlns:a="http://schemas.openxmlformats.org/drawingml/2006/main">
                  <a:graphicData uri="http://schemas.microsoft.com/office/word/2010/wordprocessingShape">
                    <wps:wsp>
                      <wps:cNvSpPr txBox="1"/>
                      <wps:spPr>
                        <a:xfrm>
                          <a:ext cx="688975" cy="396240"/>
                        </a:xfrm>
                        <a:prstGeom prst="rect"/>
                        <a:noFill/>
                      </wps:spPr>
                      <wps:txbx>
                        <w:txbxContent>
                          <w:p>
                            <w:pPr>
                              <w:pStyle w:val="Style50"/>
                              <w:keepNext w:val="0"/>
                              <w:keepLines w:val="0"/>
                              <w:widowControl w:val="0"/>
                              <w:pBdr>
                                <w:top w:val="single" w:sz="0" w:space="0" w:color="D3D3D3"/>
                                <w:left w:val="single" w:sz="0" w:space="1" w:color="D3D3D3"/>
                                <w:bottom w:val="single" w:sz="0" w:space="0" w:color="D3D3D3"/>
                                <w:right w:val="single" w:sz="0" w:space="1" w:color="D3D3D3"/>
                              </w:pBdr>
                              <w:shd w:val="clear" w:color="auto" w:fill="D3D3D3"/>
                              <w:bidi w:val="0"/>
                              <w:spacing w:before="0" w:after="180" w:line="240" w:lineRule="auto"/>
                              <w:ind w:left="0" w:right="0" w:firstLine="0"/>
                              <w:jc w:val="left"/>
                            </w:pPr>
                            <w:r>
                              <w:rPr>
                                <w:color w:val="000000"/>
                                <w:spacing w:val="0"/>
                                <w:w w:val="100"/>
                                <w:position w:val="0"/>
                              </w:rPr>
                              <w:t>26,240,000.00</w:t>
                            </w:r>
                          </w:p>
                          <w:p>
                            <w:pPr>
                              <w:pStyle w:val="Style50"/>
                              <w:keepNext w:val="0"/>
                              <w:keepLines w:val="0"/>
                              <w:widowControl w:val="0"/>
                              <w:pBdr>
                                <w:top w:val="single" w:sz="0" w:space="0" w:color="D3D3D3"/>
                                <w:left w:val="single" w:sz="0" w:space="1" w:color="D3D3D3"/>
                                <w:bottom w:val="single" w:sz="0" w:space="0" w:color="D3D3D3"/>
                                <w:right w:val="single" w:sz="0" w:space="1" w:color="D3D3D3"/>
                              </w:pBdr>
                              <w:shd w:val="clear" w:color="auto" w:fill="D3D3D3"/>
                              <w:bidi w:val="0"/>
                              <w:spacing w:before="0" w:after="0" w:line="240" w:lineRule="auto"/>
                              <w:ind w:left="0" w:right="0" w:firstLine="0"/>
                              <w:jc w:val="left"/>
                            </w:pPr>
                            <w:r>
                              <w:rPr>
                                <w:color w:val="000000"/>
                                <w:spacing w:val="0"/>
                                <w:w w:val="100"/>
                                <w:position w:val="0"/>
                              </w:rPr>
                              <w:t>26,240,000.00</w:t>
                            </w:r>
                          </w:p>
                        </w:txbxContent>
                      </wps:txbx>
                      <wps:bodyPr lIns="0" tIns="0" rIns="0" bIns="0">
                        <a:noAutoFit/>
                      </wps:bodyPr>
                    </wps:wsp>
                  </a:graphicData>
                </a:graphic>
              </wp:anchor>
            </w:drawing>
          </mc:Choice>
          <mc:Fallback>
            <w:pict>
              <v:shape id="_x0000_s1631" type="#_x0000_t202" style="position:absolute;margin-left:331.40000000000003pt;margin-top:23.650000000000002pt;width:54.25pt;height:31.199999999999999pt;z-index:-125829325;mso-wrap-distance-left:0;mso-wrap-distance-top:23.650000000000002pt;mso-wrap-distance-right:0;mso-position-horizontal-relative:page" filled="f" stroked="f">
                <v:textbox inset="0,0,0,0">
                  <w:txbxContent>
                    <w:p>
                      <w:pPr>
                        <w:pStyle w:val="Style50"/>
                        <w:keepNext w:val="0"/>
                        <w:keepLines w:val="0"/>
                        <w:widowControl w:val="0"/>
                        <w:pBdr>
                          <w:top w:val="single" w:sz="0" w:space="0" w:color="D3D3D3"/>
                          <w:left w:val="single" w:sz="0" w:space="1" w:color="D3D3D3"/>
                          <w:bottom w:val="single" w:sz="0" w:space="0" w:color="D3D3D3"/>
                          <w:right w:val="single" w:sz="0" w:space="1" w:color="D3D3D3"/>
                        </w:pBdr>
                        <w:shd w:val="clear" w:color="auto" w:fill="D3D3D3"/>
                        <w:bidi w:val="0"/>
                        <w:spacing w:before="0" w:after="180" w:line="240" w:lineRule="auto"/>
                        <w:ind w:left="0" w:right="0" w:firstLine="0"/>
                        <w:jc w:val="left"/>
                      </w:pPr>
                      <w:r>
                        <w:rPr>
                          <w:color w:val="000000"/>
                          <w:spacing w:val="0"/>
                          <w:w w:val="100"/>
                          <w:position w:val="0"/>
                        </w:rPr>
                        <w:t>26,240,000.00</w:t>
                      </w:r>
                    </w:p>
                    <w:p>
                      <w:pPr>
                        <w:pStyle w:val="Style50"/>
                        <w:keepNext w:val="0"/>
                        <w:keepLines w:val="0"/>
                        <w:widowControl w:val="0"/>
                        <w:pBdr>
                          <w:top w:val="single" w:sz="0" w:space="0" w:color="D3D3D3"/>
                          <w:left w:val="single" w:sz="0" w:space="1" w:color="D3D3D3"/>
                          <w:bottom w:val="single" w:sz="0" w:space="0" w:color="D3D3D3"/>
                          <w:right w:val="single" w:sz="0" w:space="1" w:color="D3D3D3"/>
                        </w:pBdr>
                        <w:shd w:val="clear" w:color="auto" w:fill="D3D3D3"/>
                        <w:bidi w:val="0"/>
                        <w:spacing w:before="0" w:after="0" w:line="240" w:lineRule="auto"/>
                        <w:ind w:left="0" w:right="0" w:firstLine="0"/>
                        <w:jc w:val="left"/>
                      </w:pPr>
                      <w:r>
                        <w:rPr>
                          <w:color w:val="000000"/>
                          <w:spacing w:val="0"/>
                          <w:w w:val="100"/>
                          <w:position w:val="0"/>
                        </w:rPr>
                        <w:t>26,240,000.00</w:t>
                      </w:r>
                    </w:p>
                  </w:txbxContent>
                </v:textbox>
                <w10:wrap type="topAndBottom" anchorx="page"/>
              </v:shape>
            </w:pict>
          </mc:Fallback>
        </mc:AlternateContent>
      </w:r>
      <w:r>
        <mc:AlternateContent>
          <mc:Choice Requires="wps">
            <w:drawing>
              <wp:anchor distT="300355" distB="0" distL="0" distR="0" simplePos="0" relativeHeight="125829430" behindDoc="0" locked="0" layoutInCell="1" allowOverlap="1">
                <wp:simplePos x="0" y="0"/>
                <wp:positionH relativeFrom="page">
                  <wp:posOffset>6159500</wp:posOffset>
                </wp:positionH>
                <wp:positionV relativeFrom="paragraph">
                  <wp:posOffset>300355</wp:posOffset>
                </wp:positionV>
                <wp:extent cx="676910" cy="396240"/>
                <wp:wrapTopAndBottom/>
                <wp:docPr id="607" name="Shape 607"/>
                <a:graphic xmlns:a="http://schemas.openxmlformats.org/drawingml/2006/main">
                  <a:graphicData uri="http://schemas.microsoft.com/office/word/2010/wordprocessingShape">
                    <wps:wsp>
                      <wps:cNvSpPr txBox="1"/>
                      <wps:spPr>
                        <a:xfrm>
                          <a:ext cx="676910" cy="396240"/>
                        </a:xfrm>
                        <a:prstGeom prst="rect"/>
                        <a:noFill/>
                      </wps:spPr>
                      <wps:txbx>
                        <w:txbxContent>
                          <w:p>
                            <w:pPr>
                              <w:pStyle w:val="Style50"/>
                              <w:keepNext w:val="0"/>
                              <w:keepLines w:val="0"/>
                              <w:widowControl w:val="0"/>
                              <w:pBdr>
                                <w:top w:val="single" w:sz="0" w:space="0" w:color="D3D3D3"/>
                                <w:left w:val="single" w:sz="0" w:space="1" w:color="D3D3D3"/>
                                <w:bottom w:val="single" w:sz="0" w:space="0" w:color="D3D3D3"/>
                                <w:right w:val="single" w:sz="0" w:space="1" w:color="D3D3D3"/>
                              </w:pBdr>
                              <w:shd w:val="clear" w:color="auto" w:fill="D3D3D3"/>
                              <w:bidi w:val="0"/>
                              <w:spacing w:before="0" w:after="180" w:line="240" w:lineRule="auto"/>
                              <w:ind w:left="0" w:right="0" w:firstLine="0"/>
                              <w:jc w:val="right"/>
                            </w:pPr>
                            <w:r>
                              <w:rPr>
                                <w:color w:val="000000"/>
                                <w:spacing w:val="0"/>
                                <w:w w:val="100"/>
                                <w:position w:val="0"/>
                              </w:rPr>
                              <w:t>15,330,000.00</w:t>
                            </w:r>
                          </w:p>
                          <w:p>
                            <w:pPr>
                              <w:pStyle w:val="Style50"/>
                              <w:keepNext w:val="0"/>
                              <w:keepLines w:val="0"/>
                              <w:widowControl w:val="0"/>
                              <w:pBdr>
                                <w:top w:val="single" w:sz="0" w:space="0" w:color="D3D3D3"/>
                                <w:left w:val="single" w:sz="0" w:space="1" w:color="D3D3D3"/>
                                <w:bottom w:val="single" w:sz="0" w:space="0" w:color="D3D3D3"/>
                                <w:right w:val="single" w:sz="0" w:space="1" w:color="D3D3D3"/>
                              </w:pBdr>
                              <w:shd w:val="clear" w:color="auto" w:fill="D3D3D3"/>
                              <w:bidi w:val="0"/>
                              <w:spacing w:before="0" w:after="0" w:line="240" w:lineRule="auto"/>
                              <w:ind w:left="0" w:right="0" w:firstLine="0"/>
                              <w:jc w:val="right"/>
                            </w:pPr>
                            <w:r>
                              <w:rPr>
                                <w:color w:val="000000"/>
                                <w:spacing w:val="0"/>
                                <w:w w:val="100"/>
                                <w:position w:val="0"/>
                              </w:rPr>
                              <w:t>15,330,000.00</w:t>
                            </w:r>
                          </w:p>
                        </w:txbxContent>
                      </wps:txbx>
                      <wps:bodyPr lIns="0" tIns="0" rIns="0" bIns="0">
                        <a:noAutoFit/>
                      </wps:bodyPr>
                    </wps:wsp>
                  </a:graphicData>
                </a:graphic>
              </wp:anchor>
            </w:drawing>
          </mc:Choice>
          <mc:Fallback>
            <w:pict>
              <v:shape id="_x0000_s1633" type="#_x0000_t202" style="position:absolute;margin-left:485.pt;margin-top:23.650000000000002pt;width:53.300000000000004pt;height:31.199999999999999pt;z-index:-125829323;mso-wrap-distance-left:0;mso-wrap-distance-top:23.650000000000002pt;mso-wrap-distance-right:0;mso-position-horizontal-relative:page" filled="f" stroked="f">
                <v:textbox inset="0,0,0,0">
                  <w:txbxContent>
                    <w:p>
                      <w:pPr>
                        <w:pStyle w:val="Style50"/>
                        <w:keepNext w:val="0"/>
                        <w:keepLines w:val="0"/>
                        <w:widowControl w:val="0"/>
                        <w:pBdr>
                          <w:top w:val="single" w:sz="0" w:space="0" w:color="D3D3D3"/>
                          <w:left w:val="single" w:sz="0" w:space="1" w:color="D3D3D3"/>
                          <w:bottom w:val="single" w:sz="0" w:space="0" w:color="D3D3D3"/>
                          <w:right w:val="single" w:sz="0" w:space="1" w:color="D3D3D3"/>
                        </w:pBdr>
                        <w:shd w:val="clear" w:color="auto" w:fill="D3D3D3"/>
                        <w:bidi w:val="0"/>
                        <w:spacing w:before="0" w:after="180" w:line="240" w:lineRule="auto"/>
                        <w:ind w:left="0" w:right="0" w:firstLine="0"/>
                        <w:jc w:val="right"/>
                      </w:pPr>
                      <w:r>
                        <w:rPr>
                          <w:color w:val="000000"/>
                          <w:spacing w:val="0"/>
                          <w:w w:val="100"/>
                          <w:position w:val="0"/>
                        </w:rPr>
                        <w:t>15,330,000.00</w:t>
                      </w:r>
                    </w:p>
                    <w:p>
                      <w:pPr>
                        <w:pStyle w:val="Style50"/>
                        <w:keepNext w:val="0"/>
                        <w:keepLines w:val="0"/>
                        <w:widowControl w:val="0"/>
                        <w:pBdr>
                          <w:top w:val="single" w:sz="0" w:space="0" w:color="D3D3D3"/>
                          <w:left w:val="single" w:sz="0" w:space="1" w:color="D3D3D3"/>
                          <w:bottom w:val="single" w:sz="0" w:space="0" w:color="D3D3D3"/>
                          <w:right w:val="single" w:sz="0" w:space="1" w:color="D3D3D3"/>
                        </w:pBdr>
                        <w:shd w:val="clear" w:color="auto" w:fill="D3D3D3"/>
                        <w:bidi w:val="0"/>
                        <w:spacing w:before="0" w:after="0" w:line="240" w:lineRule="auto"/>
                        <w:ind w:left="0" w:right="0" w:firstLine="0"/>
                        <w:jc w:val="right"/>
                      </w:pPr>
                      <w:r>
                        <w:rPr>
                          <w:color w:val="000000"/>
                          <w:spacing w:val="0"/>
                          <w:w w:val="100"/>
                          <w:position w:val="0"/>
                        </w:rPr>
                        <w:t>15,330,000.00</w:t>
                      </w:r>
                    </w:p>
                  </w:txbxContent>
                </v:textbox>
                <w10:wrap type="topAndBottom" anchorx="page"/>
              </v:shape>
            </w:pict>
          </mc:Fallback>
        </mc:AlternateContent>
      </w:r>
      <w:r>
        <w:br w:type="page"/>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涉及政府补助的负债项目</w:t>
      </w:r>
    </w:p>
    <w:p>
      <w:pPr>
        <w:pStyle w:val="Style3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92"/>
        <w:gridCol w:w="1411"/>
        <w:gridCol w:w="1238"/>
        <w:gridCol w:w="1430"/>
        <w:gridCol w:w="883"/>
        <w:gridCol w:w="1118"/>
        <w:gridCol w:w="1570"/>
      </w:tblGrid>
      <w:tr>
        <w:trPr>
          <w:trHeight w:val="72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负债项目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本期新增补助 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本期计入营业外 收入金额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其他变动</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80" w:line="240" w:lineRule="auto"/>
              <w:ind w:left="0" w:right="0" w:firstLine="0"/>
              <w:jc w:val="center"/>
              <w:rPr>
                <w:sz w:val="17"/>
                <w:szCs w:val="17"/>
              </w:rPr>
            </w:pPr>
            <w:r>
              <w:rPr>
                <w:color w:val="000000"/>
                <w:spacing w:val="0"/>
                <w:w w:val="100"/>
                <w:position w:val="0"/>
                <w:sz w:val="17"/>
                <w:szCs w:val="17"/>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与收益</w:t>
            </w:r>
          </w:p>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相关</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网络安全云平台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与资产相关</w:t>
            </w:r>
          </w:p>
        </w:tc>
      </w:tr>
      <w:tr>
        <w:trPr>
          <w:trHeight w:val="715"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云安全技术公共服务平</w:t>
            </w:r>
          </w:p>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5,400,000.00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与资产相关</w:t>
            </w:r>
          </w:p>
        </w:tc>
      </w:tr>
      <w:tr>
        <w:trPr>
          <w:trHeight w:val="398"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高新技术产业发展项目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与资产相关</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蓝盾网络安全云平台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与收益相关</w:t>
            </w:r>
          </w:p>
        </w:tc>
      </w:tr>
      <w:tr>
        <w:trPr>
          <w:trHeight w:val="715"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蓝盾内网主机安全保密 及审计系统研发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与收益相关</w:t>
            </w:r>
          </w:p>
        </w:tc>
      </w:tr>
      <w:tr>
        <w:trPr>
          <w:trHeight w:val="715"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网络敏感数据防窃取与 反窃取系统</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与收益相关</w:t>
            </w:r>
          </w:p>
        </w:tc>
      </w:tr>
      <w:tr>
        <w:trPr>
          <w:trHeight w:val="710"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民营企业上市后备资源 库项目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与收益相关</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广州市创新型企业</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1,230,000.00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770,000.00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与收益相关</w:t>
            </w:r>
          </w:p>
        </w:tc>
      </w:tr>
      <w:tr>
        <w:trPr>
          <w:trHeight w:val="715"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网络安全云服务平台的 关键技术研究和产业化</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与收益相关</w:t>
            </w:r>
          </w:p>
        </w:tc>
      </w:tr>
      <w:tr>
        <w:trPr>
          <w:trHeight w:val="715"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省信息产业发展专项现 代化信息服务业项目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与收益相关</w:t>
            </w:r>
          </w:p>
        </w:tc>
      </w:tr>
      <w:tr>
        <w:trPr>
          <w:trHeight w:val="1022"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基于智能分析的安全运 营中心平台（</w:t>
            </w:r>
            <w:r>
              <w:rPr>
                <w:rFonts w:ascii="Times New Roman" w:eastAsia="Times New Roman" w:hAnsi="Times New Roman" w:cs="Times New Roman"/>
                <w:color w:val="000000"/>
                <w:spacing w:val="0"/>
                <w:w w:val="100"/>
                <w:position w:val="0"/>
                <w:sz w:val="18"/>
                <w:szCs w:val="18"/>
              </w:rPr>
              <w:t>SOC</w:t>
            </w:r>
            <w:r>
              <w:rPr>
                <w:color w:val="000000"/>
                <w:spacing w:val="0"/>
                <w:w w:val="100"/>
                <w:position w:val="0"/>
                <w:sz w:val="17"/>
                <w:szCs w:val="17"/>
              </w:rPr>
              <w:t>）研发 及产业化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与收益相关</w:t>
            </w:r>
          </w:p>
        </w:tc>
      </w:tr>
      <w:tr>
        <w:trPr>
          <w:trHeight w:val="715"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网络应用安全监测审计 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1,820,000.00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1,820,000.00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与收益相关</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省科学技术奖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与收益相关</w:t>
            </w:r>
          </w:p>
        </w:tc>
      </w:tr>
      <w:tr>
        <w:trPr>
          <w:trHeight w:val="715"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广州市总部企业奖励补 贴资金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768,300.00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768,300.00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与收益相关</w:t>
            </w:r>
          </w:p>
        </w:tc>
      </w:tr>
      <w:tr>
        <w:trPr>
          <w:trHeight w:val="40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15,330,000.00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33,808,300.00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22,898,300.00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26,240,000.00</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8"/>
        <w:keepNext/>
        <w:keepLines/>
        <w:widowControl w:val="0"/>
        <w:shd w:val="clear" w:color="auto" w:fill="auto"/>
        <w:bidi w:val="0"/>
        <w:spacing w:before="0" w:after="400" w:line="240" w:lineRule="auto"/>
        <w:ind w:left="0" w:right="0" w:firstLine="0"/>
        <w:jc w:val="left"/>
      </w:pPr>
      <w:bookmarkStart w:id="1036" w:name="bookmark1036"/>
      <w:bookmarkStart w:id="1037" w:name="bookmark1037"/>
      <w:bookmarkStart w:id="1038" w:name="bookmark1038"/>
      <w:r>
        <w:rPr>
          <w:rFonts w:ascii="Times New Roman" w:eastAsia="Times New Roman" w:hAnsi="Times New Roman" w:cs="Times New Roman"/>
          <w:color w:val="000000"/>
          <w:spacing w:val="0"/>
          <w:w w:val="100"/>
          <w:position w:val="0"/>
        </w:rPr>
        <w:t>24</w:t>
      </w:r>
      <w:r>
        <w:rPr>
          <w:color w:val="000000"/>
          <w:spacing w:val="0"/>
          <w:w w:val="100"/>
          <w:position w:val="0"/>
        </w:rPr>
        <w:t>、股本</w:t>
      </w:r>
      <w:bookmarkEnd w:id="1036"/>
      <w:bookmarkEnd w:id="1037"/>
      <w:bookmarkEnd w:id="1038"/>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c>
          <w:tcPr>
            <w:gridSpan w:val="5"/>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本期变动增减（+、一）</w:t>
            </w:r>
          </w:p>
        </w:tc>
        <w:tc>
          <w:tcPr>
            <w:vMerge w:val="restart"/>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送股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公积金转股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股份总数</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98,000,000.00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98,000,000.00</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196,000,000.00</w:t>
            </w:r>
          </w:p>
        </w:tc>
      </w:tr>
    </w:tbl>
    <w:p>
      <w:pPr>
        <w:widowControl w:val="0"/>
        <w:spacing w:after="99" w:line="1" w:lineRule="exact"/>
      </w:pPr>
    </w:p>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股本变动情况说明</w:t>
      </w:r>
    </w:p>
    <w:p>
      <w:pPr>
        <w:pStyle w:val="Style35"/>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本期增加股本人民币</w:t>
      </w:r>
      <w:r>
        <w:rPr>
          <w:rFonts w:ascii="Times New Roman" w:eastAsia="Times New Roman" w:hAnsi="Times New Roman" w:cs="Times New Roman"/>
          <w:color w:val="000000"/>
          <w:spacing w:val="0"/>
          <w:w w:val="100"/>
          <w:position w:val="0"/>
        </w:rPr>
        <w:t>9,800.00</w:t>
      </w:r>
      <w:r>
        <w:rPr>
          <w:color w:val="000000"/>
          <w:spacing w:val="0"/>
          <w:w w:val="100"/>
          <w:position w:val="0"/>
        </w:rPr>
        <w:t>万元，由资本公积转增股本，以上增资业经大华会计师事务所（特殊普</w:t>
        <w:br w:type="page"/>
      </w:r>
      <w:r>
        <w:rPr>
          <w:color w:val="000000"/>
          <w:spacing w:val="0"/>
          <w:w w:val="100"/>
          <w:position w:val="0"/>
        </w:rPr>
        <w:t>通合伙）审验，并出具大华验字</w:t>
      </w:r>
      <w:r>
        <w:rPr>
          <w:rFonts w:ascii="Times New Roman" w:eastAsia="Times New Roman" w:hAnsi="Times New Roman" w:cs="Times New Roman"/>
          <w:color w:val="000000"/>
          <w:spacing w:val="0"/>
          <w:w w:val="100"/>
          <w:position w:val="0"/>
        </w:rPr>
        <w:t>[2013]000235</w:t>
      </w:r>
      <w:r>
        <w:rPr>
          <w:color w:val="000000"/>
          <w:spacing w:val="0"/>
          <w:w w:val="100"/>
          <w:position w:val="0"/>
        </w:rPr>
        <w:t>号验资报告确认。</w:t>
      </w:r>
    </w:p>
    <w:p>
      <w:pPr>
        <w:pStyle w:val="Style38"/>
        <w:keepNext/>
        <w:keepLines/>
        <w:widowControl w:val="0"/>
        <w:shd w:val="clear" w:color="auto" w:fill="auto"/>
        <w:bidi w:val="0"/>
        <w:spacing w:before="0" w:after="380" w:line="240" w:lineRule="auto"/>
        <w:ind w:left="0" w:right="0" w:firstLine="0"/>
        <w:jc w:val="left"/>
      </w:pPr>
      <w:bookmarkStart w:id="1039" w:name="bookmark1039"/>
      <w:bookmarkStart w:id="1040" w:name="bookmark1040"/>
      <w:bookmarkStart w:id="1041" w:name="bookmark1041"/>
      <w:bookmarkStart w:id="1042" w:name="bookmark1042"/>
      <w:r>
        <w:rPr>
          <w:rFonts w:ascii="Times New Roman" w:eastAsia="Times New Roman" w:hAnsi="Times New Roman" w:cs="Times New Roman"/>
          <w:color w:val="000000"/>
          <w:spacing w:val="0"/>
          <w:w w:val="100"/>
          <w:position w:val="0"/>
        </w:rPr>
        <w:t>2</w:t>
      </w:r>
      <w:bookmarkEnd w:id="1041"/>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039"/>
      <w:bookmarkEnd w:id="1040"/>
      <w:bookmarkEnd w:id="1042"/>
    </w:p>
    <w:p>
      <w:pPr>
        <w:pStyle w:val="Style3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405"/>
        <w:gridCol w:w="1858"/>
        <w:gridCol w:w="1992"/>
        <w:gridCol w:w="1728"/>
        <w:gridCol w:w="1603"/>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期初数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期末数</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资本溢价（股本溢价）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410,243,231.67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98,000,000.00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312,243,231.67</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410,243,231.67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98,000,000.00</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312,243,231.67</w:t>
            </w:r>
          </w:p>
        </w:tc>
      </w:tr>
    </w:tbl>
    <w:p>
      <w:pPr>
        <w:widowControl w:val="0"/>
        <w:spacing w:after="79" w:line="1" w:lineRule="exact"/>
      </w:pPr>
    </w:p>
    <w:p>
      <w:pPr>
        <w:pStyle w:val="Style35"/>
        <w:keepNext w:val="0"/>
        <w:keepLines w:val="0"/>
        <w:widowControl w:val="0"/>
        <w:shd w:val="clear" w:color="auto" w:fill="auto"/>
        <w:bidi w:val="0"/>
        <w:spacing w:before="0" w:after="80" w:line="240" w:lineRule="auto"/>
        <w:ind w:left="0" w:right="0" w:firstLine="0"/>
        <w:jc w:val="left"/>
      </w:pPr>
      <w:r>
        <w:rPr>
          <w:color w:val="000000"/>
          <w:spacing w:val="0"/>
          <w:w w:val="100"/>
          <w:position w:val="0"/>
        </w:rPr>
        <w:t>资本公积说明</w:t>
      </w:r>
    </w:p>
    <w:p>
      <w:pPr>
        <w:pStyle w:val="Style35"/>
        <w:keepNext w:val="0"/>
        <w:keepLines w:val="0"/>
        <w:widowControl w:val="0"/>
        <w:shd w:val="clear" w:color="auto" w:fill="auto"/>
        <w:bidi w:val="0"/>
        <w:spacing w:before="0" w:after="380" w:line="240" w:lineRule="auto"/>
        <w:ind w:left="0" w:right="0" w:firstLine="0"/>
        <w:jc w:val="left"/>
      </w:pPr>
      <w:r>
        <w:rPr>
          <w:color w:val="000000"/>
          <w:spacing w:val="0"/>
          <w:w w:val="100"/>
          <w:position w:val="0"/>
        </w:rPr>
        <w:t>资本公积本期减少为转增股本。</w:t>
      </w:r>
    </w:p>
    <w:p>
      <w:pPr>
        <w:pStyle w:val="Style38"/>
        <w:keepNext/>
        <w:keepLines/>
        <w:widowControl w:val="0"/>
        <w:shd w:val="clear" w:color="auto" w:fill="auto"/>
        <w:bidi w:val="0"/>
        <w:spacing w:before="0" w:after="380" w:line="240" w:lineRule="auto"/>
        <w:ind w:left="0" w:right="0" w:firstLine="0"/>
        <w:jc w:val="left"/>
      </w:pPr>
      <w:bookmarkStart w:id="1043" w:name="bookmark1043"/>
      <w:bookmarkStart w:id="1044" w:name="bookmark1044"/>
      <w:bookmarkStart w:id="1045" w:name="bookmark1045"/>
      <w:bookmarkStart w:id="1046" w:name="bookmark1046"/>
      <w:r>
        <w:rPr>
          <w:rFonts w:ascii="Times New Roman" w:eastAsia="Times New Roman" w:hAnsi="Times New Roman" w:cs="Times New Roman"/>
          <w:color w:val="000000"/>
          <w:spacing w:val="0"/>
          <w:w w:val="100"/>
          <w:position w:val="0"/>
        </w:rPr>
        <w:t>2</w:t>
      </w:r>
      <w:bookmarkEnd w:id="1045"/>
      <w:r>
        <w:rPr>
          <w:rFonts w:ascii="Times New Roman" w:eastAsia="Times New Roman" w:hAnsi="Times New Roman" w:cs="Times New Roman"/>
          <w:color w:val="000000"/>
          <w:spacing w:val="0"/>
          <w:w w:val="100"/>
          <w:position w:val="0"/>
        </w:rPr>
        <w:t>6</w:t>
      </w:r>
      <w:r>
        <w:rPr>
          <w:color w:val="000000"/>
          <w:spacing w:val="0"/>
          <w:w w:val="100"/>
          <w:position w:val="0"/>
        </w:rPr>
        <w:t>、盈余公积</w:t>
      </w:r>
      <w:bookmarkEnd w:id="1043"/>
      <w:bookmarkEnd w:id="1044"/>
      <w:bookmarkEnd w:id="1046"/>
    </w:p>
    <w:p>
      <w:pPr>
        <w:pStyle w:val="Style3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405"/>
        <w:gridCol w:w="1858"/>
        <w:gridCol w:w="1992"/>
        <w:gridCol w:w="1728"/>
        <w:gridCol w:w="1603"/>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期初数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期末数</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法定盈余公积</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16,335,852.57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3,319,105.94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19,654,958.51</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16,335,852.57</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3,319,105.94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19,654,958.51</w:t>
            </w:r>
          </w:p>
        </w:tc>
      </w:tr>
    </w:tbl>
    <w:p>
      <w:pPr>
        <w:widowControl w:val="0"/>
        <w:spacing w:after="79" w:line="1" w:lineRule="exact"/>
      </w:pPr>
    </w:p>
    <w:p>
      <w:pPr>
        <w:pStyle w:val="Style3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本期盈余公积增加为按照净利润的</w:t>
      </w:r>
      <w:r>
        <w:rPr>
          <w:rFonts w:ascii="Times New Roman" w:eastAsia="Times New Roman" w:hAnsi="Times New Roman" w:cs="Times New Roman"/>
          <w:color w:val="000000"/>
          <w:spacing w:val="0"/>
          <w:w w:val="100"/>
          <w:position w:val="0"/>
        </w:rPr>
        <w:t>10%</w:t>
      </w:r>
      <w:r>
        <w:rPr>
          <w:color w:val="000000"/>
          <w:spacing w:val="0"/>
          <w:w w:val="100"/>
          <w:position w:val="0"/>
        </w:rPr>
        <w:t>提取的法定盈余公积。</w:t>
      </w:r>
    </w:p>
    <w:p>
      <w:pPr>
        <w:pStyle w:val="Style38"/>
        <w:keepNext/>
        <w:keepLines/>
        <w:widowControl w:val="0"/>
        <w:shd w:val="clear" w:color="auto" w:fill="auto"/>
        <w:bidi w:val="0"/>
        <w:spacing w:before="0" w:after="380" w:line="240" w:lineRule="auto"/>
        <w:ind w:left="0" w:right="0" w:firstLine="0"/>
        <w:jc w:val="left"/>
      </w:pPr>
      <w:bookmarkStart w:id="1047" w:name="bookmark1047"/>
      <w:bookmarkStart w:id="1048" w:name="bookmark1048"/>
      <w:bookmarkStart w:id="1049" w:name="bookmark1049"/>
      <w:bookmarkStart w:id="1050" w:name="bookmark1050"/>
      <w:r>
        <w:rPr>
          <w:rFonts w:ascii="Times New Roman" w:eastAsia="Times New Roman" w:hAnsi="Times New Roman" w:cs="Times New Roman"/>
          <w:color w:val="000000"/>
          <w:spacing w:val="0"/>
          <w:w w:val="100"/>
          <w:position w:val="0"/>
        </w:rPr>
        <w:t>2</w:t>
      </w:r>
      <w:bookmarkEnd w:id="1049"/>
      <w:r>
        <w:rPr>
          <w:rFonts w:ascii="Times New Roman" w:eastAsia="Times New Roman" w:hAnsi="Times New Roman" w:cs="Times New Roman"/>
          <w:color w:val="000000"/>
          <w:spacing w:val="0"/>
          <w:w w:val="100"/>
          <w:position w:val="0"/>
        </w:rPr>
        <w:t>7</w:t>
      </w:r>
      <w:r>
        <w:rPr>
          <w:color w:val="000000"/>
          <w:spacing w:val="0"/>
          <w:w w:val="100"/>
          <w:position w:val="0"/>
        </w:rPr>
        <w:t>、未分配利润</w:t>
      </w:r>
      <w:bookmarkEnd w:id="1047"/>
      <w:bookmarkEnd w:id="1048"/>
      <w:bookmarkEnd w:id="1050"/>
    </w:p>
    <w:p>
      <w:pPr>
        <w:pStyle w:val="Style3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3725"/>
        <w:gridCol w:w="3730"/>
        <w:gridCol w:w="2131"/>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提取或分配比例</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调整前上年末未分配利润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130,203,333.39</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调整后年初未分配利润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130,203,333.39</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加：本期归属于母公司所有者的净利润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31,963,282.74</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减：提取法定盈余公积</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760" w:right="0" w:firstLine="0"/>
              <w:jc w:val="left"/>
              <w:rPr>
                <w:sz w:val="18"/>
                <w:szCs w:val="18"/>
              </w:rPr>
            </w:pPr>
            <w:r>
              <w:rPr>
                <w:rFonts w:ascii="Times New Roman" w:eastAsia="Times New Roman" w:hAnsi="Times New Roman" w:cs="Times New Roman"/>
                <w:color w:val="000000"/>
                <w:spacing w:val="0"/>
                <w:w w:val="100"/>
                <w:position w:val="0"/>
                <w:sz w:val="18"/>
                <w:szCs w:val="18"/>
              </w:rPr>
              <w:t>3,319,105.94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应付普通股股利</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760" w:right="0" w:firstLine="0"/>
              <w:jc w:val="left"/>
              <w:rPr>
                <w:sz w:val="18"/>
                <w:szCs w:val="18"/>
              </w:rPr>
            </w:pPr>
            <w:r>
              <w:rPr>
                <w:rFonts w:ascii="Times New Roman" w:eastAsia="Times New Roman" w:hAnsi="Times New Roman" w:cs="Times New Roman"/>
                <w:color w:val="000000"/>
                <w:spacing w:val="0"/>
                <w:w w:val="100"/>
                <w:position w:val="0"/>
                <w:sz w:val="18"/>
                <w:szCs w:val="18"/>
              </w:rPr>
              <w:t>5,880,000.00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期末未分配利润</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152,967,510.19</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调整年初未分配利润明细：</w:t>
      </w:r>
    </w:p>
    <w:p>
      <w:pPr>
        <w:pStyle w:val="Style27"/>
        <w:keepNext w:val="0"/>
        <w:keepLines w:val="0"/>
        <w:widowControl w:val="0"/>
        <w:shd w:val="clear" w:color="auto" w:fill="auto"/>
        <w:tabs>
          <w:tab w:pos="330" w:val="left"/>
        </w:tabs>
        <w:bidi w:val="0"/>
        <w:spacing w:before="0" w:after="140" w:line="240" w:lineRule="auto"/>
        <w:ind w:left="0" w:right="0" w:firstLine="0"/>
        <w:jc w:val="left"/>
      </w:pPr>
      <w:bookmarkStart w:id="1051" w:name="bookmark1051"/>
      <w:r>
        <w:rPr>
          <w:rFonts w:ascii="Times New Roman" w:eastAsia="Times New Roman" w:hAnsi="Times New Roman" w:cs="Times New Roman"/>
          <w:color w:val="000000"/>
          <w:spacing w:val="0"/>
          <w:w w:val="100"/>
          <w:position w:val="0"/>
          <w:sz w:val="18"/>
          <w:szCs w:val="18"/>
        </w:rPr>
        <w:t>1</w:t>
      </w:r>
      <w:bookmarkEnd w:id="105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、由于《企业会计准则》及其相关新规定进行追溯调整，影响年初未分配利润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7"/>
        <w:keepNext w:val="0"/>
        <w:keepLines w:val="0"/>
        <w:widowControl w:val="0"/>
        <w:shd w:val="clear" w:color="auto" w:fill="auto"/>
        <w:tabs>
          <w:tab w:pos="349" w:val="left"/>
        </w:tabs>
        <w:bidi w:val="0"/>
        <w:spacing w:before="0" w:after="140" w:line="240" w:lineRule="auto"/>
        <w:ind w:left="0" w:right="0" w:firstLine="0"/>
        <w:jc w:val="left"/>
      </w:pPr>
      <w:bookmarkStart w:id="1052" w:name="bookmark1052"/>
      <w:r>
        <w:rPr>
          <w:rFonts w:ascii="Times New Roman" w:eastAsia="Times New Roman" w:hAnsi="Times New Roman" w:cs="Times New Roman"/>
          <w:color w:val="000000"/>
          <w:spacing w:val="0"/>
          <w:w w:val="100"/>
          <w:position w:val="0"/>
          <w:sz w:val="18"/>
          <w:szCs w:val="18"/>
        </w:rPr>
        <w:t>2</w:t>
      </w:r>
      <w:bookmarkEnd w:id="105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、由于会计政策变更，影响年初未分配利润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7"/>
        <w:keepNext w:val="0"/>
        <w:keepLines w:val="0"/>
        <w:widowControl w:val="0"/>
        <w:shd w:val="clear" w:color="auto" w:fill="auto"/>
        <w:tabs>
          <w:tab w:pos="349" w:val="left"/>
        </w:tabs>
        <w:bidi w:val="0"/>
        <w:spacing w:before="0" w:after="140" w:line="240" w:lineRule="auto"/>
        <w:ind w:left="0" w:right="0" w:firstLine="0"/>
        <w:jc w:val="left"/>
      </w:pPr>
      <w:bookmarkStart w:id="1053" w:name="bookmark1053"/>
      <w:r>
        <w:rPr>
          <w:rFonts w:ascii="Times New Roman" w:eastAsia="Times New Roman" w:hAnsi="Times New Roman" w:cs="Times New Roman"/>
          <w:color w:val="000000"/>
          <w:spacing w:val="0"/>
          <w:w w:val="100"/>
          <w:position w:val="0"/>
          <w:sz w:val="18"/>
          <w:szCs w:val="18"/>
        </w:rPr>
        <w:t>3</w:t>
      </w:r>
      <w:bookmarkEnd w:id="105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、由于重大会计差错更正，影响年初未分配利润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7"/>
        <w:keepNext w:val="0"/>
        <w:keepLines w:val="0"/>
        <w:widowControl w:val="0"/>
        <w:shd w:val="clear" w:color="auto" w:fill="auto"/>
        <w:tabs>
          <w:tab w:pos="349" w:val="left"/>
        </w:tabs>
        <w:bidi w:val="0"/>
        <w:spacing w:before="0" w:after="140" w:line="240" w:lineRule="auto"/>
        <w:ind w:left="0" w:right="0" w:firstLine="0"/>
        <w:jc w:val="left"/>
      </w:pPr>
      <w:bookmarkStart w:id="1054" w:name="bookmark1054"/>
      <w:r>
        <w:rPr>
          <w:rFonts w:ascii="Times New Roman" w:eastAsia="Times New Roman" w:hAnsi="Times New Roman" w:cs="Times New Roman"/>
          <w:color w:val="000000"/>
          <w:spacing w:val="0"/>
          <w:w w:val="100"/>
          <w:position w:val="0"/>
          <w:sz w:val="18"/>
          <w:szCs w:val="18"/>
        </w:rPr>
        <w:t>4</w:t>
      </w:r>
      <w:bookmarkEnd w:id="105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、由于同一控制导致的合并范围变更，影响年初未分配利润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7"/>
        <w:keepNext w:val="0"/>
        <w:keepLines w:val="0"/>
        <w:widowControl w:val="0"/>
        <w:shd w:val="clear" w:color="auto" w:fill="auto"/>
        <w:tabs>
          <w:tab w:pos="349" w:val="left"/>
        </w:tabs>
        <w:bidi w:val="0"/>
        <w:spacing w:before="0" w:after="140" w:line="240" w:lineRule="auto"/>
        <w:ind w:left="0" w:right="0" w:firstLine="0"/>
        <w:jc w:val="left"/>
      </w:pPr>
      <w:bookmarkStart w:id="1055" w:name="bookmark1055"/>
      <w:r>
        <w:rPr>
          <w:rFonts w:ascii="Times New Roman" w:eastAsia="Times New Roman" w:hAnsi="Times New Roman" w:cs="Times New Roman"/>
          <w:color w:val="000000"/>
          <w:spacing w:val="0"/>
          <w:w w:val="100"/>
          <w:position w:val="0"/>
          <w:sz w:val="18"/>
          <w:szCs w:val="18"/>
        </w:rPr>
        <w:t>5</w:t>
      </w:r>
      <w:bookmarkEnd w:id="105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、其他调整合计影响年初未分配利润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r>
        <w:br w:type="page"/>
      </w:r>
    </w:p>
    <w:p>
      <w:pPr>
        <w:pStyle w:val="Style38"/>
        <w:keepNext/>
        <w:keepLines/>
        <w:widowControl w:val="0"/>
        <w:shd w:val="clear" w:color="auto" w:fill="auto"/>
        <w:bidi w:val="0"/>
        <w:spacing w:before="0" w:after="380" w:line="240" w:lineRule="auto"/>
        <w:ind w:left="0" w:right="0" w:firstLine="0"/>
        <w:jc w:val="left"/>
      </w:pPr>
      <w:bookmarkStart w:id="1056" w:name="bookmark1056"/>
      <w:bookmarkStart w:id="1057" w:name="bookmark1057"/>
      <w:bookmarkStart w:id="1058" w:name="bookmark1058"/>
      <w:bookmarkStart w:id="1059" w:name="bookmark1059"/>
      <w:r>
        <w:rPr>
          <w:rFonts w:ascii="Times New Roman" w:eastAsia="Times New Roman" w:hAnsi="Times New Roman" w:cs="Times New Roman"/>
          <w:color w:val="000000"/>
          <w:spacing w:val="0"/>
          <w:w w:val="100"/>
          <w:position w:val="0"/>
        </w:rPr>
        <w:t>2</w:t>
      </w:r>
      <w:bookmarkEnd w:id="1058"/>
      <w:r>
        <w:rPr>
          <w:rFonts w:ascii="Times New Roman" w:eastAsia="Times New Roman" w:hAnsi="Times New Roman" w:cs="Times New Roman"/>
          <w:color w:val="000000"/>
          <w:spacing w:val="0"/>
          <w:w w:val="100"/>
          <w:position w:val="0"/>
        </w:rPr>
        <w:t>8</w:t>
      </w:r>
      <w:r>
        <w:rPr>
          <w:color w:val="000000"/>
          <w:spacing w:val="0"/>
          <w:w w:val="100"/>
          <w:position w:val="0"/>
        </w:rPr>
        <w:t>、营业收入、营业成本</w:t>
      </w:r>
      <w:bookmarkEnd w:id="1056"/>
      <w:bookmarkEnd w:id="1057"/>
      <w:bookmarkEnd w:id="1059"/>
    </w:p>
    <w:p>
      <w:pPr>
        <w:pStyle w:val="Style38"/>
        <w:keepNext/>
        <w:keepLines/>
        <w:widowControl w:val="0"/>
        <w:shd w:val="clear" w:color="auto" w:fill="auto"/>
        <w:bidi w:val="0"/>
        <w:spacing w:before="0" w:after="380" w:line="240" w:lineRule="auto"/>
        <w:ind w:left="0" w:right="0" w:firstLine="0"/>
        <w:jc w:val="left"/>
      </w:pPr>
      <w:bookmarkStart w:id="1056" w:name="bookmark1056"/>
      <w:bookmarkStart w:id="1057" w:name="bookmark1057"/>
      <w:bookmarkStart w:id="1060" w:name="bookmark106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)营业收入、营业成本</w:t>
      </w:r>
      <w:bookmarkEnd w:id="1056"/>
      <w:bookmarkEnd w:id="1057"/>
      <w:bookmarkEnd w:id="1060"/>
    </w:p>
    <w:p>
      <w:pPr>
        <w:pStyle w:val="Style3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331"/>
        <w:gridCol w:w="3058"/>
        <w:gridCol w:w="3197"/>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主营业务收入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395,366,353.03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345,203,862.94</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营业成本</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249,656,361.15</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192,196,870.75</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061" w:name="bookmark1061"/>
      <w:bookmarkStart w:id="1062" w:name="bookmark1062"/>
      <w:bookmarkStart w:id="1063" w:name="bookmark1063"/>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bookmarkEnd w:id="1061"/>
      <w:bookmarkEnd w:id="1062"/>
      <w:bookmarkEnd w:id="1063"/>
    </w:p>
    <w:p>
      <w:pPr>
        <w:pStyle w:val="Style3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534"/>
        <w:gridCol w:w="1728"/>
        <w:gridCol w:w="1862"/>
        <w:gridCol w:w="1723"/>
        <w:gridCol w:w="1738"/>
      </w:tblGrid>
      <w:tr>
        <w:trPr>
          <w:trHeight w:val="403"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00"/>
              <w:jc w:val="left"/>
              <w:rPr>
                <w:sz w:val="17"/>
                <w:szCs w:val="17"/>
              </w:rPr>
            </w:pPr>
            <w:r>
              <w:rPr>
                <w:color w:val="000000"/>
                <w:spacing w:val="0"/>
                <w:w w:val="100"/>
                <w:position w:val="0"/>
                <w:sz w:val="17"/>
                <w:szCs w:val="17"/>
              </w:rPr>
              <w:t>行业名称</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营业收入</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营业成本</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政府机关</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198,037,508.28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135,434,867.16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180,761,284.62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110,208,524.82</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系统集成商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106,195,317.88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54,373,720.26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100,046,058.53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44,123,786.95</w:t>
            </w:r>
          </w:p>
        </w:tc>
      </w:tr>
      <w:tr>
        <w:trPr>
          <w:trHeight w:val="398"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教育机构</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31,077,984.35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23,487,554.00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31,431,059.75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19,289,832.08</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制造贸易</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30,572,869.07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20,178,672.45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7,896,489.86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4,694,221.78</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电信业</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17,255,905.82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7,051,972.99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16,482,739.25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9,892,317.30</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12,226,767.63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9,129,574.29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8,586,230.93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3,988,187.82</w:t>
            </w:r>
          </w:p>
        </w:tc>
      </w:tr>
      <w:tr>
        <w:trPr>
          <w:trHeight w:val="40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395,366,353.03</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249,656,361.15</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345,203,862.94</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192,196,870.75</w:t>
            </w:r>
          </w:p>
        </w:tc>
      </w:tr>
    </w:tbl>
    <w:p>
      <w:pPr>
        <w:widowControl w:val="0"/>
        <w:spacing w:after="319" w:line="1" w:lineRule="exact"/>
      </w:pPr>
    </w:p>
    <w:p>
      <w:pPr>
        <w:pStyle w:val="Style38"/>
        <w:keepNext/>
        <w:keepLines/>
        <w:widowControl w:val="0"/>
        <w:numPr>
          <w:ilvl w:val="0"/>
          <w:numId w:val="23"/>
        </w:numPr>
        <w:shd w:val="clear" w:color="auto" w:fill="auto"/>
        <w:bidi w:val="0"/>
        <w:spacing w:before="0" w:after="380" w:line="240" w:lineRule="auto"/>
        <w:ind w:left="0" w:right="0" w:firstLine="0"/>
        <w:jc w:val="left"/>
      </w:pPr>
      <w:bookmarkStart w:id="1064" w:name="bookmark1064"/>
      <w:bookmarkStart w:id="1065" w:name="bookmark1065"/>
      <w:bookmarkStart w:id="1066" w:name="bookmark1066"/>
      <w:bookmarkStart w:id="1067" w:name="bookmark1067"/>
      <w:bookmarkEnd w:id="1066"/>
      <w:r>
        <w:rPr>
          <w:color w:val="000000"/>
          <w:spacing w:val="0"/>
          <w:w w:val="100"/>
          <w:position w:val="0"/>
        </w:rPr>
        <w:t>主营业务(分产品)</w:t>
      </w:r>
      <w:bookmarkEnd w:id="1064"/>
      <w:bookmarkEnd w:id="1065"/>
      <w:bookmarkEnd w:id="1067"/>
    </w:p>
    <w:p>
      <w:pPr>
        <w:pStyle w:val="Style3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2534"/>
        <w:gridCol w:w="1728"/>
        <w:gridCol w:w="1862"/>
        <w:gridCol w:w="1723"/>
        <w:gridCol w:w="1738"/>
      </w:tblGrid>
      <w:tr>
        <w:trPr>
          <w:trHeight w:val="408"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00"/>
              <w:jc w:val="left"/>
              <w:rPr>
                <w:sz w:val="17"/>
                <w:szCs w:val="17"/>
              </w:rPr>
            </w:pPr>
            <w:r>
              <w:rPr>
                <w:color w:val="000000"/>
                <w:spacing w:val="0"/>
                <w:w w:val="100"/>
                <w:position w:val="0"/>
                <w:sz w:val="17"/>
                <w:szCs w:val="17"/>
              </w:rPr>
              <w:t>产品名称</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营业收入</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营业成本</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安全产品</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88,539,709.63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22,788,483.53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78,634,397.68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21,358,917.14</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安全集成</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279,117,788.25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217,799,214.66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245,902,317.27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166,308,601.91</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安全服务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27,708,855.15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9,068,662.96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20,667,147.99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4,529,351.70</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395,366,353.03</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249,656,361.15</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345,203,862.94</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192,196,870.75</w:t>
            </w:r>
          </w:p>
        </w:tc>
      </w:tr>
    </w:tbl>
    <w:p>
      <w:pPr>
        <w:widowControl w:val="0"/>
        <w:spacing w:after="319" w:line="1" w:lineRule="exact"/>
      </w:pPr>
    </w:p>
    <w:p>
      <w:pPr>
        <w:pStyle w:val="Style38"/>
        <w:keepNext/>
        <w:keepLines/>
        <w:widowControl w:val="0"/>
        <w:numPr>
          <w:ilvl w:val="0"/>
          <w:numId w:val="23"/>
        </w:numPr>
        <w:shd w:val="clear" w:color="auto" w:fill="auto"/>
        <w:bidi w:val="0"/>
        <w:spacing w:before="0" w:after="380" w:line="240" w:lineRule="auto"/>
        <w:ind w:left="0" w:right="0" w:firstLine="0"/>
        <w:jc w:val="left"/>
      </w:pPr>
      <w:bookmarkStart w:id="1068" w:name="bookmark1068"/>
      <w:bookmarkStart w:id="1069" w:name="bookmark1069"/>
      <w:bookmarkStart w:id="1070" w:name="bookmark1070"/>
      <w:bookmarkStart w:id="1071" w:name="bookmark1071"/>
      <w:bookmarkEnd w:id="1070"/>
      <w:r>
        <w:rPr>
          <w:color w:val="000000"/>
          <w:spacing w:val="0"/>
          <w:w w:val="100"/>
          <w:position w:val="0"/>
        </w:rPr>
        <w:t>主营业务(分地区)</w:t>
      </w:r>
      <w:bookmarkEnd w:id="1068"/>
      <w:bookmarkEnd w:id="1069"/>
      <w:bookmarkEnd w:id="1071"/>
    </w:p>
    <w:p>
      <w:pPr>
        <w:pStyle w:val="Style3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2534"/>
        <w:gridCol w:w="1728"/>
        <w:gridCol w:w="1862"/>
        <w:gridCol w:w="1723"/>
        <w:gridCol w:w="1738"/>
      </w:tblGrid>
      <w:tr>
        <w:trPr>
          <w:trHeight w:val="408"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00"/>
              <w:jc w:val="left"/>
              <w:rPr>
                <w:sz w:val="17"/>
                <w:szCs w:val="17"/>
              </w:rPr>
            </w:pPr>
            <w:r>
              <w:rPr>
                <w:color w:val="000000"/>
                <w:spacing w:val="0"/>
                <w:w w:val="100"/>
                <w:position w:val="0"/>
                <w:sz w:val="17"/>
                <w:szCs w:val="17"/>
              </w:rPr>
              <w:t>地区名称</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营业收入</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营业成本</w:t>
            </w:r>
          </w:p>
        </w:tc>
      </w:tr>
      <w:tr>
        <w:trPr>
          <w:trHeight w:val="413" w:hRule="exact"/>
        </w:trPr>
        <w:tc>
          <w:tcPr>
            <w:tcBorders>
              <w:top w:val="single" w:sz="4"/>
              <w:left w:val="single" w:sz="4"/>
              <w:bottom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东北</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358,119.65</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128,442.81</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149,743.59</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34,228.60</w:t>
            </w:r>
          </w:p>
        </w:tc>
      </w:tr>
    </w:tbl>
    <w:p>
      <w:pPr>
        <w:widowControl w:val="0"/>
        <w:spacing w:line="1" w:lineRule="exact"/>
      </w:pPr>
      <w:r>
        <w:br w:type="page"/>
      </w:r>
    </w:p>
    <w:tbl>
      <w:tblPr>
        <w:tblOverlap w:val="never"/>
        <w:jc w:val="center"/>
        <w:tblLayout w:type="fixed"/>
      </w:tblPr>
      <w:tblGrid>
        <w:gridCol w:w="2534"/>
        <w:gridCol w:w="1728"/>
        <w:gridCol w:w="1862"/>
        <w:gridCol w:w="1723"/>
        <w:gridCol w:w="1738"/>
      </w:tblGrid>
      <w:tr>
        <w:trPr>
          <w:trHeight w:val="403"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地区名称</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营业收入</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营业成本</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15,910,723.89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11,488,740.07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7,228,394.47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5,114,016.28</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华东</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2,989,976.94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1,132,031.42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2,231,930.61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1,120,448.26</w:t>
            </w:r>
          </w:p>
        </w:tc>
      </w:tr>
      <w:tr>
        <w:trPr>
          <w:trHeight w:val="398"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358,585,237.87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228,438,790.46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311,869,632.75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170,693,539.55</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华中</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7,409,181.19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4,226,640.31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6,445,303.44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4,139,678.15</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9,651,425.44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4,101,318.50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3,865,682.84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1,759,702.12</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461,688.05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140,397.58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13,413,175.24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9,335,257.79</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395,366,353.03</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249,656,361.15</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345,203,862.94</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192,196,870.75</w:t>
            </w:r>
          </w:p>
        </w:tc>
      </w:tr>
    </w:tbl>
    <w:p>
      <w:pPr>
        <w:widowControl w:val="0"/>
        <w:spacing w:after="319" w:line="1" w:lineRule="exact"/>
      </w:pPr>
    </w:p>
    <w:p>
      <w:pPr>
        <w:pStyle w:val="Style38"/>
        <w:keepNext/>
        <w:keepLines/>
        <w:widowControl w:val="0"/>
        <w:numPr>
          <w:ilvl w:val="0"/>
          <w:numId w:val="25"/>
        </w:numPr>
        <w:shd w:val="clear" w:color="auto" w:fill="auto"/>
        <w:bidi w:val="0"/>
        <w:spacing w:before="0" w:after="360" w:line="240" w:lineRule="auto"/>
        <w:ind w:left="0" w:right="0" w:firstLine="0"/>
        <w:jc w:val="left"/>
      </w:pPr>
      <w:bookmarkStart w:id="1072" w:name="bookmark1072"/>
      <w:bookmarkStart w:id="1073" w:name="bookmark1073"/>
      <w:bookmarkStart w:id="1074" w:name="bookmark1074"/>
      <w:bookmarkStart w:id="1075" w:name="bookmark1075"/>
      <w:bookmarkEnd w:id="1074"/>
      <w:r>
        <w:rPr>
          <w:color w:val="000000"/>
          <w:spacing w:val="0"/>
          <w:w w:val="100"/>
          <w:position w:val="0"/>
        </w:rPr>
        <w:t>公司来自前五名客户的营业收入情况</w:t>
      </w:r>
      <w:bookmarkEnd w:id="1072"/>
      <w:bookmarkEnd w:id="1073"/>
      <w:bookmarkEnd w:id="1075"/>
    </w:p>
    <w:p>
      <w:pPr>
        <w:pStyle w:val="Style3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602"/>
        <w:gridCol w:w="2851"/>
        <w:gridCol w:w="4133"/>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客户名称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主营业务收入</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占公司全部营业收入的比例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广州市社会保险基金管理中心</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61,826,893.08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15.64%</w:t>
            </w:r>
          </w:p>
        </w:tc>
      </w:tr>
      <w:tr>
        <w:trPr>
          <w:trHeight w:val="398"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增城市教育局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25,215,391.47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广东兴业国际实业有限公司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17,673,859.76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广州卫富科技开发有限公司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9,211,922.19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迁安市教育局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8,438,897.41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122,366,963.91</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30.95%</w:t>
            </w:r>
          </w:p>
        </w:tc>
      </w:tr>
    </w:tbl>
    <w:p>
      <w:pPr>
        <w:widowControl w:val="0"/>
        <w:spacing w:after="319" w:line="1" w:lineRule="exact"/>
      </w:pPr>
    </w:p>
    <w:p>
      <w:pPr>
        <w:pStyle w:val="Style38"/>
        <w:keepNext/>
        <w:keepLines/>
        <w:widowControl w:val="0"/>
        <w:shd w:val="clear" w:color="auto" w:fill="auto"/>
        <w:bidi w:val="0"/>
        <w:spacing w:before="0" w:after="360" w:line="240" w:lineRule="auto"/>
        <w:ind w:left="0" w:right="0" w:firstLine="0"/>
        <w:jc w:val="left"/>
      </w:pPr>
      <w:bookmarkStart w:id="1076" w:name="bookmark1076"/>
      <w:bookmarkStart w:id="1077" w:name="bookmark1077"/>
      <w:bookmarkStart w:id="1078" w:name="bookmark1078"/>
      <w:bookmarkStart w:id="1079" w:name="bookmark1079"/>
      <w:r>
        <w:rPr>
          <w:rFonts w:ascii="Times New Roman" w:eastAsia="Times New Roman" w:hAnsi="Times New Roman" w:cs="Times New Roman"/>
          <w:color w:val="000000"/>
          <w:spacing w:val="0"/>
          <w:w w:val="100"/>
          <w:position w:val="0"/>
        </w:rPr>
        <w:t>2</w:t>
      </w:r>
      <w:bookmarkEnd w:id="1078"/>
      <w:r>
        <w:rPr>
          <w:rFonts w:ascii="Times New Roman" w:eastAsia="Times New Roman" w:hAnsi="Times New Roman" w:cs="Times New Roman"/>
          <w:color w:val="000000"/>
          <w:spacing w:val="0"/>
          <w:w w:val="100"/>
          <w:position w:val="0"/>
        </w:rPr>
        <w:t>9</w:t>
      </w:r>
      <w:r>
        <w:rPr>
          <w:color w:val="000000"/>
          <w:spacing w:val="0"/>
          <w:w w:val="100"/>
          <w:position w:val="0"/>
        </w:rPr>
        <w:t>、营业税金及附加</w:t>
      </w:r>
      <w:bookmarkEnd w:id="1076"/>
      <w:bookmarkEnd w:id="1077"/>
      <w:bookmarkEnd w:id="1079"/>
    </w:p>
    <w:p>
      <w:pPr>
        <w:pStyle w:val="Style3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803"/>
        <w:gridCol w:w="1992"/>
        <w:gridCol w:w="1862"/>
        <w:gridCol w:w="2928"/>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计缴标准</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营业税</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277,111.40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2,088,838.53</w:t>
            </w:r>
          </w:p>
        </w:tc>
        <w:tc>
          <w:tcPr>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845,065.00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1,070,861.14</w:t>
            </w:r>
          </w:p>
        </w:tc>
        <w:tc>
          <w:tcPr>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362,209.25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459,077.29</w:t>
            </w:r>
          </w:p>
        </w:tc>
        <w:tc>
          <w:tcPr>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地方教育费附加</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241,472.87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306,051.53</w:t>
            </w:r>
          </w:p>
        </w:tc>
        <w:tc>
          <w:tcPr>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1,725,858.52</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3,924,828.49</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8"/>
        <w:keepNext/>
        <w:keepLines/>
        <w:widowControl w:val="0"/>
        <w:shd w:val="clear" w:color="auto" w:fill="auto"/>
        <w:bidi w:val="0"/>
        <w:spacing w:before="0" w:after="360" w:line="240" w:lineRule="auto"/>
        <w:ind w:left="0" w:right="0" w:firstLine="0"/>
        <w:jc w:val="left"/>
      </w:pPr>
      <w:bookmarkStart w:id="1080" w:name="bookmark1080"/>
      <w:bookmarkStart w:id="1081" w:name="bookmark1081"/>
      <w:bookmarkStart w:id="1082" w:name="bookmark1082"/>
      <w:bookmarkStart w:id="1083" w:name="bookmark1083"/>
      <w:r>
        <w:rPr>
          <w:rFonts w:ascii="Times New Roman" w:eastAsia="Times New Roman" w:hAnsi="Times New Roman" w:cs="Times New Roman"/>
          <w:color w:val="000000"/>
          <w:spacing w:val="0"/>
          <w:w w:val="100"/>
          <w:position w:val="0"/>
        </w:rPr>
        <w:t>3</w:t>
      </w:r>
      <w:bookmarkEnd w:id="1082"/>
      <w:r>
        <w:rPr>
          <w:rFonts w:ascii="Times New Roman" w:eastAsia="Times New Roman" w:hAnsi="Times New Roman" w:cs="Times New Roman"/>
          <w:color w:val="000000"/>
          <w:spacing w:val="0"/>
          <w:w w:val="100"/>
          <w:position w:val="0"/>
        </w:rPr>
        <w:t>0</w:t>
      </w:r>
      <w:r>
        <w:rPr>
          <w:color w:val="000000"/>
          <w:spacing w:val="0"/>
          <w:w w:val="100"/>
          <w:position w:val="0"/>
        </w:rPr>
        <w:t>、销售费用</w:t>
      </w:r>
      <w:bookmarkEnd w:id="1080"/>
      <w:bookmarkEnd w:id="1081"/>
      <w:bookmarkEnd w:id="1083"/>
    </w:p>
    <w:p>
      <w:pPr>
        <w:pStyle w:val="Style3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16,518,565.72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14,540,646.44</w:t>
            </w:r>
          </w:p>
        </w:tc>
      </w:tr>
      <w:tr>
        <w:trPr>
          <w:trHeight w:val="413" w:hRule="exact"/>
        </w:trPr>
        <w:tc>
          <w:tcPr>
            <w:tcBorders>
              <w:top w:val="single" w:sz="4"/>
              <w:left w:val="single" w:sz="4"/>
              <w:bottom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广告和业务宣传费</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334,176.00</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3,546,702.00</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差旅费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4,684,124.66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4,370,240.34</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2,019,264.93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4,054,277.50</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会务会议费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1,238,554.50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619,002.20</w:t>
            </w:r>
          </w:p>
        </w:tc>
      </w:tr>
      <w:tr>
        <w:trPr>
          <w:trHeight w:val="398"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投标服务费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1,320,728.71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1,953,074.52</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1,981,497.13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2,119,748.26</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500,570.39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69,238.00</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28,597,482.04</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31,272,929.26</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084" w:name="bookmark1084"/>
      <w:bookmarkStart w:id="1085" w:name="bookmark1085"/>
      <w:bookmarkStart w:id="1086" w:name="bookmark1086"/>
      <w:bookmarkStart w:id="1087" w:name="bookmark1087"/>
      <w:r>
        <w:rPr>
          <w:rFonts w:ascii="Times New Roman" w:eastAsia="Times New Roman" w:hAnsi="Times New Roman" w:cs="Times New Roman"/>
          <w:color w:val="000000"/>
          <w:spacing w:val="0"/>
          <w:w w:val="100"/>
          <w:position w:val="0"/>
        </w:rPr>
        <w:t>3</w:t>
      </w:r>
      <w:bookmarkEnd w:id="1086"/>
      <w:r>
        <w:rPr>
          <w:rFonts w:ascii="Times New Roman" w:eastAsia="Times New Roman" w:hAnsi="Times New Roman" w:cs="Times New Roman"/>
          <w:color w:val="000000"/>
          <w:spacing w:val="0"/>
          <w:w w:val="100"/>
          <w:position w:val="0"/>
        </w:rPr>
        <w:t>1</w:t>
      </w:r>
      <w:r>
        <w:rPr>
          <w:color w:val="000000"/>
          <w:spacing w:val="0"/>
          <w:w w:val="100"/>
          <w:position w:val="0"/>
        </w:rPr>
        <w:t>、管理费用</w:t>
      </w:r>
      <w:bookmarkEnd w:id="1084"/>
      <w:bookmarkEnd w:id="1085"/>
      <w:bookmarkEnd w:id="1087"/>
    </w:p>
    <w:p>
      <w:pPr>
        <w:pStyle w:val="Style3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20,069,152.14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13,547,381.53</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折旧及摊销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5,793,181.58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9,962,076.42</w:t>
            </w:r>
          </w:p>
        </w:tc>
      </w:tr>
      <w:tr>
        <w:trPr>
          <w:trHeight w:val="398"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12,125,909.37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9,755,378.24</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差旅费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4,054,115.26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2,163,196.32</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税金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1,731,045.72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938,738.19</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593,942.82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2,170,380.50</w:t>
            </w:r>
          </w:p>
        </w:tc>
      </w:tr>
      <w:tr>
        <w:trPr>
          <w:trHeight w:val="398"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中介费用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2,351,789.22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3,354,629.31</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39,276,775.32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12,109,580.88</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租赁费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4,795,432.04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3,221,970.04</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90,791,343.47</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57,223,331.43</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088" w:name="bookmark1088"/>
      <w:bookmarkStart w:id="1089" w:name="bookmark1089"/>
      <w:bookmarkStart w:id="1090" w:name="bookmark1090"/>
      <w:bookmarkStart w:id="1091" w:name="bookmark1091"/>
      <w:r>
        <w:rPr>
          <w:rFonts w:ascii="Times New Roman" w:eastAsia="Times New Roman" w:hAnsi="Times New Roman" w:cs="Times New Roman"/>
          <w:color w:val="000000"/>
          <w:spacing w:val="0"/>
          <w:w w:val="100"/>
          <w:position w:val="0"/>
        </w:rPr>
        <w:t>3</w:t>
      </w:r>
      <w:bookmarkEnd w:id="1090"/>
      <w:r>
        <w:rPr>
          <w:rFonts w:ascii="Times New Roman" w:eastAsia="Times New Roman" w:hAnsi="Times New Roman" w:cs="Times New Roman"/>
          <w:color w:val="000000"/>
          <w:spacing w:val="0"/>
          <w:w w:val="100"/>
          <w:position w:val="0"/>
        </w:rPr>
        <w:t>2</w:t>
      </w:r>
      <w:r>
        <w:rPr>
          <w:color w:val="000000"/>
          <w:spacing w:val="0"/>
          <w:w w:val="100"/>
          <w:position w:val="0"/>
        </w:rPr>
        <w:t>、财务费用</w:t>
      </w:r>
      <w:bookmarkEnd w:id="1088"/>
      <w:bookmarkEnd w:id="1089"/>
      <w:bookmarkEnd w:id="1091"/>
    </w:p>
    <w:p>
      <w:pPr>
        <w:pStyle w:val="Style3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利息支出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8,020,756.10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4,778,909.45</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-1,167,894.79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-1,613,306.82</w:t>
            </w:r>
          </w:p>
        </w:tc>
      </w:tr>
      <w:tr>
        <w:trPr>
          <w:trHeight w:val="398"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银行手续费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221,798.91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152,736.19</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7,074,660.22</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3,318,338.82</w:t>
            </w:r>
          </w:p>
        </w:tc>
      </w:tr>
    </w:tbl>
    <w:p>
      <w:pPr>
        <w:widowControl w:val="0"/>
        <w:spacing w:after="679" w:line="1" w:lineRule="exact"/>
      </w:pPr>
    </w:p>
    <w:p>
      <w:pPr>
        <w:pStyle w:val="Style38"/>
        <w:keepNext/>
        <w:keepLines/>
        <w:widowControl w:val="0"/>
        <w:shd w:val="clear" w:color="auto" w:fill="auto"/>
        <w:bidi w:val="0"/>
        <w:spacing w:before="0" w:after="380" w:line="240" w:lineRule="auto"/>
        <w:ind w:left="0" w:right="0" w:firstLine="0"/>
        <w:jc w:val="left"/>
      </w:pPr>
      <w:bookmarkStart w:id="1092" w:name="bookmark1092"/>
      <w:bookmarkStart w:id="1093" w:name="bookmark1093"/>
      <w:bookmarkStart w:id="1094" w:name="bookmark1094"/>
      <w:bookmarkStart w:id="1095" w:name="bookmark1095"/>
      <w:r>
        <w:rPr>
          <w:rFonts w:ascii="Times New Roman" w:eastAsia="Times New Roman" w:hAnsi="Times New Roman" w:cs="Times New Roman"/>
          <w:color w:val="000000"/>
          <w:spacing w:val="0"/>
          <w:w w:val="100"/>
          <w:position w:val="0"/>
        </w:rPr>
        <w:t>3</w:t>
      </w:r>
      <w:bookmarkEnd w:id="1094"/>
      <w:r>
        <w:rPr>
          <w:rFonts w:ascii="Times New Roman" w:eastAsia="Times New Roman" w:hAnsi="Times New Roman" w:cs="Times New Roman"/>
          <w:color w:val="000000"/>
          <w:spacing w:val="0"/>
          <w:w w:val="100"/>
          <w:position w:val="0"/>
        </w:rPr>
        <w:t>3</w:t>
      </w:r>
      <w:r>
        <w:rPr>
          <w:color w:val="000000"/>
          <w:spacing w:val="0"/>
          <w:w w:val="100"/>
          <w:position w:val="0"/>
        </w:rPr>
        <w:t>、资产减值损失</w:t>
      </w:r>
      <w:bookmarkEnd w:id="1092"/>
      <w:bookmarkEnd w:id="1093"/>
      <w:bookmarkEnd w:id="1095"/>
    </w:p>
    <w:p>
      <w:pPr>
        <w:pStyle w:val="Style27"/>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4262"/>
        <w:gridCol w:w="2525"/>
        <w:gridCol w:w="2798"/>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坏账损失</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6,073,067.73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6,332,415.33</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6,073,067.73</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6,332,415.33</w:t>
            </w:r>
          </w:p>
        </w:tc>
      </w:tr>
    </w:tbl>
    <w:p>
      <w:pPr>
        <w:widowControl w:val="0"/>
        <w:spacing w:after="319" w:line="1" w:lineRule="exact"/>
      </w:pPr>
    </w:p>
    <w:p>
      <w:pPr>
        <w:pStyle w:val="Style38"/>
        <w:keepNext/>
        <w:keepLines/>
        <w:widowControl w:val="0"/>
        <w:shd w:val="clear" w:color="auto" w:fill="auto"/>
        <w:bidi w:val="0"/>
        <w:spacing w:before="0" w:after="360" w:line="240" w:lineRule="auto"/>
        <w:ind w:left="0" w:right="0" w:firstLine="0"/>
        <w:jc w:val="left"/>
      </w:pPr>
      <w:bookmarkStart w:id="1096" w:name="bookmark1096"/>
      <w:bookmarkStart w:id="1097" w:name="bookmark1097"/>
      <w:bookmarkStart w:id="1098" w:name="bookmark1098"/>
      <w:bookmarkStart w:id="1099" w:name="bookmark1099"/>
      <w:r>
        <w:rPr>
          <w:rFonts w:ascii="Times New Roman" w:eastAsia="Times New Roman" w:hAnsi="Times New Roman" w:cs="Times New Roman"/>
          <w:color w:val="000000"/>
          <w:spacing w:val="0"/>
          <w:w w:val="100"/>
          <w:position w:val="0"/>
        </w:rPr>
        <w:t>3</w:t>
      </w:r>
      <w:bookmarkEnd w:id="1098"/>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096"/>
      <w:bookmarkEnd w:id="1097"/>
      <w:bookmarkEnd w:id="1099"/>
    </w:p>
    <w:p>
      <w:pPr>
        <w:pStyle w:val="Style38"/>
        <w:keepNext/>
        <w:keepLines/>
        <w:widowControl w:val="0"/>
        <w:shd w:val="clear" w:color="auto" w:fill="auto"/>
        <w:bidi w:val="0"/>
        <w:spacing w:before="0" w:after="360" w:line="240" w:lineRule="auto"/>
        <w:ind w:left="0" w:right="0" w:firstLine="0"/>
        <w:jc w:val="left"/>
      </w:pPr>
      <w:bookmarkStart w:id="1096" w:name="bookmark1096"/>
      <w:bookmarkStart w:id="1097" w:name="bookmark1097"/>
      <w:bookmarkStart w:id="1100" w:name="bookmark110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)营业外收入情况</w:t>
      </w:r>
      <w:bookmarkEnd w:id="1096"/>
      <w:bookmarkEnd w:id="1097"/>
      <w:bookmarkEnd w:id="1100"/>
    </w:p>
    <w:p>
      <w:pPr>
        <w:pStyle w:val="Style3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302"/>
        <w:gridCol w:w="1954"/>
        <w:gridCol w:w="2160"/>
        <w:gridCol w:w="2170"/>
      </w:tblGrid>
      <w:tr>
        <w:trPr>
          <w:trHeight w:val="72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计入当期非经常性损益的 金额</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24,188,000.00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10,915,200.00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24,188,000.00</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退税收入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3,398,650.70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5,980,658.07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48,279.80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17,086.53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48,279.80</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27,634,930.50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16,912,944.60</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24,236,279.80</w:t>
            </w:r>
          </w:p>
        </w:tc>
      </w:tr>
    </w:tbl>
    <w:p>
      <w:pPr>
        <w:widowControl w:val="0"/>
        <w:spacing w:after="319" w:line="1" w:lineRule="exact"/>
      </w:pPr>
    </w:p>
    <w:p>
      <w:pPr>
        <w:pStyle w:val="Style38"/>
        <w:keepNext/>
        <w:keepLines/>
        <w:widowControl w:val="0"/>
        <w:shd w:val="clear" w:color="auto" w:fill="auto"/>
        <w:bidi w:val="0"/>
        <w:spacing w:before="0" w:after="360" w:line="240" w:lineRule="auto"/>
        <w:ind w:left="0" w:right="0" w:firstLine="0"/>
        <w:jc w:val="left"/>
      </w:pPr>
      <w:bookmarkStart w:id="1101" w:name="bookmark1101"/>
      <w:bookmarkStart w:id="1102" w:name="bookmark1102"/>
      <w:bookmarkStart w:id="1103" w:name="bookmark1103"/>
      <w:r>
        <w:rPr>
          <w:rFonts w:ascii="Times New Roman" w:eastAsia="Times New Roman" w:hAnsi="Times New Roman" w:cs="Times New Roman"/>
          <w:color w:val="000000"/>
          <w:spacing w:val="0"/>
          <w:w w:val="100"/>
          <w:position w:val="0"/>
        </w:rPr>
        <w:t>(2</w:t>
      </w:r>
      <w:r>
        <w:rPr>
          <w:color w:val="000000"/>
          <w:spacing w:val="0"/>
          <w:w w:val="100"/>
          <w:position w:val="0"/>
        </w:rPr>
        <w:t>)计入当期损益的政府补助</w:t>
      </w:r>
      <w:bookmarkEnd w:id="1101"/>
      <w:bookmarkEnd w:id="1102"/>
      <w:bookmarkEnd w:id="1103"/>
    </w:p>
    <w:p>
      <w:pPr>
        <w:pStyle w:val="Style3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419"/>
        <w:gridCol w:w="1843"/>
        <w:gridCol w:w="1627"/>
        <w:gridCol w:w="1915"/>
        <w:gridCol w:w="1925"/>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补助项目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与收益相关</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是否属于非经常性损益</w:t>
            </w:r>
          </w:p>
        </w:tc>
      </w:tr>
      <w:tr>
        <w:trPr>
          <w:trHeight w:val="398"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蓝盾网络安全云平台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715"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蓝盾内网主机安全保密及审计 系统研发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715"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网络敏感数据防窃取与反窃取 系统</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民营企业上市后备资源库项目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710"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网络安全云服务平台的关键技 术研究和产业化</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与资产相关</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网络安全云平台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与资产相关</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云安全技术公共服务平台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与资产相关</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蓝盾网络安全云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与资产相关</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710"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面向云计算的网络应用安全监 测审计平台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2,220,000.00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蓝盾安全云平台项目配套资金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715"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广州市天河区科技和信息化局</w:t>
            </w:r>
          </w:p>
          <w:p>
            <w:pPr>
              <w:pStyle w:val="Style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7"/>
                <w:szCs w:val="17"/>
              </w:rPr>
              <w:t>年度省科学技术奖</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725" w:hRule="exact"/>
        </w:trPr>
        <w:tc>
          <w:tcPr>
            <w:tcBorders>
              <w:top w:val="single" w:sz="4"/>
              <w:left w:val="single" w:sz="4"/>
              <w:bottom w:val="single" w:sz="4"/>
            </w:tcBorders>
            <w:shd w:val="clear" w:color="auto" w:fill="CCE8CF"/>
            <w:vAlign w:val="center"/>
          </w:tcPr>
          <w:p>
            <w:pPr>
              <w:pStyle w:val="Style8"/>
              <w:keepNext w:val="0"/>
              <w:keepLines w:val="0"/>
              <w:widowControl w:val="0"/>
              <w:shd w:val="clear" w:color="auto" w:fill="auto"/>
              <w:bidi w:val="0"/>
              <w:spacing w:before="0" w:after="12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年度广州市总部企业奖</w:t>
            </w:r>
          </w:p>
          <w:p>
            <w:pPr>
              <w:pStyle w:val="Style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励补贴资金</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768,300.00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与收益相关</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bl>
    <w:p>
      <w:pPr>
        <w:widowControl w:val="0"/>
        <w:spacing w:line="1" w:lineRule="exact"/>
      </w:pPr>
      <w:r>
        <w:br w:type="page"/>
      </w:r>
    </w:p>
    <w:tbl>
      <w:tblPr>
        <w:tblOverlap w:val="never"/>
        <w:jc w:val="center"/>
        <w:tblLayout w:type="fixed"/>
      </w:tblPr>
      <w:tblGrid>
        <w:gridCol w:w="2419"/>
        <w:gridCol w:w="1843"/>
        <w:gridCol w:w="1627"/>
        <w:gridCol w:w="1915"/>
        <w:gridCol w:w="1925"/>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补助项目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上期发生额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与收益相关</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是否属于非经常性损益</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专利资助</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1027"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云安全技术公共服务平台、面 向云计算的网络应用安全监测 审计平台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ISO</w:t>
            </w:r>
            <w:r>
              <w:rPr>
                <w:color w:val="000000"/>
                <w:spacing w:val="0"/>
                <w:w w:val="100"/>
                <w:position w:val="0"/>
                <w:sz w:val="17"/>
                <w:szCs w:val="17"/>
              </w:rPr>
              <w:t>资质奖励</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398"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cmmi</w:t>
            </w:r>
            <w:r>
              <w:rPr>
                <w:color w:val="000000"/>
                <w:spacing w:val="0"/>
                <w:w w:val="100"/>
                <w:position w:val="0"/>
                <w:sz w:val="17"/>
                <w:szCs w:val="17"/>
              </w:rPr>
              <w:t>奖励</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高端服务业发展奖励金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715"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蓝盾综合信息安全审计与监控 系统研发与产业化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1,990,000.00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博士后启动经费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710"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12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7"/>
                <w:szCs w:val="17"/>
              </w:rPr>
              <w:t>年市民营企业奖励专项</w:t>
            </w:r>
          </w:p>
          <w:p>
            <w:pPr>
              <w:pStyle w:val="Style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重点软件企业所得税奖励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1,465,200.00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上市奖励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715"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流媒体实时过滤与可疑目标捕 捉跟踪系统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710"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蓝盾信息安全高端人才培养项 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970,000.00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715"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基于构件的等级保护全网安全 监控管理系统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715"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电子政务信息安全处理和监控 审计平台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715"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蓝盾信息安全技术培训学院信 息安全技术人才培养计划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950,000.00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398"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蓝盾网络安全云关键技术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715"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基于可信计算机的安全终端产 品研发及产业化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715"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蓝盾系列信息安全产品产业化 示范基地建设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715"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年市民营企业奖励专项 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350,000.00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24,188,000.00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10,915,200.00</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659" w:line="1" w:lineRule="exact"/>
      </w:pPr>
    </w:p>
    <w:p>
      <w:pPr>
        <w:pStyle w:val="Style38"/>
        <w:keepNext/>
        <w:keepLines/>
        <w:widowControl w:val="0"/>
        <w:shd w:val="clear" w:color="auto" w:fill="auto"/>
        <w:bidi w:val="0"/>
        <w:spacing w:before="0" w:after="380" w:line="240" w:lineRule="auto"/>
        <w:ind w:left="0" w:right="0" w:firstLine="0"/>
        <w:jc w:val="left"/>
      </w:pPr>
      <w:bookmarkStart w:id="1104" w:name="bookmark1104"/>
      <w:bookmarkStart w:id="1105" w:name="bookmark1105"/>
      <w:bookmarkStart w:id="1106" w:name="bookmark1106"/>
      <w:bookmarkStart w:id="1107" w:name="bookmark1107"/>
      <w:r>
        <w:rPr>
          <w:rFonts w:ascii="Times New Roman" w:eastAsia="Times New Roman" w:hAnsi="Times New Roman" w:cs="Times New Roman"/>
          <w:color w:val="000000"/>
          <w:spacing w:val="0"/>
          <w:w w:val="100"/>
          <w:position w:val="0"/>
        </w:rPr>
        <w:t>3</w:t>
      </w:r>
      <w:bookmarkEnd w:id="1106"/>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104"/>
      <w:bookmarkEnd w:id="1105"/>
      <w:bookmarkEnd w:id="110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730"/>
        <w:gridCol w:w="2021"/>
        <w:gridCol w:w="1915"/>
        <w:gridCol w:w="1920"/>
      </w:tblGrid>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计入当期非经常性损益</w:t>
            </w:r>
          </w:p>
          <w:p>
            <w:pPr>
              <w:pStyle w:val="Style8"/>
              <w:keepNext w:val="0"/>
              <w:keepLines w:val="0"/>
              <w:widowControl w:val="0"/>
              <w:shd w:val="clear" w:color="auto" w:fill="auto"/>
              <w:bidi w:val="0"/>
              <w:spacing w:before="0" w:after="0" w:line="240" w:lineRule="auto"/>
              <w:ind w:left="0" w:right="0" w:firstLine="680"/>
              <w:jc w:val="both"/>
              <w:rPr>
                <w:sz w:val="17"/>
                <w:szCs w:val="17"/>
              </w:rPr>
            </w:pPr>
            <w:r>
              <w:rPr>
                <w:color w:val="000000"/>
                <w:spacing w:val="0"/>
                <w:w w:val="100"/>
                <w:position w:val="0"/>
                <w:sz w:val="17"/>
                <w:szCs w:val="17"/>
              </w:rPr>
              <w:t>的金额</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非流动资产处置损失合计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2,363,337.31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2,320.55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2,363,337.31</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其中：固定资产处置损失</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2,363,337.31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2,320.55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2,363,337.31</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对外捐赠</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425,346.60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425,346.60</w:t>
            </w:r>
          </w:p>
        </w:tc>
      </w:tr>
      <w:tr>
        <w:trPr>
          <w:trHeight w:val="398"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78,276.26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6,348.03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78,276.26</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2,866,960.17</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58,668.58</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2,866,960.17</w:t>
            </w:r>
          </w:p>
        </w:tc>
      </w:tr>
    </w:tbl>
    <w:p>
      <w:pPr>
        <w:widowControl w:val="0"/>
        <w:spacing w:after="319" w:line="1" w:lineRule="exact"/>
      </w:pPr>
    </w:p>
    <w:p>
      <w:pPr>
        <w:pStyle w:val="Style38"/>
        <w:keepNext/>
        <w:keepLines/>
        <w:widowControl w:val="0"/>
        <w:shd w:val="clear" w:color="auto" w:fill="auto"/>
        <w:bidi w:val="0"/>
        <w:spacing w:before="0" w:after="360" w:line="240" w:lineRule="auto"/>
        <w:ind w:left="0" w:right="0" w:firstLine="0"/>
        <w:jc w:val="left"/>
      </w:pPr>
      <w:bookmarkStart w:id="1108" w:name="bookmark1108"/>
      <w:bookmarkStart w:id="1109" w:name="bookmark1109"/>
      <w:bookmarkStart w:id="1110" w:name="bookmark1110"/>
      <w:bookmarkStart w:id="1111" w:name="bookmark1111"/>
      <w:r>
        <w:rPr>
          <w:rFonts w:ascii="Times New Roman" w:eastAsia="Times New Roman" w:hAnsi="Times New Roman" w:cs="Times New Roman"/>
          <w:color w:val="000000"/>
          <w:spacing w:val="0"/>
          <w:w w:val="100"/>
          <w:position w:val="0"/>
        </w:rPr>
        <w:t>3</w:t>
      </w:r>
      <w:bookmarkEnd w:id="1110"/>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108"/>
      <w:bookmarkEnd w:id="1109"/>
      <w:bookmarkEnd w:id="1111"/>
    </w:p>
    <w:p>
      <w:pPr>
        <w:pStyle w:val="Style3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4666"/>
        <w:gridCol w:w="2520"/>
        <w:gridCol w:w="2400"/>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按税法及相关规定计算的当期所得税</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3,741,884.94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10,220,145.51</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递延所得税调整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499,808.23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-521,494.76</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4,241,693.17</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9,698,650.75</w:t>
            </w:r>
          </w:p>
        </w:tc>
      </w:tr>
    </w:tbl>
    <w:p>
      <w:pPr>
        <w:widowControl w:val="0"/>
        <w:spacing w:after="319" w:line="1" w:lineRule="exact"/>
      </w:pPr>
    </w:p>
    <w:p>
      <w:pPr>
        <w:pStyle w:val="Style38"/>
        <w:keepNext/>
        <w:keepLines/>
        <w:widowControl w:val="0"/>
        <w:shd w:val="clear" w:color="auto" w:fill="auto"/>
        <w:bidi w:val="0"/>
        <w:spacing w:before="0" w:after="320" w:line="240" w:lineRule="auto"/>
        <w:ind w:left="0" w:right="0" w:firstLine="0"/>
        <w:jc w:val="left"/>
      </w:pPr>
      <w:bookmarkStart w:id="1112" w:name="bookmark1112"/>
      <w:bookmarkStart w:id="1113" w:name="bookmark1113"/>
      <w:bookmarkStart w:id="1114" w:name="bookmark1114"/>
      <w:bookmarkStart w:id="1115" w:name="bookmark1115"/>
      <w:r>
        <w:rPr>
          <w:rFonts w:ascii="Times New Roman" w:eastAsia="Times New Roman" w:hAnsi="Times New Roman" w:cs="Times New Roman"/>
          <w:color w:val="000000"/>
          <w:spacing w:val="0"/>
          <w:w w:val="100"/>
          <w:position w:val="0"/>
        </w:rPr>
        <w:t>3</w:t>
      </w:r>
      <w:bookmarkEnd w:id="1114"/>
      <w:r>
        <w:rPr>
          <w:rFonts w:ascii="Times New Roman" w:eastAsia="Times New Roman" w:hAnsi="Times New Roman" w:cs="Times New Roman"/>
          <w:color w:val="000000"/>
          <w:spacing w:val="0"/>
          <w:w w:val="100"/>
          <w:position w:val="0"/>
        </w:rPr>
        <w:t>7</w:t>
      </w:r>
      <w:r>
        <w:rPr>
          <w:color w:val="000000"/>
          <w:spacing w:val="0"/>
          <w:w w:val="100"/>
          <w:position w:val="0"/>
        </w:rPr>
        <w:t>、基本每股收益和稀释每股收益的计算过程</w:t>
      </w:r>
      <w:bookmarkEnd w:id="1112"/>
      <w:bookmarkEnd w:id="1113"/>
      <w:bookmarkEnd w:id="1115"/>
    </w:p>
    <w:tbl>
      <w:tblPr>
        <w:tblOverlap w:val="never"/>
        <w:jc w:val="center"/>
        <w:tblLayout w:type="fixed"/>
      </w:tblPr>
      <w:tblGrid>
        <w:gridCol w:w="3710"/>
        <w:gridCol w:w="2030"/>
        <w:gridCol w:w="2054"/>
        <w:gridCol w:w="2074"/>
      </w:tblGrid>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tabs>
                <w:tab w:pos="475" w:val="left"/>
              </w:tabs>
              <w:bidi w:val="0"/>
              <w:spacing w:before="0" w:after="0" w:line="240" w:lineRule="auto"/>
              <w:ind w:left="0" w:right="0" w:firstLine="0"/>
              <w:jc w:val="center"/>
              <w:rPr>
                <w:sz w:val="17"/>
                <w:szCs w:val="17"/>
              </w:rPr>
            </w:pPr>
            <w:r>
              <w:rPr>
                <w:color w:val="000000"/>
                <w:spacing w:val="0"/>
                <w:w w:val="100"/>
                <w:position w:val="0"/>
                <w:sz w:val="17"/>
                <w:szCs w:val="17"/>
              </w:rPr>
              <w:t>项</w:t>
              <w:tab/>
              <w:t>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序号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本期数</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上期数</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归属于公司普通股股东的净利润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000"/>
              <w:jc w:val="left"/>
              <w:rPr>
                <w:sz w:val="18"/>
                <w:szCs w:val="18"/>
              </w:rPr>
            </w:pPr>
            <w:r>
              <w:rPr>
                <w:rFonts w:ascii="Arial Narrow" w:eastAsia="Arial Narrow" w:hAnsi="Arial Narrow" w:cs="Arial Narrow"/>
                <w:color w:val="000000"/>
                <w:spacing w:val="0"/>
                <w:w w:val="100"/>
                <w:position w:val="0"/>
                <w:sz w:val="18"/>
                <w:szCs w:val="18"/>
              </w:rPr>
              <w:t>31,963,282.74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000"/>
              <w:jc w:val="left"/>
              <w:rPr>
                <w:sz w:val="18"/>
                <w:szCs w:val="18"/>
              </w:rPr>
            </w:pPr>
            <w:r>
              <w:rPr>
                <w:rFonts w:ascii="Arial Narrow" w:eastAsia="Arial Narrow" w:hAnsi="Arial Narrow" w:cs="Arial Narrow"/>
                <w:color w:val="000000"/>
                <w:spacing w:val="0"/>
                <w:w w:val="100"/>
                <w:position w:val="0"/>
                <w:sz w:val="18"/>
                <w:szCs w:val="18"/>
              </w:rPr>
              <w:t>58,090,774.13</w:t>
            </w:r>
          </w:p>
        </w:tc>
      </w:tr>
      <w:tr>
        <w:trPr>
          <w:trHeight w:val="706"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扣除所得税影响后归属于母公司普通股股东 净利润的非经常性损益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000"/>
              <w:jc w:val="left"/>
              <w:rPr>
                <w:sz w:val="18"/>
                <w:szCs w:val="18"/>
              </w:rPr>
            </w:pPr>
            <w:r>
              <w:rPr>
                <w:rFonts w:ascii="Arial Narrow" w:eastAsia="Arial Narrow" w:hAnsi="Arial Narrow" w:cs="Arial Narrow"/>
                <w:color w:val="000000"/>
                <w:spacing w:val="0"/>
                <w:w w:val="100"/>
                <w:position w:val="0"/>
                <w:sz w:val="18"/>
                <w:szCs w:val="18"/>
              </w:rPr>
              <w:t>19,219,892.99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9,242,575.26</w:t>
            </w:r>
          </w:p>
        </w:tc>
      </w:tr>
      <w:tr>
        <w:trPr>
          <w:trHeight w:val="71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扣除非经常性损益后的归属于公司普通股股 东的净利润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3=1-2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000"/>
              <w:jc w:val="left"/>
              <w:rPr>
                <w:sz w:val="18"/>
                <w:szCs w:val="18"/>
              </w:rPr>
            </w:pPr>
            <w:r>
              <w:rPr>
                <w:rFonts w:ascii="Arial Narrow" w:eastAsia="Arial Narrow" w:hAnsi="Arial Narrow" w:cs="Arial Narrow"/>
                <w:color w:val="000000"/>
                <w:spacing w:val="0"/>
                <w:w w:val="100"/>
                <w:position w:val="0"/>
                <w:sz w:val="18"/>
                <w:szCs w:val="18"/>
              </w:rPr>
              <w:t>12,743,389.75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000"/>
              <w:jc w:val="left"/>
              <w:rPr>
                <w:sz w:val="18"/>
                <w:szCs w:val="18"/>
              </w:rPr>
            </w:pPr>
            <w:r>
              <w:rPr>
                <w:rFonts w:ascii="Arial Narrow" w:eastAsia="Arial Narrow" w:hAnsi="Arial Narrow" w:cs="Arial Narrow"/>
                <w:color w:val="000000"/>
                <w:spacing w:val="0"/>
                <w:w w:val="100"/>
                <w:position w:val="0"/>
                <w:sz w:val="18"/>
                <w:szCs w:val="18"/>
              </w:rPr>
              <w:t>48,848,198.87</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期初股份总数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000"/>
              <w:jc w:val="left"/>
              <w:rPr>
                <w:sz w:val="18"/>
                <w:szCs w:val="18"/>
              </w:rPr>
            </w:pPr>
            <w:r>
              <w:rPr>
                <w:rFonts w:ascii="Arial Narrow" w:eastAsia="Arial Narrow" w:hAnsi="Arial Narrow" w:cs="Arial Narrow"/>
                <w:color w:val="000000"/>
                <w:spacing w:val="0"/>
                <w:w w:val="100"/>
                <w:position w:val="0"/>
                <w:sz w:val="18"/>
                <w:szCs w:val="18"/>
              </w:rPr>
              <w:t>98,000,000.00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000"/>
              <w:jc w:val="left"/>
              <w:rPr>
                <w:sz w:val="18"/>
                <w:szCs w:val="18"/>
              </w:rPr>
            </w:pPr>
            <w:r>
              <w:rPr>
                <w:rFonts w:ascii="Arial Narrow" w:eastAsia="Arial Narrow" w:hAnsi="Arial Narrow" w:cs="Arial Narrow"/>
                <w:color w:val="000000"/>
                <w:spacing w:val="0"/>
                <w:w w:val="100"/>
                <w:position w:val="0"/>
                <w:sz w:val="18"/>
                <w:szCs w:val="18"/>
              </w:rPr>
              <w:t>73,500,000.00</w:t>
            </w:r>
          </w:p>
        </w:tc>
      </w:tr>
      <w:tr>
        <w:trPr>
          <w:trHeight w:val="71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报告期因公积金转增股本或股票股利分配等 增加的股份数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000"/>
              <w:jc w:val="left"/>
              <w:rPr>
                <w:sz w:val="18"/>
                <w:szCs w:val="18"/>
              </w:rPr>
            </w:pPr>
            <w:r>
              <w:rPr>
                <w:rFonts w:ascii="Arial Narrow" w:eastAsia="Arial Narrow" w:hAnsi="Arial Narrow" w:cs="Arial Narrow"/>
                <w:color w:val="000000"/>
                <w:spacing w:val="0"/>
                <w:w w:val="100"/>
                <w:position w:val="0"/>
                <w:sz w:val="18"/>
                <w:szCs w:val="18"/>
              </w:rPr>
              <w:t>98,000,000.00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000"/>
              <w:jc w:val="left"/>
              <w:rPr>
                <w:sz w:val="18"/>
                <w:szCs w:val="18"/>
              </w:rPr>
            </w:pPr>
            <w:r>
              <w:rPr>
                <w:rFonts w:ascii="Arial Narrow" w:eastAsia="Arial Narrow" w:hAnsi="Arial Narrow" w:cs="Arial Narrow"/>
                <w:color w:val="000000"/>
                <w:spacing w:val="0"/>
                <w:w w:val="100"/>
                <w:position w:val="0"/>
                <w:sz w:val="18"/>
                <w:szCs w:val="18"/>
              </w:rPr>
              <w:t>91,875,000.00</w:t>
            </w:r>
          </w:p>
        </w:tc>
      </w:tr>
      <w:tr>
        <w:trPr>
          <w:trHeight w:val="394" w:hRule="exact"/>
        </w:trPr>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报告期因发行新股或债转股等增加的股份数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000"/>
              <w:jc w:val="left"/>
              <w:rPr>
                <w:sz w:val="18"/>
                <w:szCs w:val="18"/>
              </w:rPr>
            </w:pPr>
            <w:r>
              <w:rPr>
                <w:rFonts w:ascii="Arial Narrow" w:eastAsia="Arial Narrow" w:hAnsi="Arial Narrow" w:cs="Arial Narrow"/>
                <w:color w:val="000000"/>
                <w:spacing w:val="0"/>
                <w:w w:val="100"/>
                <w:position w:val="0"/>
                <w:sz w:val="18"/>
                <w:szCs w:val="18"/>
              </w:rPr>
              <w:t>24,500,000.00</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p>
        </w:tc>
      </w:tr>
      <w:tr>
        <w:trPr>
          <w:trHeight w:val="394" w:hRule="exact"/>
        </w:trPr>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发行新股或债转股等增加股份下一月份起至 报告期年末的月份数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9</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p>
        </w:tc>
      </w:tr>
      <w:tr>
        <w:trPr>
          <w:trHeight w:val="394"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报告期因回购等减少的股份数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减少股份下一月份起至报告期年末的月份数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报告期缩股数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p>
        </w:tc>
      </w:tr>
      <w:tr>
        <w:trPr>
          <w:trHeight w:val="40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报告期月份数</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12</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12</w:t>
            </w:r>
          </w:p>
        </w:tc>
      </w:tr>
    </w:tbl>
    <w:p>
      <w:pPr>
        <w:widowControl w:val="0"/>
        <w:spacing w:line="1" w:lineRule="exact"/>
      </w:pPr>
      <w:r>
        <w:br w:type="page"/>
      </w:r>
    </w:p>
    <w:tbl>
      <w:tblPr>
        <w:tblOverlap w:val="never"/>
        <w:jc w:val="center"/>
        <w:tblLayout w:type="fixed"/>
      </w:tblPr>
      <w:tblGrid>
        <w:gridCol w:w="3710"/>
        <w:gridCol w:w="2030"/>
        <w:gridCol w:w="2054"/>
        <w:gridCol w:w="2074"/>
      </w:tblGrid>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tabs>
                <w:tab w:pos="475" w:val="left"/>
              </w:tabs>
              <w:bidi w:val="0"/>
              <w:spacing w:before="0" w:after="0" w:line="240" w:lineRule="auto"/>
              <w:ind w:left="0" w:right="0" w:firstLine="0"/>
              <w:jc w:val="center"/>
              <w:rPr>
                <w:sz w:val="17"/>
                <w:szCs w:val="17"/>
              </w:rPr>
            </w:pPr>
            <w:r>
              <w:rPr>
                <w:color w:val="000000"/>
                <w:spacing w:val="0"/>
                <w:w w:val="100"/>
                <w:position w:val="0"/>
                <w:sz w:val="17"/>
                <w:szCs w:val="17"/>
              </w:rPr>
              <w:t>项</w:t>
              <w:tab/>
              <w:t>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序号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本期数</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上期数</w:t>
            </w:r>
          </w:p>
        </w:tc>
      </w:tr>
      <w:tr>
        <w:trPr>
          <w:trHeight w:val="749"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7"/>
                <w:szCs w:val="17"/>
              </w:rPr>
              <w:t>发行在外的普通股加权平均数</w:t>
            </w:r>
            <w:r>
              <w:rPr>
                <w:rFonts w:ascii="Arial Unicode MS" w:eastAsia="Arial Unicode MS" w:hAnsi="Arial Unicode MS" w:cs="Arial Unicode MS"/>
                <w:color w:val="000000"/>
                <w:spacing w:val="0"/>
                <w:w w:val="100"/>
                <w:position w:val="0"/>
                <w:sz w:val="19"/>
                <w:szCs w:val="19"/>
              </w:rPr>
              <w:t>（II）</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4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12=4+5+6x7</w:t>
            </w:r>
          </w:p>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-11-8x9-11-10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20"/>
              <w:jc w:val="left"/>
              <w:rPr>
                <w:sz w:val="18"/>
                <w:szCs w:val="18"/>
              </w:rPr>
            </w:pPr>
            <w:r>
              <w:rPr>
                <w:rFonts w:ascii="Arial Narrow" w:eastAsia="Arial Narrow" w:hAnsi="Arial Narrow" w:cs="Arial Narrow"/>
                <w:color w:val="000000"/>
                <w:spacing w:val="0"/>
                <w:w w:val="100"/>
                <w:position w:val="0"/>
                <w:sz w:val="18"/>
                <w:szCs w:val="18"/>
              </w:rPr>
              <w:t>196,000,000.00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20"/>
              <w:jc w:val="left"/>
              <w:rPr>
                <w:sz w:val="18"/>
                <w:szCs w:val="18"/>
              </w:rPr>
            </w:pPr>
            <w:r>
              <w:rPr>
                <w:rFonts w:ascii="Arial Narrow" w:eastAsia="Arial Narrow" w:hAnsi="Arial Narrow" w:cs="Arial Narrow"/>
                <w:color w:val="000000"/>
                <w:spacing w:val="0"/>
                <w:w w:val="100"/>
                <w:position w:val="0"/>
                <w:sz w:val="18"/>
                <w:szCs w:val="18"/>
              </w:rPr>
              <w:t>183,750,000.00</w:t>
            </w:r>
          </w:p>
        </w:tc>
      </w:tr>
      <w:tr>
        <w:trPr>
          <w:trHeight w:val="71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因同一控制下企业合并而调整的发行在外的 普通股加权平均数</w:t>
            </w:r>
            <w:r>
              <w:rPr>
                <w:rFonts w:ascii="Arial Unicode MS" w:eastAsia="Arial Unicode MS" w:hAnsi="Arial Unicode MS" w:cs="Arial Unicode MS"/>
                <w:color w:val="000000"/>
                <w:spacing w:val="0"/>
                <w:w w:val="100"/>
                <w:position w:val="0"/>
                <w:sz w:val="19"/>
                <w:szCs w:val="19"/>
              </w:rPr>
              <w:t>（I</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20"/>
              <w:jc w:val="left"/>
              <w:rPr>
                <w:sz w:val="18"/>
                <w:szCs w:val="18"/>
              </w:rPr>
            </w:pPr>
            <w:r>
              <w:rPr>
                <w:rFonts w:ascii="Arial Narrow" w:eastAsia="Arial Narrow" w:hAnsi="Arial Narrow" w:cs="Arial Narrow"/>
                <w:color w:val="000000"/>
                <w:spacing w:val="0"/>
                <w:w w:val="100"/>
                <w:position w:val="0"/>
                <w:sz w:val="18"/>
                <w:szCs w:val="18"/>
              </w:rPr>
              <w:t>196,000,000.00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20"/>
              <w:jc w:val="left"/>
              <w:rPr>
                <w:sz w:val="18"/>
                <w:szCs w:val="18"/>
              </w:rPr>
            </w:pPr>
            <w:r>
              <w:rPr>
                <w:rFonts w:ascii="Arial Narrow" w:eastAsia="Arial Narrow" w:hAnsi="Arial Narrow" w:cs="Arial Narrow"/>
                <w:color w:val="000000"/>
                <w:spacing w:val="0"/>
                <w:w w:val="100"/>
                <w:position w:val="0"/>
                <w:sz w:val="18"/>
                <w:szCs w:val="18"/>
              </w:rPr>
              <w:t>183,750,000.00</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基本每股收益</w:t>
            </w:r>
            <w:r>
              <w:rPr>
                <w:rFonts w:ascii="Arial Unicode MS" w:eastAsia="Arial Unicode MS" w:hAnsi="Arial Unicode MS" w:cs="Arial Unicode MS"/>
                <w:color w:val="000000"/>
                <w:spacing w:val="0"/>
                <w:w w:val="100"/>
                <w:position w:val="0"/>
                <w:sz w:val="19"/>
                <w:szCs w:val="19"/>
              </w:rPr>
              <w:t>（I</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14=1+13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660" w:right="0" w:firstLine="0"/>
              <w:jc w:val="left"/>
              <w:rPr>
                <w:sz w:val="18"/>
                <w:szCs w:val="18"/>
              </w:rPr>
            </w:pPr>
            <w:r>
              <w:rPr>
                <w:rFonts w:ascii="Arial Narrow" w:eastAsia="Arial Narrow" w:hAnsi="Arial Narrow" w:cs="Arial Narrow"/>
                <w:color w:val="000000"/>
                <w:spacing w:val="0"/>
                <w:w w:val="100"/>
                <w:position w:val="0"/>
                <w:sz w:val="18"/>
                <w:szCs w:val="18"/>
              </w:rPr>
              <w:t>0.16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660" w:right="0" w:firstLine="0"/>
              <w:jc w:val="left"/>
              <w:rPr>
                <w:sz w:val="18"/>
                <w:szCs w:val="18"/>
              </w:rPr>
            </w:pPr>
            <w:r>
              <w:rPr>
                <w:rFonts w:ascii="Arial Narrow" w:eastAsia="Arial Narrow" w:hAnsi="Arial Narrow" w:cs="Arial Narrow"/>
                <w:color w:val="000000"/>
                <w:spacing w:val="0"/>
                <w:w w:val="100"/>
                <w:position w:val="0"/>
                <w:sz w:val="18"/>
                <w:szCs w:val="18"/>
              </w:rPr>
              <w:t>0.32</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7"/>
                <w:szCs w:val="17"/>
              </w:rPr>
              <w:t>基本每股收益</w:t>
            </w:r>
            <w:r>
              <w:rPr>
                <w:rFonts w:ascii="Arial Unicode MS" w:eastAsia="Arial Unicode MS" w:hAnsi="Arial Unicode MS" w:cs="Arial Unicode MS"/>
                <w:color w:val="000000"/>
                <w:spacing w:val="0"/>
                <w:w w:val="100"/>
                <w:position w:val="0"/>
                <w:sz w:val="19"/>
                <w:szCs w:val="19"/>
              </w:rPr>
              <w:t>（II）</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15=3+12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660" w:right="0" w:firstLine="0"/>
              <w:jc w:val="left"/>
              <w:rPr>
                <w:sz w:val="18"/>
                <w:szCs w:val="18"/>
              </w:rPr>
            </w:pPr>
            <w:r>
              <w:rPr>
                <w:rFonts w:ascii="Arial Narrow" w:eastAsia="Arial Narrow" w:hAnsi="Arial Narrow" w:cs="Arial Narrow"/>
                <w:color w:val="000000"/>
                <w:spacing w:val="0"/>
                <w:w w:val="100"/>
                <w:position w:val="0"/>
                <w:sz w:val="18"/>
                <w:szCs w:val="18"/>
              </w:rPr>
              <w:t>0.07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660" w:right="0" w:firstLine="0"/>
              <w:jc w:val="left"/>
              <w:rPr>
                <w:sz w:val="18"/>
                <w:szCs w:val="18"/>
              </w:rPr>
            </w:pPr>
            <w:r>
              <w:rPr>
                <w:rFonts w:ascii="Arial Narrow" w:eastAsia="Arial Narrow" w:hAnsi="Arial Narrow" w:cs="Arial Narrow"/>
                <w:color w:val="000000"/>
                <w:spacing w:val="0"/>
                <w:w w:val="100"/>
                <w:position w:val="0"/>
                <w:sz w:val="18"/>
                <w:szCs w:val="18"/>
              </w:rPr>
              <w:t>0.27</w:t>
            </w:r>
          </w:p>
        </w:tc>
      </w:tr>
      <w:tr>
        <w:trPr>
          <w:trHeight w:val="706"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已确认为费用的稀释性潜在普通股利息及其 他影响因素</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900" w:right="0" w:firstLine="0"/>
              <w:jc w:val="lef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900" w:right="0" w:firstLine="0"/>
              <w:jc w:val="left"/>
              <w:rPr>
                <w:sz w:val="18"/>
                <w:szCs w:val="18"/>
              </w:rPr>
            </w:pPr>
            <w:r>
              <w:rPr>
                <w:rFonts w:ascii="Arial Narrow" w:eastAsia="Arial Narrow" w:hAnsi="Arial Narrow" w:cs="Arial Narrow"/>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所得税率</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660" w:right="0" w:firstLine="0"/>
              <w:jc w:val="left"/>
              <w:rPr>
                <w:sz w:val="18"/>
                <w:szCs w:val="18"/>
              </w:rPr>
            </w:pPr>
            <w:r>
              <w:rPr>
                <w:rFonts w:ascii="Arial Narrow" w:eastAsia="Arial Narrow" w:hAnsi="Arial Narrow" w:cs="Arial Narrow"/>
                <w:color w:val="000000"/>
                <w:spacing w:val="0"/>
                <w:w w:val="100"/>
                <w:position w:val="0"/>
                <w:sz w:val="18"/>
                <w:szCs w:val="18"/>
              </w:rPr>
              <w:t>0.10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660" w:right="0" w:firstLine="0"/>
              <w:jc w:val="left"/>
              <w:rPr>
                <w:sz w:val="18"/>
                <w:szCs w:val="18"/>
              </w:rPr>
            </w:pPr>
            <w:r>
              <w:rPr>
                <w:rFonts w:ascii="Arial Narrow" w:eastAsia="Arial Narrow" w:hAnsi="Arial Narrow" w:cs="Arial Narrow"/>
                <w:color w:val="000000"/>
                <w:spacing w:val="0"/>
                <w:w w:val="100"/>
                <w:position w:val="0"/>
                <w:sz w:val="18"/>
                <w:szCs w:val="18"/>
              </w:rPr>
              <w:t>0.15</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转换费用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900" w:right="0" w:firstLine="0"/>
              <w:jc w:val="lef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900" w:right="0" w:firstLine="0"/>
              <w:jc w:val="left"/>
              <w:rPr>
                <w:sz w:val="18"/>
                <w:szCs w:val="18"/>
              </w:rPr>
            </w:pPr>
            <w:r>
              <w:rPr>
                <w:rFonts w:ascii="Arial Narrow" w:eastAsia="Arial Narrow" w:hAnsi="Arial Narrow" w:cs="Arial Narrow"/>
                <w:color w:val="000000"/>
                <w:spacing w:val="0"/>
                <w:w w:val="100"/>
                <w:position w:val="0"/>
                <w:sz w:val="18"/>
                <w:szCs w:val="18"/>
              </w:rPr>
              <w:t>-</w:t>
            </w:r>
          </w:p>
        </w:tc>
      </w:tr>
      <w:tr>
        <w:trPr>
          <w:trHeight w:val="706"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可转换公司债券、认股权证、股份期权等转 换或行权而增加的股份数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900" w:right="0" w:firstLine="0"/>
              <w:jc w:val="lef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900" w:right="0" w:firstLine="0"/>
              <w:jc w:val="left"/>
              <w:rPr>
                <w:sz w:val="18"/>
                <w:szCs w:val="18"/>
              </w:rPr>
            </w:pPr>
            <w:r>
              <w:rPr>
                <w:rFonts w:ascii="Arial Narrow" w:eastAsia="Arial Narrow" w:hAnsi="Arial Narrow" w:cs="Arial Narrow"/>
                <w:color w:val="000000"/>
                <w:spacing w:val="0"/>
                <w:w w:val="100"/>
                <w:position w:val="0"/>
                <w:sz w:val="18"/>
                <w:szCs w:val="18"/>
              </w:rPr>
              <w:t>-</w:t>
            </w:r>
          </w:p>
        </w:tc>
      </w:tr>
      <w:tr>
        <w:trPr>
          <w:trHeight w:val="749"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稀释每股收益</w:t>
            </w:r>
            <w:r>
              <w:rPr>
                <w:rFonts w:ascii="Arial Unicode MS" w:eastAsia="Arial Unicode MS" w:hAnsi="Arial Unicode MS" w:cs="Arial Unicode MS"/>
                <w:color w:val="000000"/>
                <w:spacing w:val="0"/>
                <w:w w:val="100"/>
                <w:position w:val="0"/>
                <w:sz w:val="19"/>
                <w:szCs w:val="19"/>
              </w:rPr>
              <w:t>（I</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4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20=[1+(16-18)x</w:t>
            </w:r>
          </w:p>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(100%17)]+(13+19)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660" w:right="0" w:firstLine="0"/>
              <w:jc w:val="left"/>
              <w:rPr>
                <w:sz w:val="18"/>
                <w:szCs w:val="18"/>
              </w:rPr>
            </w:pPr>
            <w:r>
              <w:rPr>
                <w:rFonts w:ascii="Arial Narrow" w:eastAsia="Arial Narrow" w:hAnsi="Arial Narrow" w:cs="Arial Narrow"/>
                <w:color w:val="000000"/>
                <w:spacing w:val="0"/>
                <w:w w:val="100"/>
                <w:position w:val="0"/>
                <w:sz w:val="18"/>
                <w:szCs w:val="18"/>
              </w:rPr>
              <w:t>0.16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660" w:right="0" w:firstLine="0"/>
              <w:jc w:val="left"/>
              <w:rPr>
                <w:sz w:val="18"/>
                <w:szCs w:val="18"/>
              </w:rPr>
            </w:pPr>
            <w:r>
              <w:rPr>
                <w:rFonts w:ascii="Arial Narrow" w:eastAsia="Arial Narrow" w:hAnsi="Arial Narrow" w:cs="Arial Narrow"/>
                <w:color w:val="000000"/>
                <w:spacing w:val="0"/>
                <w:w w:val="100"/>
                <w:position w:val="0"/>
                <w:sz w:val="18"/>
                <w:szCs w:val="18"/>
              </w:rPr>
              <w:t>0.32</w:t>
            </w:r>
          </w:p>
        </w:tc>
      </w:tr>
      <w:tr>
        <w:trPr>
          <w:trHeight w:val="758"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7"/>
                <w:szCs w:val="17"/>
              </w:rPr>
              <w:t>稀释每股收益</w:t>
            </w:r>
            <w:r>
              <w:rPr>
                <w:rFonts w:ascii="Arial Unicode MS" w:eastAsia="Arial Unicode MS" w:hAnsi="Arial Unicode MS" w:cs="Arial Unicode MS"/>
                <w:color w:val="000000"/>
                <w:spacing w:val="0"/>
                <w:w w:val="100"/>
                <w:position w:val="0"/>
                <w:sz w:val="19"/>
                <w:szCs w:val="19"/>
              </w:rPr>
              <w:t>（II）</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4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21=[3+(16-18)</w:t>
            </w:r>
          </w:p>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x(100%17)]+(12+19)</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660" w:right="0" w:firstLine="0"/>
              <w:jc w:val="left"/>
              <w:rPr>
                <w:sz w:val="18"/>
                <w:szCs w:val="18"/>
              </w:rPr>
            </w:pPr>
            <w:r>
              <w:rPr>
                <w:rFonts w:ascii="Arial Narrow" w:eastAsia="Arial Narrow" w:hAnsi="Arial Narrow" w:cs="Arial Narrow"/>
                <w:color w:val="000000"/>
                <w:spacing w:val="0"/>
                <w:w w:val="100"/>
                <w:position w:val="0"/>
                <w:sz w:val="18"/>
                <w:szCs w:val="18"/>
              </w:rPr>
              <w:t>0.07</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660" w:right="0" w:firstLine="0"/>
              <w:jc w:val="left"/>
              <w:rPr>
                <w:sz w:val="18"/>
                <w:szCs w:val="18"/>
              </w:rPr>
            </w:pPr>
            <w:r>
              <w:rPr>
                <w:rFonts w:ascii="Arial Narrow" w:eastAsia="Arial Narrow" w:hAnsi="Arial Narrow" w:cs="Arial Narrow"/>
                <w:color w:val="000000"/>
                <w:spacing w:val="0"/>
                <w:w w:val="100"/>
                <w:position w:val="0"/>
                <w:sz w:val="18"/>
                <w:szCs w:val="18"/>
              </w:rPr>
              <w:t>0.27</w:t>
            </w:r>
          </w:p>
        </w:tc>
      </w:tr>
    </w:tbl>
    <w:p>
      <w:pPr>
        <w:pStyle w:val="Style31"/>
        <w:keepNext w:val="0"/>
        <w:keepLines w:val="0"/>
        <w:widowControl w:val="0"/>
        <w:shd w:val="clear" w:color="auto" w:fill="auto"/>
        <w:bidi w:val="0"/>
        <w:spacing w:before="0" w:after="0" w:line="240" w:lineRule="auto"/>
        <w:ind w:left="91" w:right="0" w:firstLine="0"/>
        <w:jc w:val="left"/>
      </w:pPr>
      <w:r>
        <w:rPr>
          <w:rFonts w:ascii="Times New Roman" w:eastAsia="Times New Roman" w:hAnsi="Times New Roman" w:cs="Times New Roman"/>
          <w:b/>
          <w:bCs/>
          <w:color w:val="000000"/>
          <w:spacing w:val="0"/>
          <w:w w:val="100"/>
          <w:position w:val="0"/>
        </w:rPr>
        <w:t>38</w:t>
      </w:r>
      <w:r>
        <w:rPr>
          <w:b/>
          <w:bCs/>
          <w:color w:val="000000"/>
          <w:spacing w:val="0"/>
          <w:w w:val="100"/>
          <w:position w:val="0"/>
        </w:rPr>
        <w:t>、其他综合收益</w:t>
      </w:r>
    </w:p>
    <w:p>
      <w:pPr>
        <w:widowControl w:val="0"/>
        <w:spacing w:after="359" w:line="1" w:lineRule="exact"/>
      </w:pPr>
    </w:p>
    <w:p>
      <w:pPr>
        <w:pStyle w:val="Style27"/>
        <w:keepNext w:val="0"/>
        <w:keepLines w:val="0"/>
        <w:widowControl w:val="0"/>
        <w:shd w:val="clear" w:color="auto" w:fill="auto"/>
        <w:bidi w:val="0"/>
        <w:spacing w:before="0" w:after="360" w:line="240" w:lineRule="auto"/>
        <w:ind w:left="0" w:right="0" w:firstLine="0"/>
        <w:jc w:val="left"/>
      </w:pPr>
      <w:bookmarkStart w:id="1116" w:name="bookmark1116"/>
      <w:r>
        <w:rPr>
          <w:color w:val="000000"/>
          <w:spacing w:val="0"/>
          <w:w w:val="100"/>
          <w:position w:val="0"/>
        </w:rPr>
        <w:t>无</w:t>
      </w:r>
      <w:bookmarkEnd w:id="1116"/>
      <w:r>
        <w:rPr>
          <w:color w:val="000000"/>
          <w:spacing w:val="0"/>
          <w:w w:val="100"/>
          <w:position w:val="0"/>
        </w:rPr>
        <w:t>。</w:t>
      </w:r>
    </w:p>
    <w:p>
      <w:pPr>
        <w:pStyle w:val="Style38"/>
        <w:keepNext/>
        <w:keepLines/>
        <w:widowControl w:val="0"/>
        <w:shd w:val="clear" w:color="auto" w:fill="auto"/>
        <w:bidi w:val="0"/>
        <w:spacing w:before="0" w:after="360" w:line="240" w:lineRule="auto"/>
        <w:ind w:left="0" w:right="0" w:firstLine="0"/>
        <w:jc w:val="left"/>
      </w:pPr>
      <w:bookmarkStart w:id="1117" w:name="bookmark1117"/>
      <w:bookmarkStart w:id="1118" w:name="bookmark1118"/>
      <w:bookmarkStart w:id="1119" w:name="bookmark1119"/>
      <w:bookmarkStart w:id="1120" w:name="bookmark1120"/>
      <w:r>
        <w:rPr>
          <w:rFonts w:ascii="Times New Roman" w:eastAsia="Times New Roman" w:hAnsi="Times New Roman" w:cs="Times New Roman"/>
          <w:color w:val="000000"/>
          <w:spacing w:val="0"/>
          <w:w w:val="100"/>
          <w:position w:val="0"/>
        </w:rPr>
        <w:t>3</w:t>
      </w:r>
      <w:bookmarkEnd w:id="1119"/>
      <w:r>
        <w:rPr>
          <w:rFonts w:ascii="Times New Roman" w:eastAsia="Times New Roman" w:hAnsi="Times New Roman" w:cs="Times New Roman"/>
          <w:color w:val="000000"/>
          <w:spacing w:val="0"/>
          <w:w w:val="100"/>
          <w:position w:val="0"/>
        </w:rPr>
        <w:t>9</w:t>
      </w:r>
      <w:r>
        <w:rPr>
          <w:color w:val="000000"/>
          <w:spacing w:val="0"/>
          <w:w w:val="100"/>
          <w:position w:val="0"/>
        </w:rPr>
        <w:t>、现金流量表附注</w:t>
      </w:r>
      <w:bookmarkEnd w:id="1117"/>
      <w:bookmarkEnd w:id="1118"/>
      <w:bookmarkEnd w:id="1120"/>
    </w:p>
    <w:p>
      <w:pPr>
        <w:pStyle w:val="Style38"/>
        <w:keepNext/>
        <w:keepLines/>
        <w:widowControl w:val="0"/>
        <w:shd w:val="clear" w:color="auto" w:fill="auto"/>
        <w:bidi w:val="0"/>
        <w:spacing w:before="0" w:after="360" w:line="240" w:lineRule="auto"/>
        <w:ind w:left="0" w:right="0" w:firstLine="0"/>
        <w:jc w:val="left"/>
      </w:pPr>
      <w:bookmarkStart w:id="1117" w:name="bookmark1117"/>
      <w:bookmarkStart w:id="1118" w:name="bookmark1118"/>
      <w:bookmarkStart w:id="1121" w:name="bookmark112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117"/>
      <w:bookmarkEnd w:id="1118"/>
      <w:bookmarkEnd w:id="1121"/>
    </w:p>
    <w:p>
      <w:pPr>
        <w:pStyle w:val="Style3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2620" w:right="0" w:firstLine="0"/>
              <w:jc w:val="left"/>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政府专项补贴款</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17,698,400.00</w:t>
            </w:r>
          </w:p>
        </w:tc>
      </w:tr>
      <w:tr>
        <w:trPr>
          <w:trHeight w:val="398"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利息收入</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567,904.62</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收到的往来款</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7,061,048.30</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262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25,327,352.92</w:t>
            </w:r>
          </w:p>
        </w:tc>
      </w:tr>
    </w:tbl>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w:t>
      </w:r>
      <w:r>
        <w:rPr>
          <w:b/>
          <w:bCs/>
          <w:color w:val="000000"/>
          <w:spacing w:val="0"/>
          <w:w w:val="100"/>
          <w:position w:val="0"/>
        </w:rPr>
        <w:t>）支付的其他与经营活动有关的现金</w:t>
      </w:r>
    </w:p>
    <w:p>
      <w:pPr>
        <w:widowControl w:val="0"/>
        <w:spacing w:after="35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5592"/>
        <w:gridCol w:w="3994"/>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2620" w:right="0" w:firstLine="0"/>
              <w:jc w:val="left"/>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r>
      <w:tr>
        <w:trPr>
          <w:trHeight w:val="413" w:hRule="exact"/>
        </w:trPr>
        <w:tc>
          <w:tcPr>
            <w:tcBorders>
              <w:top w:val="single" w:sz="4"/>
              <w:left w:val="single" w:sz="4"/>
              <w:bottom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银行手续费</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221,798.91</w:t>
            </w:r>
          </w:p>
        </w:tc>
      </w:tr>
    </w:tbl>
    <w:p>
      <w:pPr>
        <w:widowControl w:val="0"/>
        <w:spacing w:line="1" w:lineRule="exact"/>
      </w:pPr>
      <w:r>
        <w:br w:type="page"/>
      </w:r>
    </w:p>
    <w:tbl>
      <w:tblPr>
        <w:tblOverlap w:val="never"/>
        <w:jc w:val="center"/>
        <w:tblLayout w:type="fixed"/>
      </w:tblPr>
      <w:tblGrid>
        <w:gridCol w:w="5592"/>
        <w:gridCol w:w="3994"/>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2620" w:right="0" w:firstLine="0"/>
              <w:jc w:val="left"/>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800" w:right="0" w:firstLine="0"/>
              <w:jc w:val="left"/>
              <w:rPr>
                <w:sz w:val="17"/>
                <w:szCs w:val="17"/>
              </w:rPr>
            </w:pPr>
            <w:r>
              <w:rPr>
                <w:color w:val="000000"/>
                <w:spacing w:val="0"/>
                <w:w w:val="100"/>
                <w:position w:val="0"/>
                <w:sz w:val="17"/>
                <w:szCs w:val="17"/>
              </w:rPr>
              <w:t>金额</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支付的往来款、销售费用及管理费用</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62,101,409.07</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262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62,323,207.98</w:t>
            </w:r>
          </w:p>
        </w:tc>
      </w:tr>
    </w:tbl>
    <w:p>
      <w:pPr>
        <w:widowControl w:val="0"/>
        <w:spacing w:after="319" w:line="1" w:lineRule="exact"/>
      </w:pPr>
    </w:p>
    <w:p>
      <w:pPr>
        <w:pStyle w:val="Style38"/>
        <w:keepNext/>
        <w:keepLines/>
        <w:widowControl w:val="0"/>
        <w:shd w:val="clear" w:color="auto" w:fill="auto"/>
        <w:bidi w:val="0"/>
        <w:spacing w:before="0" w:after="320" w:line="240" w:lineRule="auto"/>
        <w:ind w:left="0" w:right="0" w:firstLine="0"/>
        <w:jc w:val="left"/>
      </w:pPr>
      <w:bookmarkStart w:id="1122" w:name="bookmark1122"/>
      <w:bookmarkStart w:id="1123" w:name="bookmark1123"/>
      <w:bookmarkStart w:id="1124" w:name="bookmark1124"/>
      <w:bookmarkStart w:id="1125" w:name="bookmark1125"/>
      <w:r>
        <w:rPr>
          <w:color w:val="000000"/>
          <w:spacing w:val="0"/>
          <w:w w:val="100"/>
          <w:position w:val="0"/>
        </w:rPr>
        <w:t>（</w:t>
      </w:r>
      <w:bookmarkEnd w:id="1124"/>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122"/>
      <w:bookmarkEnd w:id="1123"/>
      <w:bookmarkEnd w:id="1125"/>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2620" w:right="0" w:firstLine="0"/>
              <w:jc w:val="left"/>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800" w:right="0" w:firstLine="0"/>
              <w:jc w:val="left"/>
              <w:rPr>
                <w:sz w:val="17"/>
                <w:szCs w:val="17"/>
              </w:rPr>
            </w:pPr>
            <w:r>
              <w:rPr>
                <w:color w:val="000000"/>
                <w:spacing w:val="0"/>
                <w:w w:val="100"/>
                <w:position w:val="0"/>
                <w:sz w:val="17"/>
                <w:szCs w:val="17"/>
              </w:rPr>
              <w:t>金额</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收到与资产相关的政府补助</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15,400,000.00</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262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15,400,000.00</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126" w:name="bookmark1126"/>
      <w:bookmarkStart w:id="1127" w:name="bookmark1127"/>
      <w:bookmarkStart w:id="1128" w:name="bookmark1128"/>
      <w:bookmarkStart w:id="1129" w:name="bookmark1129"/>
      <w:r>
        <w:rPr>
          <w:rFonts w:ascii="Times New Roman" w:eastAsia="Times New Roman" w:hAnsi="Times New Roman" w:cs="Times New Roman"/>
          <w:color w:val="000000"/>
          <w:spacing w:val="0"/>
          <w:w w:val="100"/>
          <w:position w:val="0"/>
        </w:rPr>
        <w:t>（</w:t>
      </w:r>
      <w:bookmarkEnd w:id="1128"/>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126"/>
      <w:bookmarkEnd w:id="1127"/>
      <w:bookmarkEnd w:id="1129"/>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8"/>
        <w:keepNext/>
        <w:keepLines/>
        <w:widowControl w:val="0"/>
        <w:shd w:val="clear" w:color="auto" w:fill="auto"/>
        <w:bidi w:val="0"/>
        <w:spacing w:before="0" w:after="380" w:line="240" w:lineRule="auto"/>
        <w:ind w:left="0" w:right="0" w:firstLine="0"/>
        <w:jc w:val="left"/>
      </w:pPr>
      <w:bookmarkStart w:id="1130" w:name="bookmark1130"/>
      <w:bookmarkStart w:id="1131" w:name="bookmark1131"/>
      <w:bookmarkStart w:id="1132" w:name="bookmark1132"/>
      <w:bookmarkStart w:id="1133" w:name="bookmark1133"/>
      <w:r>
        <w:rPr>
          <w:color w:val="000000"/>
          <w:spacing w:val="0"/>
          <w:w w:val="100"/>
          <w:position w:val="0"/>
        </w:rPr>
        <w:t>（</w:t>
      </w:r>
      <w:bookmarkEnd w:id="1132"/>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130"/>
      <w:bookmarkEnd w:id="1131"/>
      <w:bookmarkEnd w:id="1133"/>
    </w:p>
    <w:p>
      <w:pPr>
        <w:pStyle w:val="Style3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5592"/>
        <w:gridCol w:w="3994"/>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2620" w:right="0" w:firstLine="0"/>
              <w:jc w:val="left"/>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800" w:right="0" w:firstLine="0"/>
              <w:jc w:val="left"/>
              <w:rPr>
                <w:sz w:val="17"/>
                <w:szCs w:val="17"/>
              </w:rPr>
            </w:pPr>
            <w:r>
              <w:rPr>
                <w:color w:val="000000"/>
                <w:spacing w:val="0"/>
                <w:w w:val="100"/>
                <w:position w:val="0"/>
                <w:sz w:val="17"/>
                <w:szCs w:val="17"/>
              </w:rPr>
              <w:t>金额</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收到的银行承兑汇票保证金</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2,824,376.35</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募集资金专户利息收入</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599,990.17</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262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3,424,366.52</w:t>
            </w:r>
          </w:p>
        </w:tc>
      </w:tr>
    </w:tbl>
    <w:p>
      <w:pPr>
        <w:widowControl w:val="0"/>
        <w:spacing w:after="319" w:line="1" w:lineRule="exact"/>
      </w:pPr>
    </w:p>
    <w:p>
      <w:pPr>
        <w:pStyle w:val="Style38"/>
        <w:keepNext/>
        <w:keepLines/>
        <w:widowControl w:val="0"/>
        <w:shd w:val="clear" w:color="auto" w:fill="auto"/>
        <w:bidi w:val="0"/>
        <w:spacing w:before="0" w:after="320" w:line="240" w:lineRule="auto"/>
        <w:ind w:left="0" w:right="0" w:firstLine="0"/>
        <w:jc w:val="left"/>
      </w:pPr>
      <w:bookmarkStart w:id="1134" w:name="bookmark1134"/>
      <w:bookmarkStart w:id="1135" w:name="bookmark1135"/>
      <w:bookmarkStart w:id="1136" w:name="bookmark1136"/>
      <w:bookmarkStart w:id="1137" w:name="bookmark1137"/>
      <w:r>
        <w:rPr>
          <w:color w:val="000000"/>
          <w:spacing w:val="0"/>
          <w:w w:val="100"/>
          <w:position w:val="0"/>
        </w:rPr>
        <w:t>（</w:t>
      </w:r>
      <w:bookmarkEnd w:id="1136"/>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134"/>
      <w:bookmarkEnd w:id="1135"/>
      <w:bookmarkEnd w:id="1137"/>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2620" w:right="0" w:firstLine="0"/>
              <w:jc w:val="left"/>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800" w:right="0" w:firstLine="0"/>
              <w:jc w:val="left"/>
              <w:rPr>
                <w:sz w:val="17"/>
                <w:szCs w:val="17"/>
              </w:rPr>
            </w:pPr>
            <w:r>
              <w:rPr>
                <w:color w:val="000000"/>
                <w:spacing w:val="0"/>
                <w:w w:val="100"/>
                <w:position w:val="0"/>
                <w:sz w:val="17"/>
                <w:szCs w:val="17"/>
              </w:rPr>
              <w:t>金额</w:t>
            </w:r>
          </w:p>
        </w:tc>
      </w:tr>
      <w:tr>
        <w:trPr>
          <w:trHeight w:val="398"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支付的银行承兑汇票保证金</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6,804,423.77</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262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6,804,423.77</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138" w:name="bookmark1138"/>
      <w:bookmarkStart w:id="1139" w:name="bookmark1139"/>
      <w:bookmarkStart w:id="1140" w:name="bookmark1140"/>
      <w:bookmarkStart w:id="1141" w:name="bookmark1141"/>
      <w:r>
        <w:rPr>
          <w:rFonts w:ascii="Times New Roman" w:eastAsia="Times New Roman" w:hAnsi="Times New Roman" w:cs="Times New Roman"/>
          <w:color w:val="000000"/>
          <w:spacing w:val="0"/>
          <w:w w:val="100"/>
          <w:position w:val="0"/>
        </w:rPr>
        <w:t>4</w:t>
      </w:r>
      <w:bookmarkEnd w:id="1140"/>
      <w:r>
        <w:rPr>
          <w:rFonts w:ascii="Times New Roman" w:eastAsia="Times New Roman" w:hAnsi="Times New Roman" w:cs="Times New Roman"/>
          <w:color w:val="000000"/>
          <w:spacing w:val="0"/>
          <w:w w:val="100"/>
          <w:position w:val="0"/>
        </w:rPr>
        <w:t>0</w:t>
      </w:r>
      <w:r>
        <w:rPr>
          <w:color w:val="000000"/>
          <w:spacing w:val="0"/>
          <w:w w:val="100"/>
          <w:position w:val="0"/>
        </w:rPr>
        <w:t>、现金流量表补充资料</w:t>
      </w:r>
      <w:bookmarkEnd w:id="1138"/>
      <w:bookmarkEnd w:id="1139"/>
      <w:bookmarkEnd w:id="1141"/>
    </w:p>
    <w:p>
      <w:pPr>
        <w:pStyle w:val="Style38"/>
        <w:keepNext/>
        <w:keepLines/>
        <w:widowControl w:val="0"/>
        <w:shd w:val="clear" w:color="auto" w:fill="auto"/>
        <w:bidi w:val="0"/>
        <w:spacing w:before="0" w:after="380" w:line="240" w:lineRule="auto"/>
        <w:ind w:left="0" w:right="0" w:firstLine="0"/>
        <w:jc w:val="left"/>
      </w:pPr>
      <w:bookmarkStart w:id="1138" w:name="bookmark1138"/>
      <w:bookmarkStart w:id="1139" w:name="bookmark1139"/>
      <w:bookmarkStart w:id="1142" w:name="bookmark114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138"/>
      <w:bookmarkEnd w:id="1139"/>
      <w:bookmarkEnd w:id="1142"/>
    </w:p>
    <w:p>
      <w:pPr>
        <w:pStyle w:val="Style3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4397"/>
        <w:gridCol w:w="2525"/>
        <w:gridCol w:w="2664"/>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补充资料</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上期金额</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.将净利润调节为经营活动现金流量：</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31,973,857.06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58,090,774.13</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加：资产减值准备</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6,073,067.73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6,332,415.33</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固定资产折旧、油气资产折耗、生产性生物资产折旧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20,616,332.65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8,865,332.53</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无形资产摊销</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4,025,518.99</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1,127,879.66</w:t>
            </w:r>
          </w:p>
        </w:tc>
      </w:tr>
    </w:tbl>
    <w:p>
      <w:pPr>
        <w:widowControl w:val="0"/>
        <w:spacing w:line="1" w:lineRule="exact"/>
      </w:pPr>
      <w:r>
        <w:br w:type="page"/>
      </w:r>
    </w:p>
    <w:tbl>
      <w:tblPr>
        <w:tblOverlap w:val="never"/>
        <w:jc w:val="center"/>
        <w:tblLayout w:type="fixed"/>
      </w:tblPr>
      <w:tblGrid>
        <w:gridCol w:w="4397"/>
        <w:gridCol w:w="2525"/>
        <w:gridCol w:w="2664"/>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补充资料</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上期金额</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长期待摊费用摊销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1,309,445.95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283,020.84</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color w:val="000000"/>
                <w:spacing w:val="0"/>
                <w:w w:val="100"/>
                <w:position w:val="0"/>
                <w:sz w:val="17"/>
                <w:szCs w:val="17"/>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2,363,337.31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2,320.55</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7,420,765.93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4,213,811.18</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499,808.23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-521,494.76</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-2,101,213.53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4,542,594.67</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-73,035,230.46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-88,704,458.07</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50,792,150.13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41,240,330.77</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49,937,839.99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35,472,526.83</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不涉及现金收支的重大投资和筹资活动：</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.现金及现金等价物净变动情况：</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396,817,393.07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440,530,790.07</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减：现金的期初余额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440,530,790.07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168,061,067.18</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-43,713,397.00</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272,469,722.89</w:t>
            </w:r>
          </w:p>
        </w:tc>
      </w:tr>
    </w:tbl>
    <w:p>
      <w:pPr>
        <w:widowControl w:val="0"/>
        <w:spacing w:after="359" w:line="1" w:lineRule="exact"/>
      </w:pPr>
    </w:p>
    <w:p>
      <w:pPr>
        <w:pStyle w:val="Style38"/>
        <w:keepNext/>
        <w:keepLines/>
        <w:widowControl w:val="0"/>
        <w:shd w:val="clear" w:color="auto" w:fill="auto"/>
        <w:tabs>
          <w:tab w:pos="493" w:val="left"/>
        </w:tabs>
        <w:bidi w:val="0"/>
        <w:spacing w:before="0" w:after="360" w:line="240" w:lineRule="auto"/>
        <w:ind w:left="0" w:right="0" w:firstLine="0"/>
        <w:jc w:val="left"/>
      </w:pPr>
      <w:bookmarkStart w:id="1143" w:name="bookmark1143"/>
      <w:bookmarkStart w:id="1144" w:name="bookmark1144"/>
      <w:bookmarkStart w:id="1145" w:name="bookmark1145"/>
      <w:bookmarkStart w:id="1146" w:name="bookmark1146"/>
      <w:r>
        <w:rPr>
          <w:color w:val="000000"/>
          <w:spacing w:val="0"/>
          <w:w w:val="100"/>
          <w:position w:val="0"/>
        </w:rPr>
        <w:t>（</w:t>
      </w:r>
      <w:bookmarkEnd w:id="1145"/>
      <w:r>
        <w:rPr>
          <w:rFonts w:ascii="Times New Roman" w:eastAsia="Times New Roman" w:hAnsi="Times New Roman" w:cs="Times New Roman"/>
          <w:color w:val="000000"/>
          <w:spacing w:val="0"/>
          <w:w w:val="100"/>
          <w:position w:val="0"/>
        </w:rPr>
        <w:t>2</w:t>
      </w:r>
      <w:r>
        <w:rPr>
          <w:color w:val="000000"/>
          <w:spacing w:val="0"/>
          <w:w w:val="100"/>
          <w:position w:val="0"/>
        </w:rPr>
        <w:t>）</w:t>
        <w:tab/>
        <w:t>本报告期取得或处置子公司及其他营业单位的相关信息</w:t>
      </w:r>
      <w:bookmarkEnd w:id="1143"/>
      <w:bookmarkEnd w:id="1144"/>
      <w:bookmarkEnd w:id="1146"/>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8"/>
        <w:keepNext/>
        <w:keepLines/>
        <w:widowControl w:val="0"/>
        <w:shd w:val="clear" w:color="auto" w:fill="auto"/>
        <w:tabs>
          <w:tab w:pos="493" w:val="left"/>
        </w:tabs>
        <w:bidi w:val="0"/>
        <w:spacing w:before="0" w:after="360" w:line="240" w:lineRule="auto"/>
        <w:ind w:left="0" w:right="0" w:firstLine="0"/>
        <w:jc w:val="left"/>
      </w:pPr>
      <w:bookmarkStart w:id="1147" w:name="bookmark1147"/>
      <w:bookmarkStart w:id="1148" w:name="bookmark1148"/>
      <w:bookmarkStart w:id="1149" w:name="bookmark1149"/>
      <w:bookmarkStart w:id="1150" w:name="bookmark1150"/>
      <w:r>
        <w:rPr>
          <w:color w:val="000000"/>
          <w:spacing w:val="0"/>
          <w:w w:val="100"/>
          <w:position w:val="0"/>
        </w:rPr>
        <w:t>（</w:t>
      </w:r>
      <w:bookmarkEnd w:id="1149"/>
      <w:r>
        <w:rPr>
          <w:rFonts w:ascii="Times New Roman" w:eastAsia="Times New Roman" w:hAnsi="Times New Roman" w:cs="Times New Roman"/>
          <w:color w:val="000000"/>
          <w:spacing w:val="0"/>
          <w:w w:val="100"/>
          <w:position w:val="0"/>
        </w:rPr>
        <w:t>3</w:t>
      </w:r>
      <w:r>
        <w:rPr>
          <w:color w:val="000000"/>
          <w:spacing w:val="0"/>
          <w:w w:val="100"/>
          <w:position w:val="0"/>
        </w:rPr>
        <w:t>）</w:t>
        <w:tab/>
        <w:t>现金和现金等价物的构成</w:t>
      </w:r>
      <w:bookmarkEnd w:id="1147"/>
      <w:bookmarkEnd w:id="1148"/>
      <w:bookmarkEnd w:id="1150"/>
    </w:p>
    <w:p>
      <w:pPr>
        <w:pStyle w:val="Style31"/>
        <w:keepNext w:val="0"/>
        <w:keepLines w:val="0"/>
        <w:widowControl w:val="0"/>
        <w:shd w:val="clear" w:color="auto" w:fill="auto"/>
        <w:bidi w:val="0"/>
        <w:spacing w:before="0" w:after="0" w:line="240" w:lineRule="auto"/>
        <w:ind w:left="8818"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4397"/>
        <w:gridCol w:w="2525"/>
        <w:gridCol w:w="2664"/>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396,817,393.07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440,530,790.07</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其中：库存现金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69,549.27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212,927.47</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可随时用于支付的银行存款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396,747,843.80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440,317,862.60</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三、期末现金及现金等价物余额</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396,817,393.07</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440,530,790.07</w:t>
            </w:r>
          </w:p>
        </w:tc>
      </w:tr>
    </w:tbl>
    <w:p>
      <w:pPr>
        <w:widowControl w:val="0"/>
        <w:spacing w:after="359" w:line="1" w:lineRule="exact"/>
      </w:pPr>
    </w:p>
    <w:p>
      <w:pPr>
        <w:pStyle w:val="Style38"/>
        <w:keepNext/>
        <w:keepLines/>
        <w:widowControl w:val="0"/>
        <w:shd w:val="clear" w:color="auto" w:fill="auto"/>
        <w:bidi w:val="0"/>
        <w:spacing w:before="0" w:after="360" w:line="240" w:lineRule="auto"/>
        <w:ind w:left="0" w:right="0" w:firstLine="0"/>
        <w:jc w:val="left"/>
      </w:pPr>
      <w:bookmarkStart w:id="1151" w:name="bookmark1151"/>
      <w:bookmarkStart w:id="1152" w:name="bookmark1152"/>
      <w:bookmarkStart w:id="1153" w:name="bookmark1153"/>
      <w:bookmarkStart w:id="1154" w:name="bookmark1154"/>
      <w:r>
        <w:rPr>
          <w:rFonts w:ascii="Times New Roman" w:eastAsia="Times New Roman" w:hAnsi="Times New Roman" w:cs="Times New Roman"/>
          <w:color w:val="000000"/>
          <w:spacing w:val="0"/>
          <w:w w:val="100"/>
          <w:position w:val="0"/>
        </w:rPr>
        <w:t>4</w:t>
      </w:r>
      <w:bookmarkEnd w:id="1153"/>
      <w:r>
        <w:rPr>
          <w:rFonts w:ascii="Times New Roman" w:eastAsia="Times New Roman" w:hAnsi="Times New Roman" w:cs="Times New Roman"/>
          <w:color w:val="000000"/>
          <w:spacing w:val="0"/>
          <w:w w:val="100"/>
          <w:position w:val="0"/>
        </w:rPr>
        <w:t>1</w:t>
      </w:r>
      <w:r>
        <w:rPr>
          <w:color w:val="000000"/>
          <w:spacing w:val="0"/>
          <w:w w:val="100"/>
          <w:position w:val="0"/>
        </w:rPr>
        <w:t>、所有者权益变动表项目注释</w:t>
      </w:r>
      <w:bookmarkEnd w:id="1151"/>
      <w:bookmarkEnd w:id="1152"/>
      <w:bookmarkEnd w:id="1154"/>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说明对上年年末余额进行调整的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项目名称及调整金额、由同一控制下企业合并产生的追溯调整等事项</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after="360" w:line="240" w:lineRule="auto"/>
        <w:ind w:left="0" w:right="0" w:firstLine="0"/>
        <w:jc w:val="left"/>
      </w:pPr>
      <w:bookmarkStart w:id="1155" w:name="bookmark1155"/>
      <w:bookmarkStart w:id="1156" w:name="bookmark1156"/>
      <w:bookmarkStart w:id="1157" w:name="bookmark1157"/>
      <w:bookmarkStart w:id="1158" w:name="bookmark1158"/>
      <w:r>
        <w:rPr>
          <w:color w:val="000000"/>
          <w:spacing w:val="0"/>
          <w:w w:val="100"/>
          <w:position w:val="0"/>
        </w:rPr>
        <w:t>八</w:t>
      </w:r>
      <w:bookmarkEnd w:id="1157"/>
      <w:r>
        <w:rPr>
          <w:color w:val="000000"/>
          <w:spacing w:val="0"/>
          <w:w w:val="100"/>
          <w:position w:val="0"/>
        </w:rPr>
        <w:t>、关联方及关联交易</w:t>
      </w:r>
      <w:bookmarkEnd w:id="1155"/>
      <w:bookmarkEnd w:id="1156"/>
      <w:bookmarkEnd w:id="1158"/>
    </w:p>
    <w:p>
      <w:pPr>
        <w:pStyle w:val="Style38"/>
        <w:keepNext/>
        <w:keepLines/>
        <w:widowControl w:val="0"/>
        <w:shd w:val="clear" w:color="auto" w:fill="auto"/>
        <w:bidi w:val="0"/>
        <w:spacing w:before="0" w:after="360" w:line="240" w:lineRule="auto"/>
        <w:ind w:left="0" w:right="0" w:firstLine="0"/>
        <w:jc w:val="left"/>
      </w:pPr>
      <w:bookmarkStart w:id="1159" w:name="bookmark1159"/>
      <w:bookmarkStart w:id="1160" w:name="bookmark1160"/>
      <w:bookmarkStart w:id="1161" w:name="bookmark1161"/>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159"/>
      <w:bookmarkEnd w:id="1160"/>
      <w:bookmarkEnd w:id="1161"/>
    </w:p>
    <w:p>
      <w:pPr>
        <w:pStyle w:val="Style3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柯宗庆、柯宗贵为公司的实际控制人，分别持股</w:t>
      </w:r>
      <w:r>
        <w:rPr>
          <w:rFonts w:ascii="Times New Roman" w:eastAsia="Times New Roman" w:hAnsi="Times New Roman" w:cs="Times New Roman"/>
          <w:color w:val="000000"/>
          <w:spacing w:val="0"/>
          <w:w w:val="100"/>
          <w:position w:val="0"/>
        </w:rPr>
        <w:t>19.07%</w:t>
      </w:r>
      <w:r>
        <w:rPr>
          <w:color w:val="000000"/>
          <w:spacing w:val="0"/>
          <w:w w:val="100"/>
          <w:position w:val="0"/>
        </w:rPr>
        <w:t>。</w:t>
      </w:r>
      <w:r>
        <w:br w:type="page"/>
      </w:r>
    </w:p>
    <w:p>
      <w:pPr>
        <w:pStyle w:val="Style38"/>
        <w:keepNext/>
        <w:keepLines/>
        <w:widowControl w:val="0"/>
        <w:shd w:val="clear" w:color="auto" w:fill="auto"/>
        <w:bidi w:val="0"/>
        <w:spacing w:before="0" w:after="320" w:line="240" w:lineRule="auto"/>
        <w:ind w:left="0" w:right="0" w:firstLine="0"/>
        <w:jc w:val="left"/>
      </w:pPr>
      <w:bookmarkStart w:id="1162" w:name="bookmark1162"/>
      <w:bookmarkStart w:id="1163" w:name="bookmark1163"/>
      <w:bookmarkStart w:id="1164" w:name="bookmark1164"/>
      <w:r>
        <w:rPr>
          <w:rFonts w:ascii="Times New Roman" w:eastAsia="Times New Roman" w:hAnsi="Times New Roman" w:cs="Times New Roman"/>
          <w:color w:val="000000"/>
          <w:spacing w:val="0"/>
          <w:w w:val="100"/>
          <w:position w:val="0"/>
        </w:rPr>
        <w:t>2</w:t>
      </w:r>
      <w:r>
        <w:rPr>
          <w:color w:val="000000"/>
          <w:spacing w:val="0"/>
          <w:w w:val="100"/>
          <w:position w:val="0"/>
        </w:rPr>
        <w:t>、本企业的子公司情况</w:t>
      </w:r>
      <w:bookmarkEnd w:id="1162"/>
      <w:bookmarkEnd w:id="1163"/>
      <w:bookmarkEnd w:id="1164"/>
    </w:p>
    <w:tbl>
      <w:tblPr>
        <w:tblOverlap w:val="never"/>
        <w:jc w:val="center"/>
        <w:tblLayout w:type="fixed"/>
      </w:tblPr>
      <w:tblGrid>
        <w:gridCol w:w="1286"/>
        <w:gridCol w:w="955"/>
        <w:gridCol w:w="1171"/>
        <w:gridCol w:w="706"/>
        <w:gridCol w:w="960"/>
        <w:gridCol w:w="955"/>
        <w:gridCol w:w="1205"/>
        <w:gridCol w:w="850"/>
        <w:gridCol w:w="955"/>
        <w:gridCol w:w="1075"/>
      </w:tblGrid>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子公司全称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子公司类型</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企业类型</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法定代表人</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业务性质</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持股比例</w:t>
            </w:r>
          </w:p>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40" w:line="240" w:lineRule="auto"/>
              <w:ind w:left="0" w:right="0" w:firstLine="0"/>
              <w:jc w:val="right"/>
              <w:rPr>
                <w:sz w:val="17"/>
                <w:szCs w:val="17"/>
              </w:rPr>
            </w:pPr>
            <w:r>
              <w:rPr>
                <w:color w:val="000000"/>
                <w:spacing w:val="0"/>
                <w:w w:val="100"/>
                <w:position w:val="0"/>
                <w:sz w:val="17"/>
                <w:szCs w:val="17"/>
              </w:rPr>
              <w:t>表决权比例</w:t>
            </w:r>
          </w:p>
          <w:p>
            <w:pPr>
              <w:pStyle w:val="Style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组织机构代</w:t>
            </w:r>
          </w:p>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码</w:t>
            </w:r>
          </w:p>
        </w:tc>
      </w:tr>
      <w:tr>
        <w:trPr>
          <w:trHeight w:val="715"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蓝盾信息安全</w:t>
            </w:r>
          </w:p>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控股子公司</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有限责任公司</w:t>
            </w:r>
          </w:p>
          <w:p>
            <w:pPr>
              <w:pStyle w:val="Style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（法人独资）</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广州</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柯宗贵</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计算机应用 服务业</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58952754-1</w:t>
            </w:r>
          </w:p>
        </w:tc>
      </w:tr>
      <w:tr>
        <w:trPr>
          <w:trHeight w:val="715"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广东省蓝盾职</w:t>
            </w:r>
          </w:p>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业培训学院</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控股子公司</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民办非企业单 位</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广州</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柯宗贵</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教育培训服</w:t>
            </w:r>
          </w:p>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务</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05857421-8</w:t>
            </w:r>
          </w:p>
        </w:tc>
      </w:tr>
      <w:tr>
        <w:trPr>
          <w:trHeight w:val="1037" w:hRule="exact"/>
        </w:trPr>
        <w:tc>
          <w:tcPr>
            <w:tcBorders>
              <w:top w:val="single" w:sz="4"/>
              <w:left w:val="single" w:sz="4"/>
              <w:bottom w:val="single" w:sz="4"/>
            </w:tcBorders>
            <w:shd w:val="clear" w:color="auto" w:fill="CCE8CF"/>
            <w:vAlign w:val="center"/>
          </w:tcPr>
          <w:p>
            <w:pPr>
              <w:pStyle w:val="Style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广东蓝盾乐庚 信息技术有限 公司</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控股子公司</w:t>
            </w:r>
          </w:p>
        </w:tc>
        <w:tc>
          <w:tcPr>
            <w:tcBorders>
              <w:top w:val="single" w:sz="4"/>
              <w:left w:val="single" w:sz="4"/>
              <w:bottom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有限责任公司</w:t>
            </w:r>
          </w:p>
        </w:tc>
        <w:tc>
          <w:tcPr>
            <w:tcBorders>
              <w:top w:val="single" w:sz="4"/>
              <w:left w:val="single" w:sz="4"/>
              <w:bottom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广州</w:t>
            </w:r>
          </w:p>
        </w:tc>
        <w:tc>
          <w:tcPr>
            <w:tcBorders>
              <w:top w:val="single" w:sz="4"/>
              <w:left w:val="single" w:sz="4"/>
              <w:bottom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柯宗荣</w:t>
            </w:r>
          </w:p>
        </w:tc>
        <w:tc>
          <w:tcPr>
            <w:tcBorders>
              <w:top w:val="single" w:sz="4"/>
              <w:left w:val="single" w:sz="4"/>
              <w:bottom w:val="single" w:sz="4"/>
            </w:tcBorders>
            <w:shd w:val="clear" w:color="auto" w:fill="CCE8CF"/>
            <w:vAlign w:val="center"/>
          </w:tcPr>
          <w:p>
            <w:pPr>
              <w:pStyle w:val="Style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计算机应用 服务业</w:t>
            </w:r>
          </w:p>
        </w:tc>
        <w:tc>
          <w:tcPr>
            <w:tcBorders>
              <w:top w:val="single" w:sz="4"/>
              <w:left w:val="single" w:sz="4"/>
              <w:bottom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bottom w:val="single" w:sz="4"/>
              <w:righ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05892795-X</w:t>
            </w:r>
          </w:p>
        </w:tc>
      </w:tr>
    </w:tbl>
    <w:p>
      <w:pPr>
        <w:widowControl w:val="0"/>
        <w:spacing w:after="319" w:line="1" w:lineRule="exact"/>
      </w:pPr>
    </w:p>
    <w:p>
      <w:pPr>
        <w:pStyle w:val="Style38"/>
        <w:keepNext/>
        <w:keepLines/>
        <w:widowControl w:val="0"/>
        <w:shd w:val="clear" w:color="auto" w:fill="auto"/>
        <w:tabs>
          <w:tab w:pos="378" w:val="left"/>
        </w:tabs>
        <w:bidi w:val="0"/>
        <w:spacing w:before="0" w:after="400" w:line="240" w:lineRule="auto"/>
        <w:ind w:left="0" w:right="0" w:firstLine="0"/>
        <w:jc w:val="left"/>
      </w:pPr>
      <w:bookmarkStart w:id="1165" w:name="bookmark1165"/>
      <w:bookmarkStart w:id="1166" w:name="bookmark1166"/>
      <w:bookmarkStart w:id="1167" w:name="bookmark1167"/>
      <w:bookmarkStart w:id="1168" w:name="bookmark1168"/>
      <w:r>
        <w:rPr>
          <w:rFonts w:ascii="Times New Roman" w:eastAsia="Times New Roman" w:hAnsi="Times New Roman" w:cs="Times New Roman"/>
          <w:color w:val="000000"/>
          <w:spacing w:val="0"/>
          <w:w w:val="100"/>
          <w:position w:val="0"/>
        </w:rPr>
        <w:t>3</w:t>
      </w:r>
      <w:bookmarkEnd w:id="1167"/>
      <w:r>
        <w:rPr>
          <w:color w:val="000000"/>
          <w:spacing w:val="0"/>
          <w:w w:val="100"/>
          <w:position w:val="0"/>
        </w:rPr>
        <w:t>、</w:t>
        <w:tab/>
        <w:t>本企业的合营和联营企业情况</w:t>
      </w:r>
      <w:bookmarkEnd w:id="1165"/>
      <w:bookmarkEnd w:id="1166"/>
      <w:bookmarkEnd w:id="1168"/>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8"/>
        <w:keepNext/>
        <w:keepLines/>
        <w:widowControl w:val="0"/>
        <w:shd w:val="clear" w:color="auto" w:fill="auto"/>
        <w:tabs>
          <w:tab w:pos="378" w:val="left"/>
        </w:tabs>
        <w:bidi w:val="0"/>
        <w:spacing w:before="0" w:after="320" w:line="240" w:lineRule="auto"/>
        <w:ind w:left="0" w:right="0" w:firstLine="0"/>
        <w:jc w:val="left"/>
      </w:pPr>
      <w:bookmarkStart w:id="1169" w:name="bookmark1169"/>
      <w:bookmarkStart w:id="1170" w:name="bookmark1170"/>
      <w:bookmarkStart w:id="1171" w:name="bookmark1171"/>
      <w:bookmarkStart w:id="1172" w:name="bookmark1172"/>
      <w:r>
        <w:rPr>
          <w:rFonts w:ascii="Times New Roman" w:eastAsia="Times New Roman" w:hAnsi="Times New Roman" w:cs="Times New Roman"/>
          <w:color w:val="000000"/>
          <w:spacing w:val="0"/>
          <w:w w:val="100"/>
          <w:position w:val="0"/>
        </w:rPr>
        <w:t>4</w:t>
      </w:r>
      <w:bookmarkEnd w:id="1171"/>
      <w:r>
        <w:rPr>
          <w:color w:val="000000"/>
          <w:spacing w:val="0"/>
          <w:w w:val="100"/>
          <w:position w:val="0"/>
        </w:rPr>
        <w:t>、</w:t>
        <w:tab/>
        <w:t>本企业的其他关联方情况</w:t>
      </w:r>
      <w:bookmarkEnd w:id="1169"/>
      <w:bookmarkEnd w:id="1170"/>
      <w:bookmarkEnd w:id="1172"/>
    </w:p>
    <w:tbl>
      <w:tblPr>
        <w:tblOverlap w:val="never"/>
        <w:jc w:val="center"/>
        <w:tblLayout w:type="fixed"/>
      </w:tblPr>
      <w:tblGrid>
        <w:gridCol w:w="3696"/>
        <w:gridCol w:w="3542"/>
        <w:gridCol w:w="2419"/>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其他关联方名称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与本公司关系</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组织机构代码</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北京纹歌科技发展有限公司</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子公司投资公司</w:t>
            </w:r>
          </w:p>
        </w:tc>
        <w:tc>
          <w:tcPr>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05560465-3</w:t>
            </w:r>
          </w:p>
        </w:tc>
      </w:tr>
      <w:tr>
        <w:trPr>
          <w:trHeight w:val="398"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深圳市博益投资发展有限公司</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以上的法人</w:t>
            </w:r>
          </w:p>
        </w:tc>
        <w:tc>
          <w:tcPr>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66100600-4</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广州融轩投资咨询有限公司</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实际控制人控制的企业</w:t>
            </w:r>
          </w:p>
        </w:tc>
        <w:tc>
          <w:tcPr>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06580173-0</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广州景辕创业投资企业（有限合伙）</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实际控制人控制的企业</w:t>
            </w:r>
          </w:p>
        </w:tc>
        <w:tc>
          <w:tcPr>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05450803-7</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广东益街坊电子有限公司</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实际控制人控制的企业</w:t>
            </w:r>
          </w:p>
        </w:tc>
        <w:tc>
          <w:tcPr>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55057763-X</w:t>
            </w:r>
          </w:p>
        </w:tc>
      </w:tr>
      <w:tr>
        <w:trPr>
          <w:trHeight w:val="398"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中科蓝华生命科技有限公司</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实际控制人控制的企业</w:t>
            </w:r>
          </w:p>
        </w:tc>
        <w:tc>
          <w:tcPr>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06110081-4</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广州奥邦投资咨询有限公司</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实际控制人控制的企业</w:t>
            </w:r>
          </w:p>
        </w:tc>
        <w:tc>
          <w:tcPr>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06580505-3</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广州景轩投资管理有限公司</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实际控制人的关联自然人控制的企业</w:t>
            </w:r>
          </w:p>
        </w:tc>
        <w:tc>
          <w:tcPr>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05061513-4</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中经汇通有限责任公司</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实际控制人的关联自然人控制的企业</w:t>
            </w:r>
          </w:p>
        </w:tc>
        <w:tc>
          <w:tcPr>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67349171-3</w:t>
            </w:r>
          </w:p>
        </w:tc>
      </w:tr>
      <w:tr>
        <w:trPr>
          <w:trHeight w:val="398"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广州市中经石油化工有限公司</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实际控制人的关联自然人控制的企业</w:t>
            </w:r>
          </w:p>
        </w:tc>
        <w:tc>
          <w:tcPr>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71249454-7</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广州市通汇科技有限公司</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实际控制人的关联自然人控制的企业</w:t>
            </w:r>
          </w:p>
        </w:tc>
        <w:tc>
          <w:tcPr>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57215459-0</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中经汇通（武汉）有限公司</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实际控制人的关联自然人控制的企业</w:t>
            </w:r>
          </w:p>
        </w:tc>
        <w:tc>
          <w:tcPr>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55198565-1</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汇通宝支付有限责任公司</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实际控制人的关联自然人控制的企业</w:t>
            </w:r>
          </w:p>
        </w:tc>
        <w:tc>
          <w:tcPr>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72822119-9</w:t>
            </w:r>
          </w:p>
        </w:tc>
      </w:tr>
      <w:tr>
        <w:trPr>
          <w:trHeight w:val="398"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广东中经汇通电子商务有限公司</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实际控制人的关联自然人控制的企业</w:t>
            </w:r>
          </w:p>
        </w:tc>
        <w:tc>
          <w:tcPr>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58954179-X</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China Express Group Limited</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实际控制人的关联自然人控制的企业</w:t>
            </w:r>
          </w:p>
        </w:tc>
        <w:tc>
          <w:tcPr>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China Express (Cayman)Holdings Limited</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实际控制人的关联自然人控制的企业</w:t>
            </w:r>
          </w:p>
        </w:tc>
        <w:tc>
          <w:tcPr>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Access Universe International Limited</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实际控制人的关联自然人控制的企业</w:t>
            </w:r>
          </w:p>
        </w:tc>
        <w:tc>
          <w:tcPr>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bottom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Winner choice International Limited</w:t>
            </w:r>
          </w:p>
        </w:tc>
        <w:tc>
          <w:tcPr>
            <w:tcBorders>
              <w:top w:val="single" w:sz="4"/>
              <w:left w:val="single" w:sz="4"/>
              <w:bottom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实际控制人的关联自然人控制的企业</w:t>
            </w:r>
          </w:p>
        </w:tc>
        <w:tc>
          <w:tcPr>
            <w:tcBorders>
              <w:top w:val="single" w:sz="4"/>
              <w:left w:val="single" w:sz="4"/>
              <w:bottom w:val="single" w:sz="4"/>
              <w:righ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line="1" w:lineRule="exact"/>
      </w:pPr>
      <w:r>
        <w:br w:type="page"/>
      </w:r>
    </w:p>
    <w:tbl>
      <w:tblPr>
        <w:tblOverlap w:val="never"/>
        <w:jc w:val="center"/>
        <w:tblLayout w:type="fixed"/>
      </w:tblPr>
      <w:tblGrid>
        <w:gridCol w:w="3696"/>
        <w:gridCol w:w="3542"/>
        <w:gridCol w:w="2419"/>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其他关联方名称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与本公司关系</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组织机构代码</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Swoop Success International Limited</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实际控制人的关联自然人控制的企业</w:t>
            </w:r>
          </w:p>
        </w:tc>
        <w:tc>
          <w:tcPr>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广东迅通科技股份有限公司</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实际控制人的关联自然人控制的企业</w:t>
            </w:r>
          </w:p>
        </w:tc>
        <w:tc>
          <w:tcPr>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23316398-6</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北京爱创科技股份有限公司</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关联自然人担任董事的企业</w:t>
            </w:r>
          </w:p>
        </w:tc>
        <w:tc>
          <w:tcPr>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76351629-1</w:t>
            </w:r>
          </w:p>
        </w:tc>
      </w:tr>
      <w:tr>
        <w:trPr>
          <w:trHeight w:val="398"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珠海格力电器股份有限公司</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关联自然人担任董事的企业</w:t>
            </w:r>
          </w:p>
        </w:tc>
        <w:tc>
          <w:tcPr>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19254825-6</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江苏通达动力科技股份有限公司</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关联自然人担任董事的企业</w:t>
            </w:r>
          </w:p>
        </w:tc>
        <w:tc>
          <w:tcPr>
            <w:tcBorders>
              <w:top w:val="single" w:sz="4"/>
              <w:left w:val="single" w:sz="4"/>
              <w:righ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13873911-5</w:t>
            </w:r>
          </w:p>
        </w:tc>
      </w:tr>
      <w:tr>
        <w:trPr>
          <w:trHeight w:val="413" w:hRule="exact"/>
        </w:trPr>
        <w:tc>
          <w:tcPr>
            <w:tcBorders>
              <w:top w:val="single" w:sz="4"/>
              <w:left w:val="single" w:sz="4"/>
              <w:bottom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中山达华智能科技股份有限公司</w:t>
            </w:r>
          </w:p>
        </w:tc>
        <w:tc>
          <w:tcPr>
            <w:tcBorders>
              <w:top w:val="single" w:sz="4"/>
              <w:left w:val="single" w:sz="4"/>
              <w:bottom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关联自然人担任董事的企业</w:t>
            </w:r>
          </w:p>
        </w:tc>
        <w:tc>
          <w:tcPr>
            <w:tcBorders>
              <w:top w:val="single" w:sz="4"/>
              <w:left w:val="single" w:sz="4"/>
              <w:bottom w:val="single" w:sz="4"/>
              <w:righ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61808620-5</w:t>
            </w:r>
          </w:p>
        </w:tc>
      </w:tr>
    </w:tbl>
    <w:p>
      <w:pPr>
        <w:pStyle w:val="Style35"/>
        <w:keepNext w:val="0"/>
        <w:keepLines w:val="0"/>
        <w:widowControl w:val="0"/>
        <w:shd w:val="clear" w:color="auto" w:fill="auto"/>
        <w:bidi w:val="0"/>
        <w:spacing w:before="0" w:after="40" w:line="590" w:lineRule="exact"/>
        <w:ind w:left="0" w:right="0" w:firstLine="0"/>
        <w:jc w:val="left"/>
      </w:pPr>
      <w:bookmarkStart w:id="1173" w:name="bookmark1173"/>
      <w:r>
        <w:rPr>
          <w:rFonts w:ascii="Times New Roman" w:eastAsia="Times New Roman" w:hAnsi="Times New Roman" w:cs="Times New Roman"/>
          <w:b/>
          <w:bCs/>
          <w:color w:val="000000"/>
          <w:spacing w:val="0"/>
          <w:w w:val="100"/>
          <w:position w:val="0"/>
        </w:rPr>
        <w:t>5</w:t>
      </w:r>
      <w:bookmarkEnd w:id="1173"/>
      <w:r>
        <w:rPr>
          <w:b/>
          <w:bCs/>
          <w:color w:val="000000"/>
          <w:spacing w:val="0"/>
          <w:w w:val="100"/>
          <w:position w:val="0"/>
        </w:rPr>
        <w:t>、关联方交易</w:t>
      </w:r>
    </w:p>
    <w:p>
      <w:pPr>
        <w:pStyle w:val="Style35"/>
        <w:keepNext w:val="0"/>
        <w:keepLines w:val="0"/>
        <w:widowControl w:val="0"/>
        <w:shd w:val="clear" w:color="auto" w:fill="auto"/>
        <w:tabs>
          <w:tab w:pos="603" w:val="left"/>
        </w:tabs>
        <w:bidi w:val="0"/>
        <w:spacing w:before="0" w:after="40" w:line="590" w:lineRule="exact"/>
        <w:ind w:left="0" w:right="0" w:firstLine="0"/>
        <w:jc w:val="left"/>
        <w:rPr>
          <w:sz w:val="17"/>
          <w:szCs w:val="17"/>
        </w:rPr>
      </w:pPr>
      <w:bookmarkStart w:id="1174" w:name="bookmark1174"/>
      <w:r>
        <w:rPr>
          <w:b/>
          <w:bCs/>
          <w:color w:val="000000"/>
          <w:spacing w:val="0"/>
          <w:w w:val="100"/>
          <w:position w:val="0"/>
          <w:sz w:val="20"/>
          <w:szCs w:val="20"/>
        </w:rPr>
        <w:t>（</w:t>
      </w:r>
      <w:bookmarkEnd w:id="1174"/>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w:t>
        <w:tab/>
        <w:t xml:space="preserve">采购商品、接受劳务情况表 </w:t>
      </w:r>
      <w:r>
        <w:rPr>
          <w:color w:val="000000"/>
          <w:spacing w:val="0"/>
          <w:w w:val="100"/>
          <w:position w:val="0"/>
          <w:sz w:val="17"/>
          <w:szCs w:val="17"/>
        </w:rPr>
        <w:t>无。</w:t>
      </w:r>
    </w:p>
    <w:p>
      <w:pPr>
        <w:pStyle w:val="Style35"/>
        <w:keepNext w:val="0"/>
        <w:keepLines w:val="0"/>
        <w:widowControl w:val="0"/>
        <w:shd w:val="clear" w:color="auto" w:fill="auto"/>
        <w:tabs>
          <w:tab w:pos="493" w:val="left"/>
        </w:tabs>
        <w:bidi w:val="0"/>
        <w:spacing w:before="0" w:after="380" w:line="590" w:lineRule="exact"/>
        <w:ind w:left="0" w:right="0" w:firstLine="0"/>
        <w:jc w:val="left"/>
      </w:pPr>
      <w:bookmarkStart w:id="1175" w:name="bookmark1175"/>
      <w:r>
        <w:rPr>
          <w:b/>
          <w:bCs/>
          <w:color w:val="000000"/>
          <w:spacing w:val="0"/>
          <w:w w:val="100"/>
          <w:position w:val="0"/>
        </w:rPr>
        <w:t>（</w:t>
      </w:r>
      <w:bookmarkEnd w:id="1175"/>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关联托管</w:t>
      </w:r>
      <w:r>
        <w:rPr>
          <w:rFonts w:ascii="Times New Roman" w:eastAsia="Times New Roman" w:hAnsi="Times New Roman" w:cs="Times New Roman"/>
          <w:b/>
          <w:bCs/>
          <w:color w:val="000000"/>
          <w:spacing w:val="0"/>
          <w:w w:val="100"/>
          <w:position w:val="0"/>
        </w:rPr>
        <w:t>/</w:t>
      </w:r>
      <w:r>
        <w:rPr>
          <w:b/>
          <w:bCs/>
          <w:color w:val="000000"/>
          <w:spacing w:val="0"/>
          <w:w w:val="100"/>
          <w:position w:val="0"/>
        </w:rPr>
        <w:t>承包情况</w:t>
      </w:r>
    </w:p>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无。</w:t>
      </w:r>
    </w:p>
    <w:p>
      <w:pPr>
        <w:pStyle w:val="Style35"/>
        <w:keepNext w:val="0"/>
        <w:keepLines w:val="0"/>
        <w:widowControl w:val="0"/>
        <w:shd w:val="clear" w:color="auto" w:fill="auto"/>
        <w:tabs>
          <w:tab w:pos="493" w:val="left"/>
        </w:tabs>
        <w:bidi w:val="0"/>
        <w:spacing w:before="0" w:after="380" w:line="590" w:lineRule="exact"/>
        <w:ind w:left="0" w:right="0" w:firstLine="0"/>
        <w:jc w:val="left"/>
      </w:pPr>
      <w:bookmarkStart w:id="1176" w:name="bookmark1176"/>
      <w:r>
        <w:rPr>
          <w:b/>
          <w:bCs/>
          <w:color w:val="000000"/>
          <w:spacing w:val="0"/>
          <w:w w:val="100"/>
          <w:position w:val="0"/>
        </w:rPr>
        <w:t>（</w:t>
      </w:r>
      <w:bookmarkEnd w:id="1176"/>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关联租赁情况</w:t>
      </w:r>
    </w:p>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无。</w:t>
      </w:r>
    </w:p>
    <w:p>
      <w:pPr>
        <w:pStyle w:val="Style35"/>
        <w:keepNext w:val="0"/>
        <w:keepLines w:val="0"/>
        <w:widowControl w:val="0"/>
        <w:shd w:val="clear" w:color="auto" w:fill="auto"/>
        <w:tabs>
          <w:tab w:pos="493" w:val="left"/>
        </w:tabs>
        <w:bidi w:val="0"/>
        <w:spacing w:before="0" w:after="380" w:line="590" w:lineRule="exact"/>
        <w:ind w:left="0" w:right="0" w:firstLine="0"/>
        <w:jc w:val="left"/>
      </w:pPr>
      <w:bookmarkStart w:id="1177" w:name="bookmark1177"/>
      <w:r>
        <w:rPr>
          <w:b/>
          <w:bCs/>
          <w:color w:val="000000"/>
          <w:spacing w:val="0"/>
          <w:w w:val="100"/>
          <w:position w:val="0"/>
        </w:rPr>
        <w:t>（</w:t>
      </w:r>
      <w:bookmarkEnd w:id="1177"/>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关联担保情况</w:t>
      </w:r>
    </w:p>
    <w:p>
      <w:pPr>
        <w:pStyle w:val="Style31"/>
        <w:keepNext w:val="0"/>
        <w:keepLines w:val="0"/>
        <w:widowControl w:val="0"/>
        <w:shd w:val="clear" w:color="auto" w:fill="auto"/>
        <w:bidi w:val="0"/>
        <w:spacing w:before="0" w:after="0" w:line="240" w:lineRule="auto"/>
        <w:ind w:left="8818"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603"/>
        <w:gridCol w:w="1594"/>
        <w:gridCol w:w="1594"/>
        <w:gridCol w:w="1598"/>
        <w:gridCol w:w="1594"/>
        <w:gridCol w:w="1603"/>
      </w:tblGrid>
      <w:tr>
        <w:trPr>
          <w:trHeight w:val="72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担保方</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被担保方</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担保金额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担保起始日</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担保到期日</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担保是否已经履行 完毕</w:t>
            </w:r>
          </w:p>
        </w:tc>
      </w:tr>
      <w:tr>
        <w:trPr>
          <w:trHeight w:val="715"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柯宗贵、柯宗庆</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蓝盾信息安全技术 股份有限公司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柯宗庆</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蓝盾信息安全技术 股份有限公司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柯宗贵</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蓝盾信息安全技术 股份有限公司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柯宗贵</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蓝盾信息安全技术 股份有限公司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柯宗庆</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蓝盾信息安全技术 股份有限公司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柯宗贵</w:t>
            </w:r>
          </w:p>
        </w:tc>
        <w:tc>
          <w:tcPr>
            <w:tcBorders>
              <w:top w:val="single" w:sz="4"/>
              <w:left w:val="single" w:sz="4"/>
              <w:bottom w:val="single" w:sz="4"/>
            </w:tcBorders>
            <w:shd w:val="clear" w:color="auto" w:fill="CCE8CF"/>
            <w:vAlign w:val="center"/>
          </w:tcPr>
          <w:p>
            <w:pPr>
              <w:pStyle w:val="Style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蓝盾信息安全技术 股份有限公司</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bl>
    <w:p>
      <w:pPr>
        <w:pStyle w:val="Style38"/>
        <w:keepNext/>
        <w:keepLines/>
        <w:widowControl w:val="0"/>
        <w:shd w:val="clear" w:color="auto" w:fill="auto"/>
        <w:tabs>
          <w:tab w:pos="493" w:val="left"/>
        </w:tabs>
        <w:bidi w:val="0"/>
        <w:spacing w:before="0" w:after="380" w:line="364" w:lineRule="exact"/>
        <w:ind w:left="0" w:right="0" w:firstLine="0"/>
        <w:jc w:val="both"/>
      </w:pPr>
      <w:bookmarkStart w:id="1178" w:name="bookmark1178"/>
      <w:bookmarkStart w:id="1179" w:name="bookmark1179"/>
      <w:bookmarkStart w:id="1180" w:name="bookmark1180"/>
      <w:bookmarkStart w:id="1181" w:name="bookmark1181"/>
      <w:r>
        <w:rPr>
          <w:color w:val="000000"/>
          <w:spacing w:val="0"/>
          <w:w w:val="100"/>
          <w:position w:val="0"/>
        </w:rPr>
        <w:t>（</w:t>
      </w:r>
      <w:bookmarkEnd w:id="1180"/>
      <w:r>
        <w:rPr>
          <w:rFonts w:ascii="Times New Roman" w:eastAsia="Times New Roman" w:hAnsi="Times New Roman" w:cs="Times New Roman"/>
          <w:color w:val="000000"/>
          <w:spacing w:val="0"/>
          <w:w w:val="100"/>
          <w:position w:val="0"/>
        </w:rPr>
        <w:t>5</w:t>
      </w:r>
      <w:r>
        <w:rPr>
          <w:color w:val="000000"/>
          <w:spacing w:val="0"/>
          <w:w w:val="100"/>
          <w:position w:val="0"/>
        </w:rPr>
        <w:t>）</w:t>
        <w:tab/>
        <w:t>关联方资金拆借</w:t>
      </w:r>
      <w:bookmarkEnd w:id="1178"/>
      <w:bookmarkEnd w:id="1179"/>
      <w:bookmarkEnd w:id="1181"/>
    </w:p>
    <w:p>
      <w:pPr>
        <w:pStyle w:val="Style27"/>
        <w:keepNext w:val="0"/>
        <w:keepLines w:val="0"/>
        <w:widowControl w:val="0"/>
        <w:shd w:val="clear" w:color="auto" w:fill="auto"/>
        <w:bidi w:val="0"/>
        <w:spacing w:before="0" w:after="260" w:line="240" w:lineRule="auto"/>
        <w:ind w:left="0" w:right="0" w:firstLine="0"/>
        <w:jc w:val="both"/>
      </w:pPr>
      <w:r>
        <w:rPr>
          <w:color w:val="000000"/>
          <w:spacing w:val="0"/>
          <w:w w:val="100"/>
          <w:position w:val="0"/>
        </w:rPr>
        <w:t>无。</w:t>
      </w:r>
    </w:p>
    <w:p>
      <w:pPr>
        <w:pStyle w:val="Style38"/>
        <w:keepNext/>
        <w:keepLines/>
        <w:widowControl w:val="0"/>
        <w:shd w:val="clear" w:color="auto" w:fill="auto"/>
        <w:tabs>
          <w:tab w:pos="493" w:val="left"/>
        </w:tabs>
        <w:bidi w:val="0"/>
        <w:spacing w:before="0" w:after="380" w:line="364" w:lineRule="exact"/>
        <w:ind w:left="0" w:right="0" w:firstLine="0"/>
        <w:jc w:val="both"/>
      </w:pPr>
      <w:bookmarkStart w:id="1182" w:name="bookmark1182"/>
      <w:bookmarkStart w:id="1183" w:name="bookmark1183"/>
      <w:bookmarkStart w:id="1184" w:name="bookmark1184"/>
      <w:bookmarkStart w:id="1185" w:name="bookmark1185"/>
      <w:r>
        <w:rPr>
          <w:color w:val="000000"/>
          <w:spacing w:val="0"/>
          <w:w w:val="100"/>
          <w:position w:val="0"/>
        </w:rPr>
        <w:t>（</w:t>
      </w:r>
      <w:bookmarkEnd w:id="1184"/>
      <w:r>
        <w:rPr>
          <w:rFonts w:ascii="Times New Roman" w:eastAsia="Times New Roman" w:hAnsi="Times New Roman" w:cs="Times New Roman"/>
          <w:color w:val="000000"/>
          <w:spacing w:val="0"/>
          <w:w w:val="100"/>
          <w:position w:val="0"/>
        </w:rPr>
        <w:t>6</w:t>
      </w:r>
      <w:r>
        <w:rPr>
          <w:color w:val="000000"/>
          <w:spacing w:val="0"/>
          <w:w w:val="100"/>
          <w:position w:val="0"/>
        </w:rPr>
        <w:t>）</w:t>
        <w:tab/>
        <w:t>关联方资产转让、债务重组情况</w:t>
      </w:r>
      <w:bookmarkEnd w:id="1182"/>
      <w:bookmarkEnd w:id="1183"/>
      <w:bookmarkEnd w:id="1185"/>
    </w:p>
    <w:p>
      <w:pPr>
        <w:pStyle w:val="Style27"/>
        <w:keepNext w:val="0"/>
        <w:keepLines w:val="0"/>
        <w:widowControl w:val="0"/>
        <w:shd w:val="clear" w:color="auto" w:fill="auto"/>
        <w:bidi w:val="0"/>
        <w:spacing w:before="0" w:after="260" w:line="240" w:lineRule="auto"/>
        <w:ind w:left="0" w:right="0" w:firstLine="0"/>
        <w:jc w:val="both"/>
      </w:pPr>
      <w:r>
        <w:rPr>
          <w:color w:val="000000"/>
          <w:spacing w:val="0"/>
          <w:w w:val="100"/>
          <w:position w:val="0"/>
        </w:rPr>
        <w:t>无。</w:t>
      </w:r>
    </w:p>
    <w:p>
      <w:pPr>
        <w:pStyle w:val="Style38"/>
        <w:keepNext/>
        <w:keepLines/>
        <w:widowControl w:val="0"/>
        <w:shd w:val="clear" w:color="auto" w:fill="auto"/>
        <w:tabs>
          <w:tab w:pos="493" w:val="left"/>
        </w:tabs>
        <w:bidi w:val="0"/>
        <w:spacing w:before="0" w:after="380" w:line="364" w:lineRule="exact"/>
        <w:ind w:left="0" w:right="0" w:firstLine="0"/>
        <w:jc w:val="both"/>
      </w:pPr>
      <w:bookmarkStart w:id="1186" w:name="bookmark1186"/>
      <w:bookmarkStart w:id="1187" w:name="bookmark1187"/>
      <w:bookmarkStart w:id="1188" w:name="bookmark1188"/>
      <w:bookmarkStart w:id="1189" w:name="bookmark1189"/>
      <w:r>
        <w:rPr>
          <w:color w:val="000000"/>
          <w:spacing w:val="0"/>
          <w:w w:val="100"/>
          <w:position w:val="0"/>
        </w:rPr>
        <w:t>（</w:t>
      </w:r>
      <w:bookmarkEnd w:id="1188"/>
      <w:r>
        <w:rPr>
          <w:rFonts w:ascii="Times New Roman" w:eastAsia="Times New Roman" w:hAnsi="Times New Roman" w:cs="Times New Roman"/>
          <w:color w:val="000000"/>
          <w:spacing w:val="0"/>
          <w:w w:val="100"/>
          <w:position w:val="0"/>
        </w:rPr>
        <w:t>7</w:t>
      </w:r>
      <w:r>
        <w:rPr>
          <w:color w:val="000000"/>
          <w:spacing w:val="0"/>
          <w:w w:val="100"/>
          <w:position w:val="0"/>
        </w:rPr>
        <w:t>）</w:t>
        <w:tab/>
        <w:t>其他关联交易</w:t>
      </w:r>
      <w:bookmarkEnd w:id="1186"/>
      <w:bookmarkEnd w:id="1187"/>
      <w:bookmarkEnd w:id="1189"/>
    </w:p>
    <w:p>
      <w:pPr>
        <w:pStyle w:val="Style27"/>
        <w:keepNext w:val="0"/>
        <w:keepLines w:val="0"/>
        <w:widowControl w:val="0"/>
        <w:shd w:val="clear" w:color="auto" w:fill="auto"/>
        <w:bidi w:val="0"/>
        <w:spacing w:before="0" w:after="260" w:line="240" w:lineRule="auto"/>
        <w:ind w:left="0" w:right="0" w:firstLine="0"/>
        <w:jc w:val="both"/>
      </w:pPr>
      <w:r>
        <w:rPr>
          <w:color w:val="000000"/>
          <w:spacing w:val="0"/>
          <w:w w:val="100"/>
          <w:position w:val="0"/>
        </w:rPr>
        <w:t>无。</w:t>
      </w:r>
    </w:p>
    <w:p>
      <w:pPr>
        <w:pStyle w:val="Style38"/>
        <w:keepNext/>
        <w:keepLines/>
        <w:widowControl w:val="0"/>
        <w:shd w:val="clear" w:color="auto" w:fill="auto"/>
        <w:bidi w:val="0"/>
        <w:spacing w:before="0" w:after="380" w:line="364" w:lineRule="exact"/>
        <w:ind w:left="0" w:right="0" w:firstLine="0"/>
        <w:jc w:val="both"/>
      </w:pPr>
      <w:bookmarkStart w:id="1190" w:name="bookmark1190"/>
      <w:bookmarkStart w:id="1191" w:name="bookmark1191"/>
      <w:bookmarkStart w:id="1192" w:name="bookmark1192"/>
      <w:bookmarkStart w:id="1193" w:name="bookmark1193"/>
      <w:r>
        <w:rPr>
          <w:rFonts w:ascii="Times New Roman" w:eastAsia="Times New Roman" w:hAnsi="Times New Roman" w:cs="Times New Roman"/>
          <w:color w:val="000000"/>
          <w:spacing w:val="0"/>
          <w:w w:val="100"/>
          <w:position w:val="0"/>
        </w:rPr>
        <w:t>6</w:t>
      </w:r>
      <w:bookmarkEnd w:id="1192"/>
      <w:r>
        <w:rPr>
          <w:color w:val="000000"/>
          <w:spacing w:val="0"/>
          <w:w w:val="100"/>
          <w:position w:val="0"/>
        </w:rPr>
        <w:t>、关联方应收应付款项</w:t>
      </w:r>
      <w:bookmarkEnd w:id="1190"/>
      <w:bookmarkEnd w:id="1191"/>
      <w:bookmarkEnd w:id="1193"/>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5"/>
        <w:keepNext/>
        <w:keepLines/>
        <w:widowControl w:val="0"/>
        <w:shd w:val="clear" w:color="auto" w:fill="auto"/>
        <w:bidi w:val="0"/>
        <w:spacing w:before="0" w:after="260" w:line="240" w:lineRule="auto"/>
        <w:ind w:left="0" w:right="0" w:firstLine="0"/>
        <w:jc w:val="both"/>
      </w:pPr>
      <w:bookmarkStart w:id="1194" w:name="bookmark1194"/>
      <w:bookmarkStart w:id="1195" w:name="bookmark1195"/>
      <w:bookmarkStart w:id="1196" w:name="bookmark1196"/>
      <w:bookmarkStart w:id="1197" w:name="bookmark1197"/>
      <w:r>
        <w:rPr>
          <w:color w:val="000000"/>
          <w:spacing w:val="0"/>
          <w:w w:val="100"/>
          <w:position w:val="0"/>
        </w:rPr>
        <w:t>九</w:t>
      </w:r>
      <w:bookmarkEnd w:id="1196"/>
      <w:r>
        <w:rPr>
          <w:color w:val="000000"/>
          <w:spacing w:val="0"/>
          <w:w w:val="100"/>
          <w:position w:val="0"/>
        </w:rPr>
        <w:t>、或有事项</w:t>
      </w:r>
      <w:bookmarkEnd w:id="1194"/>
      <w:bookmarkEnd w:id="1195"/>
      <w:bookmarkEnd w:id="1197"/>
    </w:p>
    <w:p>
      <w:pPr>
        <w:pStyle w:val="Style38"/>
        <w:keepNext/>
        <w:keepLines/>
        <w:widowControl w:val="0"/>
        <w:shd w:val="clear" w:color="auto" w:fill="auto"/>
        <w:tabs>
          <w:tab w:pos="377" w:val="left"/>
        </w:tabs>
        <w:bidi w:val="0"/>
        <w:spacing w:before="0" w:after="380" w:line="364" w:lineRule="exact"/>
        <w:ind w:left="0" w:right="0" w:firstLine="0"/>
        <w:jc w:val="both"/>
      </w:pPr>
      <w:bookmarkStart w:id="1198" w:name="bookmark1198"/>
      <w:bookmarkStart w:id="1199" w:name="bookmark1199"/>
      <w:bookmarkStart w:id="1200" w:name="bookmark1200"/>
      <w:bookmarkStart w:id="1201" w:name="bookmark1201"/>
      <w:r>
        <w:rPr>
          <w:rFonts w:ascii="Times New Roman" w:eastAsia="Times New Roman" w:hAnsi="Times New Roman" w:cs="Times New Roman"/>
          <w:color w:val="000000"/>
          <w:spacing w:val="0"/>
          <w:w w:val="100"/>
          <w:position w:val="0"/>
        </w:rPr>
        <w:t>1</w:t>
      </w:r>
      <w:bookmarkEnd w:id="1200"/>
      <w:r>
        <w:rPr>
          <w:color w:val="000000"/>
          <w:spacing w:val="0"/>
          <w:w w:val="100"/>
          <w:position w:val="0"/>
        </w:rPr>
        <w:t>、</w:t>
        <w:tab/>
        <w:t>未决诉讼或仲裁形成的或有负债及其财务影响</w:t>
      </w:r>
      <w:bookmarkEnd w:id="1198"/>
      <w:bookmarkEnd w:id="1199"/>
      <w:bookmarkEnd w:id="1201"/>
    </w:p>
    <w:p>
      <w:pPr>
        <w:pStyle w:val="Style27"/>
        <w:keepNext w:val="0"/>
        <w:keepLines w:val="0"/>
        <w:widowControl w:val="0"/>
        <w:shd w:val="clear" w:color="auto" w:fill="auto"/>
        <w:bidi w:val="0"/>
        <w:spacing w:before="0" w:after="260" w:line="240" w:lineRule="auto"/>
        <w:ind w:left="0" w:right="0" w:firstLine="0"/>
        <w:jc w:val="both"/>
      </w:pPr>
      <w:r>
        <w:rPr>
          <w:color w:val="000000"/>
          <w:spacing w:val="0"/>
          <w:w w:val="100"/>
          <w:position w:val="0"/>
        </w:rPr>
        <w:t>无。</w:t>
      </w:r>
    </w:p>
    <w:p>
      <w:pPr>
        <w:pStyle w:val="Style38"/>
        <w:keepNext/>
        <w:keepLines/>
        <w:widowControl w:val="0"/>
        <w:shd w:val="clear" w:color="auto" w:fill="auto"/>
        <w:tabs>
          <w:tab w:pos="378" w:val="left"/>
        </w:tabs>
        <w:bidi w:val="0"/>
        <w:spacing w:before="0" w:after="380" w:line="364" w:lineRule="exact"/>
        <w:ind w:left="0" w:right="0" w:firstLine="0"/>
        <w:jc w:val="both"/>
      </w:pPr>
      <w:bookmarkStart w:id="1202" w:name="bookmark1202"/>
      <w:bookmarkStart w:id="1203" w:name="bookmark1203"/>
      <w:bookmarkStart w:id="1204" w:name="bookmark1204"/>
      <w:bookmarkStart w:id="1205" w:name="bookmark1205"/>
      <w:r>
        <w:rPr>
          <w:rFonts w:ascii="Times New Roman" w:eastAsia="Times New Roman" w:hAnsi="Times New Roman" w:cs="Times New Roman"/>
          <w:color w:val="000000"/>
          <w:spacing w:val="0"/>
          <w:w w:val="100"/>
          <w:position w:val="0"/>
        </w:rPr>
        <w:t>2</w:t>
      </w:r>
      <w:bookmarkEnd w:id="1204"/>
      <w:r>
        <w:rPr>
          <w:color w:val="000000"/>
          <w:spacing w:val="0"/>
          <w:w w:val="100"/>
          <w:position w:val="0"/>
        </w:rPr>
        <w:t>、</w:t>
        <w:tab/>
        <w:t>为其他单位提供债务担保形成的或有负债及其财务影响</w:t>
      </w:r>
      <w:bookmarkEnd w:id="1202"/>
      <w:bookmarkEnd w:id="1203"/>
      <w:bookmarkEnd w:id="1205"/>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5"/>
        <w:keepNext/>
        <w:keepLines/>
        <w:widowControl w:val="0"/>
        <w:shd w:val="clear" w:color="auto" w:fill="auto"/>
        <w:bidi w:val="0"/>
        <w:spacing w:before="0" w:after="260" w:line="240" w:lineRule="auto"/>
        <w:ind w:left="0" w:right="0" w:firstLine="0"/>
        <w:jc w:val="both"/>
      </w:pPr>
      <w:bookmarkStart w:id="1206" w:name="bookmark1206"/>
      <w:bookmarkStart w:id="1207" w:name="bookmark1207"/>
      <w:bookmarkStart w:id="1208" w:name="bookmark1208"/>
      <w:r>
        <w:rPr>
          <w:color w:val="000000"/>
          <w:spacing w:val="0"/>
          <w:w w:val="100"/>
          <w:position w:val="0"/>
        </w:rPr>
        <w:t>十、承诺事项</w:t>
      </w:r>
      <w:bookmarkEnd w:id="1206"/>
      <w:bookmarkEnd w:id="1207"/>
      <w:bookmarkEnd w:id="1208"/>
    </w:p>
    <w:p>
      <w:pPr>
        <w:pStyle w:val="Style35"/>
        <w:keepNext w:val="0"/>
        <w:keepLines w:val="0"/>
        <w:widowControl w:val="0"/>
        <w:shd w:val="clear" w:color="auto" w:fill="auto"/>
        <w:tabs>
          <w:tab w:pos="795" w:val="left"/>
        </w:tabs>
        <w:bidi w:val="0"/>
        <w:spacing w:before="0" w:after="40" w:line="364" w:lineRule="exact"/>
        <w:ind w:left="0" w:right="0" w:firstLine="440"/>
        <w:jc w:val="both"/>
      </w:pPr>
      <w:bookmarkStart w:id="1209" w:name="bookmark1209"/>
      <w:r>
        <w:rPr>
          <w:rFonts w:ascii="Times New Roman" w:eastAsia="Times New Roman" w:hAnsi="Times New Roman" w:cs="Times New Roman"/>
          <w:color w:val="000000"/>
          <w:spacing w:val="0"/>
          <w:w w:val="100"/>
          <w:position w:val="0"/>
        </w:rPr>
        <w:t>1</w:t>
      </w:r>
      <w:bookmarkEnd w:id="1209"/>
      <w:r>
        <w:rPr>
          <w:color w:val="000000"/>
          <w:spacing w:val="0"/>
          <w:w w:val="100"/>
          <w:position w:val="0"/>
        </w:rPr>
        <w:t>、</w:t>
        <w:tab/>
        <w:t>本期</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月分别向广发银行股份有限公司广州分行借入借款</w:t>
      </w:r>
      <w:r>
        <w:rPr>
          <w:rFonts w:ascii="Times New Roman" w:eastAsia="Times New Roman" w:hAnsi="Times New Roman" w:cs="Times New Roman"/>
          <w:color w:val="000000"/>
          <w:spacing w:val="0"/>
          <w:w w:val="100"/>
          <w:position w:val="0"/>
        </w:rPr>
        <w:t>22,900,000.00</w:t>
      </w:r>
      <w:r>
        <w:rPr>
          <w:color w:val="000000"/>
          <w:spacing w:val="0"/>
          <w:w w:val="100"/>
          <w:position w:val="0"/>
        </w:rPr>
        <w:t xml:space="preserve">元，年利率为 </w:t>
      </w:r>
      <w:r>
        <w:rPr>
          <w:rFonts w:ascii="Times New Roman" w:eastAsia="Times New Roman" w:hAnsi="Times New Roman" w:cs="Times New Roman"/>
          <w:color w:val="000000"/>
          <w:spacing w:val="0"/>
          <w:w w:val="100"/>
          <w:position w:val="0"/>
        </w:rPr>
        <w:t>6.60%-7.80%</w:t>
      </w:r>
      <w:r>
        <w:rPr>
          <w:color w:val="000000"/>
          <w:spacing w:val="0"/>
          <w:w w:val="100"/>
          <w:position w:val="0"/>
        </w:rPr>
        <w:t>，借款期限为</w:t>
      </w:r>
      <w:r>
        <w:rPr>
          <w:rFonts w:ascii="Times New Roman" w:eastAsia="Times New Roman" w:hAnsi="Times New Roman" w:cs="Times New Roman"/>
          <w:color w:val="000000"/>
          <w:spacing w:val="0"/>
          <w:w w:val="100"/>
          <w:position w:val="0"/>
        </w:rPr>
        <w:t>1</w:t>
      </w:r>
      <w:r>
        <w:rPr>
          <w:color w:val="000000"/>
          <w:spacing w:val="0"/>
          <w:w w:val="100"/>
          <w:position w:val="0"/>
        </w:rPr>
        <w:t>年，由公司以位于广州市天河区科韵路</w:t>
      </w:r>
      <w:r>
        <w:rPr>
          <w:rFonts w:ascii="Times New Roman" w:eastAsia="Times New Roman" w:hAnsi="Times New Roman" w:cs="Times New Roman"/>
          <w:color w:val="000000"/>
          <w:spacing w:val="0"/>
          <w:w w:val="100"/>
          <w:position w:val="0"/>
        </w:rPr>
        <w:t>16</w:t>
      </w:r>
      <w:r>
        <w:rPr>
          <w:color w:val="000000"/>
          <w:spacing w:val="0"/>
          <w:w w:val="100"/>
          <w:position w:val="0"/>
        </w:rPr>
        <w:t>号自编</w:t>
      </w:r>
      <w:r>
        <w:rPr>
          <w:rFonts w:ascii="Times New Roman" w:eastAsia="Times New Roman" w:hAnsi="Times New Roman" w:cs="Times New Roman"/>
          <w:color w:val="000000"/>
          <w:spacing w:val="0"/>
          <w:w w:val="100"/>
          <w:position w:val="0"/>
        </w:rPr>
        <w:t>1</w:t>
      </w:r>
      <w:r>
        <w:rPr>
          <w:color w:val="000000"/>
          <w:spacing w:val="0"/>
          <w:w w:val="100"/>
          <w:position w:val="0"/>
        </w:rPr>
        <w:t>栋</w:t>
      </w:r>
      <w:r>
        <w:rPr>
          <w:rFonts w:ascii="Times New Roman" w:eastAsia="Times New Roman" w:hAnsi="Times New Roman" w:cs="Times New Roman"/>
          <w:color w:val="000000"/>
          <w:spacing w:val="0"/>
          <w:w w:val="100"/>
          <w:position w:val="0"/>
        </w:rPr>
        <w:t>2001</w:t>
      </w:r>
      <w:r>
        <w:rPr>
          <w:color w:val="000000"/>
          <w:spacing w:val="0"/>
          <w:w w:val="100"/>
          <w:position w:val="0"/>
        </w:rPr>
        <w:t>的房产</w:t>
      </w:r>
      <w:r>
        <w:rPr>
          <w:rFonts w:ascii="Times New Roman" w:eastAsia="Times New Roman" w:hAnsi="Times New Roman" w:cs="Times New Roman"/>
          <w:color w:val="000000"/>
          <w:spacing w:val="0"/>
          <w:w w:val="100"/>
          <w:position w:val="0"/>
        </w:rPr>
        <w:t>（</w:t>
      </w:r>
      <w:r>
        <w:rPr>
          <w:color w:val="000000"/>
          <w:spacing w:val="0"/>
          <w:w w:val="100"/>
          <w:position w:val="0"/>
        </w:rPr>
        <w:t>房产证号： 穗字第</w:t>
      </w:r>
      <w:r>
        <w:rPr>
          <w:rFonts w:ascii="Times New Roman" w:eastAsia="Times New Roman" w:hAnsi="Times New Roman" w:cs="Times New Roman"/>
          <w:color w:val="000000"/>
          <w:spacing w:val="0"/>
          <w:w w:val="100"/>
          <w:position w:val="0"/>
        </w:rPr>
        <w:t>0950038444</w:t>
      </w:r>
      <w:r>
        <w:rPr>
          <w:color w:val="000000"/>
          <w:spacing w:val="0"/>
          <w:w w:val="100"/>
          <w:position w:val="0"/>
        </w:rPr>
        <w:t>号，账面原值为</w:t>
      </w:r>
      <w:r>
        <w:rPr>
          <w:rFonts w:ascii="Times New Roman" w:eastAsia="Times New Roman" w:hAnsi="Times New Roman" w:cs="Times New Roman"/>
          <w:color w:val="000000"/>
          <w:spacing w:val="0"/>
          <w:w w:val="100"/>
          <w:position w:val="0"/>
        </w:rPr>
        <w:t>17,870,936.20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作抵押担保，并签订编号为</w:t>
      </w:r>
      <w:r>
        <w:rPr>
          <w:rFonts w:ascii="Times New Roman" w:eastAsia="Times New Roman" w:hAnsi="Times New Roman" w:cs="Times New Roman"/>
          <w:color w:val="000000"/>
          <w:spacing w:val="0"/>
          <w:w w:val="100"/>
          <w:position w:val="0"/>
        </w:rPr>
        <w:t>12176813014-01</w:t>
      </w:r>
      <w:r>
        <w:rPr>
          <w:color w:val="000000"/>
          <w:spacing w:val="0"/>
          <w:w w:val="100"/>
          <w:position w:val="0"/>
        </w:rPr>
        <w:t>号《最 高额抵押合同》，由公司控股股东柯宗庆和柯宗贵提供保证担保，并签订的编号为</w:t>
      </w:r>
      <w:r>
        <w:rPr>
          <w:rFonts w:ascii="Times New Roman" w:eastAsia="Times New Roman" w:hAnsi="Times New Roman" w:cs="Times New Roman"/>
          <w:color w:val="000000"/>
          <w:spacing w:val="0"/>
          <w:w w:val="100"/>
          <w:position w:val="0"/>
        </w:rPr>
        <w:t>12176813014-02</w:t>
      </w:r>
      <w:r>
        <w:rPr>
          <w:color w:val="000000"/>
          <w:spacing w:val="0"/>
          <w:w w:val="100"/>
          <w:position w:val="0"/>
        </w:rPr>
        <w:t>号《最 高额保证担保合同》。</w:t>
      </w:r>
    </w:p>
    <w:p>
      <w:pPr>
        <w:pStyle w:val="Style35"/>
        <w:keepNext w:val="0"/>
        <w:keepLines w:val="0"/>
        <w:widowControl w:val="0"/>
        <w:shd w:val="clear" w:color="auto" w:fill="auto"/>
        <w:tabs>
          <w:tab w:pos="786" w:val="left"/>
        </w:tabs>
        <w:bidi w:val="0"/>
        <w:spacing w:before="0" w:after="760" w:line="358" w:lineRule="exact"/>
        <w:ind w:left="0" w:right="0" w:firstLine="440"/>
        <w:jc w:val="both"/>
      </w:pPr>
      <w:bookmarkStart w:id="1210" w:name="bookmark1210"/>
      <w:r>
        <w:rPr>
          <w:rFonts w:ascii="Times New Roman" w:eastAsia="Times New Roman" w:hAnsi="Times New Roman" w:cs="Times New Roman"/>
          <w:color w:val="000000"/>
          <w:spacing w:val="0"/>
          <w:w w:val="100"/>
          <w:position w:val="0"/>
        </w:rPr>
        <w:t>2</w:t>
      </w:r>
      <w:bookmarkEnd w:id="1210"/>
      <w:r>
        <w:rPr>
          <w:color w:val="000000"/>
          <w:spacing w:val="0"/>
          <w:w w:val="100"/>
          <w:position w:val="0"/>
        </w:rPr>
        <w:t>、</w:t>
        <w:tab/>
        <w:t>公司于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月向招商银行广州分行借入借款</w:t>
      </w:r>
      <w:r>
        <w:rPr>
          <w:rFonts w:ascii="Times New Roman" w:eastAsia="Times New Roman" w:hAnsi="Times New Roman" w:cs="Times New Roman"/>
          <w:color w:val="000000"/>
          <w:spacing w:val="0"/>
          <w:w w:val="100"/>
          <w:position w:val="0"/>
        </w:rPr>
        <w:t>70,000,000.00</w:t>
      </w:r>
      <w:r>
        <w:rPr>
          <w:color w:val="000000"/>
          <w:spacing w:val="0"/>
          <w:w w:val="100"/>
          <w:position w:val="0"/>
        </w:rPr>
        <w:t>元 年利率为</w:t>
      </w:r>
      <w:r>
        <w:rPr>
          <w:rFonts w:ascii="Times New Roman" w:eastAsia="Times New Roman" w:hAnsi="Times New Roman" w:cs="Times New Roman"/>
          <w:color w:val="000000"/>
          <w:spacing w:val="0"/>
          <w:w w:val="100"/>
          <w:position w:val="0"/>
        </w:rPr>
        <w:t>6.15%</w:t>
      </w:r>
      <w:r>
        <w:rPr>
          <w:color w:val="000000"/>
          <w:spacing w:val="0"/>
          <w:w w:val="100"/>
          <w:position w:val="0"/>
        </w:rPr>
        <w:t>，借款期 限为</w:t>
      </w:r>
      <w:r>
        <w:rPr>
          <w:rFonts w:ascii="Times New Roman" w:eastAsia="Times New Roman" w:hAnsi="Times New Roman" w:cs="Times New Roman"/>
          <w:color w:val="000000"/>
          <w:spacing w:val="0"/>
          <w:w w:val="100"/>
          <w:position w:val="0"/>
        </w:rPr>
        <w:t>3</w:t>
      </w:r>
      <w:r>
        <w:rPr>
          <w:color w:val="000000"/>
          <w:spacing w:val="0"/>
          <w:w w:val="100"/>
          <w:position w:val="0"/>
        </w:rPr>
        <w:t>年，由公司以位于广州市天河区科韵路</w:t>
      </w:r>
      <w:r>
        <w:rPr>
          <w:rFonts w:ascii="Times New Roman" w:eastAsia="Times New Roman" w:hAnsi="Times New Roman" w:cs="Times New Roman"/>
          <w:color w:val="000000"/>
          <w:spacing w:val="0"/>
          <w:w w:val="100"/>
          <w:position w:val="0"/>
        </w:rPr>
        <w:t>16</w:t>
      </w:r>
      <w:r>
        <w:rPr>
          <w:color w:val="000000"/>
          <w:spacing w:val="0"/>
          <w:w w:val="100"/>
          <w:position w:val="0"/>
        </w:rPr>
        <w:t>号自编</w:t>
      </w:r>
      <w:r>
        <w:rPr>
          <w:rFonts w:ascii="Times New Roman" w:eastAsia="Times New Roman" w:hAnsi="Times New Roman" w:cs="Times New Roman"/>
          <w:color w:val="000000"/>
          <w:spacing w:val="0"/>
          <w:w w:val="100"/>
          <w:position w:val="0"/>
        </w:rPr>
        <w:t>1</w:t>
      </w:r>
      <w:r>
        <w:rPr>
          <w:color w:val="000000"/>
          <w:spacing w:val="0"/>
          <w:w w:val="100"/>
          <w:position w:val="0"/>
        </w:rPr>
        <w:t>栋</w:t>
      </w:r>
      <w:r>
        <w:rPr>
          <w:rFonts w:ascii="Times New Roman" w:eastAsia="Times New Roman" w:hAnsi="Times New Roman" w:cs="Times New Roman"/>
          <w:color w:val="000000"/>
          <w:spacing w:val="0"/>
          <w:w w:val="100"/>
          <w:position w:val="0"/>
        </w:rPr>
        <w:t>2101</w:t>
      </w:r>
      <w:r>
        <w:rPr>
          <w:color w:val="000000"/>
          <w:spacing w:val="0"/>
          <w:w w:val="100"/>
          <w:position w:val="0"/>
        </w:rPr>
        <w:t>的房产</w:t>
      </w:r>
      <w:r>
        <w:rPr>
          <w:rFonts w:ascii="Times New Roman" w:eastAsia="Times New Roman" w:hAnsi="Times New Roman" w:cs="Times New Roman"/>
          <w:color w:val="000000"/>
          <w:spacing w:val="0"/>
          <w:w w:val="100"/>
          <w:position w:val="0"/>
        </w:rPr>
        <w:t>（</w:t>
      </w:r>
      <w:r>
        <w:rPr>
          <w:color w:val="000000"/>
          <w:spacing w:val="0"/>
          <w:w w:val="100"/>
          <w:position w:val="0"/>
        </w:rPr>
        <w:t>房产证号：穗字第</w:t>
      </w:r>
      <w:r>
        <w:rPr>
          <w:rFonts w:ascii="Times New Roman" w:eastAsia="Times New Roman" w:hAnsi="Times New Roman" w:cs="Times New Roman"/>
          <w:color w:val="000000"/>
          <w:spacing w:val="0"/>
          <w:w w:val="100"/>
          <w:position w:val="0"/>
        </w:rPr>
        <w:t xml:space="preserve">0940039965 </w:t>
      </w:r>
      <w:r>
        <w:rPr>
          <w:color w:val="000000"/>
          <w:spacing w:val="0"/>
          <w:w w:val="100"/>
          <w:position w:val="0"/>
        </w:rPr>
        <w:t>号），账面原值为</w:t>
      </w:r>
      <w:r>
        <w:rPr>
          <w:rFonts w:ascii="Times New Roman" w:eastAsia="Times New Roman" w:hAnsi="Times New Roman" w:cs="Times New Roman"/>
          <w:color w:val="000000"/>
          <w:spacing w:val="0"/>
          <w:w w:val="100"/>
          <w:position w:val="0"/>
        </w:rPr>
        <w:t>15,422,126.20</w:t>
      </w:r>
      <w:r>
        <w:rPr>
          <w:color w:val="000000"/>
          <w:spacing w:val="0"/>
          <w:w w:val="100"/>
          <w:position w:val="0"/>
        </w:rPr>
        <w:t>元作为抵押。</w:t>
      </w:r>
    </w:p>
    <w:p>
      <w:pPr>
        <w:pStyle w:val="Style25"/>
        <w:keepNext/>
        <w:keepLines/>
        <w:widowControl w:val="0"/>
        <w:shd w:val="clear" w:color="auto" w:fill="auto"/>
        <w:bidi w:val="0"/>
        <w:spacing w:before="0" w:after="260" w:line="240" w:lineRule="auto"/>
        <w:ind w:left="0" w:right="0" w:firstLine="0"/>
        <w:jc w:val="both"/>
      </w:pPr>
      <w:bookmarkStart w:id="1211" w:name="bookmark1211"/>
      <w:bookmarkStart w:id="1212" w:name="bookmark1212"/>
      <w:bookmarkStart w:id="1213" w:name="bookmark1213"/>
      <w:r>
        <w:rPr>
          <w:color w:val="000000"/>
          <w:spacing w:val="0"/>
          <w:w w:val="100"/>
          <w:position w:val="0"/>
        </w:rPr>
        <w:t>十一、资产负债表日后事项</w:t>
      </w:r>
      <w:bookmarkEnd w:id="1211"/>
      <w:bookmarkEnd w:id="1212"/>
      <w:bookmarkEnd w:id="1213"/>
    </w:p>
    <w:p>
      <w:pPr>
        <w:pStyle w:val="Style38"/>
        <w:keepNext/>
        <w:keepLines/>
        <w:widowControl w:val="0"/>
        <w:shd w:val="clear" w:color="auto" w:fill="auto"/>
        <w:bidi w:val="0"/>
        <w:spacing w:before="0" w:after="380" w:line="364" w:lineRule="exact"/>
        <w:ind w:left="0" w:right="0" w:firstLine="0"/>
        <w:jc w:val="both"/>
      </w:pPr>
      <w:bookmarkStart w:id="1214" w:name="bookmark1214"/>
      <w:bookmarkStart w:id="1215" w:name="bookmark1215"/>
      <w:bookmarkStart w:id="1216" w:name="bookmark1216"/>
      <w:r>
        <w:rPr>
          <w:rFonts w:ascii="Times New Roman" w:eastAsia="Times New Roman" w:hAnsi="Times New Roman" w:cs="Times New Roman"/>
          <w:color w:val="000000"/>
          <w:spacing w:val="0"/>
          <w:w w:val="100"/>
          <w:position w:val="0"/>
        </w:rPr>
        <w:t>1</w:t>
      </w:r>
      <w:r>
        <w:rPr>
          <w:color w:val="000000"/>
          <w:spacing w:val="0"/>
          <w:w w:val="100"/>
          <w:position w:val="0"/>
        </w:rPr>
        <w:t>、重要的资产负债表日后事项说明</w:t>
      </w:r>
      <w:bookmarkEnd w:id="1214"/>
      <w:bookmarkEnd w:id="1215"/>
      <w:bookmarkEnd w:id="1216"/>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8"/>
        <w:keepNext/>
        <w:keepLines/>
        <w:widowControl w:val="0"/>
        <w:shd w:val="clear" w:color="auto" w:fill="auto"/>
        <w:tabs>
          <w:tab w:pos="378" w:val="left"/>
        </w:tabs>
        <w:bidi w:val="0"/>
        <w:spacing w:before="0" w:after="380" w:line="403" w:lineRule="exact"/>
        <w:ind w:left="0" w:right="0" w:firstLine="0"/>
        <w:jc w:val="left"/>
      </w:pPr>
      <w:bookmarkStart w:id="1217" w:name="bookmark1217"/>
      <w:bookmarkStart w:id="1218" w:name="bookmark1218"/>
      <w:bookmarkStart w:id="1219" w:name="bookmark1219"/>
      <w:bookmarkStart w:id="1220" w:name="bookmark1220"/>
      <w:r>
        <w:rPr>
          <w:rFonts w:ascii="Times New Roman" w:eastAsia="Times New Roman" w:hAnsi="Times New Roman" w:cs="Times New Roman"/>
          <w:color w:val="000000"/>
          <w:spacing w:val="0"/>
          <w:w w:val="100"/>
          <w:position w:val="0"/>
        </w:rPr>
        <w:t>2</w:t>
      </w:r>
      <w:bookmarkEnd w:id="1219"/>
      <w:r>
        <w:rPr>
          <w:color w:val="000000"/>
          <w:spacing w:val="0"/>
          <w:w w:val="100"/>
          <w:position w:val="0"/>
        </w:rPr>
        <w:t>、</w:t>
        <w:tab/>
        <w:t>资产负债表日后利润分配情况说明</w:t>
      </w:r>
      <w:bookmarkEnd w:id="1217"/>
      <w:bookmarkEnd w:id="1218"/>
      <w:bookmarkEnd w:id="1220"/>
    </w:p>
    <w:p>
      <w:pPr>
        <w:pStyle w:val="Style27"/>
        <w:keepNext w:val="0"/>
        <w:keepLines w:val="0"/>
        <w:widowControl w:val="0"/>
        <w:shd w:val="clear" w:color="auto" w:fill="auto"/>
        <w:bidi w:val="0"/>
        <w:spacing w:before="0" w:after="220" w:line="240" w:lineRule="auto"/>
        <w:ind w:left="0" w:right="0" w:firstLine="0"/>
        <w:jc w:val="left"/>
      </w:pPr>
      <w:r>
        <w:rPr>
          <w:color w:val="000000"/>
          <w:spacing w:val="0"/>
          <w:w w:val="100"/>
          <w:position w:val="0"/>
        </w:rPr>
        <w:t>无。</w:t>
      </w:r>
    </w:p>
    <w:p>
      <w:pPr>
        <w:pStyle w:val="Style38"/>
        <w:keepNext/>
        <w:keepLines/>
        <w:widowControl w:val="0"/>
        <w:shd w:val="clear" w:color="auto" w:fill="auto"/>
        <w:tabs>
          <w:tab w:pos="378" w:val="left"/>
        </w:tabs>
        <w:bidi w:val="0"/>
        <w:spacing w:before="0" w:after="280" w:line="403" w:lineRule="exact"/>
        <w:ind w:left="0" w:right="0" w:firstLine="0"/>
        <w:jc w:val="left"/>
      </w:pPr>
      <w:bookmarkStart w:id="1221" w:name="bookmark1221"/>
      <w:bookmarkStart w:id="1222" w:name="bookmark1222"/>
      <w:bookmarkStart w:id="1223" w:name="bookmark1223"/>
      <w:bookmarkStart w:id="1224" w:name="bookmark1224"/>
      <w:r>
        <w:rPr>
          <w:rFonts w:ascii="Times New Roman" w:eastAsia="Times New Roman" w:hAnsi="Times New Roman" w:cs="Times New Roman"/>
          <w:color w:val="000000"/>
          <w:spacing w:val="0"/>
          <w:w w:val="100"/>
          <w:position w:val="0"/>
        </w:rPr>
        <w:t>3</w:t>
      </w:r>
      <w:bookmarkEnd w:id="1223"/>
      <w:r>
        <w:rPr>
          <w:color w:val="000000"/>
          <w:spacing w:val="0"/>
          <w:w w:val="100"/>
          <w:position w:val="0"/>
        </w:rPr>
        <w:t>、</w:t>
        <w:tab/>
        <w:t>其他资产负债表日后事项说明</w:t>
      </w:r>
      <w:bookmarkEnd w:id="1221"/>
      <w:bookmarkEnd w:id="1222"/>
      <w:bookmarkEnd w:id="1224"/>
    </w:p>
    <w:p>
      <w:pPr>
        <w:pStyle w:val="Style35"/>
        <w:keepNext w:val="0"/>
        <w:keepLines w:val="0"/>
        <w:widowControl w:val="0"/>
        <w:shd w:val="clear" w:color="auto" w:fill="auto"/>
        <w:tabs>
          <w:tab w:pos="786" w:val="left"/>
        </w:tabs>
        <w:bidi w:val="0"/>
        <w:spacing w:before="0" w:after="0" w:line="403" w:lineRule="exact"/>
        <w:ind w:left="0" w:right="0" w:firstLine="440"/>
        <w:jc w:val="left"/>
      </w:pPr>
      <w:bookmarkStart w:id="1225" w:name="bookmark1225"/>
      <w:r>
        <w:rPr>
          <w:rFonts w:ascii="Times New Roman" w:eastAsia="Times New Roman" w:hAnsi="Times New Roman" w:cs="Times New Roman"/>
          <w:color w:val="000000"/>
          <w:spacing w:val="0"/>
          <w:w w:val="100"/>
          <w:position w:val="0"/>
        </w:rPr>
        <w:t>1</w:t>
      </w:r>
      <w:bookmarkEnd w:id="1225"/>
      <w:r>
        <w:rPr>
          <w:color w:val="000000"/>
          <w:spacing w:val="0"/>
          <w:w w:val="100"/>
          <w:position w:val="0"/>
        </w:rPr>
        <w:t>、</w:t>
        <w:tab/>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日，公司以自有资金</w:t>
      </w:r>
      <w:r>
        <w:rPr>
          <w:rFonts w:ascii="Times New Roman" w:eastAsia="Times New Roman" w:hAnsi="Times New Roman" w:cs="Times New Roman"/>
          <w:color w:val="000000"/>
          <w:spacing w:val="0"/>
          <w:w w:val="100"/>
          <w:position w:val="0"/>
        </w:rPr>
        <w:t>4,000</w:t>
      </w:r>
      <w:r>
        <w:rPr>
          <w:color w:val="000000"/>
          <w:spacing w:val="0"/>
          <w:w w:val="100"/>
          <w:position w:val="0"/>
        </w:rPr>
        <w:t>万元向公司全资子公司蓝盾信息安全技术有限公司增资，增 资后蓝盾技术注册资本由人民币</w:t>
      </w:r>
      <w:r>
        <w:rPr>
          <w:rFonts w:ascii="Times New Roman" w:eastAsia="Times New Roman" w:hAnsi="Times New Roman" w:cs="Times New Roman"/>
          <w:color w:val="000000"/>
          <w:spacing w:val="0"/>
          <w:w w:val="100"/>
          <w:position w:val="0"/>
        </w:rPr>
        <w:t>11,000</w:t>
      </w:r>
      <w:r>
        <w:rPr>
          <w:color w:val="000000"/>
          <w:spacing w:val="0"/>
          <w:w w:val="100"/>
          <w:position w:val="0"/>
        </w:rPr>
        <w:t>万元增加至</w:t>
      </w:r>
      <w:r>
        <w:rPr>
          <w:rFonts w:ascii="Times New Roman" w:eastAsia="Times New Roman" w:hAnsi="Times New Roman" w:cs="Times New Roman"/>
          <w:color w:val="000000"/>
          <w:spacing w:val="0"/>
          <w:w w:val="100"/>
          <w:position w:val="0"/>
        </w:rPr>
        <w:t>15,000</w:t>
      </w:r>
      <w:r>
        <w:rPr>
          <w:color w:val="000000"/>
          <w:spacing w:val="0"/>
          <w:w w:val="100"/>
          <w:position w:val="0"/>
        </w:rPr>
        <w:t>万元。</w:t>
      </w:r>
    </w:p>
    <w:p>
      <w:pPr>
        <w:pStyle w:val="Style35"/>
        <w:keepNext w:val="0"/>
        <w:keepLines w:val="0"/>
        <w:widowControl w:val="0"/>
        <w:shd w:val="clear" w:color="auto" w:fill="auto"/>
        <w:tabs>
          <w:tab w:pos="813" w:val="left"/>
        </w:tabs>
        <w:bidi w:val="0"/>
        <w:spacing w:before="0" w:after="740" w:line="403" w:lineRule="exact"/>
        <w:ind w:left="0" w:right="0" w:firstLine="440"/>
        <w:jc w:val="both"/>
      </w:pPr>
      <w:bookmarkStart w:id="1226" w:name="bookmark1226"/>
      <w:r>
        <w:rPr>
          <w:rFonts w:ascii="Times New Roman" w:eastAsia="Times New Roman" w:hAnsi="Times New Roman" w:cs="Times New Roman"/>
          <w:color w:val="000000"/>
          <w:spacing w:val="0"/>
          <w:w w:val="100"/>
          <w:position w:val="0"/>
        </w:rPr>
        <w:t>2</w:t>
      </w:r>
      <w:bookmarkEnd w:id="1226"/>
      <w:r>
        <w:rPr>
          <w:color w:val="000000"/>
          <w:spacing w:val="0"/>
          <w:w w:val="100"/>
          <w:position w:val="0"/>
        </w:rPr>
        <w:t>、</w:t>
        <w:tab/>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日，公司以自有资金</w:t>
      </w:r>
      <w:r>
        <w:rPr>
          <w:rFonts w:ascii="Times New Roman" w:eastAsia="Times New Roman" w:hAnsi="Times New Roman" w:cs="Times New Roman"/>
          <w:color w:val="000000"/>
          <w:spacing w:val="0"/>
          <w:w w:val="100"/>
          <w:position w:val="0"/>
        </w:rPr>
        <w:t>1,000</w:t>
      </w:r>
      <w:r>
        <w:rPr>
          <w:color w:val="000000"/>
          <w:spacing w:val="0"/>
          <w:w w:val="100"/>
          <w:position w:val="0"/>
        </w:rPr>
        <w:t>万元设立全资子公司广东蓝盾移动互联网信息科技有限公司。</w:t>
      </w:r>
    </w:p>
    <w:p>
      <w:pPr>
        <w:pStyle w:val="Style25"/>
        <w:keepNext/>
        <w:keepLines/>
        <w:widowControl w:val="0"/>
        <w:shd w:val="clear" w:color="auto" w:fill="auto"/>
        <w:bidi w:val="0"/>
        <w:spacing w:before="0" w:after="380" w:line="240" w:lineRule="auto"/>
        <w:ind w:left="0" w:right="0" w:firstLine="0"/>
        <w:jc w:val="both"/>
      </w:pPr>
      <w:bookmarkStart w:id="1227" w:name="bookmark1227"/>
      <w:bookmarkStart w:id="1228" w:name="bookmark1228"/>
      <w:bookmarkStart w:id="1229" w:name="bookmark1229"/>
      <w:r>
        <w:rPr>
          <w:color w:val="000000"/>
          <w:spacing w:val="0"/>
          <w:w w:val="100"/>
          <w:position w:val="0"/>
        </w:rPr>
        <w:t>十二、其他重要事项</w:t>
      </w:r>
      <w:bookmarkEnd w:id="1227"/>
      <w:bookmarkEnd w:id="1228"/>
      <w:bookmarkEnd w:id="1229"/>
    </w:p>
    <w:p>
      <w:pPr>
        <w:pStyle w:val="Style38"/>
        <w:keepNext/>
        <w:keepLines/>
        <w:widowControl w:val="0"/>
        <w:shd w:val="clear" w:color="auto" w:fill="auto"/>
        <w:tabs>
          <w:tab w:pos="368" w:val="left"/>
        </w:tabs>
        <w:bidi w:val="0"/>
        <w:spacing w:before="0" w:after="220" w:line="420" w:lineRule="auto"/>
        <w:ind w:left="0" w:right="0" w:firstLine="0"/>
        <w:jc w:val="both"/>
      </w:pPr>
      <w:bookmarkStart w:id="1230" w:name="bookmark1230"/>
      <w:bookmarkStart w:id="1231" w:name="bookmark1231"/>
      <w:bookmarkStart w:id="1232" w:name="bookmark1232"/>
      <w:bookmarkStart w:id="1233" w:name="bookmark1233"/>
      <w:r>
        <w:rPr>
          <w:rFonts w:ascii="Times New Roman" w:eastAsia="Times New Roman" w:hAnsi="Times New Roman" w:cs="Times New Roman"/>
          <w:color w:val="000000"/>
          <w:spacing w:val="0"/>
          <w:w w:val="100"/>
          <w:position w:val="0"/>
        </w:rPr>
        <w:t>1</w:t>
      </w:r>
      <w:bookmarkEnd w:id="1232"/>
      <w:r>
        <w:rPr>
          <w:color w:val="000000"/>
          <w:spacing w:val="0"/>
          <w:w w:val="100"/>
          <w:position w:val="0"/>
        </w:rPr>
        <w:t>、</w:t>
        <w:tab/>
        <w:t>非货币性资产交换</w:t>
      </w:r>
      <w:bookmarkEnd w:id="1230"/>
      <w:bookmarkEnd w:id="1231"/>
      <w:bookmarkEnd w:id="1233"/>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8"/>
        <w:keepNext/>
        <w:keepLines/>
        <w:widowControl w:val="0"/>
        <w:shd w:val="clear" w:color="auto" w:fill="auto"/>
        <w:tabs>
          <w:tab w:pos="378" w:val="left"/>
        </w:tabs>
        <w:bidi w:val="0"/>
        <w:spacing w:before="0" w:after="220" w:line="420" w:lineRule="auto"/>
        <w:ind w:left="0" w:right="0" w:firstLine="0"/>
        <w:jc w:val="both"/>
      </w:pPr>
      <w:bookmarkStart w:id="1234" w:name="bookmark1234"/>
      <w:bookmarkStart w:id="1235" w:name="bookmark1235"/>
      <w:bookmarkStart w:id="1236" w:name="bookmark1236"/>
      <w:bookmarkStart w:id="1237" w:name="bookmark1237"/>
      <w:r>
        <w:rPr>
          <w:rFonts w:ascii="Times New Roman" w:eastAsia="Times New Roman" w:hAnsi="Times New Roman" w:cs="Times New Roman"/>
          <w:color w:val="000000"/>
          <w:spacing w:val="0"/>
          <w:w w:val="100"/>
          <w:position w:val="0"/>
        </w:rPr>
        <w:t>2</w:t>
      </w:r>
      <w:bookmarkEnd w:id="1236"/>
      <w:r>
        <w:rPr>
          <w:color w:val="000000"/>
          <w:spacing w:val="0"/>
          <w:w w:val="100"/>
          <w:position w:val="0"/>
        </w:rPr>
        <w:t>、</w:t>
        <w:tab/>
        <w:t>债务重组</w:t>
      </w:r>
      <w:bookmarkEnd w:id="1234"/>
      <w:bookmarkEnd w:id="1235"/>
      <w:bookmarkEnd w:id="1237"/>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8"/>
        <w:keepNext/>
        <w:keepLines/>
        <w:widowControl w:val="0"/>
        <w:shd w:val="clear" w:color="auto" w:fill="auto"/>
        <w:tabs>
          <w:tab w:pos="378" w:val="left"/>
        </w:tabs>
        <w:bidi w:val="0"/>
        <w:spacing w:before="0" w:after="220" w:line="420" w:lineRule="auto"/>
        <w:ind w:left="0" w:right="0" w:firstLine="0"/>
        <w:jc w:val="both"/>
      </w:pPr>
      <w:bookmarkStart w:id="1238" w:name="bookmark1238"/>
      <w:bookmarkStart w:id="1239" w:name="bookmark1239"/>
      <w:bookmarkStart w:id="1240" w:name="bookmark1240"/>
      <w:bookmarkStart w:id="1241" w:name="bookmark1241"/>
      <w:r>
        <w:rPr>
          <w:rFonts w:ascii="Times New Roman" w:eastAsia="Times New Roman" w:hAnsi="Times New Roman" w:cs="Times New Roman"/>
          <w:color w:val="000000"/>
          <w:spacing w:val="0"/>
          <w:w w:val="100"/>
          <w:position w:val="0"/>
        </w:rPr>
        <w:t>3</w:t>
      </w:r>
      <w:bookmarkEnd w:id="1240"/>
      <w:r>
        <w:rPr>
          <w:color w:val="000000"/>
          <w:spacing w:val="0"/>
          <w:w w:val="100"/>
          <w:position w:val="0"/>
        </w:rPr>
        <w:t>、</w:t>
        <w:tab/>
        <w:t>企业合并</w:t>
      </w:r>
      <w:bookmarkEnd w:id="1238"/>
      <w:bookmarkEnd w:id="1239"/>
      <w:bookmarkEnd w:id="1241"/>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8"/>
        <w:keepNext/>
        <w:keepLines/>
        <w:widowControl w:val="0"/>
        <w:shd w:val="clear" w:color="auto" w:fill="auto"/>
        <w:tabs>
          <w:tab w:pos="378" w:val="left"/>
        </w:tabs>
        <w:bidi w:val="0"/>
        <w:spacing w:before="0" w:after="220" w:line="420" w:lineRule="auto"/>
        <w:ind w:left="0" w:right="0" w:firstLine="0"/>
        <w:jc w:val="both"/>
      </w:pPr>
      <w:bookmarkStart w:id="1242" w:name="bookmark1242"/>
      <w:bookmarkStart w:id="1243" w:name="bookmark1243"/>
      <w:bookmarkStart w:id="1244" w:name="bookmark1244"/>
      <w:bookmarkStart w:id="1245" w:name="bookmark1245"/>
      <w:r>
        <w:rPr>
          <w:rFonts w:ascii="Times New Roman" w:eastAsia="Times New Roman" w:hAnsi="Times New Roman" w:cs="Times New Roman"/>
          <w:color w:val="000000"/>
          <w:spacing w:val="0"/>
          <w:w w:val="100"/>
          <w:position w:val="0"/>
        </w:rPr>
        <w:t>4</w:t>
      </w:r>
      <w:bookmarkEnd w:id="1244"/>
      <w:r>
        <w:rPr>
          <w:color w:val="000000"/>
          <w:spacing w:val="0"/>
          <w:w w:val="100"/>
          <w:position w:val="0"/>
        </w:rPr>
        <w:t>、</w:t>
        <w:tab/>
        <w:t>租赁</w:t>
      </w:r>
      <w:bookmarkEnd w:id="1242"/>
      <w:bookmarkEnd w:id="1243"/>
      <w:bookmarkEnd w:id="1245"/>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8"/>
        <w:keepNext/>
        <w:keepLines/>
        <w:widowControl w:val="0"/>
        <w:shd w:val="clear" w:color="auto" w:fill="auto"/>
        <w:tabs>
          <w:tab w:pos="378" w:val="left"/>
        </w:tabs>
        <w:bidi w:val="0"/>
        <w:spacing w:before="0" w:after="220" w:line="420" w:lineRule="auto"/>
        <w:ind w:left="0" w:right="0" w:firstLine="0"/>
        <w:jc w:val="both"/>
      </w:pPr>
      <w:bookmarkStart w:id="1246" w:name="bookmark1246"/>
      <w:bookmarkStart w:id="1247" w:name="bookmark1247"/>
      <w:bookmarkStart w:id="1248" w:name="bookmark1248"/>
      <w:bookmarkStart w:id="1249" w:name="bookmark1249"/>
      <w:r>
        <w:rPr>
          <w:rFonts w:ascii="Times New Roman" w:eastAsia="Times New Roman" w:hAnsi="Times New Roman" w:cs="Times New Roman"/>
          <w:color w:val="000000"/>
          <w:spacing w:val="0"/>
          <w:w w:val="100"/>
          <w:position w:val="0"/>
        </w:rPr>
        <w:t>5</w:t>
      </w:r>
      <w:bookmarkEnd w:id="1248"/>
      <w:r>
        <w:rPr>
          <w:color w:val="000000"/>
          <w:spacing w:val="0"/>
          <w:w w:val="100"/>
          <w:position w:val="0"/>
        </w:rPr>
        <w:t>、</w:t>
        <w:tab/>
        <w:t>其他</w:t>
      </w:r>
      <w:bookmarkEnd w:id="1246"/>
      <w:bookmarkEnd w:id="1247"/>
      <w:bookmarkEnd w:id="1249"/>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5"/>
        <w:keepNext/>
        <w:keepLines/>
        <w:widowControl w:val="0"/>
        <w:shd w:val="clear" w:color="auto" w:fill="auto"/>
        <w:bidi w:val="0"/>
        <w:spacing w:before="0" w:after="980" w:line="240" w:lineRule="auto"/>
        <w:ind w:left="0" w:right="0" w:firstLine="0"/>
        <w:jc w:val="both"/>
      </w:pPr>
      <w:bookmarkStart w:id="1250" w:name="bookmark1250"/>
      <w:bookmarkStart w:id="1251" w:name="bookmark1251"/>
      <w:bookmarkStart w:id="1252" w:name="bookmark1252"/>
      <w:r>
        <w:rPr>
          <w:color w:val="000000"/>
          <w:spacing w:val="0"/>
          <w:w w:val="100"/>
          <w:position w:val="0"/>
        </w:rPr>
        <w:t>十三、母公司财务报表主要项目注释</w:t>
      </w:r>
      <w:bookmarkEnd w:id="1250"/>
      <w:bookmarkEnd w:id="1251"/>
      <w:bookmarkEnd w:id="1252"/>
    </w:p>
    <w:p>
      <w:pPr>
        <w:pStyle w:val="Style38"/>
        <w:keepNext/>
        <w:keepLines/>
        <w:widowControl w:val="0"/>
        <w:shd w:val="clear" w:color="auto" w:fill="auto"/>
        <w:bidi w:val="0"/>
        <w:spacing w:before="0" w:after="380" w:line="240" w:lineRule="auto"/>
        <w:ind w:left="0" w:right="0" w:firstLine="0"/>
        <w:jc w:val="both"/>
      </w:pPr>
      <w:bookmarkStart w:id="1253" w:name="bookmark1253"/>
      <w:bookmarkStart w:id="1254" w:name="bookmark1254"/>
      <w:bookmarkStart w:id="1255" w:name="bookmark1255"/>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253"/>
      <w:bookmarkEnd w:id="1254"/>
      <w:bookmarkEnd w:id="1255"/>
    </w:p>
    <w:p>
      <w:pPr>
        <w:pStyle w:val="Style38"/>
        <w:keepNext/>
        <w:keepLines/>
        <w:widowControl w:val="0"/>
        <w:shd w:val="clear" w:color="auto" w:fill="auto"/>
        <w:bidi w:val="0"/>
        <w:spacing w:before="0" w:after="740" w:line="240" w:lineRule="auto"/>
        <w:ind w:left="0" w:right="0" w:firstLine="0"/>
        <w:jc w:val="both"/>
      </w:pPr>
      <w:bookmarkStart w:id="1253" w:name="bookmark1253"/>
      <w:bookmarkStart w:id="1254" w:name="bookmark1254"/>
      <w:bookmarkStart w:id="1256" w:name="bookmark125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253"/>
      <w:bookmarkEnd w:id="1254"/>
      <w:bookmarkEnd w:id="1256"/>
    </w:p>
    <w:p>
      <w:pPr>
        <w:pStyle w:val="Style27"/>
        <w:keepNext w:val="0"/>
        <w:keepLines w:val="0"/>
        <w:widowControl w:val="0"/>
        <w:shd w:val="clear" w:color="auto" w:fill="auto"/>
        <w:bidi w:val="0"/>
        <w:spacing w:before="0" w:after="380" w:line="240" w:lineRule="auto"/>
        <w:ind w:left="0" w:right="460" w:firstLine="0"/>
        <w:jc w:val="right"/>
      </w:pPr>
      <w:r>
        <w:rPr>
          <w:color w:val="000000"/>
          <w:spacing w:val="0"/>
          <w:w w:val="100"/>
          <w:position w:val="0"/>
        </w:rPr>
        <w:t>单位：元</w:t>
      </w:r>
      <w:r>
        <w:br w:type="page"/>
      </w:r>
    </w:p>
    <w:tbl>
      <w:tblPr>
        <w:tblOverlap w:val="never"/>
        <w:jc w:val="center"/>
        <w:tblLayout w:type="fixed"/>
      </w:tblPr>
      <w:tblGrid>
        <w:gridCol w:w="2006"/>
        <w:gridCol w:w="1195"/>
        <w:gridCol w:w="634"/>
        <w:gridCol w:w="1330"/>
        <w:gridCol w:w="662"/>
        <w:gridCol w:w="1195"/>
        <w:gridCol w:w="667"/>
        <w:gridCol w:w="1325"/>
        <w:gridCol w:w="677"/>
      </w:tblGrid>
      <w:tr>
        <w:trPr>
          <w:trHeight w:val="403"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种类</w:t>
            </w:r>
          </w:p>
        </w:tc>
        <w:tc>
          <w:tcPr>
            <w:gridSpan w:val="4"/>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c>
          <w:tcPr>
            <w:gridSpan w:val="4"/>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比例</w:t>
            </w:r>
          </w:p>
        </w:tc>
      </w:tr>
      <w:tr>
        <w:trPr>
          <w:trHeight w:val="403" w:hRule="exact"/>
        </w:trPr>
        <w:tc>
          <w:tcPr>
            <w:gridSpan w:val="9"/>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按组合计提坏账准备的应收账款</w:t>
            </w:r>
          </w:p>
        </w:tc>
      </w:tr>
      <w:tr>
        <w:trPr>
          <w:trHeight w:val="710"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采用账龄分析法计提坏 账准备</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201,203,015.28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15,379,543.84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160,926,973.50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10,511,525.89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6.53%</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组合小计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201,203,015.28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15,379,543.84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160,926,973.50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10,511,525.89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6.53%</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201,203,015.28</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15,379,543.84</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160,926,973.50</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10,511,525.89</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341" w:lineRule="exact"/>
        <w:ind w:left="0" w:right="0" w:firstLine="0"/>
        <w:jc w:val="left"/>
      </w:pPr>
      <w:r>
        <w:rPr>
          <w:color w:val="000000"/>
          <w:spacing w:val="0"/>
          <w:w w:val="100"/>
          <w:position w:val="0"/>
        </w:rPr>
        <w:t>应收账款种类的说明</w:t>
      </w:r>
    </w:p>
    <w:p>
      <w:pPr>
        <w:pStyle w:val="Style27"/>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341" w:lineRule="exact"/>
        <w:ind w:left="0" w:right="0" w:firstLine="0"/>
        <w:jc w:val="left"/>
      </w:pPr>
      <w:r>
        <w:rPr>
          <w:color w:val="000000"/>
          <w:spacing w:val="0"/>
          <w:w w:val="100"/>
          <w:position w:val="0"/>
        </w:rPr>
        <w:t>组合中，采用账龄分析法计提坏账准备的应收账款</w:t>
      </w:r>
    </w:p>
    <w:p>
      <w:pPr>
        <w:pStyle w:val="Style27"/>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8818"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075"/>
        <w:gridCol w:w="1992"/>
        <w:gridCol w:w="662"/>
        <w:gridCol w:w="1464"/>
        <w:gridCol w:w="2126"/>
        <w:gridCol w:w="662"/>
        <w:gridCol w:w="1603"/>
      </w:tblGrid>
      <w:tr>
        <w:trPr>
          <w:trHeight w:val="408"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账龄</w:t>
            </w:r>
          </w:p>
        </w:tc>
        <w:tc>
          <w:tcPr>
            <w:gridSpan w:val="3"/>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c>
          <w:tcPr>
            <w:gridSpan w:val="3"/>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坏账准备</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vMerge w:val="restart"/>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比例</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151,165,013.96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75.13%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7,558,250.70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131,083,697.53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81.46%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6,554,184.88</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40,151,389.34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4,015,138.93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25,862,159.80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2,586,215.98</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6,567,588.76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3.26%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1,970,276.63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3,176,328.99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952,898.70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2,766,320.51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1,383,160.26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752,011.38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0.47%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376,005.69</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499,926.91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399,941.53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52,775.80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42,220.64</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52,775.80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52,775.80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201,203,015.28</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15,379,543.84</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160,926,973.50</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10,511,525.89</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组合中，采用余额百分比法计提坏账准备的应收账款</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组合中，采用其他方法计提坏账准备的应收账款</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期末单项金额虽不重大但单项计提坏账准备的应收账款</w:t>
      </w:r>
    </w:p>
    <w:p>
      <w:pPr>
        <w:pStyle w:val="Style27"/>
        <w:keepNext w:val="0"/>
        <w:keepLines w:val="0"/>
        <w:widowControl w:val="0"/>
        <w:shd w:val="clear" w:color="auto" w:fill="auto"/>
        <w:bidi w:val="0"/>
        <w:spacing w:before="0" w:after="4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tabs>
          <w:tab w:pos="493" w:val="left"/>
        </w:tabs>
        <w:bidi w:val="0"/>
        <w:spacing w:before="0" w:after="400" w:line="240" w:lineRule="auto"/>
        <w:ind w:left="0" w:right="0" w:firstLine="0"/>
        <w:jc w:val="left"/>
      </w:pPr>
      <w:bookmarkStart w:id="1257" w:name="bookmark1257"/>
      <w:bookmarkStart w:id="1258" w:name="bookmark1258"/>
      <w:bookmarkStart w:id="1259" w:name="bookmark1259"/>
      <w:bookmarkStart w:id="1260" w:name="bookmark1260"/>
      <w:r>
        <w:rPr>
          <w:color w:val="000000"/>
          <w:spacing w:val="0"/>
          <w:w w:val="100"/>
          <w:position w:val="0"/>
        </w:rPr>
        <w:t>（</w:t>
      </w:r>
      <w:bookmarkEnd w:id="1259"/>
      <w:r>
        <w:rPr>
          <w:rFonts w:ascii="Times New Roman" w:eastAsia="Times New Roman" w:hAnsi="Times New Roman" w:cs="Times New Roman"/>
          <w:color w:val="000000"/>
          <w:spacing w:val="0"/>
          <w:w w:val="100"/>
          <w:position w:val="0"/>
        </w:rPr>
        <w:t>2</w:t>
      </w:r>
      <w:r>
        <w:rPr>
          <w:color w:val="000000"/>
          <w:spacing w:val="0"/>
          <w:w w:val="100"/>
          <w:position w:val="0"/>
        </w:rPr>
        <w:t>）</w:t>
        <w:tab/>
        <w:t>本报告期转回或收回的应收账款情况</w:t>
      </w:r>
      <w:bookmarkEnd w:id="1257"/>
      <w:bookmarkEnd w:id="1258"/>
      <w:bookmarkEnd w:id="1260"/>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8"/>
        <w:keepNext/>
        <w:keepLines/>
        <w:widowControl w:val="0"/>
        <w:shd w:val="clear" w:color="auto" w:fill="auto"/>
        <w:tabs>
          <w:tab w:pos="493" w:val="left"/>
        </w:tabs>
        <w:bidi w:val="0"/>
        <w:spacing w:before="0" w:after="400" w:line="240" w:lineRule="auto"/>
        <w:ind w:left="0" w:right="0" w:firstLine="0"/>
        <w:jc w:val="left"/>
      </w:pPr>
      <w:bookmarkStart w:id="1261" w:name="bookmark1261"/>
      <w:bookmarkStart w:id="1262" w:name="bookmark1262"/>
      <w:bookmarkStart w:id="1263" w:name="bookmark1263"/>
      <w:bookmarkStart w:id="1264" w:name="bookmark1264"/>
      <w:r>
        <w:rPr>
          <w:color w:val="000000"/>
          <w:spacing w:val="0"/>
          <w:w w:val="100"/>
          <w:position w:val="0"/>
        </w:rPr>
        <w:t>（</w:t>
      </w:r>
      <w:bookmarkEnd w:id="1263"/>
      <w:r>
        <w:rPr>
          <w:rFonts w:ascii="Times New Roman" w:eastAsia="Times New Roman" w:hAnsi="Times New Roman" w:cs="Times New Roman"/>
          <w:color w:val="000000"/>
          <w:spacing w:val="0"/>
          <w:w w:val="100"/>
          <w:position w:val="0"/>
        </w:rPr>
        <w:t>3</w:t>
      </w:r>
      <w:r>
        <w:rPr>
          <w:color w:val="000000"/>
          <w:spacing w:val="0"/>
          <w:w w:val="100"/>
          <w:position w:val="0"/>
        </w:rPr>
        <w:t>）</w:t>
        <w:tab/>
        <w:t>本报告期实际核销的应收账款情况</w:t>
      </w:r>
      <w:bookmarkEnd w:id="1261"/>
      <w:bookmarkEnd w:id="1262"/>
      <w:bookmarkEnd w:id="1264"/>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r>
        <w:br w:type="page"/>
      </w:r>
    </w:p>
    <w:p>
      <w:pPr>
        <w:pStyle w:val="Style38"/>
        <w:keepNext/>
        <w:keepLines/>
        <w:widowControl w:val="0"/>
        <w:shd w:val="clear" w:color="auto" w:fill="auto"/>
        <w:bidi w:val="0"/>
        <w:spacing w:before="0" w:after="380" w:line="240" w:lineRule="auto"/>
        <w:ind w:left="0" w:right="0" w:firstLine="0"/>
        <w:jc w:val="left"/>
      </w:pPr>
      <w:bookmarkStart w:id="1265" w:name="bookmark1265"/>
      <w:bookmarkStart w:id="1266" w:name="bookmark1266"/>
      <w:bookmarkStart w:id="1267" w:name="bookmark1267"/>
      <w:bookmarkStart w:id="1268" w:name="bookmark1268"/>
      <w:r>
        <w:rPr>
          <w:color w:val="000000"/>
          <w:spacing w:val="0"/>
          <w:w w:val="100"/>
          <w:position w:val="0"/>
        </w:rPr>
        <w:t>（</w:t>
      </w:r>
      <w:bookmarkEnd w:id="1267"/>
      <w:r>
        <w:rPr>
          <w:rFonts w:ascii="Times New Roman" w:eastAsia="Times New Roman" w:hAnsi="Times New Roman" w:cs="Times New Roman"/>
          <w:color w:val="000000"/>
          <w:spacing w:val="0"/>
          <w:w w:val="100"/>
          <w:position w:val="0"/>
        </w:rPr>
        <w:t>4</w:t>
      </w:r>
      <w:r>
        <w:rPr>
          <w:color w:val="000000"/>
          <w:spacing w:val="0"/>
          <w:w w:val="100"/>
          <w:position w:val="0"/>
        </w:rPr>
        <w:t>） 本报告期应收账款中持有公司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265"/>
      <w:bookmarkEnd w:id="1266"/>
      <w:bookmarkEnd w:id="1268"/>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8"/>
        <w:keepNext/>
        <w:keepLines/>
        <w:widowControl w:val="0"/>
        <w:shd w:val="clear" w:color="auto" w:fill="auto"/>
        <w:tabs>
          <w:tab w:pos="493" w:val="left"/>
        </w:tabs>
        <w:bidi w:val="0"/>
        <w:spacing w:before="0" w:after="380" w:line="240" w:lineRule="auto"/>
        <w:ind w:left="0" w:right="0" w:firstLine="0"/>
        <w:jc w:val="left"/>
      </w:pPr>
      <w:bookmarkStart w:id="1269" w:name="bookmark1269"/>
      <w:bookmarkStart w:id="1270" w:name="bookmark1270"/>
      <w:bookmarkStart w:id="1271" w:name="bookmark1271"/>
      <w:bookmarkStart w:id="1272" w:name="bookmark1272"/>
      <w:r>
        <w:rPr>
          <w:color w:val="000000"/>
          <w:spacing w:val="0"/>
          <w:w w:val="100"/>
          <w:position w:val="0"/>
        </w:rPr>
        <w:t>（</w:t>
      </w:r>
      <w:bookmarkEnd w:id="1271"/>
      <w:r>
        <w:rPr>
          <w:rFonts w:ascii="Times New Roman" w:eastAsia="Times New Roman" w:hAnsi="Times New Roman" w:cs="Times New Roman"/>
          <w:color w:val="000000"/>
          <w:spacing w:val="0"/>
          <w:w w:val="100"/>
          <w:position w:val="0"/>
        </w:rPr>
        <w:t>5</w:t>
      </w:r>
      <w:r>
        <w:rPr>
          <w:color w:val="000000"/>
          <w:spacing w:val="0"/>
          <w:w w:val="100"/>
          <w:position w:val="0"/>
        </w:rPr>
        <w:t>）</w:t>
        <w:tab/>
        <w:t>应收账款中金额前五名单位情况</w:t>
      </w:r>
      <w:bookmarkEnd w:id="1269"/>
      <w:bookmarkEnd w:id="1270"/>
      <w:bookmarkEnd w:id="1272"/>
    </w:p>
    <w:p>
      <w:pPr>
        <w:pStyle w:val="Style31"/>
        <w:keepNext w:val="0"/>
        <w:keepLines w:val="0"/>
        <w:widowControl w:val="0"/>
        <w:shd w:val="clear" w:color="auto" w:fill="auto"/>
        <w:bidi w:val="0"/>
        <w:spacing w:before="0" w:after="0" w:line="240" w:lineRule="auto"/>
        <w:ind w:left="8818"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2275"/>
        <w:gridCol w:w="1704"/>
        <w:gridCol w:w="1910"/>
        <w:gridCol w:w="1488"/>
        <w:gridCol w:w="2280"/>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与本公司关系</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年限</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占应收账款总额的比例</w:t>
            </w:r>
          </w:p>
        </w:tc>
      </w:tr>
      <w:tr>
        <w:trPr>
          <w:trHeight w:val="715"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广州市社会保险基金管理中</w:t>
            </w:r>
          </w:p>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心</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客户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49,617,605.99</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24.66%</w:t>
            </w:r>
          </w:p>
        </w:tc>
      </w:tr>
      <w:tr>
        <w:trPr>
          <w:trHeight w:val="398"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增城市教育局</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客户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20,026,394.10</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9.95%</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广东兴业国际实业有限公司</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客户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16,073,859.76</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7.99%</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海口市公安局交通警察支队</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客户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5,336,310.00</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2.65%</w:t>
            </w:r>
          </w:p>
        </w:tc>
      </w:tr>
      <w:tr>
        <w:trPr>
          <w:trHeight w:val="403" w:hRule="exact"/>
        </w:trPr>
        <w:tc>
          <w:tcPr>
            <w:vMerge w:val="restart"/>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广东省公安厅</w:t>
            </w:r>
          </w:p>
        </w:tc>
        <w:tc>
          <w:tcPr>
            <w:vMerge w:val="restart"/>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客户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740,950.00</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0.37%</w:t>
            </w:r>
          </w:p>
        </w:tc>
      </w:tr>
      <w:tr>
        <w:trPr>
          <w:trHeight w:val="398" w:hRule="exact"/>
        </w:trPr>
        <w:tc>
          <w:tcPr>
            <w:vMerge/>
            <w:tcBorders>
              <w:left w:val="single" w:sz="4"/>
            </w:tcBorders>
            <w:shd w:val="clear" w:color="auto" w:fill="CCE8CF"/>
            <w:vAlign w:val="center"/>
          </w:tcPr>
          <w:p>
            <w:pPr/>
          </w:p>
        </w:tc>
        <w:tc>
          <w:tcPr>
            <w:vMerge/>
            <w:tcBorders>
              <w:left w:val="single" w:sz="4"/>
            </w:tcBorders>
            <w:shd w:val="clear" w:color="auto" w:fill="CCE8CF"/>
            <w:vAlign w:val="center"/>
          </w:tcPr>
          <w:p>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4,298,434.33</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2.14%</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96,093,554.18</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47.76%</w:t>
            </w:r>
          </w:p>
        </w:tc>
      </w:tr>
    </w:tbl>
    <w:p>
      <w:pPr>
        <w:widowControl w:val="0"/>
        <w:spacing w:after="379" w:line="1" w:lineRule="exact"/>
      </w:pPr>
    </w:p>
    <w:p>
      <w:pPr>
        <w:pStyle w:val="Style38"/>
        <w:keepNext/>
        <w:keepLines/>
        <w:widowControl w:val="0"/>
        <w:shd w:val="clear" w:color="auto" w:fill="auto"/>
        <w:tabs>
          <w:tab w:pos="493" w:val="left"/>
        </w:tabs>
        <w:bidi w:val="0"/>
        <w:spacing w:before="0" w:after="380" w:line="240" w:lineRule="auto"/>
        <w:ind w:left="0" w:right="0" w:firstLine="0"/>
        <w:jc w:val="left"/>
      </w:pPr>
      <w:bookmarkStart w:id="1273" w:name="bookmark1273"/>
      <w:bookmarkStart w:id="1274" w:name="bookmark1274"/>
      <w:bookmarkStart w:id="1275" w:name="bookmark1275"/>
      <w:bookmarkStart w:id="1276" w:name="bookmark1276"/>
      <w:r>
        <w:rPr>
          <w:color w:val="000000"/>
          <w:spacing w:val="0"/>
          <w:w w:val="100"/>
          <w:position w:val="0"/>
        </w:rPr>
        <w:t>（</w:t>
      </w:r>
      <w:bookmarkEnd w:id="1275"/>
      <w:r>
        <w:rPr>
          <w:rFonts w:ascii="Times New Roman" w:eastAsia="Times New Roman" w:hAnsi="Times New Roman" w:cs="Times New Roman"/>
          <w:color w:val="000000"/>
          <w:spacing w:val="0"/>
          <w:w w:val="100"/>
          <w:position w:val="0"/>
        </w:rPr>
        <w:t>6</w:t>
      </w:r>
      <w:r>
        <w:rPr>
          <w:color w:val="000000"/>
          <w:spacing w:val="0"/>
          <w:w w:val="100"/>
          <w:position w:val="0"/>
        </w:rPr>
        <w:t>）</w:t>
        <w:tab/>
        <w:t>应收关联方账款情况</w:t>
      </w:r>
      <w:bookmarkEnd w:id="1273"/>
      <w:bookmarkEnd w:id="1274"/>
      <w:bookmarkEnd w:id="1276"/>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8"/>
        <w:keepNext/>
        <w:keepLines/>
        <w:widowControl w:val="0"/>
        <w:shd w:val="clear" w:color="auto" w:fill="auto"/>
        <w:bidi w:val="0"/>
        <w:spacing w:before="0" w:after="440" w:line="240" w:lineRule="auto"/>
        <w:ind w:left="0" w:right="0" w:firstLine="0"/>
        <w:jc w:val="left"/>
      </w:pPr>
      <w:bookmarkStart w:id="1277" w:name="bookmark1277"/>
      <w:bookmarkStart w:id="1278" w:name="bookmark1278"/>
      <w:bookmarkStart w:id="1279" w:name="bookmark1279"/>
      <w:bookmarkStart w:id="1280" w:name="bookmark1280"/>
      <w:r>
        <w:rPr>
          <w:color w:val="000000"/>
          <w:spacing w:val="0"/>
          <w:w w:val="100"/>
          <w:position w:val="0"/>
        </w:rPr>
        <w:t>（</w:t>
      </w:r>
      <w:bookmarkEnd w:id="1279"/>
      <w:r>
        <w:rPr>
          <w:rFonts w:ascii="Times New Roman" w:eastAsia="Times New Roman" w:hAnsi="Times New Roman" w:cs="Times New Roman"/>
          <w:color w:val="000000"/>
          <w:spacing w:val="0"/>
          <w:w w:val="100"/>
          <w:position w:val="0"/>
        </w:rPr>
        <w:t>7</w:t>
      </w:r>
      <w:r>
        <w:rPr>
          <w:color w:val="000000"/>
          <w:spacing w:val="0"/>
          <w:w w:val="100"/>
          <w:position w:val="0"/>
        </w:rPr>
        <w:t>）</w:t>
      </w:r>
      <w:bookmarkEnd w:id="1277"/>
      <w:bookmarkEnd w:id="1278"/>
      <w:bookmarkEnd w:id="1280"/>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不符合终止确认条件的应收账款的转移金额为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8"/>
        <w:keepNext/>
        <w:keepLines/>
        <w:widowControl w:val="0"/>
        <w:shd w:val="clear" w:color="auto" w:fill="auto"/>
        <w:tabs>
          <w:tab w:pos="493" w:val="left"/>
        </w:tabs>
        <w:bidi w:val="0"/>
        <w:spacing w:before="0" w:after="380" w:line="240" w:lineRule="auto"/>
        <w:ind w:left="0" w:right="0" w:firstLine="0"/>
        <w:jc w:val="left"/>
      </w:pPr>
      <w:bookmarkStart w:id="1281" w:name="bookmark1281"/>
      <w:bookmarkStart w:id="1282" w:name="bookmark1282"/>
      <w:bookmarkStart w:id="1283" w:name="bookmark1283"/>
      <w:bookmarkStart w:id="1284" w:name="bookmark1284"/>
      <w:r>
        <w:rPr>
          <w:color w:val="000000"/>
          <w:spacing w:val="0"/>
          <w:w w:val="100"/>
          <w:position w:val="0"/>
        </w:rPr>
        <w:t>（</w:t>
      </w:r>
      <w:bookmarkEnd w:id="1283"/>
      <w:r>
        <w:rPr>
          <w:rFonts w:ascii="Times New Roman" w:eastAsia="Times New Roman" w:hAnsi="Times New Roman" w:cs="Times New Roman"/>
          <w:color w:val="000000"/>
          <w:spacing w:val="0"/>
          <w:w w:val="100"/>
          <w:position w:val="0"/>
        </w:rPr>
        <w:t>8</w:t>
      </w:r>
      <w:r>
        <w:rPr>
          <w:color w:val="000000"/>
          <w:spacing w:val="0"/>
          <w:w w:val="100"/>
          <w:position w:val="0"/>
        </w:rPr>
        <w:t>）</w:t>
        <w:tab/>
        <w:t>以应收款项为标的资产进行资产证券化的，需简要说明相关交易安排</w:t>
      </w:r>
      <w:bookmarkEnd w:id="1281"/>
      <w:bookmarkEnd w:id="1282"/>
      <w:bookmarkEnd w:id="1284"/>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8"/>
        <w:keepNext/>
        <w:keepLines/>
        <w:widowControl w:val="0"/>
        <w:shd w:val="clear" w:color="auto" w:fill="auto"/>
        <w:bidi w:val="0"/>
        <w:spacing w:before="0" w:after="380" w:line="240" w:lineRule="auto"/>
        <w:ind w:left="0" w:right="0" w:firstLine="0"/>
        <w:jc w:val="left"/>
      </w:pPr>
      <w:bookmarkStart w:id="1285" w:name="bookmark1285"/>
      <w:bookmarkStart w:id="1286" w:name="bookmark1286"/>
      <w:bookmarkStart w:id="1287" w:name="bookmark1287"/>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285"/>
      <w:bookmarkEnd w:id="1286"/>
      <w:bookmarkEnd w:id="1287"/>
    </w:p>
    <w:p>
      <w:pPr>
        <w:pStyle w:val="Style38"/>
        <w:keepNext/>
        <w:keepLines/>
        <w:widowControl w:val="0"/>
        <w:shd w:val="clear" w:color="auto" w:fill="auto"/>
        <w:bidi w:val="0"/>
        <w:spacing w:before="0" w:after="380" w:line="240" w:lineRule="auto"/>
        <w:ind w:left="0" w:right="0" w:firstLine="0"/>
        <w:jc w:val="left"/>
      </w:pPr>
      <w:bookmarkStart w:id="1285" w:name="bookmark1285"/>
      <w:bookmarkStart w:id="1286" w:name="bookmark1286"/>
      <w:bookmarkStart w:id="1288" w:name="bookmark128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285"/>
      <w:bookmarkEnd w:id="1286"/>
      <w:bookmarkEnd w:id="1288"/>
    </w:p>
    <w:p>
      <w:pPr>
        <w:pStyle w:val="Style31"/>
        <w:keepNext w:val="0"/>
        <w:keepLines w:val="0"/>
        <w:widowControl w:val="0"/>
        <w:shd w:val="clear" w:color="auto" w:fill="auto"/>
        <w:bidi w:val="0"/>
        <w:spacing w:before="0" w:after="0" w:line="240" w:lineRule="auto"/>
        <w:ind w:left="8818"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2179"/>
        <w:gridCol w:w="1454"/>
        <w:gridCol w:w="528"/>
        <w:gridCol w:w="1320"/>
        <w:gridCol w:w="624"/>
        <w:gridCol w:w="1320"/>
        <w:gridCol w:w="528"/>
        <w:gridCol w:w="1190"/>
        <w:gridCol w:w="538"/>
      </w:tblGrid>
      <w:tr>
        <w:trPr>
          <w:trHeight w:val="408"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种类</w:t>
            </w:r>
          </w:p>
        </w:tc>
        <w:tc>
          <w:tcPr>
            <w:gridSpan w:val="4"/>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c>
          <w:tcPr>
            <w:gridSpan w:val="4"/>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比例</w:t>
            </w:r>
          </w:p>
        </w:tc>
      </w:tr>
      <w:tr>
        <w:trPr>
          <w:trHeight w:val="398" w:hRule="exact"/>
        </w:trPr>
        <w:tc>
          <w:tcPr>
            <w:gridSpan w:val="9"/>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按组合计提坏账准备的其他应收款</w:t>
            </w:r>
          </w:p>
        </w:tc>
      </w:tr>
      <w:tr>
        <w:trPr>
          <w:trHeight w:val="725" w:hRule="exact"/>
        </w:trPr>
        <w:tc>
          <w:tcPr>
            <w:tcBorders>
              <w:top w:val="single" w:sz="4"/>
              <w:left w:val="single" w:sz="4"/>
              <w:bottom w:val="single" w:sz="4"/>
            </w:tcBorders>
            <w:shd w:val="clear" w:color="auto" w:fill="CCE8CF"/>
            <w:vAlign w:val="center"/>
          </w:tcPr>
          <w:p>
            <w:pPr>
              <w:pStyle w:val="Style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采用账龄分析法计提坏账 准备</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10,680,575.19</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1,243,144.31</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11.64%</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8,636,181.07</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821,935.23</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w:t>
            </w:r>
          </w:p>
        </w:tc>
      </w:tr>
    </w:tbl>
    <w:p>
      <w:pPr>
        <w:widowControl w:val="0"/>
        <w:spacing w:line="1" w:lineRule="exact"/>
      </w:pPr>
    </w:p>
    <w:tbl>
      <w:tblPr>
        <w:tblOverlap w:val="never"/>
        <w:jc w:val="center"/>
        <w:tblLayout w:type="fixed"/>
      </w:tblPr>
      <w:tblGrid>
        <w:gridCol w:w="2179"/>
        <w:gridCol w:w="1454"/>
        <w:gridCol w:w="528"/>
        <w:gridCol w:w="1320"/>
        <w:gridCol w:w="624"/>
        <w:gridCol w:w="1320"/>
        <w:gridCol w:w="528"/>
        <w:gridCol w:w="1190"/>
        <w:gridCol w:w="538"/>
      </w:tblGrid>
      <w:tr>
        <w:trPr>
          <w:trHeight w:val="403"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种类</w:t>
            </w:r>
          </w:p>
        </w:tc>
        <w:tc>
          <w:tcPr>
            <w:gridSpan w:val="4"/>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c>
          <w:tcPr>
            <w:gridSpan w:val="4"/>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比例</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组合小计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10,680,575.19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1,243,144.31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8,636,181.07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821,935.23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9.52%</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10,680,575.19</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1,243,144.31</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8,636,181.07</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821,935.23</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346" w:lineRule="exact"/>
        <w:ind w:left="0" w:right="0" w:firstLine="0"/>
        <w:jc w:val="left"/>
      </w:pPr>
      <w:r>
        <w:rPr>
          <w:color w:val="000000"/>
          <w:spacing w:val="0"/>
          <w:w w:val="100"/>
          <w:position w:val="0"/>
        </w:rPr>
        <w:t>其他应收款种类的说明</w:t>
      </w:r>
    </w:p>
    <w:p>
      <w:pPr>
        <w:pStyle w:val="Style27"/>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346" w:lineRule="exact"/>
        <w:ind w:left="0" w:right="0" w:firstLine="0"/>
        <w:jc w:val="left"/>
      </w:pPr>
      <w:r>
        <w:rPr>
          <w:color w:val="000000"/>
          <w:spacing w:val="0"/>
          <w:w w:val="100"/>
          <w:position w:val="0"/>
        </w:rPr>
        <w:t>组合中，采用账龄分析法计提坏账准备的其他应收款</w:t>
      </w:r>
    </w:p>
    <w:p>
      <w:pPr>
        <w:pStyle w:val="Style27"/>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8818"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277"/>
        <w:gridCol w:w="1790"/>
        <w:gridCol w:w="662"/>
        <w:gridCol w:w="1594"/>
        <w:gridCol w:w="1862"/>
        <w:gridCol w:w="667"/>
        <w:gridCol w:w="1733"/>
      </w:tblGrid>
      <w:tr>
        <w:trPr>
          <w:trHeight w:val="408"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账龄</w:t>
            </w:r>
          </w:p>
        </w:tc>
        <w:tc>
          <w:tcPr>
            <w:gridSpan w:val="3"/>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c>
          <w:tcPr>
            <w:gridSpan w:val="3"/>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vMerge w:val="restart"/>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7,981,369.53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74.73%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399,068.48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7,059,582.69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352,979.14</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1,364,355.69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136,435.57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674,397.96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7.81%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67,439.80</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521,401.05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4.88%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156,420.32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408,307.24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4.73%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122,492.17</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394,533.24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3.69%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197,266.62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399,789.32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4.63%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199,894.66</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324,811.82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259,849.46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74,872.00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0.87%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59,897.60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94,103.86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0.88%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94,103.86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19,231.86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19,231.86</w:t>
            </w:r>
          </w:p>
        </w:tc>
      </w:tr>
      <w:tr>
        <w:trPr>
          <w:trHeight w:val="40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10,680,575.19</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1,243,144.31</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8,636,181.07</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821,935.23</w:t>
            </w:r>
          </w:p>
        </w:tc>
      </w:tr>
    </w:tbl>
    <w:p>
      <w:pPr>
        <w:widowControl w:val="0"/>
        <w:spacing w:after="13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组合中，采用余额百分比法计提坏账准备的其他应收款</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组合中，采用其他方法计提坏账准备的其他应收款</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期末单项金额虽不重大但单项计提坏账准备的其他应收款</w:t>
      </w:r>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tabs>
          <w:tab w:pos="493" w:val="left"/>
        </w:tabs>
        <w:bidi w:val="0"/>
        <w:spacing w:before="0" w:after="380" w:line="240" w:lineRule="auto"/>
        <w:ind w:left="0" w:right="0" w:firstLine="0"/>
        <w:jc w:val="left"/>
      </w:pPr>
      <w:bookmarkStart w:id="1289" w:name="bookmark1289"/>
      <w:bookmarkStart w:id="1290" w:name="bookmark1290"/>
      <w:bookmarkStart w:id="1291" w:name="bookmark1291"/>
      <w:bookmarkStart w:id="1292" w:name="bookmark1292"/>
      <w:r>
        <w:rPr>
          <w:color w:val="000000"/>
          <w:spacing w:val="0"/>
          <w:w w:val="100"/>
          <w:position w:val="0"/>
        </w:rPr>
        <w:t>（</w:t>
      </w:r>
      <w:bookmarkEnd w:id="1291"/>
      <w:r>
        <w:rPr>
          <w:rFonts w:ascii="Times New Roman" w:eastAsia="Times New Roman" w:hAnsi="Times New Roman" w:cs="Times New Roman"/>
          <w:color w:val="000000"/>
          <w:spacing w:val="0"/>
          <w:w w:val="100"/>
          <w:position w:val="0"/>
        </w:rPr>
        <w:t>2</w:t>
      </w:r>
      <w:r>
        <w:rPr>
          <w:color w:val="000000"/>
          <w:spacing w:val="0"/>
          <w:w w:val="100"/>
          <w:position w:val="0"/>
        </w:rPr>
        <w:t>）</w:t>
        <w:tab/>
        <w:t>本报告期转回或收回的其他应收款情况</w:t>
      </w:r>
      <w:bookmarkEnd w:id="1289"/>
      <w:bookmarkEnd w:id="1290"/>
      <w:bookmarkEnd w:id="1292"/>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8"/>
        <w:keepNext/>
        <w:keepLines/>
        <w:widowControl w:val="0"/>
        <w:shd w:val="clear" w:color="auto" w:fill="auto"/>
        <w:tabs>
          <w:tab w:pos="493" w:val="left"/>
        </w:tabs>
        <w:bidi w:val="0"/>
        <w:spacing w:before="0" w:after="380" w:line="240" w:lineRule="auto"/>
        <w:ind w:left="0" w:right="0" w:firstLine="0"/>
        <w:jc w:val="left"/>
      </w:pPr>
      <w:bookmarkStart w:id="1293" w:name="bookmark1293"/>
      <w:bookmarkStart w:id="1294" w:name="bookmark1294"/>
      <w:bookmarkStart w:id="1295" w:name="bookmark1295"/>
      <w:bookmarkStart w:id="1296" w:name="bookmark1296"/>
      <w:r>
        <w:rPr>
          <w:color w:val="000000"/>
          <w:spacing w:val="0"/>
          <w:w w:val="100"/>
          <w:position w:val="0"/>
        </w:rPr>
        <w:t>（</w:t>
      </w:r>
      <w:bookmarkEnd w:id="1295"/>
      <w:r>
        <w:rPr>
          <w:rFonts w:ascii="Times New Roman" w:eastAsia="Times New Roman" w:hAnsi="Times New Roman" w:cs="Times New Roman"/>
          <w:color w:val="000000"/>
          <w:spacing w:val="0"/>
          <w:w w:val="100"/>
          <w:position w:val="0"/>
        </w:rPr>
        <w:t>3</w:t>
      </w:r>
      <w:r>
        <w:rPr>
          <w:color w:val="000000"/>
          <w:spacing w:val="0"/>
          <w:w w:val="100"/>
          <w:position w:val="0"/>
        </w:rPr>
        <w:t>）</w:t>
        <w:tab/>
        <w:t>本报告期实际核销的其他应收款情况</w:t>
      </w:r>
      <w:bookmarkEnd w:id="1293"/>
      <w:bookmarkEnd w:id="1294"/>
      <w:bookmarkEnd w:id="1296"/>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8"/>
        <w:keepNext/>
        <w:keepLines/>
        <w:widowControl w:val="0"/>
        <w:shd w:val="clear" w:color="auto" w:fill="auto"/>
        <w:bidi w:val="0"/>
        <w:spacing w:before="0" w:after="380" w:line="240" w:lineRule="auto"/>
        <w:ind w:left="0" w:right="0" w:firstLine="0"/>
        <w:jc w:val="left"/>
      </w:pPr>
      <w:bookmarkStart w:id="1297" w:name="bookmark1297"/>
      <w:bookmarkStart w:id="1298" w:name="bookmark1298"/>
      <w:bookmarkStart w:id="1299" w:name="bookmark1299"/>
      <w:bookmarkStart w:id="1300" w:name="bookmark1300"/>
      <w:r>
        <w:rPr>
          <w:color w:val="000000"/>
          <w:spacing w:val="0"/>
          <w:w w:val="100"/>
          <w:position w:val="0"/>
        </w:rPr>
        <w:t>（</w:t>
      </w:r>
      <w:bookmarkEnd w:id="1299"/>
      <w:r>
        <w:rPr>
          <w:rFonts w:ascii="Times New Roman" w:eastAsia="Times New Roman" w:hAnsi="Times New Roman" w:cs="Times New Roman"/>
          <w:color w:val="000000"/>
          <w:spacing w:val="0"/>
          <w:w w:val="100"/>
          <w:position w:val="0"/>
        </w:rPr>
        <w:t>4</w:t>
      </w:r>
      <w:r>
        <w:rPr>
          <w:color w:val="000000"/>
          <w:spacing w:val="0"/>
          <w:w w:val="100"/>
          <w:position w:val="0"/>
        </w:rPr>
        <w:t>） 本报告期其他应收款中持有公司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297"/>
      <w:bookmarkEnd w:id="1298"/>
      <w:bookmarkEnd w:id="1300"/>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r>
        <w:br w:type="page"/>
      </w:r>
    </w:p>
    <w:p>
      <w:pPr>
        <w:pStyle w:val="Style38"/>
        <w:keepNext/>
        <w:keepLines/>
        <w:widowControl w:val="0"/>
        <w:numPr>
          <w:ilvl w:val="0"/>
          <w:numId w:val="27"/>
        </w:numPr>
        <w:shd w:val="clear" w:color="auto" w:fill="auto"/>
        <w:bidi w:val="0"/>
        <w:spacing w:before="0" w:after="200" w:line="240" w:lineRule="auto"/>
        <w:ind w:left="0" w:right="0" w:firstLine="140"/>
        <w:jc w:val="left"/>
      </w:pPr>
      <w:bookmarkStart w:id="1301" w:name="bookmark1301"/>
      <w:bookmarkStart w:id="1302" w:name="bookmark1302"/>
      <w:bookmarkStart w:id="1303" w:name="bookmark1303"/>
      <w:bookmarkStart w:id="1304" w:name="bookmark1304"/>
      <w:bookmarkEnd w:id="1303"/>
      <w:r>
        <w:rPr>
          <w:color w:val="000000"/>
          <w:spacing w:val="0"/>
          <w:w w:val="100"/>
          <w:position w:val="0"/>
        </w:rPr>
        <w:t>金额较大的其他应收款的性质或内容</w:t>
      </w:r>
      <w:bookmarkEnd w:id="1301"/>
      <w:bookmarkEnd w:id="1302"/>
      <w:bookmarkEnd w:id="1304"/>
    </w:p>
    <w:p>
      <w:pPr>
        <w:pStyle w:val="Style27"/>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3130"/>
        <w:gridCol w:w="1982"/>
        <w:gridCol w:w="1915"/>
        <w:gridCol w:w="2486"/>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款项的性质或内容</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占其他应收款总额的比例</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广东省政府采购中心</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222,953.00</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投标保证金</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w:t>
            </w:r>
          </w:p>
        </w:tc>
      </w:tr>
      <w:tr>
        <w:trPr>
          <w:trHeight w:val="710"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中国南方电网有限责任公司招标服务中 心</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220,000.00</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投标保证金</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中国平安财产保险股份有限公司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219,533.24</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保险赔款</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北京中关村软件园发展有限责任公司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202,569.53</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押金</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广州白云工商高级技工学校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195,050.00</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履约保证金</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w:t>
            </w:r>
          </w:p>
        </w:tc>
      </w:tr>
      <w:tr>
        <w:trPr>
          <w:trHeight w:val="40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1,060,105.77</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w:t>
            </w:r>
          </w:p>
        </w:tc>
      </w:tr>
    </w:tbl>
    <w:p>
      <w:pPr>
        <w:widowControl w:val="0"/>
        <w:spacing w:after="679" w:line="1" w:lineRule="exact"/>
      </w:pPr>
    </w:p>
    <w:p>
      <w:pPr>
        <w:pStyle w:val="Style38"/>
        <w:keepNext/>
        <w:keepLines/>
        <w:widowControl w:val="0"/>
        <w:numPr>
          <w:ilvl w:val="0"/>
          <w:numId w:val="27"/>
        </w:numPr>
        <w:shd w:val="clear" w:color="auto" w:fill="auto"/>
        <w:bidi w:val="0"/>
        <w:spacing w:before="0" w:after="200" w:line="240" w:lineRule="auto"/>
        <w:ind w:left="0" w:right="0" w:firstLine="140"/>
        <w:jc w:val="left"/>
      </w:pPr>
      <w:bookmarkStart w:id="1305" w:name="bookmark1305"/>
      <w:bookmarkStart w:id="1306" w:name="bookmark1306"/>
      <w:bookmarkStart w:id="1307" w:name="bookmark1307"/>
      <w:bookmarkStart w:id="1308" w:name="bookmark1308"/>
      <w:bookmarkEnd w:id="1307"/>
      <w:r>
        <w:rPr>
          <w:color w:val="000000"/>
          <w:spacing w:val="0"/>
          <w:w w:val="100"/>
          <w:position w:val="0"/>
        </w:rPr>
        <w:t>其他应收款金额前五名单位情况</w:t>
      </w:r>
      <w:bookmarkEnd w:id="1305"/>
      <w:bookmarkEnd w:id="1306"/>
      <w:bookmarkEnd w:id="1308"/>
    </w:p>
    <w:p>
      <w:pPr>
        <w:pStyle w:val="Style27"/>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1925"/>
        <w:gridCol w:w="1910"/>
        <w:gridCol w:w="1915"/>
        <w:gridCol w:w="1627"/>
        <w:gridCol w:w="2141"/>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与本公司关系</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年限</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占其他应收款总额的比例</w:t>
            </w:r>
          </w:p>
        </w:tc>
      </w:tr>
      <w:tr>
        <w:trPr>
          <w:trHeight w:val="715"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广州市信息工程招投标 中心</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中介机构</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1,307,641.00</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12.24%</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中国民航大学</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客户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549,942.60</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5.15%</w:t>
            </w:r>
          </w:p>
        </w:tc>
      </w:tr>
      <w:tr>
        <w:trPr>
          <w:trHeight w:val="715"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蓝盾信息安全技术有限 公司</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468,425.35</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4.39%</w:t>
            </w:r>
          </w:p>
        </w:tc>
      </w:tr>
      <w:tr>
        <w:trPr>
          <w:trHeight w:val="398"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广东省计量科学研究院</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客户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415,542.50</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3.89%</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潮州市政府采购中心</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客户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346,000.00</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3.24%</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3,087,551.45</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28.91%</w:t>
            </w:r>
          </w:p>
        </w:tc>
      </w:tr>
    </w:tbl>
    <w:p>
      <w:pPr>
        <w:widowControl w:val="0"/>
        <w:spacing w:after="319" w:line="1" w:lineRule="exact"/>
      </w:pPr>
    </w:p>
    <w:p>
      <w:pPr>
        <w:pStyle w:val="Style38"/>
        <w:keepNext/>
        <w:keepLines/>
        <w:widowControl w:val="0"/>
        <w:numPr>
          <w:ilvl w:val="0"/>
          <w:numId w:val="27"/>
        </w:numPr>
        <w:shd w:val="clear" w:color="auto" w:fill="auto"/>
        <w:bidi w:val="0"/>
        <w:spacing w:before="0" w:after="380" w:line="240" w:lineRule="auto"/>
        <w:ind w:left="0" w:right="0" w:firstLine="140"/>
        <w:jc w:val="left"/>
      </w:pPr>
      <w:bookmarkStart w:id="1309" w:name="bookmark1309"/>
      <w:bookmarkStart w:id="1310" w:name="bookmark1310"/>
      <w:bookmarkStart w:id="1311" w:name="bookmark1311"/>
      <w:bookmarkStart w:id="1312" w:name="bookmark1312"/>
      <w:bookmarkEnd w:id="1311"/>
      <w:r>
        <w:rPr>
          <w:color w:val="000000"/>
          <w:spacing w:val="0"/>
          <w:w w:val="100"/>
          <w:position w:val="0"/>
        </w:rPr>
        <w:t>其他应收关联方账款情况</w:t>
      </w:r>
      <w:bookmarkEnd w:id="1309"/>
      <w:bookmarkEnd w:id="1310"/>
      <w:bookmarkEnd w:id="1312"/>
    </w:p>
    <w:p>
      <w:pPr>
        <w:pStyle w:val="Style31"/>
        <w:keepNext w:val="0"/>
        <w:keepLines w:val="0"/>
        <w:widowControl w:val="0"/>
        <w:shd w:val="clear" w:color="auto" w:fill="auto"/>
        <w:bidi w:val="0"/>
        <w:spacing w:before="0" w:after="0" w:line="240" w:lineRule="auto"/>
        <w:ind w:left="8818"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2285"/>
        <w:gridCol w:w="2429"/>
        <w:gridCol w:w="2434"/>
        <w:gridCol w:w="2438"/>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与本公司关系</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占其他应收款总额的比例</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蓝盾信息安全技术有限公司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468,425.35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468,425.35</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w:t>
            </w:r>
          </w:p>
        </w:tc>
      </w:tr>
    </w:tbl>
    <w:p>
      <w:pPr>
        <w:widowControl w:val="0"/>
        <w:spacing w:after="319" w:line="1" w:lineRule="exact"/>
      </w:pPr>
    </w:p>
    <w:p>
      <w:pPr>
        <w:pStyle w:val="Style38"/>
        <w:keepNext/>
        <w:keepLines/>
        <w:widowControl w:val="0"/>
        <w:shd w:val="clear" w:color="auto" w:fill="auto"/>
        <w:bidi w:val="0"/>
        <w:spacing w:before="0" w:after="260" w:line="240" w:lineRule="auto"/>
        <w:ind w:left="0" w:right="0" w:firstLine="0"/>
        <w:jc w:val="left"/>
      </w:pPr>
      <w:bookmarkStart w:id="1313" w:name="bookmark1313"/>
      <w:bookmarkStart w:id="1314" w:name="bookmark1314"/>
      <w:bookmarkStart w:id="1315" w:name="bookmark1315"/>
      <w:bookmarkStart w:id="1316" w:name="bookmark1316"/>
      <w:r>
        <w:rPr>
          <w:color w:val="000000"/>
          <w:spacing w:val="0"/>
          <w:w w:val="100"/>
          <w:position w:val="0"/>
        </w:rPr>
        <w:t>(</w:t>
      </w:r>
      <w:bookmarkEnd w:id="1315"/>
      <w:r>
        <w:rPr>
          <w:rFonts w:ascii="Times New Roman" w:eastAsia="Times New Roman" w:hAnsi="Times New Roman" w:cs="Times New Roman"/>
          <w:color w:val="000000"/>
          <w:spacing w:val="0"/>
          <w:w w:val="100"/>
          <w:position w:val="0"/>
        </w:rPr>
        <w:t>8</w:t>
      </w:r>
      <w:r>
        <w:rPr>
          <w:color w:val="000000"/>
          <w:spacing w:val="0"/>
          <w:w w:val="100"/>
          <w:position w:val="0"/>
        </w:rPr>
        <w:t>)</w:t>
      </w:r>
      <w:bookmarkEnd w:id="1313"/>
      <w:bookmarkEnd w:id="1314"/>
      <w:bookmarkEnd w:id="1316"/>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不符合终止确认条件的其他应收款项的转移金额为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8"/>
        <w:keepNext/>
        <w:keepLines/>
        <w:widowControl w:val="0"/>
        <w:numPr>
          <w:ilvl w:val="0"/>
          <w:numId w:val="27"/>
        </w:numPr>
        <w:shd w:val="clear" w:color="auto" w:fill="auto"/>
        <w:tabs>
          <w:tab w:pos="493" w:val="left"/>
        </w:tabs>
        <w:bidi w:val="0"/>
        <w:spacing w:before="0" w:after="200" w:line="240" w:lineRule="auto"/>
        <w:ind w:left="0" w:right="0" w:firstLine="0"/>
        <w:jc w:val="left"/>
      </w:pPr>
      <w:bookmarkStart w:id="1317" w:name="bookmark1317"/>
      <w:bookmarkStart w:id="1318" w:name="bookmark1318"/>
      <w:bookmarkStart w:id="1319" w:name="bookmark1319"/>
      <w:bookmarkStart w:id="1320" w:name="bookmark1320"/>
      <w:bookmarkEnd w:id="1319"/>
      <w:r>
        <w:rPr>
          <w:color w:val="000000"/>
          <w:spacing w:val="0"/>
          <w:w w:val="100"/>
          <w:position w:val="0"/>
        </w:rPr>
        <w:t>以其他应收款项为标的资产进行资产证券化的，需简要说明相关交易安排</w:t>
      </w:r>
      <w:bookmarkEnd w:id="1317"/>
      <w:bookmarkEnd w:id="1318"/>
      <w:bookmarkEnd w:id="1320"/>
    </w:p>
    <w:p>
      <w:pPr>
        <w:pStyle w:val="Style27"/>
        <w:keepNext w:val="0"/>
        <w:keepLines w:val="0"/>
        <w:widowControl w:val="0"/>
        <w:shd w:val="clear" w:color="auto" w:fill="auto"/>
        <w:bidi w:val="0"/>
        <w:spacing w:before="0" w:after="300" w:line="240" w:lineRule="auto"/>
        <w:ind w:left="0" w:right="0" w:firstLine="0"/>
        <w:jc w:val="left"/>
        <w:sectPr>
          <w:headerReference w:type="default" r:id="rId525"/>
          <w:footerReference w:type="default" r:id="rId526"/>
          <w:footnotePr>
            <w:pos w:val="pageBottom"/>
            <w:numFmt w:val="decimal"/>
            <w:numRestart w:val="continuous"/>
          </w:footnotePr>
          <w:pgSz w:w="11900" w:h="16840"/>
          <w:pgMar w:top="1244" w:right="809" w:bottom="1484" w:left="957" w:header="0" w:footer="3" w:gutter="0"/>
          <w:cols w:space="720"/>
          <w:noEndnote/>
          <w:rtlGutter w:val="0"/>
          <w:docGrid w:linePitch="360"/>
        </w:sectPr>
      </w:pPr>
      <w:r>
        <w:rPr>
          <w:color w:val="000000"/>
          <w:spacing w:val="0"/>
          <w:w w:val="100"/>
          <w:position w:val="0"/>
        </w:rPr>
        <w:t>无。</w:t>
      </w:r>
    </w:p>
    <w:p>
      <w:pPr>
        <w:pStyle w:val="Style38"/>
        <w:keepNext/>
        <w:keepLines/>
        <w:widowControl w:val="0"/>
        <w:shd w:val="clear" w:color="auto" w:fill="auto"/>
        <w:bidi w:val="0"/>
        <w:spacing w:before="0" w:after="360" w:line="240" w:lineRule="auto"/>
        <w:ind w:left="0" w:right="0" w:firstLine="0"/>
        <w:jc w:val="left"/>
      </w:pPr>
      <w:bookmarkStart w:id="1321" w:name="bookmark1321"/>
      <w:bookmarkStart w:id="1322" w:name="bookmark1322"/>
      <w:bookmarkStart w:id="1323" w:name="bookmark1323"/>
      <w:bookmarkStart w:id="1324" w:name="bookmark1324"/>
      <w:r>
        <w:rPr>
          <w:rFonts w:ascii="Times New Roman" w:eastAsia="Times New Roman" w:hAnsi="Times New Roman" w:cs="Times New Roman"/>
          <w:color w:val="000000"/>
          <w:spacing w:val="0"/>
          <w:w w:val="100"/>
          <w:position w:val="0"/>
        </w:rPr>
        <w:t>3</w:t>
      </w:r>
      <w:bookmarkEnd w:id="1323"/>
      <w:r>
        <w:rPr>
          <w:color w:val="000000"/>
          <w:spacing w:val="0"/>
          <w:w w:val="100"/>
          <w:position w:val="0"/>
        </w:rPr>
        <w:t>、长期股权投资</w:t>
      </w:r>
      <w:bookmarkEnd w:id="1321"/>
      <w:bookmarkEnd w:id="1322"/>
      <w:bookmarkEnd w:id="1324"/>
    </w:p>
    <w:p>
      <w:pPr>
        <w:pStyle w:val="Style31"/>
        <w:keepNext w:val="0"/>
        <w:keepLines w:val="0"/>
        <w:widowControl w:val="0"/>
        <w:shd w:val="clear" w:color="auto" w:fill="auto"/>
        <w:bidi w:val="0"/>
        <w:spacing w:before="0" w:after="0" w:line="240" w:lineRule="auto"/>
        <w:ind w:left="13042"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709"/>
        <w:gridCol w:w="994"/>
        <w:gridCol w:w="1560"/>
        <w:gridCol w:w="1416"/>
        <w:gridCol w:w="1416"/>
        <w:gridCol w:w="1560"/>
        <w:gridCol w:w="797"/>
        <w:gridCol w:w="902"/>
        <w:gridCol w:w="1277"/>
        <w:gridCol w:w="797"/>
        <w:gridCol w:w="1046"/>
        <w:gridCol w:w="806"/>
      </w:tblGrid>
      <w:tr>
        <w:trPr>
          <w:trHeight w:val="1344"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被投资单位</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核算方法</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投资成本</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增减变动</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在被投资 单位持股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7"/>
                <w:szCs w:val="17"/>
              </w:rPr>
              <w:t>在被投资 单位表决 权比例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在被投资单位 持股比例与表 决权比例不一 致的说明</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本期计提减 值准备</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本期现金 红利</w:t>
            </w:r>
          </w:p>
        </w:tc>
      </w:tr>
      <w:tr>
        <w:trPr>
          <w:trHeight w:val="715"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蓝盾信息安全技术有</w:t>
            </w:r>
          </w:p>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限公司</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成本法</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110,000,000.00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110,000,000.00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广东省蓝盾职业培训 学院</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成本法</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广东蓝盾乐庚信息技</w:t>
            </w:r>
          </w:p>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术有限公司</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成本法</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126,000,000.00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69,000,000.00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57,000,000.00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126,000,000.00</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r>
    </w:tbl>
    <w:p>
      <w:pPr>
        <w:sectPr>
          <w:headerReference w:type="default" r:id="rId527"/>
          <w:footerReference w:type="default" r:id="rId528"/>
          <w:footnotePr>
            <w:pos w:val="pageBottom"/>
            <w:numFmt w:val="decimal"/>
            <w:numRestart w:val="continuous"/>
          </w:footnotePr>
          <w:pgSz w:w="16840" w:h="11900" w:orient="landscape"/>
          <w:pgMar w:top="1158" w:right="1129" w:bottom="1158" w:left="1431" w:header="0" w:footer="3" w:gutter="0"/>
          <w:cols w:space="720"/>
          <w:noEndnote/>
          <w:rtlGutter w:val="0"/>
          <w:docGrid w:linePitch="360"/>
        </w:sectPr>
      </w:pPr>
    </w:p>
    <w:p>
      <w:pPr>
        <w:pStyle w:val="Style38"/>
        <w:keepNext/>
        <w:keepLines/>
        <w:widowControl w:val="0"/>
        <w:shd w:val="clear" w:color="auto" w:fill="auto"/>
        <w:bidi w:val="0"/>
        <w:spacing w:before="0" w:after="380" w:line="240" w:lineRule="auto"/>
        <w:ind w:left="0" w:right="0" w:firstLine="0"/>
        <w:jc w:val="both"/>
      </w:pPr>
      <w:bookmarkStart w:id="1325" w:name="bookmark1325"/>
      <w:bookmarkStart w:id="1326" w:name="bookmark1326"/>
      <w:bookmarkStart w:id="1327" w:name="bookmark1327"/>
      <w:bookmarkStart w:id="1328" w:name="bookmark1328"/>
      <w:r>
        <w:rPr>
          <w:rFonts w:ascii="Times New Roman" w:eastAsia="Times New Roman" w:hAnsi="Times New Roman" w:cs="Times New Roman"/>
          <w:color w:val="000000"/>
          <w:spacing w:val="0"/>
          <w:w w:val="100"/>
          <w:position w:val="0"/>
        </w:rPr>
        <w:t>4</w:t>
      </w:r>
      <w:bookmarkEnd w:id="1327"/>
      <w:r>
        <w:rPr>
          <w:color w:val="000000"/>
          <w:spacing w:val="0"/>
          <w:w w:val="100"/>
          <w:position w:val="0"/>
        </w:rPr>
        <w:t>、营业收入和营业成本</w:t>
      </w:r>
      <w:bookmarkEnd w:id="1325"/>
      <w:bookmarkEnd w:id="1326"/>
      <w:bookmarkEnd w:id="1328"/>
    </w:p>
    <w:p>
      <w:pPr>
        <w:pStyle w:val="Style38"/>
        <w:keepNext/>
        <w:keepLines/>
        <w:widowControl w:val="0"/>
        <w:shd w:val="clear" w:color="auto" w:fill="auto"/>
        <w:bidi w:val="0"/>
        <w:spacing w:before="0" w:after="380" w:line="240" w:lineRule="auto"/>
        <w:ind w:left="0" w:right="0" w:firstLine="0"/>
        <w:jc w:val="both"/>
      </w:pPr>
      <w:bookmarkStart w:id="1325" w:name="bookmark1325"/>
      <w:bookmarkStart w:id="1326" w:name="bookmark1326"/>
      <w:bookmarkStart w:id="1329" w:name="bookmark132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)营业收入</w:t>
      </w:r>
      <w:bookmarkEnd w:id="1325"/>
      <w:bookmarkEnd w:id="1326"/>
      <w:bookmarkEnd w:id="1329"/>
    </w:p>
    <w:p>
      <w:pPr>
        <w:pStyle w:val="Style3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534"/>
        <w:gridCol w:w="3456"/>
        <w:gridCol w:w="3595"/>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主营业务收入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352,618,919.03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420" w:right="0" w:firstLine="0"/>
              <w:jc w:val="left"/>
              <w:rPr>
                <w:sz w:val="18"/>
                <w:szCs w:val="18"/>
              </w:rPr>
            </w:pPr>
            <w:r>
              <w:rPr>
                <w:rFonts w:ascii="Times New Roman" w:eastAsia="Times New Roman" w:hAnsi="Times New Roman" w:cs="Times New Roman"/>
                <w:color w:val="000000"/>
                <w:spacing w:val="0"/>
                <w:w w:val="100"/>
                <w:position w:val="0"/>
                <w:sz w:val="18"/>
                <w:szCs w:val="18"/>
              </w:rPr>
              <w:t>321,095,073.73</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352,618,919.03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420" w:right="0" w:firstLine="0"/>
              <w:jc w:val="left"/>
              <w:rPr>
                <w:sz w:val="18"/>
                <w:szCs w:val="18"/>
              </w:rPr>
            </w:pPr>
            <w:r>
              <w:rPr>
                <w:rFonts w:ascii="Times New Roman" w:eastAsia="Times New Roman" w:hAnsi="Times New Roman" w:cs="Times New Roman"/>
                <w:color w:val="000000"/>
                <w:spacing w:val="0"/>
                <w:w w:val="100"/>
                <w:position w:val="0"/>
                <w:sz w:val="18"/>
                <w:szCs w:val="18"/>
              </w:rPr>
              <w:t>321,095,073.73</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营业成本</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232,508,060.04</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420" w:right="0" w:firstLine="0"/>
              <w:jc w:val="left"/>
              <w:rPr>
                <w:sz w:val="18"/>
                <w:szCs w:val="18"/>
              </w:rPr>
            </w:pPr>
            <w:r>
              <w:rPr>
                <w:rFonts w:ascii="Times New Roman" w:eastAsia="Times New Roman" w:hAnsi="Times New Roman" w:cs="Times New Roman"/>
                <w:color w:val="000000"/>
                <w:spacing w:val="0"/>
                <w:w w:val="100"/>
                <w:position w:val="0"/>
                <w:sz w:val="18"/>
                <w:szCs w:val="18"/>
              </w:rPr>
              <w:t>176,251,701.06</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330" w:name="bookmark1330"/>
      <w:bookmarkStart w:id="1331" w:name="bookmark1331"/>
      <w:bookmarkStart w:id="1332" w:name="bookmark1332"/>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bookmarkEnd w:id="1330"/>
      <w:bookmarkEnd w:id="1331"/>
      <w:bookmarkEnd w:id="1332"/>
    </w:p>
    <w:p>
      <w:pPr>
        <w:pStyle w:val="Style3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270"/>
        <w:gridCol w:w="1862"/>
        <w:gridCol w:w="1858"/>
        <w:gridCol w:w="1862"/>
        <w:gridCol w:w="1733"/>
      </w:tblGrid>
      <w:tr>
        <w:trPr>
          <w:trHeight w:val="408"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行业名称</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营业收入</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营业成本</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政府机关</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176,799,896.31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126,791,211.52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169,488,142.02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102,081,351.68</w:t>
            </w:r>
          </w:p>
        </w:tc>
      </w:tr>
      <w:tr>
        <w:trPr>
          <w:trHeight w:val="398"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系统集成商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95,710,327.92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51,073,708.40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90,495,434.06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37,853,859.79</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教育机构</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25,198,117.10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19,544,626.36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31,431,059.75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19,289,832.08</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制造贸易</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29,807,254.03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20,016,470.06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7,896,489.86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4,694,221.78</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电信业</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13,125,598.11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6,305,782.78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13,218,129.08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8,354,657.09</w:t>
            </w:r>
          </w:p>
        </w:tc>
      </w:tr>
      <w:tr>
        <w:trPr>
          <w:trHeight w:val="398"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11,977,725.56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8,776,260.92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8,565,818.96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3,977,778.64</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352,618,919.03</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232,508,060.04</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321,095,073.73</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176,251,701.06</w:t>
            </w:r>
          </w:p>
        </w:tc>
      </w:tr>
    </w:tbl>
    <w:p>
      <w:pPr>
        <w:widowControl w:val="0"/>
        <w:spacing w:after="319" w:line="1" w:lineRule="exact"/>
      </w:pPr>
    </w:p>
    <w:p>
      <w:pPr>
        <w:pStyle w:val="Style38"/>
        <w:keepNext/>
        <w:keepLines/>
        <w:widowControl w:val="0"/>
        <w:numPr>
          <w:ilvl w:val="0"/>
          <w:numId w:val="29"/>
        </w:numPr>
        <w:shd w:val="clear" w:color="auto" w:fill="auto"/>
        <w:bidi w:val="0"/>
        <w:spacing w:before="0" w:after="380" w:line="240" w:lineRule="auto"/>
        <w:ind w:left="0" w:right="0" w:firstLine="0"/>
        <w:jc w:val="left"/>
      </w:pPr>
      <w:bookmarkStart w:id="1333" w:name="bookmark1333"/>
      <w:bookmarkStart w:id="1334" w:name="bookmark1334"/>
      <w:bookmarkStart w:id="1335" w:name="bookmark1335"/>
      <w:bookmarkStart w:id="1336" w:name="bookmark1336"/>
      <w:bookmarkEnd w:id="1335"/>
      <w:r>
        <w:rPr>
          <w:color w:val="000000"/>
          <w:spacing w:val="0"/>
          <w:w w:val="100"/>
          <w:position w:val="0"/>
        </w:rPr>
        <w:t>主营业务(分产品)</w:t>
      </w:r>
      <w:bookmarkEnd w:id="1333"/>
      <w:bookmarkEnd w:id="1334"/>
      <w:bookmarkEnd w:id="1336"/>
    </w:p>
    <w:p>
      <w:pPr>
        <w:pStyle w:val="Style3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2270"/>
        <w:gridCol w:w="1862"/>
        <w:gridCol w:w="1858"/>
        <w:gridCol w:w="1862"/>
        <w:gridCol w:w="1733"/>
      </w:tblGrid>
      <w:tr>
        <w:trPr>
          <w:trHeight w:val="403"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产品名称</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营业收入</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营业成本</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安全产品</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72,623,396.30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18,642,327.74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78,634,397.68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21,358,917.14</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安全集成</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260,758,843.84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206,316,271.02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221,793,528.06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150,363,432.22</w:t>
            </w:r>
          </w:p>
        </w:tc>
      </w:tr>
      <w:tr>
        <w:trPr>
          <w:trHeight w:val="398"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安全服务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19,236,678.89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7,549,461.28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20,667,147.99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4,529,351.70</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352,618,919.03</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232,508,060.04</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321,095,073.73</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176,251,701.06</w:t>
            </w:r>
          </w:p>
        </w:tc>
      </w:tr>
    </w:tbl>
    <w:p>
      <w:pPr>
        <w:widowControl w:val="0"/>
        <w:spacing w:after="1019" w:line="1" w:lineRule="exact"/>
      </w:pPr>
    </w:p>
    <w:p>
      <w:pPr>
        <w:pStyle w:val="Style38"/>
        <w:keepNext/>
        <w:keepLines/>
        <w:widowControl w:val="0"/>
        <w:numPr>
          <w:ilvl w:val="0"/>
          <w:numId w:val="29"/>
        </w:numPr>
        <w:shd w:val="clear" w:color="auto" w:fill="auto"/>
        <w:bidi w:val="0"/>
        <w:spacing w:before="0" w:after="380" w:line="240" w:lineRule="auto"/>
        <w:ind w:left="0" w:right="0" w:firstLine="0"/>
        <w:jc w:val="left"/>
      </w:pPr>
      <w:bookmarkStart w:id="1337" w:name="bookmark1337"/>
      <w:bookmarkStart w:id="1338" w:name="bookmark1338"/>
      <w:bookmarkStart w:id="1339" w:name="bookmark1339"/>
      <w:bookmarkStart w:id="1340" w:name="bookmark1340"/>
      <w:bookmarkEnd w:id="1339"/>
      <w:r>
        <w:rPr>
          <w:color w:val="000000"/>
          <w:spacing w:val="0"/>
          <w:w w:val="100"/>
          <w:position w:val="0"/>
        </w:rPr>
        <w:t>主营业务(分地区)</w:t>
      </w:r>
      <w:bookmarkEnd w:id="1337"/>
      <w:bookmarkEnd w:id="1338"/>
      <w:bookmarkEnd w:id="1340"/>
    </w:p>
    <w:p>
      <w:pPr>
        <w:pStyle w:val="Style27"/>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270"/>
        <w:gridCol w:w="1862"/>
        <w:gridCol w:w="1858"/>
        <w:gridCol w:w="1862"/>
        <w:gridCol w:w="1733"/>
      </w:tblGrid>
      <w:tr>
        <w:trPr>
          <w:trHeight w:val="403"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地区名称</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营业成本</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341,880.34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122,698.70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149,743.59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34,228.60</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14,234,170.03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10,470,331.69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7,228,394.47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5,114,016.28</w:t>
            </w:r>
          </w:p>
        </w:tc>
      </w:tr>
      <w:tr>
        <w:trPr>
          <w:trHeight w:val="398"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华东</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2,498,609.41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975,621.70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960,520.33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565,901.34</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318,927,057.75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212,082,147.10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292,287,346.90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156,835,447.77</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华中</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6,975,184.61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4,153,635.24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6,445,303.44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4,139,678.15</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9,526,632.27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4,662,943.36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610,589.76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227,171.13</w:t>
            </w:r>
          </w:p>
        </w:tc>
      </w:tr>
      <w:tr>
        <w:trPr>
          <w:trHeight w:val="398"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115,384.62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40,682.25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13,413,175.24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9,335,257.79</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352,618,919.03</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232,508,060.04</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321,095,073.73</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176,251,701.06</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left"/>
      </w:pPr>
      <w:bookmarkStart w:id="1341" w:name="bookmark1341"/>
      <w:bookmarkStart w:id="1342" w:name="bookmark1342"/>
      <w:bookmarkStart w:id="1343" w:name="bookmark1343"/>
      <w:bookmarkStart w:id="1344" w:name="bookmark1344"/>
      <w:r>
        <w:rPr>
          <w:rFonts w:ascii="Times New Roman" w:eastAsia="Times New Roman" w:hAnsi="Times New Roman" w:cs="Times New Roman"/>
          <w:color w:val="000000"/>
          <w:spacing w:val="0"/>
          <w:w w:val="100"/>
          <w:position w:val="0"/>
        </w:rPr>
        <w:t>（</w:t>
      </w:r>
      <w:bookmarkEnd w:id="1343"/>
      <w:r>
        <w:rPr>
          <w:rFonts w:ascii="Times New Roman" w:eastAsia="Times New Roman" w:hAnsi="Times New Roman" w:cs="Times New Roman"/>
          <w:color w:val="000000"/>
          <w:spacing w:val="0"/>
          <w:w w:val="100"/>
          <w:position w:val="0"/>
        </w:rPr>
        <w:t>5</w:t>
      </w:r>
      <w:r>
        <w:rPr>
          <w:color w:val="000000"/>
          <w:spacing w:val="0"/>
          <w:w w:val="100"/>
          <w:position w:val="0"/>
        </w:rPr>
        <w:t>）公司来自前五名客户的营业收入情况</w:t>
      </w:r>
      <w:bookmarkEnd w:id="1341"/>
      <w:bookmarkEnd w:id="1342"/>
      <w:bookmarkEnd w:id="1344"/>
    </w:p>
    <w:p>
      <w:pPr>
        <w:pStyle w:val="Style3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4790"/>
        <w:gridCol w:w="2923"/>
        <w:gridCol w:w="1872"/>
      </w:tblGrid>
      <w:tr>
        <w:trPr>
          <w:trHeight w:val="72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2040" w:right="0" w:firstLine="0"/>
              <w:jc w:val="left"/>
              <w:rPr>
                <w:sz w:val="17"/>
                <w:szCs w:val="17"/>
              </w:rPr>
            </w:pPr>
            <w:r>
              <w:rPr>
                <w:color w:val="000000"/>
                <w:spacing w:val="0"/>
                <w:w w:val="100"/>
                <w:position w:val="0"/>
                <w:sz w:val="17"/>
                <w:szCs w:val="17"/>
              </w:rPr>
              <w:t>客户名称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营业收入总额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7"/>
                <w:szCs w:val="17"/>
              </w:rPr>
              <w:t>占公司全部营业收入的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广州市社会保险基金管理中心</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61,826,893.08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17.54%</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增城市教育局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25,215,391.47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广东兴业国际实业有限公司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17,673,859.76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w:t>
            </w:r>
          </w:p>
        </w:tc>
      </w:tr>
      <w:tr>
        <w:trPr>
          <w:trHeight w:val="403"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广州卫富科技开发有限公司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9,211,922.19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w:t>
            </w:r>
          </w:p>
        </w:tc>
      </w:tr>
      <w:tr>
        <w:trPr>
          <w:trHeight w:val="398" w:hRule="exact"/>
        </w:trPr>
        <w:tc>
          <w:tcPr>
            <w:tcBorders>
              <w:top w:val="single" w:sz="4"/>
              <w:left w:val="single" w:sz="4"/>
            </w:tcBorders>
            <w:shd w:val="clear" w:color="auto" w:fill="CCE8C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迁安市教育局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8,438,897.41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122,366,963.91</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left"/>
      </w:pPr>
      <w:bookmarkStart w:id="1345" w:name="bookmark1345"/>
      <w:bookmarkStart w:id="1346" w:name="bookmark1346"/>
      <w:bookmarkStart w:id="1347" w:name="bookmark1347"/>
      <w:bookmarkStart w:id="1348" w:name="bookmark1348"/>
      <w:r>
        <w:rPr>
          <w:rFonts w:ascii="Times New Roman" w:eastAsia="Times New Roman" w:hAnsi="Times New Roman" w:cs="Times New Roman"/>
          <w:color w:val="000000"/>
          <w:spacing w:val="0"/>
          <w:w w:val="100"/>
          <w:position w:val="0"/>
        </w:rPr>
        <w:t>5</w:t>
      </w:r>
      <w:bookmarkEnd w:id="1347"/>
      <w:r>
        <w:rPr>
          <w:color w:val="000000"/>
          <w:spacing w:val="0"/>
          <w:w w:val="100"/>
          <w:position w:val="0"/>
        </w:rPr>
        <w:t>、现金流量表补充资料</w:t>
      </w:r>
      <w:bookmarkEnd w:id="1345"/>
      <w:bookmarkEnd w:id="1346"/>
      <w:bookmarkEnd w:id="1348"/>
    </w:p>
    <w:p>
      <w:pPr>
        <w:pStyle w:val="Style3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5059"/>
        <w:gridCol w:w="2261"/>
        <w:gridCol w:w="2266"/>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补充资料</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上期金额</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.将净利润调节为经营活动现金流量：</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33,191,059.40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55,310,113.94</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加：资产减值准备</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5,289,227.03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5,804,505.51</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固定资产折旧、油气资产折耗、生产性生物资产折旧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18,693,821.11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8,579,175.15</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3,825,639.06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1,127,879.66</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长期待摊费用摊销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1,113,262.59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283,020.84</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color w:val="000000"/>
                <w:spacing w:val="0"/>
                <w:w w:val="100"/>
                <w:position w:val="0"/>
                <w:sz w:val="17"/>
                <w:szCs w:val="17"/>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2,286,542.54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2,320.55</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7,499,044.78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4,213,811.18</w:t>
            </w:r>
          </w:p>
        </w:tc>
      </w:tr>
      <w:tr>
        <w:trPr>
          <w:trHeight w:val="40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1,268,246.28</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-336,053.47</w:t>
            </w:r>
          </w:p>
        </w:tc>
      </w:tr>
    </w:tbl>
    <w:p>
      <w:pPr>
        <w:spacing w:lineRule="exact" w:line="1"/>
        <w:rPr>
          <w:sz w:val="2"/>
          <w:szCs w:val="2"/>
        </w:rPr>
      </w:pPr>
      <w:r>
        <w:br w:type="page"/>
      </w:r>
    </w:p>
    <w:tbl>
      <w:tblPr>
        <w:tblOverlap w:val="never"/>
        <w:jc w:val="center"/>
        <w:tblLayout w:type="fixed"/>
      </w:tblPr>
      <w:tblGrid>
        <w:gridCol w:w="5059"/>
        <w:gridCol w:w="2261"/>
        <w:gridCol w:w="2266"/>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补充资料</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上期金额</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-1,743,812.31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6,425,900.57</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-52,975,679.71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-77,813,090.67</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34,620,333.28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33,873,734.96</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53,067,684.05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37,471,318.22</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不涉及现金收支的重大投资和筹资活动：</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.现金及现金等价物净变动情况：</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304,463,734.67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386,944,768.60</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减：现金的期初余额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386,944,768.60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168,061,067.18</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-82,481,033.93</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218,883,701.42</w:t>
            </w:r>
          </w:p>
        </w:tc>
      </w:tr>
    </w:tbl>
    <w:p>
      <w:pPr>
        <w:widowControl w:val="0"/>
        <w:spacing w:after="359" w:line="1" w:lineRule="exact"/>
      </w:pPr>
    </w:p>
    <w:p>
      <w:pPr>
        <w:pStyle w:val="Style25"/>
        <w:keepNext/>
        <w:keepLines/>
        <w:widowControl w:val="0"/>
        <w:shd w:val="clear" w:color="auto" w:fill="auto"/>
        <w:bidi w:val="0"/>
        <w:spacing w:before="0" w:after="360" w:line="240" w:lineRule="auto"/>
        <w:ind w:left="0" w:right="0" w:firstLine="0"/>
        <w:jc w:val="left"/>
      </w:pPr>
      <w:bookmarkStart w:id="1349" w:name="bookmark1349"/>
      <w:bookmarkStart w:id="1350" w:name="bookmark1350"/>
      <w:bookmarkStart w:id="1351" w:name="bookmark1351"/>
      <w:r>
        <w:rPr>
          <w:color w:val="000000"/>
          <w:spacing w:val="0"/>
          <w:w w:val="100"/>
          <w:position w:val="0"/>
        </w:rPr>
        <w:t>十四、补充资料</w:t>
      </w:r>
      <w:bookmarkEnd w:id="1349"/>
      <w:bookmarkEnd w:id="1350"/>
      <w:bookmarkEnd w:id="1351"/>
    </w:p>
    <w:p>
      <w:pPr>
        <w:pStyle w:val="Style38"/>
        <w:keepNext/>
        <w:keepLines/>
        <w:widowControl w:val="0"/>
        <w:shd w:val="clear" w:color="auto" w:fill="auto"/>
        <w:bidi w:val="0"/>
        <w:spacing w:before="0" w:after="360" w:line="240" w:lineRule="auto"/>
        <w:ind w:left="0" w:right="0" w:firstLine="0"/>
        <w:jc w:val="left"/>
      </w:pPr>
      <w:bookmarkStart w:id="1352" w:name="bookmark1352"/>
      <w:bookmarkStart w:id="1353" w:name="bookmark1353"/>
      <w:bookmarkStart w:id="1354" w:name="bookmark1354"/>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352"/>
      <w:bookmarkEnd w:id="1353"/>
      <w:bookmarkEnd w:id="1354"/>
    </w:p>
    <w:p>
      <w:pPr>
        <w:pStyle w:val="Style3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4838"/>
        <w:gridCol w:w="2232"/>
        <w:gridCol w:w="2515"/>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说明</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非流动资产处置损益（包括已计提资产减值准备的冲销部分）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-2,363,337.31</w:t>
            </w:r>
          </w:p>
        </w:tc>
        <w:tc>
          <w:tcPr>
            <w:tcBorders>
              <w:top w:val="single" w:sz="4"/>
              <w:left w:val="single" w:sz="4"/>
              <w:right w:val="single" w:sz="4"/>
            </w:tcBorders>
            <w:shd w:val="clear" w:color="auto" w:fill="CCE8C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计入当期损益的政府补助（与企业业务密切相关，按照国家统 一标准定额或定量享受的政府补助除外）</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24,188,000.00</w:t>
            </w:r>
          </w:p>
        </w:tc>
        <w:tc>
          <w:tcPr>
            <w:tcBorders>
              <w:top w:val="single" w:sz="4"/>
              <w:left w:val="single" w:sz="4"/>
              <w:right w:val="single" w:sz="4"/>
            </w:tcBorders>
            <w:shd w:val="clear" w:color="auto" w:fill="CCE8C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-455,343.06</w:t>
            </w:r>
          </w:p>
        </w:tc>
        <w:tc>
          <w:tcPr>
            <w:tcBorders>
              <w:top w:val="single" w:sz="4"/>
              <w:left w:val="single" w:sz="4"/>
              <w:right w:val="single" w:sz="4"/>
            </w:tcBorders>
            <w:shd w:val="clear" w:color="auto" w:fill="CCE8C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2,149,119.34</w:t>
            </w:r>
          </w:p>
        </w:tc>
        <w:tc>
          <w:tcPr>
            <w:tcBorders>
              <w:top w:val="single" w:sz="4"/>
              <w:left w:val="single" w:sz="4"/>
              <w:right w:val="single" w:sz="4"/>
            </w:tcBorders>
            <w:shd w:val="clear" w:color="auto" w:fill="CCE8C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少数股东权益影响额（税后）</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307.30</w:t>
            </w:r>
          </w:p>
        </w:tc>
        <w:tc>
          <w:tcPr>
            <w:tcBorders>
              <w:top w:val="single" w:sz="4"/>
              <w:left w:val="single" w:sz="4"/>
              <w:right w:val="single" w:sz="4"/>
            </w:tcBorders>
            <w:shd w:val="clear" w:color="auto" w:fill="CCE8C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19,219,892.99</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计入当期损益的政府补助为经常性损益项目，应说明逐项披露认定理由。</w:t>
      </w:r>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8"/>
        <w:keepNext/>
        <w:keepLines/>
        <w:widowControl w:val="0"/>
        <w:shd w:val="clear" w:color="auto" w:fill="auto"/>
        <w:bidi w:val="0"/>
        <w:spacing w:before="0" w:after="360" w:line="240" w:lineRule="auto"/>
        <w:ind w:left="0" w:right="0" w:firstLine="0"/>
        <w:jc w:val="left"/>
      </w:pPr>
      <w:bookmarkStart w:id="1355" w:name="bookmark1355"/>
      <w:bookmarkStart w:id="1356" w:name="bookmark1356"/>
      <w:bookmarkStart w:id="1357" w:name="bookmark1357"/>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355"/>
      <w:bookmarkEnd w:id="1356"/>
      <w:bookmarkEnd w:id="1357"/>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557"/>
        <w:gridCol w:w="2165"/>
        <w:gridCol w:w="1920"/>
        <w:gridCol w:w="1944"/>
      </w:tblGrid>
      <w:tr>
        <w:trPr>
          <w:trHeight w:val="408"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报告期利润</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加权平均净资产收益率</w:t>
            </w:r>
          </w:p>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gridSpan w:val="2"/>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基本每股收益</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稀释每股收益</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归属于公司普通股股东的净利润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r>
      <w:tr>
        <w:trPr>
          <w:trHeight w:val="720"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扣除非经常性损益后归属于公司普通股股东 的净利润</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r>
    </w:tbl>
    <w:p>
      <w:pPr>
        <w:spacing w:lineRule="exact" w:line="1"/>
        <w:rPr>
          <w:sz w:val="2"/>
          <w:szCs w:val="2"/>
        </w:rPr>
      </w:pPr>
      <w:r>
        <w:br w:type="page"/>
      </w:r>
    </w:p>
    <w:p>
      <w:pPr>
        <w:pStyle w:val="Style38"/>
        <w:keepNext/>
        <w:keepLines/>
        <w:widowControl w:val="0"/>
        <w:shd w:val="clear" w:color="auto" w:fill="auto"/>
        <w:bidi w:val="0"/>
        <w:spacing w:before="0" w:after="380" w:line="240" w:lineRule="auto"/>
        <w:ind w:left="0" w:right="0" w:firstLine="0"/>
        <w:jc w:val="left"/>
      </w:pPr>
      <w:bookmarkStart w:id="1358" w:name="bookmark1358"/>
      <w:bookmarkStart w:id="1359" w:name="bookmark1359"/>
      <w:bookmarkStart w:id="1360" w:name="bookmark1360"/>
      <w:bookmarkStart w:id="1361" w:name="bookmark1361"/>
      <w:r>
        <w:rPr>
          <w:rFonts w:ascii="Times New Roman" w:eastAsia="Times New Roman" w:hAnsi="Times New Roman" w:cs="Times New Roman"/>
          <w:color w:val="000000"/>
          <w:spacing w:val="0"/>
          <w:w w:val="100"/>
          <w:position w:val="0"/>
        </w:rPr>
        <w:t>3</w:t>
      </w:r>
      <w:bookmarkEnd w:id="1360"/>
      <w:r>
        <w:rPr>
          <w:color w:val="000000"/>
          <w:spacing w:val="0"/>
          <w:w w:val="100"/>
          <w:position w:val="0"/>
        </w:rPr>
        <w:t>、公司主要会计报表项目的异常情况及原因的说明</w:t>
      </w:r>
      <w:bookmarkEnd w:id="1358"/>
      <w:bookmarkEnd w:id="1359"/>
      <w:bookmarkEnd w:id="1361"/>
    </w:p>
    <w:p>
      <w:pPr>
        <w:pStyle w:val="Style3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546"/>
        <w:gridCol w:w="1646"/>
        <w:gridCol w:w="1646"/>
        <w:gridCol w:w="1186"/>
        <w:gridCol w:w="3845"/>
      </w:tblGrid>
      <w:tr>
        <w:trPr>
          <w:trHeight w:val="55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资产负债表项目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30" w:lineRule="exact"/>
              <w:ind w:left="0" w:right="0" w:firstLine="0"/>
              <w:jc w:val="center"/>
              <w:rPr>
                <w:sz w:val="17"/>
                <w:szCs w:val="17"/>
              </w:rPr>
            </w:pPr>
            <w:r>
              <w:rPr>
                <w:b/>
                <w:bCs/>
                <w:color w:val="000000"/>
                <w:spacing w:val="0"/>
                <w:w w:val="100"/>
                <w:position w:val="0"/>
                <w:sz w:val="17"/>
                <w:szCs w:val="17"/>
              </w:rPr>
              <w:t>期末余额（或本期 金额）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30" w:lineRule="exact"/>
              <w:ind w:left="0" w:right="0" w:firstLine="0"/>
              <w:jc w:val="center"/>
              <w:rPr>
                <w:sz w:val="17"/>
                <w:szCs w:val="17"/>
              </w:rPr>
            </w:pPr>
            <w:r>
              <w:rPr>
                <w:b/>
                <w:bCs/>
                <w:color w:val="000000"/>
                <w:spacing w:val="0"/>
                <w:w w:val="100"/>
                <w:position w:val="0"/>
                <w:sz w:val="17"/>
                <w:szCs w:val="17"/>
              </w:rPr>
              <w:t>期初余额（或上期 金额）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变动比率</w:t>
            </w:r>
          </w:p>
          <w:p>
            <w:pPr>
              <w:pStyle w:val="Style8"/>
              <w:keepNext w:val="0"/>
              <w:keepLines w:val="0"/>
              <w:widowControl w:val="0"/>
              <w:shd w:val="clear" w:color="auto" w:fill="auto"/>
              <w:bidi w:val="0"/>
              <w:spacing w:before="0" w:after="0" w:line="240" w:lineRule="auto"/>
              <w:ind w:left="0" w:right="0" w:firstLine="340"/>
              <w:jc w:val="left"/>
              <w:rPr>
                <w:sz w:val="17"/>
                <w:szCs w:val="17"/>
              </w:rPr>
            </w:pPr>
            <w:r>
              <w:rPr>
                <w:b/>
                <w:bCs/>
                <w:color w:val="000000"/>
                <w:spacing w:val="0"/>
                <w:w w:val="100"/>
                <w:position w:val="0"/>
                <w:sz w:val="17"/>
                <w:szCs w:val="17"/>
              </w:rPr>
              <w:t>（</w:t>
            </w:r>
            <w:r>
              <w:rPr>
                <w:rFonts w:ascii="Arial Narrow" w:eastAsia="Arial Narrow" w:hAnsi="Arial Narrow" w:cs="Arial Narrow"/>
                <w:b/>
                <w:bCs/>
                <w:color w:val="000000"/>
                <w:spacing w:val="0"/>
                <w:w w:val="100"/>
                <w:position w:val="0"/>
                <w:sz w:val="18"/>
                <w:szCs w:val="18"/>
              </w:rPr>
              <w:t>%</w:t>
            </w:r>
            <w:r>
              <w:rPr>
                <w:b/>
                <w:bCs/>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变动原因</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both"/>
              <w:rPr>
                <w:sz w:val="18"/>
                <w:szCs w:val="18"/>
              </w:rPr>
            </w:pPr>
            <w:r>
              <w:rPr>
                <w:rFonts w:ascii="Arial Narrow" w:eastAsia="Arial Narrow" w:hAnsi="Arial Narrow" w:cs="Arial Narrow"/>
                <w:color w:val="000000"/>
                <w:spacing w:val="0"/>
                <w:w w:val="100"/>
                <w:position w:val="0"/>
                <w:sz w:val="18"/>
                <w:szCs w:val="18"/>
              </w:rPr>
              <w:t>15,812,663.54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both"/>
              <w:rPr>
                <w:sz w:val="18"/>
                <w:szCs w:val="18"/>
              </w:rPr>
            </w:pPr>
            <w:r>
              <w:rPr>
                <w:rFonts w:ascii="Arial Narrow" w:eastAsia="Arial Narrow" w:hAnsi="Arial Narrow" w:cs="Arial Narrow"/>
                <w:color w:val="000000"/>
                <w:spacing w:val="0"/>
                <w:w w:val="100"/>
                <w:position w:val="0"/>
                <w:sz w:val="18"/>
                <w:szCs w:val="18"/>
              </w:rPr>
              <w:t>2,923,511.54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both"/>
              <w:rPr>
                <w:sz w:val="18"/>
                <w:szCs w:val="18"/>
              </w:rPr>
            </w:pPr>
            <w:r>
              <w:rPr>
                <w:rFonts w:ascii="Arial Narrow" w:eastAsia="Arial Narrow" w:hAnsi="Arial Narrow" w:cs="Arial Narrow"/>
                <w:color w:val="000000"/>
                <w:spacing w:val="0"/>
                <w:w w:val="100"/>
                <w:position w:val="0"/>
                <w:sz w:val="18"/>
                <w:szCs w:val="18"/>
              </w:rPr>
              <w:t>440.88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主要系年末预付产品供应商货款增加</w:t>
            </w:r>
          </w:p>
        </w:tc>
      </w:tr>
      <w:tr>
        <w:trPr>
          <w:trHeight w:val="394"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both"/>
              <w:rPr>
                <w:sz w:val="18"/>
                <w:szCs w:val="18"/>
              </w:rPr>
            </w:pPr>
            <w:r>
              <w:rPr>
                <w:rFonts w:ascii="Arial Narrow" w:eastAsia="Arial Narrow" w:hAnsi="Arial Narrow" w:cs="Arial Narrow"/>
                <w:color w:val="000000"/>
                <w:spacing w:val="0"/>
                <w:w w:val="100"/>
                <w:position w:val="0"/>
                <w:sz w:val="18"/>
                <w:szCs w:val="18"/>
              </w:rPr>
              <w:t>13,089,034.12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both"/>
              <w:rPr>
                <w:sz w:val="18"/>
                <w:szCs w:val="18"/>
              </w:rPr>
            </w:pPr>
            <w:r>
              <w:rPr>
                <w:rFonts w:ascii="Arial Narrow" w:eastAsia="Arial Narrow" w:hAnsi="Arial Narrow" w:cs="Arial Narrow"/>
                <w:color w:val="000000"/>
                <w:spacing w:val="0"/>
                <w:w w:val="100"/>
                <w:position w:val="0"/>
                <w:sz w:val="18"/>
                <w:szCs w:val="18"/>
              </w:rPr>
              <w:t>7,987,464.09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00"/>
              <w:jc w:val="both"/>
              <w:rPr>
                <w:sz w:val="18"/>
                <w:szCs w:val="18"/>
              </w:rPr>
            </w:pPr>
            <w:r>
              <w:rPr>
                <w:rFonts w:ascii="Arial Narrow" w:eastAsia="Arial Narrow" w:hAnsi="Arial Narrow" w:cs="Arial Narrow"/>
                <w:color w:val="000000"/>
                <w:spacing w:val="0"/>
                <w:w w:val="100"/>
                <w:position w:val="0"/>
                <w:sz w:val="18"/>
                <w:szCs w:val="18"/>
              </w:rPr>
              <w:t>63.87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系期末保证金及押金增加</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both"/>
              <w:rPr>
                <w:sz w:val="18"/>
                <w:szCs w:val="18"/>
              </w:rPr>
            </w:pPr>
            <w:r>
              <w:rPr>
                <w:rFonts w:ascii="Arial Narrow" w:eastAsia="Arial Narrow" w:hAnsi="Arial Narrow" w:cs="Arial Narrow"/>
                <w:color w:val="000000"/>
                <w:spacing w:val="0"/>
                <w:w w:val="100"/>
                <w:position w:val="0"/>
                <w:sz w:val="18"/>
                <w:szCs w:val="18"/>
              </w:rPr>
              <w:t>114,319,458.69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both"/>
              <w:rPr>
                <w:sz w:val="18"/>
                <w:szCs w:val="18"/>
              </w:rPr>
            </w:pPr>
            <w:r>
              <w:rPr>
                <w:rFonts w:ascii="Arial Narrow" w:eastAsia="Arial Narrow" w:hAnsi="Arial Narrow" w:cs="Arial Narrow"/>
                <w:color w:val="000000"/>
                <w:spacing w:val="0"/>
                <w:w w:val="100"/>
                <w:position w:val="0"/>
                <w:sz w:val="18"/>
                <w:szCs w:val="18"/>
              </w:rPr>
              <w:t>83,382,822.30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00"/>
              <w:jc w:val="both"/>
              <w:rPr>
                <w:sz w:val="18"/>
                <w:szCs w:val="18"/>
              </w:rPr>
            </w:pPr>
            <w:r>
              <w:rPr>
                <w:rFonts w:ascii="Arial Narrow" w:eastAsia="Arial Narrow" w:hAnsi="Arial Narrow" w:cs="Arial Narrow"/>
                <w:color w:val="000000"/>
                <w:spacing w:val="0"/>
                <w:w w:val="100"/>
                <w:position w:val="0"/>
                <w:sz w:val="18"/>
                <w:szCs w:val="18"/>
              </w:rPr>
              <w:t>37.10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系蓝盾信息安全产业基地建设投入增加</w:t>
            </w:r>
          </w:p>
        </w:tc>
      </w:tr>
      <w:tr>
        <w:trPr>
          <w:trHeight w:val="71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both"/>
              <w:rPr>
                <w:sz w:val="18"/>
                <w:szCs w:val="18"/>
              </w:rPr>
            </w:pPr>
            <w:r>
              <w:rPr>
                <w:rFonts w:ascii="Arial Narrow" w:eastAsia="Arial Narrow" w:hAnsi="Arial Narrow" w:cs="Arial Narrow"/>
                <w:color w:val="000000"/>
                <w:spacing w:val="0"/>
                <w:w w:val="100"/>
                <w:position w:val="0"/>
                <w:sz w:val="18"/>
                <w:szCs w:val="18"/>
              </w:rPr>
              <w:t>61,606,271.02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both"/>
              <w:rPr>
                <w:sz w:val="18"/>
                <w:szCs w:val="18"/>
              </w:rPr>
            </w:pPr>
            <w:r>
              <w:rPr>
                <w:rFonts w:ascii="Arial Narrow" w:eastAsia="Arial Narrow" w:hAnsi="Arial Narrow" w:cs="Arial Narrow"/>
                <w:color w:val="000000"/>
                <w:spacing w:val="0"/>
                <w:w w:val="100"/>
                <w:position w:val="0"/>
                <w:sz w:val="18"/>
                <w:szCs w:val="18"/>
              </w:rPr>
              <w:t>32,954,470.65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00"/>
              <w:jc w:val="both"/>
              <w:rPr>
                <w:sz w:val="18"/>
                <w:szCs w:val="18"/>
              </w:rPr>
            </w:pPr>
            <w:r>
              <w:rPr>
                <w:rFonts w:ascii="Arial Narrow" w:eastAsia="Arial Narrow" w:hAnsi="Arial Narrow" w:cs="Arial Narrow"/>
                <w:color w:val="000000"/>
                <w:spacing w:val="0"/>
                <w:w w:val="100"/>
                <w:position w:val="0"/>
                <w:sz w:val="18"/>
                <w:szCs w:val="18"/>
              </w:rPr>
              <w:t>86.94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主要系研发支出达到预定可使用状态结转无形 资产</w:t>
            </w:r>
          </w:p>
        </w:tc>
      </w:tr>
      <w:tr>
        <w:trPr>
          <w:trHeight w:val="394"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both"/>
              <w:rPr>
                <w:sz w:val="18"/>
                <w:szCs w:val="18"/>
              </w:rPr>
            </w:pPr>
            <w:r>
              <w:rPr>
                <w:rFonts w:ascii="Arial Narrow" w:eastAsia="Arial Narrow" w:hAnsi="Arial Narrow" w:cs="Arial Narrow"/>
                <w:color w:val="000000"/>
                <w:spacing w:val="0"/>
                <w:w w:val="100"/>
                <w:position w:val="0"/>
                <w:sz w:val="18"/>
                <w:szCs w:val="18"/>
              </w:rPr>
              <w:t>36,259,896.11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both"/>
              <w:rPr>
                <w:sz w:val="18"/>
                <w:szCs w:val="18"/>
              </w:rPr>
            </w:pPr>
            <w:r>
              <w:rPr>
                <w:rFonts w:ascii="Arial Narrow" w:eastAsia="Arial Narrow" w:hAnsi="Arial Narrow" w:cs="Arial Narrow"/>
                <w:color w:val="000000"/>
                <w:spacing w:val="0"/>
                <w:w w:val="100"/>
                <w:position w:val="0"/>
                <w:sz w:val="18"/>
                <w:szCs w:val="18"/>
              </w:rPr>
              <w:t>18,125,375.04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rPr>
                <w:sz w:val="18"/>
                <w:szCs w:val="18"/>
              </w:rPr>
            </w:pPr>
            <w:r>
              <w:rPr>
                <w:rFonts w:ascii="Arial Narrow" w:eastAsia="Arial Narrow" w:hAnsi="Arial Narrow" w:cs="Arial Narrow"/>
                <w:color w:val="000000"/>
                <w:spacing w:val="0"/>
                <w:w w:val="100"/>
                <w:position w:val="0"/>
                <w:sz w:val="18"/>
                <w:szCs w:val="18"/>
              </w:rPr>
              <w:t>100.05%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系资本化的研发费用增加</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both"/>
              <w:rPr>
                <w:sz w:val="18"/>
                <w:szCs w:val="18"/>
              </w:rPr>
            </w:pPr>
            <w:r>
              <w:rPr>
                <w:rFonts w:ascii="Arial Narrow" w:eastAsia="Arial Narrow" w:hAnsi="Arial Narrow" w:cs="Arial Narrow"/>
                <w:color w:val="000000"/>
                <w:spacing w:val="0"/>
                <w:w w:val="100"/>
                <w:position w:val="0"/>
                <w:sz w:val="18"/>
                <w:szCs w:val="18"/>
              </w:rPr>
              <w:t>162,900,000.00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both"/>
              <w:rPr>
                <w:sz w:val="18"/>
                <w:szCs w:val="18"/>
              </w:rPr>
            </w:pPr>
            <w:r>
              <w:rPr>
                <w:rFonts w:ascii="Arial Narrow" w:eastAsia="Arial Narrow" w:hAnsi="Arial Narrow" w:cs="Arial Narrow"/>
                <w:color w:val="000000"/>
                <w:spacing w:val="0"/>
                <w:w w:val="100"/>
                <w:position w:val="0"/>
                <w:sz w:val="18"/>
                <w:szCs w:val="18"/>
              </w:rPr>
              <w:t>100,000,000.00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00"/>
              <w:jc w:val="both"/>
              <w:rPr>
                <w:sz w:val="18"/>
                <w:szCs w:val="18"/>
              </w:rPr>
            </w:pPr>
            <w:r>
              <w:rPr>
                <w:rFonts w:ascii="Arial Narrow" w:eastAsia="Arial Narrow" w:hAnsi="Arial Narrow" w:cs="Arial Narrow"/>
                <w:color w:val="000000"/>
                <w:spacing w:val="0"/>
                <w:w w:val="100"/>
                <w:position w:val="0"/>
                <w:sz w:val="18"/>
                <w:szCs w:val="18"/>
              </w:rPr>
              <w:t>62.90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系本期增加抵押借款</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both"/>
              <w:rPr>
                <w:sz w:val="18"/>
                <w:szCs w:val="18"/>
              </w:rPr>
            </w:pPr>
            <w:r>
              <w:rPr>
                <w:rFonts w:ascii="Arial Narrow" w:eastAsia="Arial Narrow" w:hAnsi="Arial Narrow" w:cs="Arial Narrow"/>
                <w:color w:val="000000"/>
                <w:spacing w:val="0"/>
                <w:w w:val="100"/>
                <w:position w:val="0"/>
                <w:sz w:val="18"/>
                <w:szCs w:val="18"/>
              </w:rPr>
              <w:t>13,806,725.02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both"/>
              <w:rPr>
                <w:sz w:val="18"/>
                <w:szCs w:val="18"/>
              </w:rPr>
            </w:pPr>
            <w:r>
              <w:rPr>
                <w:rFonts w:ascii="Arial Narrow" w:eastAsia="Arial Narrow" w:hAnsi="Arial Narrow" w:cs="Arial Narrow"/>
                <w:color w:val="000000"/>
                <w:spacing w:val="0"/>
                <w:w w:val="100"/>
                <w:position w:val="0"/>
                <w:sz w:val="18"/>
                <w:szCs w:val="18"/>
              </w:rPr>
              <w:t>3,119,184.00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both"/>
              <w:rPr>
                <w:sz w:val="18"/>
                <w:szCs w:val="18"/>
              </w:rPr>
            </w:pPr>
            <w:r>
              <w:rPr>
                <w:rFonts w:ascii="Arial Narrow" w:eastAsia="Arial Narrow" w:hAnsi="Arial Narrow" w:cs="Arial Narrow"/>
                <w:color w:val="000000"/>
                <w:spacing w:val="0"/>
                <w:w w:val="100"/>
                <w:position w:val="0"/>
                <w:sz w:val="18"/>
                <w:szCs w:val="18"/>
              </w:rPr>
              <w:t>342.64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系本期采购货物增加</w:t>
            </w:r>
          </w:p>
        </w:tc>
      </w:tr>
      <w:tr>
        <w:trPr>
          <w:trHeight w:val="394"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both"/>
              <w:rPr>
                <w:sz w:val="18"/>
                <w:szCs w:val="18"/>
              </w:rPr>
            </w:pPr>
            <w:r>
              <w:rPr>
                <w:rFonts w:ascii="Arial Narrow" w:eastAsia="Arial Narrow" w:hAnsi="Arial Narrow" w:cs="Arial Narrow"/>
                <w:color w:val="000000"/>
                <w:spacing w:val="0"/>
                <w:w w:val="100"/>
                <w:position w:val="0"/>
                <w:sz w:val="18"/>
                <w:szCs w:val="18"/>
              </w:rPr>
              <w:t>81,692,664.01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both"/>
              <w:rPr>
                <w:sz w:val="18"/>
                <w:szCs w:val="18"/>
              </w:rPr>
            </w:pPr>
            <w:r>
              <w:rPr>
                <w:rFonts w:ascii="Arial Narrow" w:eastAsia="Arial Narrow" w:hAnsi="Arial Narrow" w:cs="Arial Narrow"/>
                <w:color w:val="000000"/>
                <w:spacing w:val="0"/>
                <w:w w:val="100"/>
                <w:position w:val="0"/>
                <w:sz w:val="18"/>
                <w:szCs w:val="18"/>
              </w:rPr>
              <w:t>57,663,826.26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00"/>
              <w:jc w:val="both"/>
              <w:rPr>
                <w:sz w:val="18"/>
                <w:szCs w:val="18"/>
              </w:rPr>
            </w:pPr>
            <w:r>
              <w:rPr>
                <w:rFonts w:ascii="Arial Narrow" w:eastAsia="Arial Narrow" w:hAnsi="Arial Narrow" w:cs="Arial Narrow"/>
                <w:color w:val="000000"/>
                <w:spacing w:val="0"/>
                <w:w w:val="100"/>
                <w:position w:val="0"/>
                <w:sz w:val="18"/>
                <w:szCs w:val="18"/>
              </w:rPr>
              <w:t>41.67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系本期采购货物增加</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both"/>
              <w:rPr>
                <w:sz w:val="18"/>
                <w:szCs w:val="18"/>
              </w:rPr>
            </w:pPr>
            <w:r>
              <w:rPr>
                <w:rFonts w:ascii="Arial Narrow" w:eastAsia="Arial Narrow" w:hAnsi="Arial Narrow" w:cs="Arial Narrow"/>
                <w:color w:val="000000"/>
                <w:spacing w:val="0"/>
                <w:w w:val="100"/>
                <w:position w:val="0"/>
                <w:sz w:val="18"/>
                <w:szCs w:val="18"/>
              </w:rPr>
              <w:t>22,697,527.02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both"/>
              <w:rPr>
                <w:sz w:val="18"/>
                <w:szCs w:val="18"/>
              </w:rPr>
            </w:pPr>
            <w:r>
              <w:rPr>
                <w:rFonts w:ascii="Arial Narrow" w:eastAsia="Arial Narrow" w:hAnsi="Arial Narrow" w:cs="Arial Narrow"/>
                <w:color w:val="000000"/>
                <w:spacing w:val="0"/>
                <w:w w:val="100"/>
                <w:position w:val="0"/>
                <w:sz w:val="18"/>
                <w:szCs w:val="18"/>
              </w:rPr>
              <w:t>14,640,567.90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00"/>
              <w:jc w:val="both"/>
              <w:rPr>
                <w:sz w:val="18"/>
                <w:szCs w:val="18"/>
              </w:rPr>
            </w:pPr>
            <w:r>
              <w:rPr>
                <w:rFonts w:ascii="Arial Narrow" w:eastAsia="Arial Narrow" w:hAnsi="Arial Narrow" w:cs="Arial Narrow"/>
                <w:color w:val="000000"/>
                <w:spacing w:val="0"/>
                <w:w w:val="100"/>
                <w:position w:val="0"/>
                <w:sz w:val="18"/>
                <w:szCs w:val="18"/>
              </w:rPr>
              <w:t>55.03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系根据合同结算的预收款增加</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both"/>
              <w:rPr>
                <w:sz w:val="18"/>
                <w:szCs w:val="18"/>
              </w:rPr>
            </w:pPr>
            <w:r>
              <w:rPr>
                <w:rFonts w:ascii="Arial Narrow" w:eastAsia="Arial Narrow" w:hAnsi="Arial Narrow" w:cs="Arial Narrow"/>
                <w:color w:val="000000"/>
                <w:spacing w:val="0"/>
                <w:w w:val="100"/>
                <w:position w:val="0"/>
                <w:sz w:val="18"/>
                <w:szCs w:val="18"/>
              </w:rPr>
              <w:t>9,201,296.47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both"/>
              <w:rPr>
                <w:sz w:val="18"/>
                <w:szCs w:val="18"/>
              </w:rPr>
            </w:pPr>
            <w:r>
              <w:rPr>
                <w:rFonts w:ascii="Arial Narrow" w:eastAsia="Arial Narrow" w:hAnsi="Arial Narrow" w:cs="Arial Narrow"/>
                <w:color w:val="000000"/>
                <w:spacing w:val="0"/>
                <w:w w:val="100"/>
                <w:position w:val="0"/>
                <w:sz w:val="18"/>
                <w:szCs w:val="18"/>
              </w:rPr>
              <w:t>3,295,900.37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both"/>
              <w:rPr>
                <w:sz w:val="18"/>
                <w:szCs w:val="18"/>
              </w:rPr>
            </w:pPr>
            <w:r>
              <w:rPr>
                <w:rFonts w:ascii="Arial Narrow" w:eastAsia="Arial Narrow" w:hAnsi="Arial Narrow" w:cs="Arial Narrow"/>
                <w:color w:val="000000"/>
                <w:spacing w:val="0"/>
                <w:w w:val="100"/>
                <w:position w:val="0"/>
                <w:sz w:val="18"/>
                <w:szCs w:val="18"/>
              </w:rPr>
              <w:t>179.17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子公司开始运营人员增加</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both"/>
              <w:rPr>
                <w:sz w:val="18"/>
                <w:szCs w:val="18"/>
              </w:rPr>
            </w:pPr>
            <w:r>
              <w:rPr>
                <w:rFonts w:ascii="Arial Narrow" w:eastAsia="Arial Narrow" w:hAnsi="Arial Narrow" w:cs="Arial Narrow"/>
                <w:color w:val="000000"/>
                <w:spacing w:val="0"/>
                <w:w w:val="100"/>
                <w:position w:val="0"/>
                <w:sz w:val="18"/>
                <w:szCs w:val="18"/>
              </w:rPr>
              <w:t>16,419,856.25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both"/>
              <w:rPr>
                <w:sz w:val="18"/>
                <w:szCs w:val="18"/>
              </w:rPr>
            </w:pPr>
            <w:r>
              <w:rPr>
                <w:rFonts w:ascii="Arial Narrow" w:eastAsia="Arial Narrow" w:hAnsi="Arial Narrow" w:cs="Arial Narrow"/>
                <w:color w:val="000000"/>
                <w:spacing w:val="0"/>
                <w:w w:val="100"/>
                <w:position w:val="0"/>
                <w:sz w:val="18"/>
                <w:szCs w:val="18"/>
              </w:rPr>
              <w:t>11,518,410.26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both"/>
              <w:rPr>
                <w:sz w:val="18"/>
                <w:szCs w:val="18"/>
              </w:rPr>
            </w:pPr>
            <w:r>
              <w:rPr>
                <w:rFonts w:ascii="Arial Narrow" w:eastAsia="Arial Narrow" w:hAnsi="Arial Narrow" w:cs="Arial Narrow"/>
                <w:color w:val="000000"/>
                <w:spacing w:val="0"/>
                <w:w w:val="100"/>
                <w:position w:val="0"/>
                <w:sz w:val="18"/>
                <w:szCs w:val="18"/>
              </w:rPr>
              <w:t>42.55%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系期末应交增值税增加</w:t>
            </w:r>
          </w:p>
        </w:tc>
      </w:tr>
      <w:tr>
        <w:trPr>
          <w:trHeight w:val="394"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应付利息</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rPr>
                <w:sz w:val="18"/>
                <w:szCs w:val="18"/>
              </w:rPr>
            </w:pPr>
            <w:r>
              <w:rPr>
                <w:rFonts w:ascii="Arial Narrow" w:eastAsia="Arial Narrow" w:hAnsi="Arial Narrow" w:cs="Arial Narrow"/>
                <w:color w:val="000000"/>
                <w:spacing w:val="0"/>
                <w:w w:val="100"/>
                <w:position w:val="0"/>
                <w:sz w:val="18"/>
                <w:szCs w:val="18"/>
              </w:rPr>
              <w:t>473,586.65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rPr>
                <w:sz w:val="18"/>
                <w:szCs w:val="18"/>
              </w:rPr>
            </w:pPr>
            <w:r>
              <w:rPr>
                <w:rFonts w:ascii="Arial Narrow" w:eastAsia="Arial Narrow" w:hAnsi="Arial Narrow" w:cs="Arial Narrow"/>
                <w:color w:val="000000"/>
                <w:spacing w:val="0"/>
                <w:w w:val="100"/>
                <w:position w:val="0"/>
                <w:sz w:val="18"/>
                <w:szCs w:val="18"/>
              </w:rPr>
              <w:t>336,508.34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00"/>
              <w:jc w:val="both"/>
              <w:rPr>
                <w:sz w:val="18"/>
                <w:szCs w:val="18"/>
              </w:rPr>
            </w:pPr>
            <w:r>
              <w:rPr>
                <w:rFonts w:ascii="Arial Narrow" w:eastAsia="Arial Narrow" w:hAnsi="Arial Narrow" w:cs="Arial Narrow"/>
                <w:color w:val="000000"/>
                <w:spacing w:val="0"/>
                <w:w w:val="100"/>
                <w:position w:val="0"/>
                <w:sz w:val="18"/>
                <w:szCs w:val="18"/>
              </w:rPr>
              <w:t>40.74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系期末借款余额增加</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rPr>
                <w:sz w:val="18"/>
                <w:szCs w:val="18"/>
              </w:rPr>
            </w:pPr>
            <w:r>
              <w:rPr>
                <w:rFonts w:ascii="Arial Narrow" w:eastAsia="Arial Narrow" w:hAnsi="Arial Narrow" w:cs="Arial Narrow"/>
                <w:color w:val="000000"/>
                <w:spacing w:val="0"/>
                <w:w w:val="100"/>
                <w:position w:val="0"/>
                <w:sz w:val="18"/>
                <w:szCs w:val="18"/>
              </w:rPr>
              <w:t>395,950.87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rPr>
                <w:sz w:val="18"/>
                <w:szCs w:val="18"/>
              </w:rPr>
            </w:pPr>
            <w:r>
              <w:rPr>
                <w:rFonts w:ascii="Arial Narrow" w:eastAsia="Arial Narrow" w:hAnsi="Arial Narrow" w:cs="Arial Narrow"/>
                <w:color w:val="000000"/>
                <w:spacing w:val="0"/>
                <w:w w:val="100"/>
                <w:position w:val="0"/>
                <w:sz w:val="18"/>
                <w:szCs w:val="18"/>
              </w:rPr>
              <w:t>113,703.02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both"/>
              <w:rPr>
                <w:sz w:val="18"/>
                <w:szCs w:val="18"/>
              </w:rPr>
            </w:pPr>
            <w:r>
              <w:rPr>
                <w:rFonts w:ascii="Arial Narrow" w:eastAsia="Arial Narrow" w:hAnsi="Arial Narrow" w:cs="Arial Narrow"/>
                <w:color w:val="000000"/>
                <w:spacing w:val="0"/>
                <w:w w:val="100"/>
                <w:position w:val="0"/>
                <w:sz w:val="18"/>
                <w:szCs w:val="18"/>
              </w:rPr>
              <w:t>248.23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系未付费用增加</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both"/>
              <w:rPr>
                <w:sz w:val="18"/>
                <w:szCs w:val="18"/>
              </w:rPr>
            </w:pPr>
            <w:r>
              <w:rPr>
                <w:rFonts w:ascii="Arial Narrow" w:eastAsia="Arial Narrow" w:hAnsi="Arial Narrow" w:cs="Arial Narrow"/>
                <w:color w:val="000000"/>
                <w:spacing w:val="0"/>
                <w:w w:val="100"/>
                <w:position w:val="0"/>
                <w:sz w:val="18"/>
                <w:szCs w:val="18"/>
              </w:rPr>
              <w:t>26,240,000.00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both"/>
              <w:rPr>
                <w:sz w:val="18"/>
                <w:szCs w:val="18"/>
              </w:rPr>
            </w:pPr>
            <w:r>
              <w:rPr>
                <w:rFonts w:ascii="Arial Narrow" w:eastAsia="Arial Narrow" w:hAnsi="Arial Narrow" w:cs="Arial Narrow"/>
                <w:color w:val="000000"/>
                <w:spacing w:val="0"/>
                <w:w w:val="100"/>
                <w:position w:val="0"/>
                <w:sz w:val="18"/>
                <w:szCs w:val="18"/>
              </w:rPr>
              <w:t>15,330,000.00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00"/>
              <w:jc w:val="both"/>
              <w:rPr>
                <w:sz w:val="18"/>
                <w:szCs w:val="18"/>
              </w:rPr>
            </w:pPr>
            <w:r>
              <w:rPr>
                <w:rFonts w:ascii="Arial Narrow" w:eastAsia="Arial Narrow" w:hAnsi="Arial Narrow" w:cs="Arial Narrow"/>
                <w:color w:val="000000"/>
                <w:spacing w:val="0"/>
                <w:w w:val="100"/>
                <w:position w:val="0"/>
                <w:sz w:val="18"/>
                <w:szCs w:val="18"/>
              </w:rPr>
              <w:t>71.17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系本期政府补助增加</w:t>
            </w:r>
          </w:p>
        </w:tc>
      </w:tr>
      <w:tr>
        <w:trPr>
          <w:trHeight w:val="394"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both"/>
              <w:rPr>
                <w:sz w:val="18"/>
                <w:szCs w:val="18"/>
              </w:rPr>
            </w:pPr>
            <w:r>
              <w:rPr>
                <w:rFonts w:ascii="Arial Narrow" w:eastAsia="Arial Narrow" w:hAnsi="Arial Narrow" w:cs="Arial Narrow"/>
                <w:color w:val="000000"/>
                <w:spacing w:val="0"/>
                <w:w w:val="100"/>
                <w:position w:val="0"/>
                <w:sz w:val="18"/>
                <w:szCs w:val="18"/>
              </w:rPr>
              <w:t>196,000,000.00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both"/>
              <w:rPr>
                <w:sz w:val="18"/>
                <w:szCs w:val="18"/>
              </w:rPr>
            </w:pPr>
            <w:r>
              <w:rPr>
                <w:rFonts w:ascii="Arial Narrow" w:eastAsia="Arial Narrow" w:hAnsi="Arial Narrow" w:cs="Arial Narrow"/>
                <w:color w:val="000000"/>
                <w:spacing w:val="0"/>
                <w:w w:val="100"/>
                <w:position w:val="0"/>
                <w:sz w:val="18"/>
                <w:szCs w:val="18"/>
              </w:rPr>
              <w:t>98,000,000.00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both"/>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系本期资本公积转增股本</w:t>
            </w:r>
          </w:p>
        </w:tc>
      </w:tr>
      <w:tr>
        <w:trPr>
          <w:trHeight w:val="71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利润表项目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20" w:line="240" w:lineRule="auto"/>
              <w:ind w:left="0" w:right="0" w:firstLine="0"/>
              <w:jc w:val="left"/>
              <w:rPr>
                <w:sz w:val="17"/>
                <w:szCs w:val="17"/>
              </w:rPr>
            </w:pPr>
            <w:r>
              <w:rPr>
                <w:b/>
                <w:bCs/>
                <w:color w:val="000000"/>
                <w:spacing w:val="0"/>
                <w:w w:val="100"/>
                <w:position w:val="0"/>
                <w:sz w:val="17"/>
                <w:szCs w:val="17"/>
              </w:rPr>
              <w:t>期末余额（或本期</w:t>
            </w:r>
          </w:p>
          <w:p>
            <w:pPr>
              <w:pStyle w:val="Style8"/>
              <w:keepNext w:val="0"/>
              <w:keepLines w:val="0"/>
              <w:widowControl w:val="0"/>
              <w:shd w:val="clear" w:color="auto" w:fill="auto"/>
              <w:bidi w:val="0"/>
              <w:spacing w:before="0" w:after="0" w:line="240" w:lineRule="auto"/>
              <w:ind w:left="0" w:right="0" w:firstLine="980"/>
              <w:jc w:val="left"/>
              <w:rPr>
                <w:sz w:val="17"/>
                <w:szCs w:val="17"/>
              </w:rPr>
            </w:pPr>
            <w:r>
              <w:rPr>
                <w:b/>
                <w:bCs/>
                <w:color w:val="000000"/>
                <w:spacing w:val="0"/>
                <w:w w:val="100"/>
                <w:position w:val="0"/>
                <w:sz w:val="17"/>
                <w:szCs w:val="17"/>
              </w:rPr>
              <w:t>金额）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20" w:line="240" w:lineRule="auto"/>
              <w:ind w:left="0" w:right="0" w:firstLine="0"/>
              <w:jc w:val="left"/>
              <w:rPr>
                <w:sz w:val="17"/>
                <w:szCs w:val="17"/>
              </w:rPr>
            </w:pPr>
            <w:r>
              <w:rPr>
                <w:b/>
                <w:bCs/>
                <w:color w:val="000000"/>
                <w:spacing w:val="0"/>
                <w:w w:val="100"/>
                <w:position w:val="0"/>
                <w:sz w:val="17"/>
                <w:szCs w:val="17"/>
              </w:rPr>
              <w:t>期初余额（或上期</w:t>
            </w:r>
          </w:p>
          <w:p>
            <w:pPr>
              <w:pStyle w:val="Style8"/>
              <w:keepNext w:val="0"/>
              <w:keepLines w:val="0"/>
              <w:widowControl w:val="0"/>
              <w:shd w:val="clear" w:color="auto" w:fill="auto"/>
              <w:bidi w:val="0"/>
              <w:spacing w:before="0" w:after="0" w:line="240" w:lineRule="auto"/>
              <w:ind w:left="0" w:right="0" w:firstLine="980"/>
              <w:jc w:val="both"/>
              <w:rPr>
                <w:sz w:val="17"/>
                <w:szCs w:val="17"/>
              </w:rPr>
            </w:pPr>
            <w:r>
              <w:rPr>
                <w:b/>
                <w:bCs/>
                <w:color w:val="000000"/>
                <w:spacing w:val="0"/>
                <w:w w:val="100"/>
                <w:position w:val="0"/>
                <w:sz w:val="17"/>
                <w:szCs w:val="17"/>
              </w:rPr>
              <w:t>金额）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20" w:line="240" w:lineRule="auto"/>
              <w:ind w:left="0" w:right="0" w:firstLine="340"/>
              <w:jc w:val="left"/>
              <w:rPr>
                <w:sz w:val="17"/>
                <w:szCs w:val="17"/>
              </w:rPr>
            </w:pPr>
            <w:r>
              <w:rPr>
                <w:b/>
                <w:bCs/>
                <w:color w:val="000000"/>
                <w:spacing w:val="0"/>
                <w:w w:val="100"/>
                <w:position w:val="0"/>
                <w:sz w:val="17"/>
                <w:szCs w:val="17"/>
              </w:rPr>
              <w:t>变动比率</w:t>
            </w:r>
          </w:p>
          <w:p>
            <w:pPr>
              <w:pStyle w:val="Style8"/>
              <w:keepNext w:val="0"/>
              <w:keepLines w:val="0"/>
              <w:widowControl w:val="0"/>
              <w:shd w:val="clear" w:color="auto" w:fill="auto"/>
              <w:bidi w:val="0"/>
              <w:spacing w:before="0" w:after="0" w:line="240" w:lineRule="auto"/>
              <w:ind w:left="0" w:right="0" w:firstLine="580"/>
              <w:jc w:val="left"/>
              <w:rPr>
                <w:sz w:val="17"/>
                <w:szCs w:val="17"/>
              </w:rPr>
            </w:pPr>
            <w:r>
              <w:rPr>
                <w:b/>
                <w:bCs/>
                <w:color w:val="000000"/>
                <w:spacing w:val="0"/>
                <w:w w:val="100"/>
                <w:position w:val="0"/>
                <w:sz w:val="17"/>
                <w:szCs w:val="17"/>
              </w:rPr>
              <w:t>（</w:t>
            </w:r>
            <w:r>
              <w:rPr>
                <w:rFonts w:ascii="Arial Narrow" w:eastAsia="Arial Narrow" w:hAnsi="Arial Narrow" w:cs="Arial Narrow"/>
                <w:b/>
                <w:bCs/>
                <w:color w:val="000000"/>
                <w:spacing w:val="0"/>
                <w:w w:val="100"/>
                <w:position w:val="0"/>
                <w:sz w:val="18"/>
                <w:szCs w:val="18"/>
              </w:rPr>
              <w:t>%</w:t>
            </w:r>
            <w:r>
              <w:rPr>
                <w:b/>
                <w:bCs/>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变动原因</w:t>
            </w:r>
          </w:p>
        </w:tc>
      </w:tr>
      <w:tr>
        <w:trPr>
          <w:trHeight w:val="71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营业税金及附加</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both"/>
              <w:rPr>
                <w:sz w:val="18"/>
                <w:szCs w:val="18"/>
              </w:rPr>
            </w:pPr>
            <w:r>
              <w:rPr>
                <w:rFonts w:ascii="Arial Narrow" w:eastAsia="Arial Narrow" w:hAnsi="Arial Narrow" w:cs="Arial Narrow"/>
                <w:color w:val="000000"/>
                <w:spacing w:val="0"/>
                <w:w w:val="100"/>
                <w:position w:val="0"/>
                <w:sz w:val="18"/>
                <w:szCs w:val="18"/>
              </w:rPr>
              <w:t>1,725,858.52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both"/>
              <w:rPr>
                <w:sz w:val="18"/>
                <w:szCs w:val="18"/>
              </w:rPr>
            </w:pPr>
            <w:r>
              <w:rPr>
                <w:rFonts w:ascii="Arial Narrow" w:eastAsia="Arial Narrow" w:hAnsi="Arial Narrow" w:cs="Arial Narrow"/>
                <w:color w:val="000000"/>
                <w:spacing w:val="0"/>
                <w:w w:val="100"/>
                <w:position w:val="0"/>
                <w:sz w:val="18"/>
                <w:szCs w:val="18"/>
              </w:rPr>
              <w:t>3,924,828.49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both"/>
              <w:rPr>
                <w:sz w:val="18"/>
                <w:szCs w:val="18"/>
              </w:rPr>
            </w:pPr>
            <w:r>
              <w:rPr>
                <w:rFonts w:ascii="Arial Narrow" w:eastAsia="Arial Narrow" w:hAnsi="Arial Narrow" w:cs="Arial Narrow"/>
                <w:color w:val="000000"/>
                <w:spacing w:val="0"/>
                <w:w w:val="100"/>
                <w:position w:val="0"/>
                <w:sz w:val="18"/>
                <w:szCs w:val="18"/>
              </w:rPr>
              <w:t>-56.03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系本期应交增值税下降及应交营业税的收入下 降</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both"/>
              <w:rPr>
                <w:sz w:val="18"/>
                <w:szCs w:val="18"/>
              </w:rPr>
            </w:pPr>
            <w:r>
              <w:rPr>
                <w:rFonts w:ascii="Arial Narrow" w:eastAsia="Arial Narrow" w:hAnsi="Arial Narrow" w:cs="Arial Narrow"/>
                <w:color w:val="000000"/>
                <w:spacing w:val="0"/>
                <w:w w:val="100"/>
                <w:position w:val="0"/>
                <w:sz w:val="18"/>
                <w:szCs w:val="18"/>
              </w:rPr>
              <w:t>90,791,343.47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both"/>
              <w:rPr>
                <w:sz w:val="18"/>
                <w:szCs w:val="18"/>
              </w:rPr>
            </w:pPr>
            <w:r>
              <w:rPr>
                <w:rFonts w:ascii="Arial Narrow" w:eastAsia="Arial Narrow" w:hAnsi="Arial Narrow" w:cs="Arial Narrow"/>
                <w:color w:val="000000"/>
                <w:spacing w:val="0"/>
                <w:w w:val="100"/>
                <w:position w:val="0"/>
                <w:sz w:val="18"/>
                <w:szCs w:val="18"/>
              </w:rPr>
              <w:t>57,223,331.43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00"/>
              <w:jc w:val="both"/>
              <w:rPr>
                <w:sz w:val="18"/>
                <w:szCs w:val="18"/>
              </w:rPr>
            </w:pPr>
            <w:r>
              <w:rPr>
                <w:rFonts w:ascii="Arial Narrow" w:eastAsia="Arial Narrow" w:hAnsi="Arial Narrow" w:cs="Arial Narrow"/>
                <w:color w:val="000000"/>
                <w:spacing w:val="0"/>
                <w:w w:val="100"/>
                <w:position w:val="0"/>
                <w:sz w:val="18"/>
                <w:szCs w:val="18"/>
              </w:rPr>
              <w:t>58.66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系本期研发费用及折旧摊销增加</w:t>
            </w:r>
          </w:p>
        </w:tc>
      </w:tr>
      <w:tr>
        <w:trPr>
          <w:trHeight w:val="394"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both"/>
              <w:rPr>
                <w:sz w:val="18"/>
                <w:szCs w:val="18"/>
              </w:rPr>
            </w:pPr>
            <w:r>
              <w:rPr>
                <w:rFonts w:ascii="Arial Narrow" w:eastAsia="Arial Narrow" w:hAnsi="Arial Narrow" w:cs="Arial Narrow"/>
                <w:color w:val="000000"/>
                <w:spacing w:val="0"/>
                <w:w w:val="100"/>
                <w:position w:val="0"/>
                <w:sz w:val="18"/>
                <w:szCs w:val="18"/>
              </w:rPr>
              <w:t>7,074,660.22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both"/>
              <w:rPr>
                <w:sz w:val="18"/>
                <w:szCs w:val="18"/>
              </w:rPr>
            </w:pPr>
            <w:r>
              <w:rPr>
                <w:rFonts w:ascii="Arial Narrow" w:eastAsia="Arial Narrow" w:hAnsi="Arial Narrow" w:cs="Arial Narrow"/>
                <w:color w:val="000000"/>
                <w:spacing w:val="0"/>
                <w:w w:val="100"/>
                <w:position w:val="0"/>
                <w:sz w:val="18"/>
                <w:szCs w:val="18"/>
              </w:rPr>
              <w:t>3,318,338.82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both"/>
              <w:rPr>
                <w:sz w:val="18"/>
                <w:szCs w:val="18"/>
              </w:rPr>
            </w:pPr>
            <w:r>
              <w:rPr>
                <w:rFonts w:ascii="Arial Narrow" w:eastAsia="Arial Narrow" w:hAnsi="Arial Narrow" w:cs="Arial Narrow"/>
                <w:color w:val="000000"/>
                <w:spacing w:val="0"/>
                <w:w w:val="100"/>
                <w:position w:val="0"/>
                <w:sz w:val="18"/>
                <w:szCs w:val="18"/>
              </w:rPr>
              <w:t>113.20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系本期银行借款增加</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营业外收入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both"/>
              <w:rPr>
                <w:sz w:val="18"/>
                <w:szCs w:val="18"/>
              </w:rPr>
            </w:pPr>
            <w:r>
              <w:rPr>
                <w:rFonts w:ascii="Arial Narrow" w:eastAsia="Arial Narrow" w:hAnsi="Arial Narrow" w:cs="Arial Narrow"/>
                <w:color w:val="000000"/>
                <w:spacing w:val="0"/>
                <w:w w:val="100"/>
                <w:position w:val="0"/>
                <w:sz w:val="18"/>
                <w:szCs w:val="18"/>
              </w:rPr>
              <w:t>27,634,930.50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both"/>
              <w:rPr>
                <w:sz w:val="18"/>
                <w:szCs w:val="18"/>
              </w:rPr>
            </w:pPr>
            <w:r>
              <w:rPr>
                <w:rFonts w:ascii="Arial Narrow" w:eastAsia="Arial Narrow" w:hAnsi="Arial Narrow" w:cs="Arial Narrow"/>
                <w:color w:val="000000"/>
                <w:spacing w:val="0"/>
                <w:w w:val="100"/>
                <w:position w:val="0"/>
                <w:sz w:val="18"/>
                <w:szCs w:val="18"/>
              </w:rPr>
              <w:t>16,912,944.60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00"/>
              <w:jc w:val="both"/>
              <w:rPr>
                <w:sz w:val="18"/>
                <w:szCs w:val="18"/>
              </w:rPr>
            </w:pPr>
            <w:r>
              <w:rPr>
                <w:rFonts w:ascii="Arial Narrow" w:eastAsia="Arial Narrow" w:hAnsi="Arial Narrow" w:cs="Arial Narrow"/>
                <w:color w:val="000000"/>
                <w:spacing w:val="0"/>
                <w:w w:val="100"/>
                <w:position w:val="0"/>
                <w:sz w:val="18"/>
                <w:szCs w:val="18"/>
              </w:rPr>
              <w:t>63.40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主要系本期确认的政府补助收入增加</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营业外支出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both"/>
              <w:rPr>
                <w:sz w:val="18"/>
                <w:szCs w:val="18"/>
              </w:rPr>
            </w:pPr>
            <w:r>
              <w:rPr>
                <w:rFonts w:ascii="Arial Narrow" w:eastAsia="Arial Narrow" w:hAnsi="Arial Narrow" w:cs="Arial Narrow"/>
                <w:color w:val="000000"/>
                <w:spacing w:val="0"/>
                <w:w w:val="100"/>
                <w:position w:val="0"/>
                <w:sz w:val="18"/>
                <w:szCs w:val="18"/>
              </w:rPr>
              <w:t>2,866,960.17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80"/>
              <w:jc w:val="both"/>
              <w:rPr>
                <w:sz w:val="18"/>
                <w:szCs w:val="18"/>
              </w:rPr>
            </w:pPr>
            <w:r>
              <w:rPr>
                <w:rFonts w:ascii="Arial Narrow" w:eastAsia="Arial Narrow" w:hAnsi="Arial Narrow" w:cs="Arial Narrow"/>
                <w:color w:val="000000"/>
                <w:spacing w:val="0"/>
                <w:w w:val="100"/>
                <w:position w:val="0"/>
                <w:sz w:val="18"/>
                <w:szCs w:val="18"/>
              </w:rPr>
              <w:t>58,668.58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jc w:val="left"/>
              <w:rPr>
                <w:sz w:val="18"/>
                <w:szCs w:val="18"/>
              </w:rPr>
            </w:pPr>
            <w:r>
              <w:rPr>
                <w:rFonts w:ascii="Arial Narrow" w:eastAsia="Arial Narrow" w:hAnsi="Arial Narrow" w:cs="Arial Narrow"/>
                <w:color w:val="000000"/>
                <w:spacing w:val="0"/>
                <w:w w:val="100"/>
                <w:position w:val="0"/>
                <w:sz w:val="18"/>
                <w:szCs w:val="18"/>
              </w:rPr>
              <w:t>4786.70%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主要系本期处置了一批固定资产</w:t>
            </w:r>
          </w:p>
        </w:tc>
      </w:tr>
      <w:tr>
        <w:trPr>
          <w:trHeight w:val="398"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所得税费用</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both"/>
              <w:rPr>
                <w:sz w:val="18"/>
                <w:szCs w:val="18"/>
              </w:rPr>
            </w:pPr>
            <w:r>
              <w:rPr>
                <w:rFonts w:ascii="Arial Narrow" w:eastAsia="Arial Narrow" w:hAnsi="Arial Narrow" w:cs="Arial Narrow"/>
                <w:color w:val="000000"/>
                <w:spacing w:val="0"/>
                <w:w w:val="100"/>
                <w:position w:val="0"/>
                <w:sz w:val="18"/>
                <w:szCs w:val="18"/>
              </w:rPr>
              <w:t>4,241,693.17</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both"/>
              <w:rPr>
                <w:sz w:val="18"/>
                <w:szCs w:val="18"/>
              </w:rPr>
            </w:pPr>
            <w:r>
              <w:rPr>
                <w:rFonts w:ascii="Arial Narrow" w:eastAsia="Arial Narrow" w:hAnsi="Arial Narrow" w:cs="Arial Narrow"/>
                <w:color w:val="000000"/>
                <w:spacing w:val="0"/>
                <w:w w:val="100"/>
                <w:position w:val="0"/>
                <w:sz w:val="18"/>
                <w:szCs w:val="18"/>
              </w:rPr>
              <w:t>9,698,650.75</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both"/>
              <w:rPr>
                <w:sz w:val="18"/>
                <w:szCs w:val="18"/>
              </w:rPr>
            </w:pPr>
            <w:r>
              <w:rPr>
                <w:rFonts w:ascii="Arial Narrow" w:eastAsia="Arial Narrow" w:hAnsi="Arial Narrow" w:cs="Arial Narrow"/>
                <w:color w:val="000000"/>
                <w:spacing w:val="0"/>
                <w:w w:val="100"/>
                <w:position w:val="0"/>
                <w:sz w:val="18"/>
                <w:szCs w:val="18"/>
              </w:rPr>
              <w:t>-56.27</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系本期利润总额下降及税率变化</w:t>
            </w:r>
          </w:p>
        </w:tc>
      </w:tr>
    </w:tbl>
    <w:p>
      <w:pPr>
        <w:sectPr>
          <w:headerReference w:type="default" r:id="rId529"/>
          <w:footerReference w:type="default" r:id="rId530"/>
          <w:footnotePr>
            <w:pos w:val="pageBottom"/>
            <w:numFmt w:val="decimal"/>
            <w:numRestart w:val="continuous"/>
          </w:footnotePr>
          <w:pgSz w:w="11900" w:h="16840"/>
          <w:pgMar w:top="1441" w:right="1015" w:bottom="1671" w:left="1017" w:header="0" w:footer="3" w:gutter="0"/>
          <w:cols w:space="720"/>
          <w:noEndnote/>
          <w:rtlGutter w:val="0"/>
          <w:docGrid w:linePitch="360"/>
        </w:sectPr>
      </w:pPr>
    </w:p>
    <w:p>
      <w:pPr>
        <w:pStyle w:val="Style12"/>
        <w:keepNext/>
        <w:keepLines/>
        <w:widowControl w:val="0"/>
        <w:shd w:val="clear" w:color="auto" w:fill="auto"/>
        <w:bidi w:val="0"/>
        <w:spacing w:before="0" w:after="460" w:line="240" w:lineRule="auto"/>
        <w:ind w:left="0" w:right="0" w:firstLine="0"/>
        <w:jc w:val="center"/>
      </w:pPr>
      <w:bookmarkStart w:id="1362" w:name="bookmark1362"/>
      <w:bookmarkStart w:id="1363" w:name="bookmark1363"/>
      <w:bookmarkStart w:id="1364" w:name="bookmark1364"/>
      <w:r>
        <w:rPr>
          <w:color w:val="000000"/>
          <w:spacing w:val="0"/>
          <w:w w:val="100"/>
          <w:position w:val="0"/>
        </w:rPr>
        <w:t>第十节备查文件目录</w:t>
      </w:r>
      <w:bookmarkEnd w:id="1362"/>
      <w:bookmarkEnd w:id="1363"/>
      <w:bookmarkEnd w:id="1364"/>
    </w:p>
    <w:p>
      <w:pPr>
        <w:pStyle w:val="Style35"/>
        <w:keepNext w:val="0"/>
        <w:keepLines w:val="0"/>
        <w:widowControl w:val="0"/>
        <w:shd w:val="clear" w:color="auto" w:fill="auto"/>
        <w:tabs>
          <w:tab w:pos="886" w:val="left"/>
        </w:tabs>
        <w:bidi w:val="0"/>
        <w:spacing w:before="0" w:after="0" w:line="322" w:lineRule="exact"/>
        <w:ind w:left="0" w:right="0" w:firstLine="420"/>
        <w:jc w:val="left"/>
      </w:pPr>
      <w:bookmarkStart w:id="1365" w:name="bookmark1365"/>
      <w:r>
        <w:rPr>
          <w:color w:val="000000"/>
          <w:spacing w:val="0"/>
          <w:w w:val="100"/>
          <w:position w:val="0"/>
        </w:rPr>
        <w:t>一</w:t>
      </w:r>
      <w:bookmarkEnd w:id="1365"/>
      <w:r>
        <w:rPr>
          <w:color w:val="000000"/>
          <w:spacing w:val="0"/>
          <w:w w:val="100"/>
          <w:position w:val="0"/>
        </w:rPr>
        <w:t>、</w:t>
        <w:tab/>
        <w:t>载有公司法定代表人、主管会计工作负责人、公司会计机构负责人（会计主管人员）签名并盖章 的财务报表。</w:t>
      </w:r>
    </w:p>
    <w:p>
      <w:pPr>
        <w:pStyle w:val="Style35"/>
        <w:keepNext w:val="0"/>
        <w:keepLines w:val="0"/>
        <w:widowControl w:val="0"/>
        <w:shd w:val="clear" w:color="auto" w:fill="auto"/>
        <w:tabs>
          <w:tab w:pos="889" w:val="left"/>
        </w:tabs>
        <w:bidi w:val="0"/>
        <w:spacing w:before="0" w:after="0" w:line="322" w:lineRule="exact"/>
        <w:ind w:left="0" w:right="0" w:firstLine="420"/>
        <w:jc w:val="left"/>
      </w:pPr>
      <w:bookmarkStart w:id="1366" w:name="bookmark1366"/>
      <w:r>
        <w:rPr>
          <w:color w:val="000000"/>
          <w:spacing w:val="0"/>
          <w:w w:val="100"/>
          <w:position w:val="0"/>
        </w:rPr>
        <w:t>二</w:t>
      </w:r>
      <w:bookmarkEnd w:id="1366"/>
      <w:r>
        <w:rPr>
          <w:color w:val="000000"/>
          <w:spacing w:val="0"/>
          <w:w w:val="100"/>
          <w:position w:val="0"/>
        </w:rPr>
        <w:t>、</w:t>
        <w:tab/>
        <w:t>载有会计师事务所盖章、注册会计师签名并盖章的审计报告原件。</w:t>
      </w:r>
    </w:p>
    <w:p>
      <w:pPr>
        <w:pStyle w:val="Style35"/>
        <w:keepNext w:val="0"/>
        <w:keepLines w:val="0"/>
        <w:widowControl w:val="0"/>
        <w:shd w:val="clear" w:color="auto" w:fill="auto"/>
        <w:tabs>
          <w:tab w:pos="894" w:val="left"/>
        </w:tabs>
        <w:bidi w:val="0"/>
        <w:spacing w:before="0" w:after="0" w:line="322" w:lineRule="exact"/>
        <w:ind w:left="0" w:right="0" w:firstLine="420"/>
        <w:jc w:val="left"/>
      </w:pPr>
      <w:bookmarkStart w:id="1367" w:name="bookmark1367"/>
      <w:r>
        <w:rPr>
          <w:color w:val="000000"/>
          <w:spacing w:val="0"/>
          <w:w w:val="100"/>
          <w:position w:val="0"/>
        </w:rPr>
        <w:t>三</w:t>
      </w:r>
      <w:bookmarkEnd w:id="1367"/>
      <w:r>
        <w:rPr>
          <w:color w:val="000000"/>
          <w:spacing w:val="0"/>
          <w:w w:val="100"/>
          <w:position w:val="0"/>
        </w:rPr>
        <w:t>、</w:t>
        <w:tab/>
        <w:t>报告期内在中国证监会指定网站上公开披露过的所有公司文件的正本及公告的原稿。</w:t>
      </w:r>
    </w:p>
    <w:p>
      <w:pPr>
        <w:pStyle w:val="Style35"/>
        <w:keepNext w:val="0"/>
        <w:keepLines w:val="0"/>
        <w:widowControl w:val="0"/>
        <w:shd w:val="clear" w:color="auto" w:fill="auto"/>
        <w:tabs>
          <w:tab w:pos="894" w:val="left"/>
        </w:tabs>
        <w:bidi w:val="0"/>
        <w:spacing w:before="0" w:after="0" w:line="322" w:lineRule="exact"/>
        <w:ind w:left="0" w:right="0" w:firstLine="420"/>
        <w:jc w:val="left"/>
      </w:pPr>
      <w:bookmarkStart w:id="1368" w:name="bookmark1368"/>
      <w:r>
        <w:rPr>
          <w:color w:val="000000"/>
          <w:spacing w:val="0"/>
          <w:w w:val="100"/>
          <w:position w:val="0"/>
        </w:rPr>
        <w:t>四</w:t>
      </w:r>
      <w:bookmarkEnd w:id="1368"/>
      <w:r>
        <w:rPr>
          <w:color w:val="000000"/>
          <w:spacing w:val="0"/>
          <w:w w:val="100"/>
          <w:position w:val="0"/>
        </w:rPr>
        <w:t>、</w:t>
        <w:tab/>
        <w:t>经公司法定代表人签名的</w:t>
      </w:r>
      <w:r>
        <w:rPr>
          <w:rFonts w:ascii="Times New Roman" w:eastAsia="Times New Roman" w:hAnsi="Times New Roman" w:cs="Times New Roman"/>
          <w:color w:val="000000"/>
          <w:spacing w:val="0"/>
          <w:w w:val="100"/>
          <w:position w:val="0"/>
        </w:rPr>
        <w:t>2013</w:t>
      </w:r>
      <w:r>
        <w:rPr>
          <w:color w:val="000000"/>
          <w:spacing w:val="0"/>
          <w:w w:val="100"/>
          <w:position w:val="0"/>
        </w:rPr>
        <w:t>年年度报告文本原件。</w:t>
      </w:r>
    </w:p>
    <w:p>
      <w:pPr>
        <w:pStyle w:val="Style35"/>
        <w:keepNext w:val="0"/>
        <w:keepLines w:val="0"/>
        <w:widowControl w:val="0"/>
        <w:shd w:val="clear" w:color="auto" w:fill="auto"/>
        <w:tabs>
          <w:tab w:pos="894" w:val="left"/>
        </w:tabs>
        <w:bidi w:val="0"/>
        <w:spacing w:before="0" w:after="280" w:line="322" w:lineRule="exact"/>
        <w:ind w:left="0" w:right="0" w:firstLine="420"/>
        <w:jc w:val="left"/>
      </w:pPr>
      <w:bookmarkStart w:id="1369" w:name="bookmark1369"/>
      <w:r>
        <w:rPr>
          <w:color w:val="000000"/>
          <w:spacing w:val="0"/>
          <w:w w:val="100"/>
          <w:position w:val="0"/>
        </w:rPr>
        <w:t>五</w:t>
      </w:r>
      <w:bookmarkEnd w:id="1369"/>
      <w:r>
        <w:rPr>
          <w:color w:val="000000"/>
          <w:spacing w:val="0"/>
          <w:w w:val="100"/>
          <w:position w:val="0"/>
        </w:rPr>
        <w:t>、</w:t>
        <w:tab/>
        <w:t>其他相关资料。</w:t>
      </w:r>
    </w:p>
    <w:p>
      <w:pPr>
        <w:pStyle w:val="Style35"/>
        <w:keepNext w:val="0"/>
        <w:keepLines w:val="0"/>
        <w:widowControl w:val="0"/>
        <w:shd w:val="clear" w:color="auto" w:fill="auto"/>
        <w:bidi w:val="0"/>
        <w:spacing w:before="0" w:after="280" w:line="322" w:lineRule="exact"/>
        <w:ind w:left="0" w:right="0" w:firstLine="420"/>
        <w:jc w:val="left"/>
      </w:pPr>
      <w:r>
        <w:rPr>
          <w:color w:val="000000"/>
          <w:spacing w:val="0"/>
          <w:w w:val="100"/>
          <w:position w:val="0"/>
        </w:rPr>
        <w:t>以上备查文件的备置地点：公司董事会办公室</w:t>
      </w:r>
    </w:p>
    <w:sectPr>
      <w:footnotePr>
        <w:pos w:val="pageBottom"/>
        <w:numFmt w:val="decimal"/>
        <w:numRestart w:val="continuous"/>
      </w:footnotePr>
      <w:pgSz w:w="11900" w:h="16840"/>
      <w:pgMar w:top="1969" w:right="1114" w:bottom="1969" w:left="112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6791325</wp:posOffset>
              </wp:positionH>
              <wp:positionV relativeFrom="page">
                <wp:posOffset>10132060</wp:posOffset>
              </wp:positionV>
              <wp:extent cx="30480" cy="79375"/>
              <wp:wrapNone/>
              <wp:docPr id="4" name="Shape 4"/>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4.75pt;margin-top:797.80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9" behindDoc="1" locked="0" layoutInCell="1" allowOverlap="1">
              <wp:simplePos x="0" y="0"/>
              <wp:positionH relativeFrom="page">
                <wp:posOffset>9668510</wp:posOffset>
              </wp:positionH>
              <wp:positionV relativeFrom="page">
                <wp:posOffset>6845935</wp:posOffset>
              </wp:positionV>
              <wp:extent cx="103505" cy="79375"/>
              <wp:wrapNone/>
              <wp:docPr id="575" name="Shape 575"/>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01" type="#_x0000_t202" style="position:absolute;margin-left:761.30000000000007pt;margin-top:539.04999999999995pt;width:8.1500000000000004pt;height:6.25pt;z-index:-188743784;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3" behindDoc="1" locked="0" layoutInCell="1" allowOverlap="1">
              <wp:simplePos x="0" y="0"/>
              <wp:positionH relativeFrom="page">
                <wp:posOffset>6709410</wp:posOffset>
              </wp:positionH>
              <wp:positionV relativeFrom="page">
                <wp:posOffset>9955530</wp:posOffset>
              </wp:positionV>
              <wp:extent cx="106680" cy="79375"/>
              <wp:wrapNone/>
              <wp:docPr id="580" name="Shape 580"/>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06" type="#_x0000_t202" style="position:absolute;margin-left:528.29999999999995pt;margin-top:783.89999999999998pt;width:8.4000000000000004pt;height:6.25pt;z-index:-188743780;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7" behindDoc="1" locked="0" layoutInCell="1" allowOverlap="1">
              <wp:simplePos x="0" y="0"/>
              <wp:positionH relativeFrom="page">
                <wp:posOffset>9671685</wp:posOffset>
              </wp:positionH>
              <wp:positionV relativeFrom="page">
                <wp:posOffset>6821805</wp:posOffset>
              </wp:positionV>
              <wp:extent cx="103505" cy="79375"/>
              <wp:wrapNone/>
              <wp:docPr id="585" name="Shape 585"/>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11" type="#_x0000_t202" style="position:absolute;margin-left:761.55000000000007pt;margin-top:537.14999999999998pt;width:8.1500000000000004pt;height:6.25pt;z-index:-188743776;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1" behindDoc="1" locked="0" layoutInCell="1" allowOverlap="1">
              <wp:simplePos x="0" y="0"/>
              <wp:positionH relativeFrom="page">
                <wp:posOffset>6709410</wp:posOffset>
              </wp:positionH>
              <wp:positionV relativeFrom="page">
                <wp:posOffset>9955530</wp:posOffset>
              </wp:positionV>
              <wp:extent cx="106680" cy="79375"/>
              <wp:wrapNone/>
              <wp:docPr id="590" name="Shape 590"/>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16" type="#_x0000_t202" style="position:absolute;margin-left:528.29999999999995pt;margin-top:783.89999999999998pt;width:8.4000000000000004pt;height:6.25pt;z-index:-188743772;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5" behindDoc="1" locked="0" layoutInCell="1" allowOverlap="1">
              <wp:simplePos x="0" y="0"/>
              <wp:positionH relativeFrom="page">
                <wp:posOffset>9620250</wp:posOffset>
              </wp:positionH>
              <wp:positionV relativeFrom="page">
                <wp:posOffset>6821805</wp:posOffset>
              </wp:positionV>
              <wp:extent cx="155575" cy="79375"/>
              <wp:wrapNone/>
              <wp:docPr id="595" name="Shape 595"/>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21" type="#_x0000_t202" style="position:absolute;margin-left:757.5pt;margin-top:537.14999999999998pt;width:12.25pt;height:6.25pt;z-index:-188743768;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9" behindDoc="1" locked="0" layoutInCell="1" allowOverlap="1">
              <wp:simplePos x="0" y="0"/>
              <wp:positionH relativeFrom="page">
                <wp:posOffset>6709410</wp:posOffset>
              </wp:positionH>
              <wp:positionV relativeFrom="page">
                <wp:posOffset>9955530</wp:posOffset>
              </wp:positionV>
              <wp:extent cx="106680" cy="79375"/>
              <wp:wrapNone/>
              <wp:docPr id="612" name="Shape 612"/>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38" type="#_x0000_t202" style="position:absolute;margin-left:528.29999999999995pt;margin-top:783.89999999999998pt;width:8.4000000000000004pt;height:6.25pt;z-index:-188743764;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3" behindDoc="1" locked="0" layoutInCell="1" allowOverlap="1">
              <wp:simplePos x="0" y="0"/>
              <wp:positionH relativeFrom="page">
                <wp:posOffset>9620250</wp:posOffset>
              </wp:positionH>
              <wp:positionV relativeFrom="page">
                <wp:posOffset>6821805</wp:posOffset>
              </wp:positionV>
              <wp:extent cx="155575" cy="79375"/>
              <wp:wrapNone/>
              <wp:docPr id="617" name="Shape 61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43" type="#_x0000_t202" style="position:absolute;margin-left:757.5pt;margin-top:537.14999999999998pt;width:12.25pt;height:6.25pt;z-index:-188743760;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7" behindDoc="1" locked="0" layoutInCell="1" allowOverlap="1">
              <wp:simplePos x="0" y="0"/>
              <wp:positionH relativeFrom="page">
                <wp:posOffset>6709410</wp:posOffset>
              </wp:positionH>
              <wp:positionV relativeFrom="page">
                <wp:posOffset>9955530</wp:posOffset>
              </wp:positionV>
              <wp:extent cx="106680" cy="79375"/>
              <wp:wrapNone/>
              <wp:docPr id="622" name="Shape 622"/>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48" type="#_x0000_t202" style="position:absolute;margin-left:528.29999999999995pt;margin-top:783.89999999999998pt;width:8.4000000000000004pt;height:6.25pt;z-index:-188743756;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6644640</wp:posOffset>
              </wp:positionH>
              <wp:positionV relativeFrom="page">
                <wp:posOffset>9955530</wp:posOffset>
              </wp:positionV>
              <wp:extent cx="103505" cy="79375"/>
              <wp:wrapNone/>
              <wp:docPr id="9" name="Shape 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23.20000000000005pt;margin-top:783.89999999999998pt;width:8.1500000000000004pt;height:6.25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9665970</wp:posOffset>
              </wp:positionH>
              <wp:positionV relativeFrom="page">
                <wp:posOffset>6821805</wp:posOffset>
              </wp:positionV>
              <wp:extent cx="109855" cy="79375"/>
              <wp:wrapNone/>
              <wp:docPr id="13" name="Shape 13"/>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9" type="#_x0000_t202" style="position:absolute;margin-left:761.10000000000002pt;margin-top:537.14999999999998pt;width:8.6500000000000004pt;height:6.25pt;z-index:-18874405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6644640</wp:posOffset>
              </wp:positionH>
              <wp:positionV relativeFrom="page">
                <wp:posOffset>9955530</wp:posOffset>
              </wp:positionV>
              <wp:extent cx="103505" cy="79375"/>
              <wp:wrapNone/>
              <wp:docPr id="18" name="Shape 18"/>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4" type="#_x0000_t202" style="position:absolute;margin-left:523.20000000000005pt;margin-top:783.89999999999998pt;width:8.1500000000000004pt;height:6.25pt;z-index:-18874404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9671685</wp:posOffset>
              </wp:positionH>
              <wp:positionV relativeFrom="page">
                <wp:posOffset>6821805</wp:posOffset>
              </wp:positionV>
              <wp:extent cx="100330" cy="79375"/>
              <wp:wrapNone/>
              <wp:docPr id="23" name="Shape 23"/>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9" type="#_x0000_t202" style="position:absolute;margin-left:761.55000000000007pt;margin-top:537.14999999999998pt;width:7.9000000000000004pt;height:6.25pt;z-index:-188744045;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6644640</wp:posOffset>
              </wp:positionH>
              <wp:positionV relativeFrom="page">
                <wp:posOffset>9955530</wp:posOffset>
              </wp:positionV>
              <wp:extent cx="103505" cy="79375"/>
              <wp:wrapNone/>
              <wp:docPr id="28" name="Shape 28"/>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4" type="#_x0000_t202" style="position:absolute;margin-left:523.20000000000005pt;margin-top:783.89999999999998pt;width:8.1500000000000004pt;height:6.25pt;z-index:-18874404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5" behindDoc="1" locked="0" layoutInCell="1" allowOverlap="1">
              <wp:simplePos x="0" y="0"/>
              <wp:positionH relativeFrom="page">
                <wp:posOffset>9668510</wp:posOffset>
              </wp:positionH>
              <wp:positionV relativeFrom="page">
                <wp:posOffset>6845935</wp:posOffset>
              </wp:positionV>
              <wp:extent cx="103505" cy="79375"/>
              <wp:wrapNone/>
              <wp:docPr id="312" name="Shape 312"/>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38" type="#_x0000_t202" style="position:absolute;margin-left:761.30000000000007pt;margin-top:539.04999999999995pt;width:8.1500000000000004pt;height:6.25pt;z-index:-188743918;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4270375</wp:posOffset>
              </wp:positionH>
              <wp:positionV relativeFrom="page">
                <wp:posOffset>478790</wp:posOffset>
              </wp:positionV>
              <wp:extent cx="2563495" cy="106680"/>
              <wp:wrapNone/>
              <wp:docPr id="1" name="Shape 1"/>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蓝盾信息安全技术股份有限公司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36.25pt;margin-top:37.700000000000003pt;width:201.84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蓝盾信息安全技术股份有限公司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7" behindDoc="1" locked="0" layoutInCell="1" allowOverlap="1">
              <wp:simplePos x="0" y="0"/>
              <wp:positionH relativeFrom="page">
                <wp:posOffset>7212330</wp:posOffset>
              </wp:positionH>
              <wp:positionV relativeFrom="page">
                <wp:posOffset>552450</wp:posOffset>
              </wp:positionV>
              <wp:extent cx="2563495" cy="106680"/>
              <wp:wrapNone/>
              <wp:docPr id="573" name="Shape 573"/>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蓝盾信息安全技术股份有限公司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99" type="#_x0000_t202" style="position:absolute;margin-left:567.89999999999998pt;margin-top:43.5pt;width:201.84999999999999pt;height:8.4000000000000004pt;z-index:-188743786;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蓝盾信息安全技术股份有限公司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1" behindDoc="1" locked="0" layoutInCell="1" allowOverlap="1">
              <wp:simplePos x="0" y="0"/>
              <wp:positionH relativeFrom="page">
                <wp:posOffset>4252595</wp:posOffset>
              </wp:positionH>
              <wp:positionV relativeFrom="page">
                <wp:posOffset>561340</wp:posOffset>
              </wp:positionV>
              <wp:extent cx="2563495" cy="106680"/>
              <wp:wrapNone/>
              <wp:docPr id="577" name="Shape 577"/>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蓝盾信息安全技术股份有限公司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03" type="#_x0000_t202" style="position:absolute;margin-left:334.85000000000002pt;margin-top:44.200000000000003pt;width:201.84999999999999pt;height:8.4000000000000004pt;z-index:-188743782;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蓝盾信息安全技术股份有限公司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676910</wp:posOffset>
              </wp:positionH>
              <wp:positionV relativeFrom="page">
                <wp:posOffset>706120</wp:posOffset>
              </wp:positionV>
              <wp:extent cx="6163310" cy="0"/>
              <wp:wrapNone/>
              <wp:docPr id="579" name="Shape 57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00000000000004pt;margin-top:55.600000000000001pt;width:485.30000000000001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5" behindDoc="1" locked="0" layoutInCell="1" allowOverlap="1">
              <wp:simplePos x="0" y="0"/>
              <wp:positionH relativeFrom="page">
                <wp:posOffset>7212330</wp:posOffset>
              </wp:positionH>
              <wp:positionV relativeFrom="page">
                <wp:posOffset>558165</wp:posOffset>
              </wp:positionV>
              <wp:extent cx="2563495" cy="106680"/>
              <wp:wrapNone/>
              <wp:docPr id="582" name="Shape 582"/>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蓝盾信息安全技术股份有限公司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08" type="#_x0000_t202" style="position:absolute;margin-left:567.89999999999998pt;margin-top:43.950000000000003pt;width:201.84999999999999pt;height:8.4000000000000004pt;z-index:-188743778;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蓝盾信息安全技术股份有限公司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702945</wp:posOffset>
              </wp:positionV>
              <wp:extent cx="8906510" cy="0"/>
              <wp:wrapNone/>
              <wp:docPr id="584" name="Shape 584"/>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350000000000001pt;width:701.30000000000007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9" behindDoc="1" locked="0" layoutInCell="1" allowOverlap="1">
              <wp:simplePos x="0" y="0"/>
              <wp:positionH relativeFrom="page">
                <wp:posOffset>4252595</wp:posOffset>
              </wp:positionH>
              <wp:positionV relativeFrom="page">
                <wp:posOffset>561340</wp:posOffset>
              </wp:positionV>
              <wp:extent cx="2563495" cy="106680"/>
              <wp:wrapNone/>
              <wp:docPr id="587" name="Shape 587"/>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蓝盾信息安全技术股份有限公司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13" type="#_x0000_t202" style="position:absolute;margin-left:334.85000000000002pt;margin-top:44.200000000000003pt;width:201.84999999999999pt;height:8.4000000000000004pt;z-index:-188743774;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蓝盾信息安全技术股份有限公司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676910</wp:posOffset>
              </wp:positionH>
              <wp:positionV relativeFrom="page">
                <wp:posOffset>706120</wp:posOffset>
              </wp:positionV>
              <wp:extent cx="6163310" cy="0"/>
              <wp:wrapNone/>
              <wp:docPr id="589" name="Shape 58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00000000000004pt;margin-top:55.600000000000001pt;width:485.30000000000001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3" behindDoc="1" locked="0" layoutInCell="1" allowOverlap="1">
              <wp:simplePos x="0" y="0"/>
              <wp:positionH relativeFrom="page">
                <wp:posOffset>7212330</wp:posOffset>
              </wp:positionH>
              <wp:positionV relativeFrom="page">
                <wp:posOffset>558165</wp:posOffset>
              </wp:positionV>
              <wp:extent cx="2563495" cy="106680"/>
              <wp:wrapNone/>
              <wp:docPr id="592" name="Shape 592"/>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蓝盾信息安全技术股份有限公司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18" type="#_x0000_t202" style="position:absolute;margin-left:567.89999999999998pt;margin-top:43.950000000000003pt;width:201.84999999999999pt;height:8.4000000000000004pt;z-index:-188743770;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蓝盾信息安全技术股份有限公司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702945</wp:posOffset>
              </wp:positionV>
              <wp:extent cx="8906510" cy="0"/>
              <wp:wrapNone/>
              <wp:docPr id="594" name="Shape 594"/>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350000000000001pt;width:701.30000000000007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7" behindDoc="1" locked="0" layoutInCell="1" allowOverlap="1">
              <wp:simplePos x="0" y="0"/>
              <wp:positionH relativeFrom="page">
                <wp:posOffset>4252595</wp:posOffset>
              </wp:positionH>
              <wp:positionV relativeFrom="page">
                <wp:posOffset>561340</wp:posOffset>
              </wp:positionV>
              <wp:extent cx="2563495" cy="106680"/>
              <wp:wrapNone/>
              <wp:docPr id="609" name="Shape 609"/>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蓝盾信息安全技术股份有限公司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35" type="#_x0000_t202" style="position:absolute;margin-left:334.85000000000002pt;margin-top:44.200000000000003pt;width:201.84999999999999pt;height:8.4000000000000004pt;z-index:-188743766;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蓝盾信息安全技术股份有限公司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676910</wp:posOffset>
              </wp:positionH>
              <wp:positionV relativeFrom="page">
                <wp:posOffset>706120</wp:posOffset>
              </wp:positionV>
              <wp:extent cx="6163310" cy="0"/>
              <wp:wrapNone/>
              <wp:docPr id="611" name="Shape 61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00000000000004pt;margin-top:55.600000000000001pt;width:485.30000000000001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1" behindDoc="1" locked="0" layoutInCell="1" allowOverlap="1">
              <wp:simplePos x="0" y="0"/>
              <wp:positionH relativeFrom="page">
                <wp:posOffset>7212330</wp:posOffset>
              </wp:positionH>
              <wp:positionV relativeFrom="page">
                <wp:posOffset>558165</wp:posOffset>
              </wp:positionV>
              <wp:extent cx="2563495" cy="106680"/>
              <wp:wrapNone/>
              <wp:docPr id="614" name="Shape 614"/>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蓝盾信息安全技术股份有限公司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40" type="#_x0000_t202" style="position:absolute;margin-left:567.89999999999998pt;margin-top:43.950000000000003pt;width:201.84999999999999pt;height:8.4000000000000004pt;z-index:-188743762;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蓝盾信息安全技术股份有限公司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702945</wp:posOffset>
              </wp:positionV>
              <wp:extent cx="8906510" cy="0"/>
              <wp:wrapNone/>
              <wp:docPr id="616" name="Shape 616"/>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350000000000001pt;width:701.30000000000007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5" behindDoc="1" locked="0" layoutInCell="1" allowOverlap="1">
              <wp:simplePos x="0" y="0"/>
              <wp:positionH relativeFrom="page">
                <wp:posOffset>4252595</wp:posOffset>
              </wp:positionH>
              <wp:positionV relativeFrom="page">
                <wp:posOffset>561340</wp:posOffset>
              </wp:positionV>
              <wp:extent cx="2563495" cy="106680"/>
              <wp:wrapNone/>
              <wp:docPr id="619" name="Shape 619"/>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蓝盾信息安全技术股份有限公司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45" type="#_x0000_t202" style="position:absolute;margin-left:334.85000000000002pt;margin-top:44.200000000000003pt;width:201.84999999999999pt;height:8.4000000000000004pt;z-index:-188743758;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蓝盾信息安全技术股份有限公司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676910</wp:posOffset>
              </wp:positionH>
              <wp:positionV relativeFrom="page">
                <wp:posOffset>706120</wp:posOffset>
              </wp:positionV>
              <wp:extent cx="6163310" cy="0"/>
              <wp:wrapNone/>
              <wp:docPr id="621" name="Shape 62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00000000000004pt;margin-top:55.6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4184650</wp:posOffset>
              </wp:positionH>
              <wp:positionV relativeFrom="page">
                <wp:posOffset>561340</wp:posOffset>
              </wp:positionV>
              <wp:extent cx="2563495" cy="106680"/>
              <wp:wrapNone/>
              <wp:docPr id="6" name="Shape 6"/>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蓝盾信息安全技术股份有限公司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32" type="#_x0000_t202" style="position:absolute;margin-left:329.5pt;margin-top:44.200000000000003pt;width:201.84999999999999pt;height:8.4000000000000004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蓝盾信息安全技术股份有限公司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609600</wp:posOffset>
              </wp:positionH>
              <wp:positionV relativeFrom="page">
                <wp:posOffset>706120</wp:posOffset>
              </wp:positionV>
              <wp:extent cx="6163310" cy="0"/>
              <wp:wrapNone/>
              <wp:docPr id="8" name="Shape 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48.pt;margin-top:55.600000000000001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7212330</wp:posOffset>
              </wp:positionH>
              <wp:positionV relativeFrom="page">
                <wp:posOffset>558165</wp:posOffset>
              </wp:positionV>
              <wp:extent cx="2563495" cy="106680"/>
              <wp:wrapNone/>
              <wp:docPr id="11" name="Shape 11"/>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蓝盾信息安全技术股份有限公司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37" type="#_x0000_t202" style="position:absolute;margin-left:567.89999999999998pt;margin-top:43.950000000000003pt;width:201.84999999999999pt;height:8.4000000000000004pt;z-index:-18874405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蓝盾信息安全技术股份有限公司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4184650</wp:posOffset>
              </wp:positionH>
              <wp:positionV relativeFrom="page">
                <wp:posOffset>561340</wp:posOffset>
              </wp:positionV>
              <wp:extent cx="2563495" cy="106680"/>
              <wp:wrapNone/>
              <wp:docPr id="15" name="Shape 15"/>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蓝盾信息安全技术股份有限公司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41" type="#_x0000_t202" style="position:absolute;margin-left:329.5pt;margin-top:44.200000000000003pt;width:201.84999999999999pt;height:8.4000000000000004pt;z-index:-18874405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蓝盾信息安全技术股份有限公司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609600</wp:posOffset>
              </wp:positionH>
              <wp:positionV relativeFrom="page">
                <wp:posOffset>706120</wp:posOffset>
              </wp:positionV>
              <wp:extent cx="6163310" cy="0"/>
              <wp:wrapNone/>
              <wp:docPr id="17" name="Shape 1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48.pt;margin-top:55.600000000000001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7212330</wp:posOffset>
              </wp:positionH>
              <wp:positionV relativeFrom="page">
                <wp:posOffset>558165</wp:posOffset>
              </wp:positionV>
              <wp:extent cx="2563495" cy="106680"/>
              <wp:wrapNone/>
              <wp:docPr id="20" name="Shape 20"/>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蓝盾信息安全技术股份有限公司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046" type="#_x0000_t202" style="position:absolute;margin-left:567.89999999999998pt;margin-top:43.950000000000003pt;width:201.84999999999999pt;height:8.4000000000000004pt;z-index:-188744047;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蓝盾信息安全技术股份有限公司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702945</wp:posOffset>
              </wp:positionV>
              <wp:extent cx="8906510" cy="0"/>
              <wp:wrapNone/>
              <wp:docPr id="22" name="Shape 22"/>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350000000000001pt;width:701.30000000000007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4184650</wp:posOffset>
              </wp:positionH>
              <wp:positionV relativeFrom="page">
                <wp:posOffset>561340</wp:posOffset>
              </wp:positionV>
              <wp:extent cx="2563495" cy="106680"/>
              <wp:wrapNone/>
              <wp:docPr id="25" name="Shape 25"/>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蓝盾信息安全技术股份有限公司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51" type="#_x0000_t202" style="position:absolute;margin-left:329.5pt;margin-top:44.200000000000003pt;width:201.84999999999999pt;height:8.4000000000000004pt;z-index:-18874404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蓝盾信息安全技术股份有限公司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609600</wp:posOffset>
              </wp:positionH>
              <wp:positionV relativeFrom="page">
                <wp:posOffset>706120</wp:posOffset>
              </wp:positionV>
              <wp:extent cx="6163310" cy="0"/>
              <wp:wrapNone/>
              <wp:docPr id="27" name="Shape 2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48.pt;margin-top:55.600000000000001pt;width:485.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1" behindDoc="1" locked="0" layoutInCell="1" allowOverlap="1">
              <wp:simplePos x="0" y="0"/>
              <wp:positionH relativeFrom="page">
                <wp:posOffset>7212330</wp:posOffset>
              </wp:positionH>
              <wp:positionV relativeFrom="page">
                <wp:posOffset>558165</wp:posOffset>
              </wp:positionV>
              <wp:extent cx="2563495" cy="106680"/>
              <wp:wrapNone/>
              <wp:docPr id="301" name="Shape 301"/>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蓝盾信息安全技术股份有限公司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27" type="#_x0000_t202" style="position:absolute;margin-left:567.89999999999998pt;margin-top:43.950000000000003pt;width:201.84999999999999pt;height:8.4000000000000004pt;z-index:-188743922;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蓝盾信息安全技术股份有限公司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702945</wp:posOffset>
              </wp:positionV>
              <wp:extent cx="8906510" cy="0"/>
              <wp:wrapNone/>
              <wp:docPr id="303" name="Shape 303"/>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350000000000001pt;width:701.30000000000007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3" behindDoc="1" locked="0" layoutInCell="1" allowOverlap="1">
              <wp:simplePos x="0" y="0"/>
              <wp:positionH relativeFrom="page">
                <wp:posOffset>7212330</wp:posOffset>
              </wp:positionH>
              <wp:positionV relativeFrom="page">
                <wp:posOffset>552450</wp:posOffset>
              </wp:positionV>
              <wp:extent cx="2563495" cy="106680"/>
              <wp:wrapNone/>
              <wp:docPr id="310" name="Shape 310"/>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蓝盾信息安全技术股份有限公司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36" type="#_x0000_t202" style="position:absolute;margin-left:567.89999999999998pt;margin-top:43.5pt;width:201.84999999999999pt;height:8.4000000000000004pt;z-index:-188743920;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蓝盾信息安全技术股份有限公司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5" behindDoc="1" locked="0" layoutInCell="1" allowOverlap="1">
              <wp:simplePos x="0" y="0"/>
              <wp:positionH relativeFrom="page">
                <wp:posOffset>7212330</wp:posOffset>
              </wp:positionH>
              <wp:positionV relativeFrom="page">
                <wp:posOffset>558165</wp:posOffset>
              </wp:positionV>
              <wp:extent cx="2563495" cy="106680"/>
              <wp:wrapNone/>
              <wp:docPr id="570" name="Shape 570"/>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蓝盾信息安全技术股份有限公司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96" type="#_x0000_t202" style="position:absolute;margin-left:567.89999999999998pt;margin-top:43.950000000000003pt;width:201.84999999999999pt;height:8.4000000000000004pt;z-index:-188743788;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蓝盾信息安全技术股份有限公司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702945</wp:posOffset>
              </wp:positionV>
              <wp:extent cx="8906510" cy="0"/>
              <wp:wrapNone/>
              <wp:docPr id="572" name="Shape 572"/>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350000000000001pt;width:701.30000000000007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4"/>
      <w:numFmt w:val="decimal"/>
      <w:lvlText w:val="%1."/>
      <w:rPr>
        <w:rFonts w:ascii="Arial Narrow" w:eastAsia="Arial Narrow" w:hAnsi="Arial Narrow" w:cs="Arial Narrow"/>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7"/>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5"/>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标题 #1_"/>
    <w:basedOn w:val="DefaultParagraphFont"/>
    <w:link w:val="Style2"/>
    <w:rPr>
      <w:rFonts w:ascii="SimHei" w:eastAsia="SimHei" w:hAnsi="SimHei" w:cs="SimHei"/>
      <w:b w:val="0"/>
      <w:bCs w:val="0"/>
      <w:i w:val="0"/>
      <w:iCs w:val="0"/>
      <w:smallCaps w:val="0"/>
      <w:strike w:val="0"/>
      <w:color w:val="4D4946"/>
      <w:sz w:val="46"/>
      <w:szCs w:val="46"/>
      <w:u w:val="none"/>
      <w:shd w:val="clear" w:color="auto" w:fill="auto"/>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9">
    <w:name w:val="其他_"/>
    <w:basedOn w:val="DefaultParagraphFont"/>
    <w:link w:val="Style8"/>
    <w:rPr>
      <w:rFonts w:ascii="SimSun" w:eastAsia="SimSun" w:hAnsi="SimSun" w:cs="SimSun"/>
      <w:b w:val="0"/>
      <w:bCs w:val="0"/>
      <w:i w:val="0"/>
      <w:iCs w:val="0"/>
      <w:smallCaps w:val="0"/>
      <w:strike w:val="0"/>
      <w:sz w:val="20"/>
      <w:szCs w:val="20"/>
      <w:u w:val="none"/>
      <w:shd w:val="clear" w:color="auto" w:fill="auto"/>
    </w:rPr>
  </w:style>
  <w:style w:type="character" w:customStyle="1" w:styleId="CharStyle13">
    <w:name w:val="标题 #2_"/>
    <w:basedOn w:val="DefaultParagraphFont"/>
    <w:link w:val="Style12"/>
    <w:rPr>
      <w:rFonts w:ascii="SimSun" w:eastAsia="SimSun" w:hAnsi="SimSun" w:cs="SimSun"/>
      <w:b/>
      <w:bCs/>
      <w:i w:val="0"/>
      <w:iCs w:val="0"/>
      <w:smallCaps w:val="0"/>
      <w:strike w:val="0"/>
      <w:sz w:val="32"/>
      <w:szCs w:val="32"/>
      <w:u w:val="none"/>
      <w:shd w:val="clear" w:color="auto" w:fill="auto"/>
    </w:rPr>
  </w:style>
  <w:style w:type="character" w:customStyle="1" w:styleId="CharStyle18">
    <w:name w:val="正文文本 (2)_"/>
    <w:basedOn w:val="DefaultParagraphFont"/>
    <w:link w:val="Style17"/>
    <w:rPr>
      <w:rFonts w:ascii="SimSun" w:eastAsia="SimSun" w:hAnsi="SimSun" w:cs="SimSun"/>
      <w:b/>
      <w:bCs/>
      <w:i w:val="0"/>
      <w:iCs w:val="0"/>
      <w:smallCaps w:val="0"/>
      <w:strike w:val="0"/>
      <w:sz w:val="28"/>
      <w:szCs w:val="28"/>
      <w:u w:val="none"/>
      <w:shd w:val="clear" w:color="auto" w:fill="auto"/>
    </w:rPr>
  </w:style>
  <w:style w:type="character" w:customStyle="1" w:styleId="CharStyle21">
    <w:name w:val="目录_"/>
    <w:basedOn w:val="DefaultParagraphFont"/>
    <w:link w:val="Style20"/>
    <w:rPr>
      <w:rFonts w:ascii="SimSun" w:eastAsia="SimSun" w:hAnsi="SimSun" w:cs="SimSun"/>
      <w:b/>
      <w:bCs/>
      <w:i w:val="0"/>
      <w:iCs w:val="0"/>
      <w:smallCaps w:val="0"/>
      <w:strike w:val="0"/>
      <w:sz w:val="20"/>
      <w:szCs w:val="20"/>
      <w:u w:val="none"/>
      <w:shd w:val="clear" w:color="auto" w:fill="auto"/>
    </w:rPr>
  </w:style>
  <w:style w:type="character" w:customStyle="1" w:styleId="CharStyle26">
    <w:name w:val="标题 #3_"/>
    <w:basedOn w:val="DefaultParagraphFont"/>
    <w:link w:val="Style25"/>
    <w:rPr>
      <w:rFonts w:ascii="SimSun" w:eastAsia="SimSun" w:hAnsi="SimSun" w:cs="SimSun"/>
      <w:b/>
      <w:bCs/>
      <w:i w:val="0"/>
      <w:iCs w:val="0"/>
      <w:smallCaps w:val="0"/>
      <w:strike w:val="0"/>
      <w:sz w:val="22"/>
      <w:szCs w:val="22"/>
      <w:u w:val="none"/>
      <w:shd w:val="clear" w:color="auto" w:fill="auto"/>
    </w:rPr>
  </w:style>
  <w:style w:type="character" w:customStyle="1" w:styleId="CharStyle28">
    <w:name w:val="正文文本 (3)_"/>
    <w:basedOn w:val="DefaultParagraphFont"/>
    <w:link w:val="Style27"/>
    <w:rPr>
      <w:rFonts w:ascii="SimSun" w:eastAsia="SimSun" w:hAnsi="SimSun" w:cs="SimSun"/>
      <w:b w:val="0"/>
      <w:bCs w:val="0"/>
      <w:i w:val="0"/>
      <w:iCs w:val="0"/>
      <w:smallCaps w:val="0"/>
      <w:strike w:val="0"/>
      <w:sz w:val="17"/>
      <w:szCs w:val="17"/>
      <w:u w:val="none"/>
      <w:shd w:val="clear" w:color="auto" w:fill="auto"/>
    </w:rPr>
  </w:style>
  <w:style w:type="character" w:customStyle="1" w:styleId="CharStyle32">
    <w:name w:val="表格标题_"/>
    <w:basedOn w:val="DefaultParagraphFont"/>
    <w:link w:val="Style31"/>
    <w:rPr>
      <w:rFonts w:ascii="SimSun" w:eastAsia="SimSun" w:hAnsi="SimSun" w:cs="SimSun"/>
      <w:b w:val="0"/>
      <w:bCs w:val="0"/>
      <w:i w:val="0"/>
      <w:iCs w:val="0"/>
      <w:smallCaps w:val="0"/>
      <w:strike w:val="0"/>
      <w:sz w:val="20"/>
      <w:szCs w:val="20"/>
      <w:u w:val="none"/>
      <w:shd w:val="clear" w:color="auto" w:fill="auto"/>
    </w:rPr>
  </w:style>
  <w:style w:type="character" w:customStyle="1" w:styleId="CharStyle36">
    <w:name w:val="正文文本_"/>
    <w:basedOn w:val="DefaultParagraphFont"/>
    <w:link w:val="Style35"/>
    <w:rPr>
      <w:rFonts w:ascii="SimSun" w:eastAsia="SimSun" w:hAnsi="SimSun" w:cs="SimSun"/>
      <w:b w:val="0"/>
      <w:bCs w:val="0"/>
      <w:i w:val="0"/>
      <w:iCs w:val="0"/>
      <w:smallCaps w:val="0"/>
      <w:strike w:val="0"/>
      <w:sz w:val="20"/>
      <w:szCs w:val="20"/>
      <w:u w:val="none"/>
      <w:shd w:val="clear" w:color="auto" w:fill="auto"/>
    </w:rPr>
  </w:style>
  <w:style w:type="character" w:customStyle="1" w:styleId="CharStyle39">
    <w:name w:val="标题 #4_"/>
    <w:basedOn w:val="DefaultParagraphFont"/>
    <w:link w:val="Style38"/>
    <w:rPr>
      <w:rFonts w:ascii="SimSun" w:eastAsia="SimSun" w:hAnsi="SimSun" w:cs="SimSun"/>
      <w:b/>
      <w:bCs/>
      <w:i w:val="0"/>
      <w:iCs w:val="0"/>
      <w:smallCaps w:val="0"/>
      <w:strike w:val="0"/>
      <w:sz w:val="20"/>
      <w:szCs w:val="20"/>
      <w:u w:val="none"/>
      <w:shd w:val="clear" w:color="auto" w:fill="auto"/>
    </w:rPr>
  </w:style>
  <w:style w:type="character" w:customStyle="1" w:styleId="CharStyle51">
    <w:name w:val="正文文本 (7)_"/>
    <w:basedOn w:val="DefaultParagraphFont"/>
    <w:link w:val="Style50"/>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53">
    <w:name w:val="页眉或页脚_"/>
    <w:basedOn w:val="DefaultParagraphFont"/>
    <w:link w:val="Style52"/>
    <w:rPr>
      <w:rFonts w:ascii="SimSun" w:eastAsia="SimSun" w:hAnsi="SimSun" w:cs="SimSun"/>
      <w:b w:val="0"/>
      <w:bCs w:val="0"/>
      <w:i w:val="0"/>
      <w:iCs w:val="0"/>
      <w:smallCaps w:val="0"/>
      <w:strike w:val="0"/>
      <w:sz w:val="17"/>
      <w:szCs w:val="17"/>
      <w:u w:val="none"/>
      <w:shd w:val="clear" w:color="auto" w:fill="auto"/>
    </w:rPr>
  </w:style>
  <w:style w:type="character" w:customStyle="1" w:styleId="CharStyle60">
    <w:name w:val="正文文本 (6)_"/>
    <w:basedOn w:val="DefaultParagraphFont"/>
    <w:link w:val="Style59"/>
    <w:rPr>
      <w:rFonts w:ascii="SimSun" w:eastAsia="SimSun" w:hAnsi="SimSun" w:cs="SimSun"/>
      <w:b w:val="0"/>
      <w:bCs w:val="0"/>
      <w:i w:val="0"/>
      <w:iCs w:val="0"/>
      <w:smallCaps w:val="0"/>
      <w:strike w:val="0"/>
      <w:u w:val="none"/>
      <w:shd w:val="clear" w:color="auto" w:fill="auto"/>
    </w:rPr>
  </w:style>
  <w:style w:type="paragraph" w:customStyle="1" w:styleId="Style2">
    <w:name w:val="标题 #1"/>
    <w:basedOn w:val="Normal"/>
    <w:link w:val="CharStyle3"/>
    <w:pPr>
      <w:widowControl w:val="0"/>
      <w:shd w:val="clear" w:color="auto" w:fill="auto"/>
      <w:ind w:left="4800"/>
      <w:outlineLvl w:val="0"/>
    </w:pPr>
    <w:rPr>
      <w:rFonts w:ascii="SimHei" w:eastAsia="SimHei" w:hAnsi="SimHei" w:cs="SimHei"/>
      <w:b w:val="0"/>
      <w:bCs w:val="0"/>
      <w:i w:val="0"/>
      <w:iCs w:val="0"/>
      <w:smallCaps w:val="0"/>
      <w:strike w:val="0"/>
      <w:color w:val="4D4946"/>
      <w:sz w:val="46"/>
      <w:szCs w:val="46"/>
      <w:u w:val="none"/>
      <w:shd w:val="clear" w:color="auto" w:fill="auto"/>
    </w:rPr>
  </w:style>
  <w:style w:type="paragraph" w:customStyle="1" w:styleId="Style4">
    <w:name w:val="页眉或页脚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8">
    <w:name w:val="其他"/>
    <w:basedOn w:val="Normal"/>
    <w:link w:val="CharStyle9"/>
    <w:pPr>
      <w:widowControl w:val="0"/>
      <w:shd w:val="clear" w:color="auto" w:fill="auto"/>
      <w:spacing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12">
    <w:name w:val="标题 #2"/>
    <w:basedOn w:val="Normal"/>
    <w:link w:val="CharStyle13"/>
    <w:pPr>
      <w:widowControl w:val="0"/>
      <w:shd w:val="clear" w:color="auto" w:fill="auto"/>
      <w:spacing w:after="55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17">
    <w:name w:val="正文文本 (2)"/>
    <w:basedOn w:val="Normal"/>
    <w:link w:val="CharStyle18"/>
    <w:pPr>
      <w:widowControl w:val="0"/>
      <w:shd w:val="clear" w:color="auto" w:fill="auto"/>
      <w:spacing w:after="80" w:line="629"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20">
    <w:name w:val="目录"/>
    <w:basedOn w:val="Normal"/>
    <w:link w:val="CharStyle21"/>
    <w:pPr>
      <w:widowControl w:val="0"/>
      <w:shd w:val="clear" w:color="auto" w:fill="auto"/>
      <w:spacing w:after="260"/>
    </w:pPr>
    <w:rPr>
      <w:rFonts w:ascii="SimSun" w:eastAsia="SimSun" w:hAnsi="SimSun" w:cs="SimSun"/>
      <w:b/>
      <w:bCs/>
      <w:i w:val="0"/>
      <w:iCs w:val="0"/>
      <w:smallCaps w:val="0"/>
      <w:strike w:val="0"/>
      <w:sz w:val="20"/>
      <w:szCs w:val="20"/>
      <w:u w:val="none"/>
      <w:shd w:val="clear" w:color="auto" w:fill="auto"/>
    </w:rPr>
  </w:style>
  <w:style w:type="paragraph" w:customStyle="1" w:styleId="Style25">
    <w:name w:val="标题 #3"/>
    <w:basedOn w:val="Normal"/>
    <w:link w:val="CharStyle26"/>
    <w:pPr>
      <w:widowControl w:val="0"/>
      <w:shd w:val="clear" w:color="auto" w:fill="auto"/>
      <w:spacing w:after="320"/>
      <w:outlineLvl w:val="2"/>
    </w:pPr>
    <w:rPr>
      <w:rFonts w:ascii="SimSun" w:eastAsia="SimSun" w:hAnsi="SimSun" w:cs="SimSun"/>
      <w:b/>
      <w:bCs/>
      <w:i w:val="0"/>
      <w:iCs w:val="0"/>
      <w:smallCaps w:val="0"/>
      <w:strike w:val="0"/>
      <w:sz w:val="22"/>
      <w:szCs w:val="22"/>
      <w:u w:val="none"/>
      <w:shd w:val="clear" w:color="auto" w:fill="auto"/>
    </w:rPr>
  </w:style>
  <w:style w:type="paragraph" w:customStyle="1" w:styleId="Style27">
    <w:name w:val="正文文本 (3)"/>
    <w:basedOn w:val="Normal"/>
    <w:link w:val="CharStyle28"/>
    <w:pPr>
      <w:widowControl w:val="0"/>
      <w:shd w:val="clear" w:color="auto" w:fill="auto"/>
      <w:spacing w:after="90"/>
    </w:pPr>
    <w:rPr>
      <w:rFonts w:ascii="SimSun" w:eastAsia="SimSun" w:hAnsi="SimSun" w:cs="SimSun"/>
      <w:b w:val="0"/>
      <w:bCs w:val="0"/>
      <w:i w:val="0"/>
      <w:iCs w:val="0"/>
      <w:smallCaps w:val="0"/>
      <w:strike w:val="0"/>
      <w:sz w:val="17"/>
      <w:szCs w:val="17"/>
      <w:u w:val="none"/>
      <w:shd w:val="clear" w:color="auto" w:fill="auto"/>
    </w:rPr>
  </w:style>
  <w:style w:type="paragraph" w:customStyle="1" w:styleId="Style31">
    <w:name w:val="表格标题"/>
    <w:basedOn w:val="Normal"/>
    <w:link w:val="CharStyle32"/>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35">
    <w:name w:val="正文文本"/>
    <w:basedOn w:val="Normal"/>
    <w:link w:val="CharStyle36"/>
    <w:pPr>
      <w:widowControl w:val="0"/>
      <w:shd w:val="clear" w:color="auto" w:fill="auto"/>
      <w:spacing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38">
    <w:name w:val="标题 #4"/>
    <w:basedOn w:val="Normal"/>
    <w:link w:val="CharStyle39"/>
    <w:pPr>
      <w:widowControl w:val="0"/>
      <w:shd w:val="clear" w:color="auto" w:fill="auto"/>
      <w:spacing w:line="480" w:lineRule="auto"/>
      <w:ind w:firstLine="44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50">
    <w:name w:val="正文文本 (7)"/>
    <w:basedOn w:val="Normal"/>
    <w:link w:val="CharStyle51"/>
    <w:pPr>
      <w:widowControl w:val="0"/>
      <w:shd w:val="clear" w:color="auto" w:fill="auto"/>
      <w:jc w:val="right"/>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52">
    <w:name w:val="页眉或页脚"/>
    <w:basedOn w:val="Normal"/>
    <w:link w:val="CharStyle5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59">
    <w:name w:val="正文文本 (6)"/>
    <w:basedOn w:val="Normal"/>
    <w:link w:val="CharStyle60"/>
    <w:pPr>
      <w:widowControl w:val="0"/>
      <w:shd w:val="clear" w:color="auto" w:fill="auto"/>
      <w:spacing w:after="240"/>
    </w:pPr>
    <w:rPr>
      <w:rFonts w:ascii="SimSun" w:eastAsia="SimSun" w:hAnsi="SimSun" w:cs="SimSun"/>
      <w:b w:val="0"/>
      <w:bCs w:val="0"/>
      <w:i w:val="0"/>
      <w:iCs w:val="0"/>
      <w:smallCaps w:val="0"/>
      <w:strike w:val="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header" Target="header6.xml"/><Relationship Id="rId16" Type="http://schemas.openxmlformats.org/officeDocument/2006/relationships/footer" Target="footer6.xml"/><Relationship Id="rId17" Type="http://schemas.openxmlformats.org/officeDocument/2006/relationships/image" Target="media/image1.jpeg"/><Relationship Id="rId18" Type="http://schemas.openxmlformats.org/officeDocument/2006/relationships/image" Target="media/image1.jpeg" TargetMode="External"/><Relationship Id="rId19" Type="http://schemas.openxmlformats.org/officeDocument/2006/relationships/image" Target="media/image2.png"/><Relationship Id="rId20" Type="http://schemas.openxmlformats.org/officeDocument/2006/relationships/image" Target="media/image2.png" TargetMode="External"/><Relationship Id="rId21" Type="http://schemas.openxmlformats.org/officeDocument/2006/relationships/image" Target="media/image3.png"/><Relationship Id="rId22" Type="http://schemas.openxmlformats.org/officeDocument/2006/relationships/image" Target="media/image3.png" TargetMode="External"/><Relationship Id="rId23" Type="http://schemas.openxmlformats.org/officeDocument/2006/relationships/image" Target="media/image4.png"/><Relationship Id="rId24" Type="http://schemas.openxmlformats.org/officeDocument/2006/relationships/image" Target="media/image4.png" TargetMode="External"/><Relationship Id="rId25" Type="http://schemas.openxmlformats.org/officeDocument/2006/relationships/image" Target="media/image5.png"/><Relationship Id="rId26" Type="http://schemas.openxmlformats.org/officeDocument/2006/relationships/image" Target="media/image5.png" TargetMode="External"/><Relationship Id="rId27" Type="http://schemas.openxmlformats.org/officeDocument/2006/relationships/image" Target="media/image6.png"/><Relationship Id="rId28" Type="http://schemas.openxmlformats.org/officeDocument/2006/relationships/image" Target="media/image6.png" TargetMode="External"/><Relationship Id="rId29" Type="http://schemas.openxmlformats.org/officeDocument/2006/relationships/image" Target="media/image7.png"/><Relationship Id="rId30" Type="http://schemas.openxmlformats.org/officeDocument/2006/relationships/image" Target="media/image7.png" TargetMode="External"/><Relationship Id="rId31" Type="http://schemas.openxmlformats.org/officeDocument/2006/relationships/image" Target="media/image8.png"/><Relationship Id="rId32" Type="http://schemas.openxmlformats.org/officeDocument/2006/relationships/image" Target="media/image8.png" TargetMode="External"/><Relationship Id="rId33" Type="http://schemas.openxmlformats.org/officeDocument/2006/relationships/image" Target="media/image9.png"/><Relationship Id="rId34" Type="http://schemas.openxmlformats.org/officeDocument/2006/relationships/image" Target="media/image9.png" TargetMode="External"/><Relationship Id="rId35" Type="http://schemas.openxmlformats.org/officeDocument/2006/relationships/image" Target="media/image10.png"/><Relationship Id="rId36" Type="http://schemas.openxmlformats.org/officeDocument/2006/relationships/image" Target="media/image10.png" TargetMode="External"/><Relationship Id="rId37" Type="http://schemas.openxmlformats.org/officeDocument/2006/relationships/image" Target="media/image11.png"/><Relationship Id="rId38" Type="http://schemas.openxmlformats.org/officeDocument/2006/relationships/image" Target="media/image11.png" TargetMode="External"/><Relationship Id="rId39" Type="http://schemas.openxmlformats.org/officeDocument/2006/relationships/image" Target="media/image12.png"/><Relationship Id="rId40" Type="http://schemas.openxmlformats.org/officeDocument/2006/relationships/image" Target="media/image12.png" TargetMode="External"/><Relationship Id="rId41" Type="http://schemas.openxmlformats.org/officeDocument/2006/relationships/image" Target="media/image13.png"/><Relationship Id="rId42" Type="http://schemas.openxmlformats.org/officeDocument/2006/relationships/image" Target="media/image13.png" TargetMode="External"/><Relationship Id="rId43" Type="http://schemas.openxmlformats.org/officeDocument/2006/relationships/image" Target="media/image14.png"/><Relationship Id="rId44" Type="http://schemas.openxmlformats.org/officeDocument/2006/relationships/image" Target="media/image14.png" TargetMode="External"/><Relationship Id="rId45" Type="http://schemas.openxmlformats.org/officeDocument/2006/relationships/image" Target="media/image15.png"/><Relationship Id="rId46" Type="http://schemas.openxmlformats.org/officeDocument/2006/relationships/image" Target="media/image15.png" TargetMode="External"/><Relationship Id="rId47" Type="http://schemas.openxmlformats.org/officeDocument/2006/relationships/image" Target="media/image16.png"/><Relationship Id="rId48" Type="http://schemas.openxmlformats.org/officeDocument/2006/relationships/image" Target="media/image16.png" TargetMode="External"/><Relationship Id="rId49" Type="http://schemas.openxmlformats.org/officeDocument/2006/relationships/image" Target="media/image17.png"/><Relationship Id="rId50" Type="http://schemas.openxmlformats.org/officeDocument/2006/relationships/image" Target="media/image17.png" TargetMode="External"/><Relationship Id="rId51" Type="http://schemas.openxmlformats.org/officeDocument/2006/relationships/image" Target="media/image18.png"/><Relationship Id="rId52" Type="http://schemas.openxmlformats.org/officeDocument/2006/relationships/image" Target="media/image18.png" TargetMode="External"/><Relationship Id="rId53" Type="http://schemas.openxmlformats.org/officeDocument/2006/relationships/image" Target="media/image19.png"/><Relationship Id="rId54" Type="http://schemas.openxmlformats.org/officeDocument/2006/relationships/image" Target="media/image19.png" TargetMode="External"/><Relationship Id="rId55" Type="http://schemas.openxmlformats.org/officeDocument/2006/relationships/image" Target="media/image20.png"/><Relationship Id="rId56" Type="http://schemas.openxmlformats.org/officeDocument/2006/relationships/image" Target="media/image20.png" TargetMode="External"/><Relationship Id="rId57" Type="http://schemas.openxmlformats.org/officeDocument/2006/relationships/image" Target="media/image21.png"/><Relationship Id="rId58" Type="http://schemas.openxmlformats.org/officeDocument/2006/relationships/image" Target="media/image21.png" TargetMode="External"/><Relationship Id="rId59" Type="http://schemas.openxmlformats.org/officeDocument/2006/relationships/image" Target="media/image22.png"/><Relationship Id="rId60" Type="http://schemas.openxmlformats.org/officeDocument/2006/relationships/image" Target="media/image22.png" TargetMode="External"/><Relationship Id="rId61" Type="http://schemas.openxmlformats.org/officeDocument/2006/relationships/image" Target="media/image23.png"/><Relationship Id="rId62" Type="http://schemas.openxmlformats.org/officeDocument/2006/relationships/image" Target="media/image23.png" TargetMode="External"/><Relationship Id="rId63" Type="http://schemas.openxmlformats.org/officeDocument/2006/relationships/image" Target="media/image24.png"/><Relationship Id="rId64" Type="http://schemas.openxmlformats.org/officeDocument/2006/relationships/image" Target="media/image24.png" TargetMode="External"/><Relationship Id="rId65" Type="http://schemas.openxmlformats.org/officeDocument/2006/relationships/image" Target="media/image25.png"/><Relationship Id="rId66" Type="http://schemas.openxmlformats.org/officeDocument/2006/relationships/image" Target="media/image25.png" TargetMode="External"/><Relationship Id="rId67" Type="http://schemas.openxmlformats.org/officeDocument/2006/relationships/image" Target="media/image26.png"/><Relationship Id="rId68" Type="http://schemas.openxmlformats.org/officeDocument/2006/relationships/image" Target="media/image26.png" TargetMode="External"/><Relationship Id="rId69" Type="http://schemas.openxmlformats.org/officeDocument/2006/relationships/image" Target="media/image27.png"/><Relationship Id="rId70" Type="http://schemas.openxmlformats.org/officeDocument/2006/relationships/image" Target="media/image27.png" TargetMode="External"/><Relationship Id="rId71" Type="http://schemas.openxmlformats.org/officeDocument/2006/relationships/image" Target="media/image28.png"/><Relationship Id="rId72" Type="http://schemas.openxmlformats.org/officeDocument/2006/relationships/image" Target="media/image28.png" TargetMode="External"/><Relationship Id="rId73" Type="http://schemas.openxmlformats.org/officeDocument/2006/relationships/image" Target="media/image29.png"/><Relationship Id="rId74" Type="http://schemas.openxmlformats.org/officeDocument/2006/relationships/image" Target="media/image29.png" TargetMode="External"/><Relationship Id="rId75" Type="http://schemas.openxmlformats.org/officeDocument/2006/relationships/image" Target="media/image30.png"/><Relationship Id="rId76" Type="http://schemas.openxmlformats.org/officeDocument/2006/relationships/image" Target="media/image30.png" TargetMode="External"/><Relationship Id="rId77" Type="http://schemas.openxmlformats.org/officeDocument/2006/relationships/image" Target="media/image31.png"/><Relationship Id="rId78" Type="http://schemas.openxmlformats.org/officeDocument/2006/relationships/image" Target="media/image31.png" TargetMode="External"/><Relationship Id="rId79" Type="http://schemas.openxmlformats.org/officeDocument/2006/relationships/image" Target="media/image32.png"/><Relationship Id="rId80" Type="http://schemas.openxmlformats.org/officeDocument/2006/relationships/image" Target="media/image32.png" TargetMode="External"/><Relationship Id="rId81" Type="http://schemas.openxmlformats.org/officeDocument/2006/relationships/image" Target="media/image33.png"/><Relationship Id="rId82" Type="http://schemas.openxmlformats.org/officeDocument/2006/relationships/image" Target="media/image33.png" TargetMode="External"/><Relationship Id="rId83" Type="http://schemas.openxmlformats.org/officeDocument/2006/relationships/image" Target="media/image34.png"/><Relationship Id="rId84" Type="http://schemas.openxmlformats.org/officeDocument/2006/relationships/image" Target="media/image34.png" TargetMode="External"/><Relationship Id="rId85" Type="http://schemas.openxmlformats.org/officeDocument/2006/relationships/image" Target="media/image35.png"/><Relationship Id="rId86" Type="http://schemas.openxmlformats.org/officeDocument/2006/relationships/image" Target="media/image35.png" TargetMode="External"/><Relationship Id="rId87" Type="http://schemas.openxmlformats.org/officeDocument/2006/relationships/image" Target="media/image36.png"/><Relationship Id="rId88" Type="http://schemas.openxmlformats.org/officeDocument/2006/relationships/image" Target="media/image36.png" TargetMode="External"/><Relationship Id="rId89" Type="http://schemas.openxmlformats.org/officeDocument/2006/relationships/image" Target="media/image37.png"/><Relationship Id="rId90" Type="http://schemas.openxmlformats.org/officeDocument/2006/relationships/image" Target="media/image37.png" TargetMode="External"/><Relationship Id="rId91" Type="http://schemas.openxmlformats.org/officeDocument/2006/relationships/image" Target="media/image38.png"/><Relationship Id="rId92" Type="http://schemas.openxmlformats.org/officeDocument/2006/relationships/image" Target="media/image38.png" TargetMode="External"/><Relationship Id="rId93" Type="http://schemas.openxmlformats.org/officeDocument/2006/relationships/image" Target="media/image39.png"/><Relationship Id="rId94" Type="http://schemas.openxmlformats.org/officeDocument/2006/relationships/image" Target="media/image39.png" TargetMode="External"/><Relationship Id="rId95" Type="http://schemas.openxmlformats.org/officeDocument/2006/relationships/image" Target="media/image40.png"/><Relationship Id="rId96" Type="http://schemas.openxmlformats.org/officeDocument/2006/relationships/image" Target="media/image40.png" TargetMode="External"/><Relationship Id="rId97" Type="http://schemas.openxmlformats.org/officeDocument/2006/relationships/image" Target="media/image41.png"/><Relationship Id="rId98" Type="http://schemas.openxmlformats.org/officeDocument/2006/relationships/image" Target="media/image41.png" TargetMode="External"/><Relationship Id="rId99" Type="http://schemas.openxmlformats.org/officeDocument/2006/relationships/image" Target="media/image42.png"/><Relationship Id="rId100" Type="http://schemas.openxmlformats.org/officeDocument/2006/relationships/image" Target="media/image42.png" TargetMode="External"/><Relationship Id="rId101" Type="http://schemas.openxmlformats.org/officeDocument/2006/relationships/image" Target="media/image43.png"/><Relationship Id="rId102" Type="http://schemas.openxmlformats.org/officeDocument/2006/relationships/image" Target="media/image43.png" TargetMode="External"/><Relationship Id="rId103" Type="http://schemas.openxmlformats.org/officeDocument/2006/relationships/image" Target="media/image44.png"/><Relationship Id="rId104" Type="http://schemas.openxmlformats.org/officeDocument/2006/relationships/image" Target="media/image44.png" TargetMode="External"/><Relationship Id="rId105" Type="http://schemas.openxmlformats.org/officeDocument/2006/relationships/image" Target="media/image45.png"/><Relationship Id="rId106" Type="http://schemas.openxmlformats.org/officeDocument/2006/relationships/image" Target="media/image45.png" TargetMode="External"/><Relationship Id="rId107" Type="http://schemas.openxmlformats.org/officeDocument/2006/relationships/image" Target="media/image46.png"/><Relationship Id="rId108" Type="http://schemas.openxmlformats.org/officeDocument/2006/relationships/image" Target="media/image46.png" TargetMode="External"/><Relationship Id="rId109" Type="http://schemas.openxmlformats.org/officeDocument/2006/relationships/image" Target="media/image47.png"/><Relationship Id="rId110" Type="http://schemas.openxmlformats.org/officeDocument/2006/relationships/image" Target="media/image47.png" TargetMode="External"/><Relationship Id="rId111" Type="http://schemas.openxmlformats.org/officeDocument/2006/relationships/image" Target="media/image48.png"/><Relationship Id="rId112" Type="http://schemas.openxmlformats.org/officeDocument/2006/relationships/image" Target="media/image48.png" TargetMode="External"/><Relationship Id="rId113" Type="http://schemas.openxmlformats.org/officeDocument/2006/relationships/image" Target="media/image49.png"/><Relationship Id="rId114" Type="http://schemas.openxmlformats.org/officeDocument/2006/relationships/image" Target="media/image49.png" TargetMode="External"/><Relationship Id="rId115" Type="http://schemas.openxmlformats.org/officeDocument/2006/relationships/image" Target="media/image50.png"/><Relationship Id="rId116" Type="http://schemas.openxmlformats.org/officeDocument/2006/relationships/image" Target="media/image50.png" TargetMode="External"/><Relationship Id="rId117" Type="http://schemas.openxmlformats.org/officeDocument/2006/relationships/image" Target="media/image51.png"/><Relationship Id="rId118" Type="http://schemas.openxmlformats.org/officeDocument/2006/relationships/image" Target="media/image51.png" TargetMode="External"/><Relationship Id="rId119" Type="http://schemas.openxmlformats.org/officeDocument/2006/relationships/image" Target="media/image52.png"/><Relationship Id="rId120" Type="http://schemas.openxmlformats.org/officeDocument/2006/relationships/image" Target="media/image52.png" TargetMode="External"/><Relationship Id="rId121" Type="http://schemas.openxmlformats.org/officeDocument/2006/relationships/image" Target="media/image53.png"/><Relationship Id="rId122" Type="http://schemas.openxmlformats.org/officeDocument/2006/relationships/image" Target="media/image53.png" TargetMode="External"/><Relationship Id="rId123" Type="http://schemas.openxmlformats.org/officeDocument/2006/relationships/image" Target="media/image54.png"/><Relationship Id="rId124" Type="http://schemas.openxmlformats.org/officeDocument/2006/relationships/image" Target="media/image54.png" TargetMode="External"/><Relationship Id="rId125" Type="http://schemas.openxmlformats.org/officeDocument/2006/relationships/image" Target="media/image55.png"/><Relationship Id="rId126" Type="http://schemas.openxmlformats.org/officeDocument/2006/relationships/image" Target="media/image55.png" TargetMode="External"/><Relationship Id="rId127" Type="http://schemas.openxmlformats.org/officeDocument/2006/relationships/image" Target="media/image56.png"/><Relationship Id="rId128" Type="http://schemas.openxmlformats.org/officeDocument/2006/relationships/image" Target="media/image56.png" TargetMode="External"/><Relationship Id="rId129" Type="http://schemas.openxmlformats.org/officeDocument/2006/relationships/image" Target="media/image57.png"/><Relationship Id="rId130" Type="http://schemas.openxmlformats.org/officeDocument/2006/relationships/image" Target="media/image57.png" TargetMode="External"/><Relationship Id="rId131" Type="http://schemas.openxmlformats.org/officeDocument/2006/relationships/image" Target="media/image58.png"/><Relationship Id="rId132" Type="http://schemas.openxmlformats.org/officeDocument/2006/relationships/image" Target="media/image58.png" TargetMode="External"/><Relationship Id="rId133" Type="http://schemas.openxmlformats.org/officeDocument/2006/relationships/image" Target="media/image59.png"/><Relationship Id="rId134" Type="http://schemas.openxmlformats.org/officeDocument/2006/relationships/image" Target="media/image59.png" TargetMode="External"/><Relationship Id="rId135" Type="http://schemas.openxmlformats.org/officeDocument/2006/relationships/image" Target="media/image60.png"/><Relationship Id="rId136" Type="http://schemas.openxmlformats.org/officeDocument/2006/relationships/image" Target="media/image60.png" TargetMode="External"/><Relationship Id="rId137" Type="http://schemas.openxmlformats.org/officeDocument/2006/relationships/image" Target="media/image61.png"/><Relationship Id="rId138" Type="http://schemas.openxmlformats.org/officeDocument/2006/relationships/image" Target="media/image61.png" TargetMode="External"/><Relationship Id="rId139" Type="http://schemas.openxmlformats.org/officeDocument/2006/relationships/image" Target="media/image62.png"/><Relationship Id="rId140" Type="http://schemas.openxmlformats.org/officeDocument/2006/relationships/image" Target="media/image62.png" TargetMode="External"/><Relationship Id="rId141" Type="http://schemas.openxmlformats.org/officeDocument/2006/relationships/image" Target="media/image63.png"/><Relationship Id="rId142" Type="http://schemas.openxmlformats.org/officeDocument/2006/relationships/image" Target="media/image63.png" TargetMode="External"/><Relationship Id="rId143" Type="http://schemas.openxmlformats.org/officeDocument/2006/relationships/image" Target="media/image64.png"/><Relationship Id="rId144" Type="http://schemas.openxmlformats.org/officeDocument/2006/relationships/image" Target="media/image64.png" TargetMode="External"/><Relationship Id="rId145" Type="http://schemas.openxmlformats.org/officeDocument/2006/relationships/image" Target="media/image65.png"/><Relationship Id="rId146" Type="http://schemas.openxmlformats.org/officeDocument/2006/relationships/image" Target="media/image65.png" TargetMode="External"/><Relationship Id="rId147" Type="http://schemas.openxmlformats.org/officeDocument/2006/relationships/image" Target="media/image66.png"/><Relationship Id="rId148" Type="http://schemas.openxmlformats.org/officeDocument/2006/relationships/image" Target="media/image66.png" TargetMode="External"/><Relationship Id="rId149" Type="http://schemas.openxmlformats.org/officeDocument/2006/relationships/image" Target="media/image67.png"/><Relationship Id="rId150" Type="http://schemas.openxmlformats.org/officeDocument/2006/relationships/image" Target="media/image67.png" TargetMode="External"/><Relationship Id="rId151" Type="http://schemas.openxmlformats.org/officeDocument/2006/relationships/image" Target="media/image68.png"/><Relationship Id="rId152" Type="http://schemas.openxmlformats.org/officeDocument/2006/relationships/image" Target="media/image68.png" TargetMode="External"/><Relationship Id="rId153" Type="http://schemas.openxmlformats.org/officeDocument/2006/relationships/image" Target="media/image69.png"/><Relationship Id="rId154" Type="http://schemas.openxmlformats.org/officeDocument/2006/relationships/image" Target="media/image69.png" TargetMode="External"/><Relationship Id="rId155" Type="http://schemas.openxmlformats.org/officeDocument/2006/relationships/image" Target="media/image70.png"/><Relationship Id="rId156" Type="http://schemas.openxmlformats.org/officeDocument/2006/relationships/image" Target="media/image70.png" TargetMode="External"/><Relationship Id="rId157" Type="http://schemas.openxmlformats.org/officeDocument/2006/relationships/image" Target="media/image71.png"/><Relationship Id="rId158" Type="http://schemas.openxmlformats.org/officeDocument/2006/relationships/image" Target="media/image71.png" TargetMode="External"/><Relationship Id="rId159" Type="http://schemas.openxmlformats.org/officeDocument/2006/relationships/image" Target="media/image72.png"/><Relationship Id="rId160" Type="http://schemas.openxmlformats.org/officeDocument/2006/relationships/image" Target="media/image72.png" TargetMode="External"/><Relationship Id="rId161" Type="http://schemas.openxmlformats.org/officeDocument/2006/relationships/image" Target="media/image73.png"/><Relationship Id="rId162" Type="http://schemas.openxmlformats.org/officeDocument/2006/relationships/image" Target="media/image73.png" TargetMode="External"/><Relationship Id="rId163" Type="http://schemas.openxmlformats.org/officeDocument/2006/relationships/image" Target="media/image74.png"/><Relationship Id="rId164" Type="http://schemas.openxmlformats.org/officeDocument/2006/relationships/image" Target="media/image74.png" TargetMode="External"/><Relationship Id="rId165" Type="http://schemas.openxmlformats.org/officeDocument/2006/relationships/image" Target="media/image75.png"/><Relationship Id="rId166" Type="http://schemas.openxmlformats.org/officeDocument/2006/relationships/image" Target="media/image75.png" TargetMode="External"/><Relationship Id="rId167" Type="http://schemas.openxmlformats.org/officeDocument/2006/relationships/image" Target="media/image76.png"/><Relationship Id="rId168" Type="http://schemas.openxmlformats.org/officeDocument/2006/relationships/image" Target="media/image76.png" TargetMode="External"/><Relationship Id="rId169" Type="http://schemas.openxmlformats.org/officeDocument/2006/relationships/image" Target="media/image77.png"/><Relationship Id="rId170" Type="http://schemas.openxmlformats.org/officeDocument/2006/relationships/image" Target="media/image77.png" TargetMode="External"/><Relationship Id="rId171" Type="http://schemas.openxmlformats.org/officeDocument/2006/relationships/image" Target="media/image78.png"/><Relationship Id="rId172" Type="http://schemas.openxmlformats.org/officeDocument/2006/relationships/image" Target="media/image78.png" TargetMode="External"/><Relationship Id="rId173" Type="http://schemas.openxmlformats.org/officeDocument/2006/relationships/image" Target="media/image79.png"/><Relationship Id="rId174" Type="http://schemas.openxmlformats.org/officeDocument/2006/relationships/image" Target="media/image79.png" TargetMode="External"/><Relationship Id="rId175" Type="http://schemas.openxmlformats.org/officeDocument/2006/relationships/image" Target="media/image80.png"/><Relationship Id="rId176" Type="http://schemas.openxmlformats.org/officeDocument/2006/relationships/image" Target="media/image80.png" TargetMode="External"/><Relationship Id="rId177" Type="http://schemas.openxmlformats.org/officeDocument/2006/relationships/image" Target="media/image81.png"/><Relationship Id="rId178" Type="http://schemas.openxmlformats.org/officeDocument/2006/relationships/image" Target="media/image81.png" TargetMode="External"/><Relationship Id="rId179" Type="http://schemas.openxmlformats.org/officeDocument/2006/relationships/image" Target="media/image82.png"/><Relationship Id="rId180" Type="http://schemas.openxmlformats.org/officeDocument/2006/relationships/image" Target="media/image82.png" TargetMode="External"/><Relationship Id="rId181" Type="http://schemas.openxmlformats.org/officeDocument/2006/relationships/image" Target="media/image83.png"/><Relationship Id="rId182" Type="http://schemas.openxmlformats.org/officeDocument/2006/relationships/image" Target="media/image83.png" TargetMode="External"/><Relationship Id="rId183" Type="http://schemas.openxmlformats.org/officeDocument/2006/relationships/image" Target="media/image84.png"/><Relationship Id="rId184" Type="http://schemas.openxmlformats.org/officeDocument/2006/relationships/image" Target="media/image84.png" TargetMode="External"/><Relationship Id="rId185" Type="http://schemas.openxmlformats.org/officeDocument/2006/relationships/image" Target="media/image85.png"/><Relationship Id="rId186" Type="http://schemas.openxmlformats.org/officeDocument/2006/relationships/image" Target="media/image85.png" TargetMode="External"/><Relationship Id="rId187" Type="http://schemas.openxmlformats.org/officeDocument/2006/relationships/image" Target="media/image86.png"/><Relationship Id="rId188" Type="http://schemas.openxmlformats.org/officeDocument/2006/relationships/image" Target="media/image86.png" TargetMode="External"/><Relationship Id="rId189" Type="http://schemas.openxmlformats.org/officeDocument/2006/relationships/image" Target="media/image87.png"/><Relationship Id="rId190" Type="http://schemas.openxmlformats.org/officeDocument/2006/relationships/image" Target="media/image87.png" TargetMode="External"/><Relationship Id="rId191" Type="http://schemas.openxmlformats.org/officeDocument/2006/relationships/image" Target="media/image88.png"/><Relationship Id="rId192" Type="http://schemas.openxmlformats.org/officeDocument/2006/relationships/image" Target="media/image88.png" TargetMode="External"/><Relationship Id="rId193" Type="http://schemas.openxmlformats.org/officeDocument/2006/relationships/image" Target="media/image89.png"/><Relationship Id="rId194" Type="http://schemas.openxmlformats.org/officeDocument/2006/relationships/image" Target="media/image89.png" TargetMode="External"/><Relationship Id="rId195" Type="http://schemas.openxmlformats.org/officeDocument/2006/relationships/image" Target="media/image90.png"/><Relationship Id="rId196" Type="http://schemas.openxmlformats.org/officeDocument/2006/relationships/image" Target="media/image90.png" TargetMode="External"/><Relationship Id="rId197" Type="http://schemas.openxmlformats.org/officeDocument/2006/relationships/image" Target="media/image91.png"/><Relationship Id="rId198" Type="http://schemas.openxmlformats.org/officeDocument/2006/relationships/image" Target="media/image91.png" TargetMode="External"/><Relationship Id="rId199" Type="http://schemas.openxmlformats.org/officeDocument/2006/relationships/image" Target="media/image92.png"/><Relationship Id="rId200" Type="http://schemas.openxmlformats.org/officeDocument/2006/relationships/image" Target="media/image92.png" TargetMode="External"/><Relationship Id="rId201" Type="http://schemas.openxmlformats.org/officeDocument/2006/relationships/image" Target="media/image93.png"/><Relationship Id="rId202" Type="http://schemas.openxmlformats.org/officeDocument/2006/relationships/image" Target="media/image93.png" TargetMode="External"/><Relationship Id="rId203" Type="http://schemas.openxmlformats.org/officeDocument/2006/relationships/image" Target="media/image94.png"/><Relationship Id="rId204" Type="http://schemas.openxmlformats.org/officeDocument/2006/relationships/image" Target="media/image94.png" TargetMode="External"/><Relationship Id="rId205" Type="http://schemas.openxmlformats.org/officeDocument/2006/relationships/image" Target="media/image95.png"/><Relationship Id="rId206" Type="http://schemas.openxmlformats.org/officeDocument/2006/relationships/image" Target="media/image95.png" TargetMode="External"/><Relationship Id="rId207" Type="http://schemas.openxmlformats.org/officeDocument/2006/relationships/image" Target="media/image96.png"/><Relationship Id="rId208" Type="http://schemas.openxmlformats.org/officeDocument/2006/relationships/image" Target="media/image96.png" TargetMode="External"/><Relationship Id="rId209" Type="http://schemas.openxmlformats.org/officeDocument/2006/relationships/image" Target="media/image97.png"/><Relationship Id="rId210" Type="http://schemas.openxmlformats.org/officeDocument/2006/relationships/image" Target="media/image97.png" TargetMode="External"/><Relationship Id="rId211" Type="http://schemas.openxmlformats.org/officeDocument/2006/relationships/image" Target="media/image98.png"/><Relationship Id="rId212" Type="http://schemas.openxmlformats.org/officeDocument/2006/relationships/image" Target="media/image98.png" TargetMode="External"/><Relationship Id="rId213" Type="http://schemas.openxmlformats.org/officeDocument/2006/relationships/image" Target="media/image99.png"/><Relationship Id="rId214" Type="http://schemas.openxmlformats.org/officeDocument/2006/relationships/image" Target="media/image99.png" TargetMode="External"/><Relationship Id="rId215" Type="http://schemas.openxmlformats.org/officeDocument/2006/relationships/image" Target="media/image100.png"/><Relationship Id="rId216" Type="http://schemas.openxmlformats.org/officeDocument/2006/relationships/image" Target="media/image100.png" TargetMode="External"/><Relationship Id="rId217" Type="http://schemas.openxmlformats.org/officeDocument/2006/relationships/image" Target="media/image101.png"/><Relationship Id="rId218" Type="http://schemas.openxmlformats.org/officeDocument/2006/relationships/image" Target="media/image101.png" TargetMode="External"/><Relationship Id="rId219" Type="http://schemas.openxmlformats.org/officeDocument/2006/relationships/image" Target="media/image102.png"/><Relationship Id="rId220" Type="http://schemas.openxmlformats.org/officeDocument/2006/relationships/image" Target="media/image102.png" TargetMode="External"/><Relationship Id="rId221" Type="http://schemas.openxmlformats.org/officeDocument/2006/relationships/image" Target="media/image103.png"/><Relationship Id="rId222" Type="http://schemas.openxmlformats.org/officeDocument/2006/relationships/image" Target="media/image103.png" TargetMode="External"/><Relationship Id="rId223" Type="http://schemas.openxmlformats.org/officeDocument/2006/relationships/image" Target="media/image104.png"/><Relationship Id="rId224" Type="http://schemas.openxmlformats.org/officeDocument/2006/relationships/image" Target="media/image104.png" TargetMode="External"/><Relationship Id="rId225" Type="http://schemas.openxmlformats.org/officeDocument/2006/relationships/image" Target="media/image105.png"/><Relationship Id="rId226" Type="http://schemas.openxmlformats.org/officeDocument/2006/relationships/image" Target="media/image105.png" TargetMode="External"/><Relationship Id="rId227" Type="http://schemas.openxmlformats.org/officeDocument/2006/relationships/image" Target="media/image106.png"/><Relationship Id="rId228" Type="http://schemas.openxmlformats.org/officeDocument/2006/relationships/image" Target="media/image106.png" TargetMode="External"/><Relationship Id="rId229" Type="http://schemas.openxmlformats.org/officeDocument/2006/relationships/image" Target="media/image107.png"/><Relationship Id="rId230" Type="http://schemas.openxmlformats.org/officeDocument/2006/relationships/image" Target="media/image107.png" TargetMode="External"/><Relationship Id="rId231" Type="http://schemas.openxmlformats.org/officeDocument/2006/relationships/image" Target="media/image108.png"/><Relationship Id="rId232" Type="http://schemas.openxmlformats.org/officeDocument/2006/relationships/image" Target="media/image108.png" TargetMode="External"/><Relationship Id="rId233" Type="http://schemas.openxmlformats.org/officeDocument/2006/relationships/image" Target="media/image109.png"/><Relationship Id="rId234" Type="http://schemas.openxmlformats.org/officeDocument/2006/relationships/image" Target="media/image109.png" TargetMode="External"/><Relationship Id="rId235" Type="http://schemas.openxmlformats.org/officeDocument/2006/relationships/image" Target="media/image110.png"/><Relationship Id="rId236" Type="http://schemas.openxmlformats.org/officeDocument/2006/relationships/image" Target="media/image110.png" TargetMode="External"/><Relationship Id="rId237" Type="http://schemas.openxmlformats.org/officeDocument/2006/relationships/image" Target="media/image111.png"/><Relationship Id="rId238" Type="http://schemas.openxmlformats.org/officeDocument/2006/relationships/image" Target="media/image111.png" TargetMode="External"/><Relationship Id="rId239" Type="http://schemas.openxmlformats.org/officeDocument/2006/relationships/image" Target="media/image112.png"/><Relationship Id="rId240" Type="http://schemas.openxmlformats.org/officeDocument/2006/relationships/image" Target="media/image112.png" TargetMode="External"/><Relationship Id="rId241" Type="http://schemas.openxmlformats.org/officeDocument/2006/relationships/image" Target="media/image113.png"/><Relationship Id="rId242" Type="http://schemas.openxmlformats.org/officeDocument/2006/relationships/image" Target="media/image113.png" TargetMode="External"/><Relationship Id="rId243" Type="http://schemas.openxmlformats.org/officeDocument/2006/relationships/image" Target="media/image114.png"/><Relationship Id="rId244" Type="http://schemas.openxmlformats.org/officeDocument/2006/relationships/image" Target="media/image114.png" TargetMode="External"/><Relationship Id="rId245" Type="http://schemas.openxmlformats.org/officeDocument/2006/relationships/image" Target="media/image115.png"/><Relationship Id="rId246" Type="http://schemas.openxmlformats.org/officeDocument/2006/relationships/image" Target="media/image115.png" TargetMode="External"/><Relationship Id="rId247" Type="http://schemas.openxmlformats.org/officeDocument/2006/relationships/image" Target="media/image116.png"/><Relationship Id="rId248" Type="http://schemas.openxmlformats.org/officeDocument/2006/relationships/image" Target="media/image116.png" TargetMode="External"/><Relationship Id="rId249" Type="http://schemas.openxmlformats.org/officeDocument/2006/relationships/image" Target="media/image117.png"/><Relationship Id="rId250" Type="http://schemas.openxmlformats.org/officeDocument/2006/relationships/image" Target="media/image117.png" TargetMode="External"/><Relationship Id="rId251" Type="http://schemas.openxmlformats.org/officeDocument/2006/relationships/image" Target="media/image118.png"/><Relationship Id="rId252" Type="http://schemas.openxmlformats.org/officeDocument/2006/relationships/image" Target="media/image118.png" TargetMode="External"/><Relationship Id="rId253" Type="http://schemas.openxmlformats.org/officeDocument/2006/relationships/header" Target="header7.xml"/><Relationship Id="rId254" Type="http://schemas.openxmlformats.org/officeDocument/2006/relationships/footer" Target="footer7.xml"/><Relationship Id="rId255" Type="http://schemas.openxmlformats.org/officeDocument/2006/relationships/header" Target="header8.xml"/><Relationship Id="rId256" Type="http://schemas.openxmlformats.org/officeDocument/2006/relationships/footer" Target="footer8.xml"/><Relationship Id="rId257" Type="http://schemas.openxmlformats.org/officeDocument/2006/relationships/image" Target="media/image119.png"/><Relationship Id="rId258" Type="http://schemas.openxmlformats.org/officeDocument/2006/relationships/image" Target="media/image119.png" TargetMode="External"/><Relationship Id="rId259" Type="http://schemas.openxmlformats.org/officeDocument/2006/relationships/image" Target="media/image120.png"/><Relationship Id="rId260" Type="http://schemas.openxmlformats.org/officeDocument/2006/relationships/image" Target="media/image120.png" TargetMode="External"/><Relationship Id="rId261" Type="http://schemas.openxmlformats.org/officeDocument/2006/relationships/image" Target="media/image121.png"/><Relationship Id="rId262" Type="http://schemas.openxmlformats.org/officeDocument/2006/relationships/image" Target="media/image121.png" TargetMode="External"/><Relationship Id="rId263" Type="http://schemas.openxmlformats.org/officeDocument/2006/relationships/image" Target="media/image122.png"/><Relationship Id="rId264" Type="http://schemas.openxmlformats.org/officeDocument/2006/relationships/image" Target="media/image122.png" TargetMode="External"/><Relationship Id="rId265" Type="http://schemas.openxmlformats.org/officeDocument/2006/relationships/image" Target="media/image123.png"/><Relationship Id="rId266" Type="http://schemas.openxmlformats.org/officeDocument/2006/relationships/image" Target="media/image123.png" TargetMode="External"/><Relationship Id="rId267" Type="http://schemas.openxmlformats.org/officeDocument/2006/relationships/image" Target="media/image124.png"/><Relationship Id="rId268" Type="http://schemas.openxmlformats.org/officeDocument/2006/relationships/image" Target="media/image124.png" TargetMode="External"/><Relationship Id="rId269" Type="http://schemas.openxmlformats.org/officeDocument/2006/relationships/image" Target="media/image125.png"/><Relationship Id="rId270" Type="http://schemas.openxmlformats.org/officeDocument/2006/relationships/image" Target="media/image125.png" TargetMode="External"/><Relationship Id="rId271" Type="http://schemas.openxmlformats.org/officeDocument/2006/relationships/image" Target="media/image126.png"/><Relationship Id="rId272" Type="http://schemas.openxmlformats.org/officeDocument/2006/relationships/image" Target="media/image126.png" TargetMode="External"/><Relationship Id="rId273" Type="http://schemas.openxmlformats.org/officeDocument/2006/relationships/image" Target="media/image127.png"/><Relationship Id="rId274" Type="http://schemas.openxmlformats.org/officeDocument/2006/relationships/image" Target="media/image127.png" TargetMode="External"/><Relationship Id="rId275" Type="http://schemas.openxmlformats.org/officeDocument/2006/relationships/image" Target="media/image128.png"/><Relationship Id="rId276" Type="http://schemas.openxmlformats.org/officeDocument/2006/relationships/image" Target="media/image128.png" TargetMode="External"/><Relationship Id="rId277" Type="http://schemas.openxmlformats.org/officeDocument/2006/relationships/image" Target="media/image129.png"/><Relationship Id="rId278" Type="http://schemas.openxmlformats.org/officeDocument/2006/relationships/image" Target="media/image129.png" TargetMode="External"/><Relationship Id="rId279" Type="http://schemas.openxmlformats.org/officeDocument/2006/relationships/image" Target="media/image130.png"/><Relationship Id="rId280" Type="http://schemas.openxmlformats.org/officeDocument/2006/relationships/image" Target="media/image130.png" TargetMode="External"/><Relationship Id="rId281" Type="http://schemas.openxmlformats.org/officeDocument/2006/relationships/image" Target="media/image131.png"/><Relationship Id="rId282" Type="http://schemas.openxmlformats.org/officeDocument/2006/relationships/image" Target="media/image131.png" TargetMode="External"/><Relationship Id="rId283" Type="http://schemas.openxmlformats.org/officeDocument/2006/relationships/image" Target="media/image132.png"/><Relationship Id="rId284" Type="http://schemas.openxmlformats.org/officeDocument/2006/relationships/image" Target="media/image132.png" TargetMode="External"/><Relationship Id="rId285" Type="http://schemas.openxmlformats.org/officeDocument/2006/relationships/image" Target="media/image133.png"/><Relationship Id="rId286" Type="http://schemas.openxmlformats.org/officeDocument/2006/relationships/image" Target="media/image133.png" TargetMode="External"/><Relationship Id="rId287" Type="http://schemas.openxmlformats.org/officeDocument/2006/relationships/image" Target="media/image134.png"/><Relationship Id="rId288" Type="http://schemas.openxmlformats.org/officeDocument/2006/relationships/image" Target="media/image134.png" TargetMode="External"/><Relationship Id="rId289" Type="http://schemas.openxmlformats.org/officeDocument/2006/relationships/image" Target="media/image135.png"/><Relationship Id="rId290" Type="http://schemas.openxmlformats.org/officeDocument/2006/relationships/image" Target="media/image135.png" TargetMode="External"/><Relationship Id="rId291" Type="http://schemas.openxmlformats.org/officeDocument/2006/relationships/image" Target="media/image136.png"/><Relationship Id="rId292" Type="http://schemas.openxmlformats.org/officeDocument/2006/relationships/image" Target="media/image136.png" TargetMode="External"/><Relationship Id="rId293" Type="http://schemas.openxmlformats.org/officeDocument/2006/relationships/image" Target="media/image137.png"/><Relationship Id="rId294" Type="http://schemas.openxmlformats.org/officeDocument/2006/relationships/image" Target="media/image137.png" TargetMode="External"/><Relationship Id="rId295" Type="http://schemas.openxmlformats.org/officeDocument/2006/relationships/image" Target="media/image138.png"/><Relationship Id="rId296" Type="http://schemas.openxmlformats.org/officeDocument/2006/relationships/image" Target="media/image138.png" TargetMode="External"/><Relationship Id="rId297" Type="http://schemas.openxmlformats.org/officeDocument/2006/relationships/image" Target="media/image139.png"/><Relationship Id="rId298" Type="http://schemas.openxmlformats.org/officeDocument/2006/relationships/image" Target="media/image139.png" TargetMode="External"/><Relationship Id="rId299" Type="http://schemas.openxmlformats.org/officeDocument/2006/relationships/image" Target="media/image140.png"/><Relationship Id="rId300" Type="http://schemas.openxmlformats.org/officeDocument/2006/relationships/image" Target="media/image140.png" TargetMode="External"/><Relationship Id="rId301" Type="http://schemas.openxmlformats.org/officeDocument/2006/relationships/image" Target="media/image141.png"/><Relationship Id="rId302" Type="http://schemas.openxmlformats.org/officeDocument/2006/relationships/image" Target="media/image141.png" TargetMode="External"/><Relationship Id="rId303" Type="http://schemas.openxmlformats.org/officeDocument/2006/relationships/image" Target="media/image142.png"/><Relationship Id="rId304" Type="http://schemas.openxmlformats.org/officeDocument/2006/relationships/image" Target="media/image142.png" TargetMode="External"/><Relationship Id="rId305" Type="http://schemas.openxmlformats.org/officeDocument/2006/relationships/image" Target="media/image143.png"/><Relationship Id="rId306" Type="http://schemas.openxmlformats.org/officeDocument/2006/relationships/image" Target="media/image143.png" TargetMode="External"/><Relationship Id="rId307" Type="http://schemas.openxmlformats.org/officeDocument/2006/relationships/image" Target="media/image144.png"/><Relationship Id="rId308" Type="http://schemas.openxmlformats.org/officeDocument/2006/relationships/image" Target="media/image144.png" TargetMode="External"/><Relationship Id="rId309" Type="http://schemas.openxmlformats.org/officeDocument/2006/relationships/image" Target="media/image145.png"/><Relationship Id="rId310" Type="http://schemas.openxmlformats.org/officeDocument/2006/relationships/image" Target="media/image145.png" TargetMode="External"/><Relationship Id="rId311" Type="http://schemas.openxmlformats.org/officeDocument/2006/relationships/image" Target="media/image146.png"/><Relationship Id="rId312" Type="http://schemas.openxmlformats.org/officeDocument/2006/relationships/image" Target="media/image146.png" TargetMode="External"/><Relationship Id="rId313" Type="http://schemas.openxmlformats.org/officeDocument/2006/relationships/image" Target="media/image147.png"/><Relationship Id="rId314" Type="http://schemas.openxmlformats.org/officeDocument/2006/relationships/image" Target="media/image147.png" TargetMode="External"/><Relationship Id="rId315" Type="http://schemas.openxmlformats.org/officeDocument/2006/relationships/image" Target="media/image148.png"/><Relationship Id="rId316" Type="http://schemas.openxmlformats.org/officeDocument/2006/relationships/image" Target="media/image148.png" TargetMode="External"/><Relationship Id="rId317" Type="http://schemas.openxmlformats.org/officeDocument/2006/relationships/image" Target="media/image149.png"/><Relationship Id="rId318" Type="http://schemas.openxmlformats.org/officeDocument/2006/relationships/image" Target="media/image149.png" TargetMode="External"/><Relationship Id="rId319" Type="http://schemas.openxmlformats.org/officeDocument/2006/relationships/image" Target="media/image150.png"/><Relationship Id="rId320" Type="http://schemas.openxmlformats.org/officeDocument/2006/relationships/image" Target="media/image150.png" TargetMode="External"/><Relationship Id="rId321" Type="http://schemas.openxmlformats.org/officeDocument/2006/relationships/image" Target="media/image151.png"/><Relationship Id="rId322" Type="http://schemas.openxmlformats.org/officeDocument/2006/relationships/image" Target="media/image151.png" TargetMode="External"/><Relationship Id="rId323" Type="http://schemas.openxmlformats.org/officeDocument/2006/relationships/image" Target="media/image152.png"/><Relationship Id="rId324" Type="http://schemas.openxmlformats.org/officeDocument/2006/relationships/image" Target="media/image152.png" TargetMode="External"/><Relationship Id="rId325" Type="http://schemas.openxmlformats.org/officeDocument/2006/relationships/image" Target="media/image153.png"/><Relationship Id="rId326" Type="http://schemas.openxmlformats.org/officeDocument/2006/relationships/image" Target="media/image153.png" TargetMode="External"/><Relationship Id="rId327" Type="http://schemas.openxmlformats.org/officeDocument/2006/relationships/image" Target="media/image154.png"/><Relationship Id="rId328" Type="http://schemas.openxmlformats.org/officeDocument/2006/relationships/image" Target="media/image154.png" TargetMode="External"/><Relationship Id="rId329" Type="http://schemas.openxmlformats.org/officeDocument/2006/relationships/image" Target="media/image155.png"/><Relationship Id="rId330" Type="http://schemas.openxmlformats.org/officeDocument/2006/relationships/image" Target="media/image155.png" TargetMode="External"/><Relationship Id="rId331" Type="http://schemas.openxmlformats.org/officeDocument/2006/relationships/image" Target="media/image156.png"/><Relationship Id="rId332" Type="http://schemas.openxmlformats.org/officeDocument/2006/relationships/image" Target="media/image156.png" TargetMode="External"/><Relationship Id="rId333" Type="http://schemas.openxmlformats.org/officeDocument/2006/relationships/image" Target="media/image157.png"/><Relationship Id="rId334" Type="http://schemas.openxmlformats.org/officeDocument/2006/relationships/image" Target="media/image157.png" TargetMode="External"/><Relationship Id="rId335" Type="http://schemas.openxmlformats.org/officeDocument/2006/relationships/image" Target="media/image158.png"/><Relationship Id="rId336" Type="http://schemas.openxmlformats.org/officeDocument/2006/relationships/image" Target="media/image158.png" TargetMode="External"/><Relationship Id="rId337" Type="http://schemas.openxmlformats.org/officeDocument/2006/relationships/image" Target="media/image159.png"/><Relationship Id="rId338" Type="http://schemas.openxmlformats.org/officeDocument/2006/relationships/image" Target="media/image159.png" TargetMode="External"/><Relationship Id="rId339" Type="http://schemas.openxmlformats.org/officeDocument/2006/relationships/image" Target="media/image160.png"/><Relationship Id="rId340" Type="http://schemas.openxmlformats.org/officeDocument/2006/relationships/image" Target="media/image160.png" TargetMode="External"/><Relationship Id="rId341" Type="http://schemas.openxmlformats.org/officeDocument/2006/relationships/image" Target="media/image161.png"/><Relationship Id="rId342" Type="http://schemas.openxmlformats.org/officeDocument/2006/relationships/image" Target="media/image161.png" TargetMode="External"/><Relationship Id="rId343" Type="http://schemas.openxmlformats.org/officeDocument/2006/relationships/image" Target="media/image162.png"/><Relationship Id="rId344" Type="http://schemas.openxmlformats.org/officeDocument/2006/relationships/image" Target="media/image162.png" TargetMode="External"/><Relationship Id="rId345" Type="http://schemas.openxmlformats.org/officeDocument/2006/relationships/image" Target="media/image163.png"/><Relationship Id="rId346" Type="http://schemas.openxmlformats.org/officeDocument/2006/relationships/image" Target="media/image163.png" TargetMode="External"/><Relationship Id="rId347" Type="http://schemas.openxmlformats.org/officeDocument/2006/relationships/image" Target="media/image164.png"/><Relationship Id="rId348" Type="http://schemas.openxmlformats.org/officeDocument/2006/relationships/image" Target="media/image164.png" TargetMode="External"/><Relationship Id="rId349" Type="http://schemas.openxmlformats.org/officeDocument/2006/relationships/image" Target="media/image165.png"/><Relationship Id="rId350" Type="http://schemas.openxmlformats.org/officeDocument/2006/relationships/image" Target="media/image165.png" TargetMode="External"/><Relationship Id="rId351" Type="http://schemas.openxmlformats.org/officeDocument/2006/relationships/image" Target="media/image166.png"/><Relationship Id="rId352" Type="http://schemas.openxmlformats.org/officeDocument/2006/relationships/image" Target="media/image166.png" TargetMode="External"/><Relationship Id="rId353" Type="http://schemas.openxmlformats.org/officeDocument/2006/relationships/image" Target="media/image167.png"/><Relationship Id="rId354" Type="http://schemas.openxmlformats.org/officeDocument/2006/relationships/image" Target="media/image167.png" TargetMode="External"/><Relationship Id="rId355" Type="http://schemas.openxmlformats.org/officeDocument/2006/relationships/image" Target="media/image168.png"/><Relationship Id="rId356" Type="http://schemas.openxmlformats.org/officeDocument/2006/relationships/image" Target="media/image168.png" TargetMode="External"/><Relationship Id="rId357" Type="http://schemas.openxmlformats.org/officeDocument/2006/relationships/image" Target="media/image169.png"/><Relationship Id="rId358" Type="http://schemas.openxmlformats.org/officeDocument/2006/relationships/image" Target="media/image169.png" TargetMode="External"/><Relationship Id="rId359" Type="http://schemas.openxmlformats.org/officeDocument/2006/relationships/image" Target="media/image170.png"/><Relationship Id="rId360" Type="http://schemas.openxmlformats.org/officeDocument/2006/relationships/image" Target="media/image170.png" TargetMode="External"/><Relationship Id="rId361" Type="http://schemas.openxmlformats.org/officeDocument/2006/relationships/image" Target="media/image171.png"/><Relationship Id="rId362" Type="http://schemas.openxmlformats.org/officeDocument/2006/relationships/image" Target="media/image171.png" TargetMode="External"/><Relationship Id="rId363" Type="http://schemas.openxmlformats.org/officeDocument/2006/relationships/image" Target="media/image172.png"/><Relationship Id="rId364" Type="http://schemas.openxmlformats.org/officeDocument/2006/relationships/image" Target="media/image172.png" TargetMode="External"/><Relationship Id="rId365" Type="http://schemas.openxmlformats.org/officeDocument/2006/relationships/image" Target="media/image173.png"/><Relationship Id="rId366" Type="http://schemas.openxmlformats.org/officeDocument/2006/relationships/image" Target="media/image173.png" TargetMode="External"/><Relationship Id="rId367" Type="http://schemas.openxmlformats.org/officeDocument/2006/relationships/image" Target="media/image174.png"/><Relationship Id="rId368" Type="http://schemas.openxmlformats.org/officeDocument/2006/relationships/image" Target="media/image174.png" TargetMode="External"/><Relationship Id="rId369" Type="http://schemas.openxmlformats.org/officeDocument/2006/relationships/image" Target="media/image175.png"/><Relationship Id="rId370" Type="http://schemas.openxmlformats.org/officeDocument/2006/relationships/image" Target="media/image175.png" TargetMode="External"/><Relationship Id="rId371" Type="http://schemas.openxmlformats.org/officeDocument/2006/relationships/image" Target="media/image176.png"/><Relationship Id="rId372" Type="http://schemas.openxmlformats.org/officeDocument/2006/relationships/image" Target="media/image176.png" TargetMode="External"/><Relationship Id="rId373" Type="http://schemas.openxmlformats.org/officeDocument/2006/relationships/image" Target="media/image177.png"/><Relationship Id="rId374" Type="http://schemas.openxmlformats.org/officeDocument/2006/relationships/image" Target="media/image177.png" TargetMode="External"/><Relationship Id="rId375" Type="http://schemas.openxmlformats.org/officeDocument/2006/relationships/image" Target="media/image178.png"/><Relationship Id="rId376" Type="http://schemas.openxmlformats.org/officeDocument/2006/relationships/image" Target="media/image178.png" TargetMode="External"/><Relationship Id="rId377" Type="http://schemas.openxmlformats.org/officeDocument/2006/relationships/image" Target="media/image179.png"/><Relationship Id="rId378" Type="http://schemas.openxmlformats.org/officeDocument/2006/relationships/image" Target="media/image179.png" TargetMode="External"/><Relationship Id="rId379" Type="http://schemas.openxmlformats.org/officeDocument/2006/relationships/image" Target="media/image180.png"/><Relationship Id="rId380" Type="http://schemas.openxmlformats.org/officeDocument/2006/relationships/image" Target="media/image180.png" TargetMode="External"/><Relationship Id="rId381" Type="http://schemas.openxmlformats.org/officeDocument/2006/relationships/image" Target="media/image181.png"/><Relationship Id="rId382" Type="http://schemas.openxmlformats.org/officeDocument/2006/relationships/image" Target="media/image181.png" TargetMode="External"/><Relationship Id="rId383" Type="http://schemas.openxmlformats.org/officeDocument/2006/relationships/image" Target="media/image182.png"/><Relationship Id="rId384" Type="http://schemas.openxmlformats.org/officeDocument/2006/relationships/image" Target="media/image182.png" TargetMode="External"/><Relationship Id="rId385" Type="http://schemas.openxmlformats.org/officeDocument/2006/relationships/image" Target="media/image183.png"/><Relationship Id="rId386" Type="http://schemas.openxmlformats.org/officeDocument/2006/relationships/image" Target="media/image183.png" TargetMode="External"/><Relationship Id="rId387" Type="http://schemas.openxmlformats.org/officeDocument/2006/relationships/image" Target="media/image184.png"/><Relationship Id="rId388" Type="http://schemas.openxmlformats.org/officeDocument/2006/relationships/image" Target="media/image184.png" TargetMode="External"/><Relationship Id="rId389" Type="http://schemas.openxmlformats.org/officeDocument/2006/relationships/image" Target="media/image185.png"/><Relationship Id="rId390" Type="http://schemas.openxmlformats.org/officeDocument/2006/relationships/image" Target="media/image185.png" TargetMode="External"/><Relationship Id="rId391" Type="http://schemas.openxmlformats.org/officeDocument/2006/relationships/image" Target="media/image186.png"/><Relationship Id="rId392" Type="http://schemas.openxmlformats.org/officeDocument/2006/relationships/image" Target="media/image186.png" TargetMode="External"/><Relationship Id="rId393" Type="http://schemas.openxmlformats.org/officeDocument/2006/relationships/image" Target="media/image187.png"/><Relationship Id="rId394" Type="http://schemas.openxmlformats.org/officeDocument/2006/relationships/image" Target="media/image187.png" TargetMode="External"/><Relationship Id="rId395" Type="http://schemas.openxmlformats.org/officeDocument/2006/relationships/image" Target="media/image188.png"/><Relationship Id="rId396" Type="http://schemas.openxmlformats.org/officeDocument/2006/relationships/image" Target="media/image188.png" TargetMode="External"/><Relationship Id="rId397" Type="http://schemas.openxmlformats.org/officeDocument/2006/relationships/image" Target="media/image189.png"/><Relationship Id="rId398" Type="http://schemas.openxmlformats.org/officeDocument/2006/relationships/image" Target="media/image189.png" TargetMode="External"/><Relationship Id="rId399" Type="http://schemas.openxmlformats.org/officeDocument/2006/relationships/image" Target="media/image190.png"/><Relationship Id="rId400" Type="http://schemas.openxmlformats.org/officeDocument/2006/relationships/image" Target="media/image190.png" TargetMode="External"/><Relationship Id="rId401" Type="http://schemas.openxmlformats.org/officeDocument/2006/relationships/image" Target="media/image191.png"/><Relationship Id="rId402" Type="http://schemas.openxmlformats.org/officeDocument/2006/relationships/image" Target="media/image191.png" TargetMode="External"/><Relationship Id="rId403" Type="http://schemas.openxmlformats.org/officeDocument/2006/relationships/image" Target="media/image192.png"/><Relationship Id="rId404" Type="http://schemas.openxmlformats.org/officeDocument/2006/relationships/image" Target="media/image192.png" TargetMode="External"/><Relationship Id="rId405" Type="http://schemas.openxmlformats.org/officeDocument/2006/relationships/image" Target="media/image193.png"/><Relationship Id="rId406" Type="http://schemas.openxmlformats.org/officeDocument/2006/relationships/image" Target="media/image193.png" TargetMode="External"/><Relationship Id="rId407" Type="http://schemas.openxmlformats.org/officeDocument/2006/relationships/image" Target="media/image194.png"/><Relationship Id="rId408" Type="http://schemas.openxmlformats.org/officeDocument/2006/relationships/image" Target="media/image194.png" TargetMode="External"/><Relationship Id="rId409" Type="http://schemas.openxmlformats.org/officeDocument/2006/relationships/image" Target="media/image195.png"/><Relationship Id="rId410" Type="http://schemas.openxmlformats.org/officeDocument/2006/relationships/image" Target="media/image195.png" TargetMode="External"/><Relationship Id="rId411" Type="http://schemas.openxmlformats.org/officeDocument/2006/relationships/image" Target="media/image196.png"/><Relationship Id="rId412" Type="http://schemas.openxmlformats.org/officeDocument/2006/relationships/image" Target="media/image196.png" TargetMode="External"/><Relationship Id="rId413" Type="http://schemas.openxmlformats.org/officeDocument/2006/relationships/image" Target="media/image197.png"/><Relationship Id="rId414" Type="http://schemas.openxmlformats.org/officeDocument/2006/relationships/image" Target="media/image197.png" TargetMode="External"/><Relationship Id="rId415" Type="http://schemas.openxmlformats.org/officeDocument/2006/relationships/image" Target="media/image198.png"/><Relationship Id="rId416" Type="http://schemas.openxmlformats.org/officeDocument/2006/relationships/image" Target="media/image198.png" TargetMode="External"/><Relationship Id="rId417" Type="http://schemas.openxmlformats.org/officeDocument/2006/relationships/image" Target="media/image199.png"/><Relationship Id="rId418" Type="http://schemas.openxmlformats.org/officeDocument/2006/relationships/image" Target="media/image199.png" TargetMode="External"/><Relationship Id="rId419" Type="http://schemas.openxmlformats.org/officeDocument/2006/relationships/image" Target="media/image200.png"/><Relationship Id="rId420" Type="http://schemas.openxmlformats.org/officeDocument/2006/relationships/image" Target="media/image200.png" TargetMode="External"/><Relationship Id="rId421" Type="http://schemas.openxmlformats.org/officeDocument/2006/relationships/image" Target="media/image201.png"/><Relationship Id="rId422" Type="http://schemas.openxmlformats.org/officeDocument/2006/relationships/image" Target="media/image201.png" TargetMode="External"/><Relationship Id="rId423" Type="http://schemas.openxmlformats.org/officeDocument/2006/relationships/image" Target="media/image202.png"/><Relationship Id="rId424" Type="http://schemas.openxmlformats.org/officeDocument/2006/relationships/image" Target="media/image202.png" TargetMode="External"/><Relationship Id="rId425" Type="http://schemas.openxmlformats.org/officeDocument/2006/relationships/image" Target="media/image203.png"/><Relationship Id="rId426" Type="http://schemas.openxmlformats.org/officeDocument/2006/relationships/image" Target="media/image203.png" TargetMode="External"/><Relationship Id="rId427" Type="http://schemas.openxmlformats.org/officeDocument/2006/relationships/image" Target="media/image204.png"/><Relationship Id="rId428" Type="http://schemas.openxmlformats.org/officeDocument/2006/relationships/image" Target="media/image204.png" TargetMode="External"/><Relationship Id="rId429" Type="http://schemas.openxmlformats.org/officeDocument/2006/relationships/image" Target="media/image205.png"/><Relationship Id="rId430" Type="http://schemas.openxmlformats.org/officeDocument/2006/relationships/image" Target="media/image205.png" TargetMode="External"/><Relationship Id="rId431" Type="http://schemas.openxmlformats.org/officeDocument/2006/relationships/image" Target="media/image206.png"/><Relationship Id="rId432" Type="http://schemas.openxmlformats.org/officeDocument/2006/relationships/image" Target="media/image206.png" TargetMode="External"/><Relationship Id="rId433" Type="http://schemas.openxmlformats.org/officeDocument/2006/relationships/image" Target="media/image207.png"/><Relationship Id="rId434" Type="http://schemas.openxmlformats.org/officeDocument/2006/relationships/image" Target="media/image207.png" TargetMode="External"/><Relationship Id="rId435" Type="http://schemas.openxmlformats.org/officeDocument/2006/relationships/image" Target="media/image208.png"/><Relationship Id="rId436" Type="http://schemas.openxmlformats.org/officeDocument/2006/relationships/image" Target="media/image208.png" TargetMode="External"/><Relationship Id="rId437" Type="http://schemas.openxmlformats.org/officeDocument/2006/relationships/image" Target="media/image209.png"/><Relationship Id="rId438" Type="http://schemas.openxmlformats.org/officeDocument/2006/relationships/image" Target="media/image209.png" TargetMode="External"/><Relationship Id="rId439" Type="http://schemas.openxmlformats.org/officeDocument/2006/relationships/image" Target="media/image210.png"/><Relationship Id="rId440" Type="http://schemas.openxmlformats.org/officeDocument/2006/relationships/image" Target="media/image210.png" TargetMode="External"/><Relationship Id="rId441" Type="http://schemas.openxmlformats.org/officeDocument/2006/relationships/image" Target="media/image211.png"/><Relationship Id="rId442" Type="http://schemas.openxmlformats.org/officeDocument/2006/relationships/image" Target="media/image211.png" TargetMode="External"/><Relationship Id="rId443" Type="http://schemas.openxmlformats.org/officeDocument/2006/relationships/image" Target="media/image212.png"/><Relationship Id="rId444" Type="http://schemas.openxmlformats.org/officeDocument/2006/relationships/image" Target="media/image212.png" TargetMode="External"/><Relationship Id="rId445" Type="http://schemas.openxmlformats.org/officeDocument/2006/relationships/image" Target="media/image213.png"/><Relationship Id="rId446" Type="http://schemas.openxmlformats.org/officeDocument/2006/relationships/image" Target="media/image213.png" TargetMode="External"/><Relationship Id="rId447" Type="http://schemas.openxmlformats.org/officeDocument/2006/relationships/image" Target="media/image214.png"/><Relationship Id="rId448" Type="http://schemas.openxmlformats.org/officeDocument/2006/relationships/image" Target="media/image214.png" TargetMode="External"/><Relationship Id="rId449" Type="http://schemas.openxmlformats.org/officeDocument/2006/relationships/image" Target="media/image215.png"/><Relationship Id="rId450" Type="http://schemas.openxmlformats.org/officeDocument/2006/relationships/image" Target="media/image215.png" TargetMode="External"/><Relationship Id="rId451" Type="http://schemas.openxmlformats.org/officeDocument/2006/relationships/image" Target="media/image216.png"/><Relationship Id="rId452" Type="http://schemas.openxmlformats.org/officeDocument/2006/relationships/image" Target="media/image216.png" TargetMode="External"/><Relationship Id="rId453" Type="http://schemas.openxmlformats.org/officeDocument/2006/relationships/image" Target="media/image217.png"/><Relationship Id="rId454" Type="http://schemas.openxmlformats.org/officeDocument/2006/relationships/image" Target="media/image217.png" TargetMode="External"/><Relationship Id="rId455" Type="http://schemas.openxmlformats.org/officeDocument/2006/relationships/image" Target="media/image218.png"/><Relationship Id="rId456" Type="http://schemas.openxmlformats.org/officeDocument/2006/relationships/image" Target="media/image218.png" TargetMode="External"/><Relationship Id="rId457" Type="http://schemas.openxmlformats.org/officeDocument/2006/relationships/image" Target="media/image219.png"/><Relationship Id="rId458" Type="http://schemas.openxmlformats.org/officeDocument/2006/relationships/image" Target="media/image219.png" TargetMode="External"/><Relationship Id="rId459" Type="http://schemas.openxmlformats.org/officeDocument/2006/relationships/image" Target="media/image220.png"/><Relationship Id="rId460" Type="http://schemas.openxmlformats.org/officeDocument/2006/relationships/image" Target="media/image220.png" TargetMode="External"/><Relationship Id="rId461" Type="http://schemas.openxmlformats.org/officeDocument/2006/relationships/image" Target="media/image221.png"/><Relationship Id="rId462" Type="http://schemas.openxmlformats.org/officeDocument/2006/relationships/image" Target="media/image221.png" TargetMode="External"/><Relationship Id="rId463" Type="http://schemas.openxmlformats.org/officeDocument/2006/relationships/image" Target="media/image222.png"/><Relationship Id="rId464" Type="http://schemas.openxmlformats.org/officeDocument/2006/relationships/image" Target="media/image222.png" TargetMode="External"/><Relationship Id="rId465" Type="http://schemas.openxmlformats.org/officeDocument/2006/relationships/image" Target="media/image223.png"/><Relationship Id="rId466" Type="http://schemas.openxmlformats.org/officeDocument/2006/relationships/image" Target="media/image223.png" TargetMode="External"/><Relationship Id="rId467" Type="http://schemas.openxmlformats.org/officeDocument/2006/relationships/image" Target="media/image224.png"/><Relationship Id="rId468" Type="http://schemas.openxmlformats.org/officeDocument/2006/relationships/image" Target="media/image224.png" TargetMode="External"/><Relationship Id="rId469" Type="http://schemas.openxmlformats.org/officeDocument/2006/relationships/image" Target="media/image225.png"/><Relationship Id="rId470" Type="http://schemas.openxmlformats.org/officeDocument/2006/relationships/image" Target="media/image225.png" TargetMode="External"/><Relationship Id="rId471" Type="http://schemas.openxmlformats.org/officeDocument/2006/relationships/image" Target="media/image226.png"/><Relationship Id="rId472" Type="http://schemas.openxmlformats.org/officeDocument/2006/relationships/image" Target="media/image226.png" TargetMode="External"/><Relationship Id="rId473" Type="http://schemas.openxmlformats.org/officeDocument/2006/relationships/image" Target="media/image227.png"/><Relationship Id="rId474" Type="http://schemas.openxmlformats.org/officeDocument/2006/relationships/image" Target="media/image227.png" TargetMode="External"/><Relationship Id="rId475" Type="http://schemas.openxmlformats.org/officeDocument/2006/relationships/image" Target="media/image228.png"/><Relationship Id="rId476" Type="http://schemas.openxmlformats.org/officeDocument/2006/relationships/image" Target="media/image228.png" TargetMode="External"/><Relationship Id="rId477" Type="http://schemas.openxmlformats.org/officeDocument/2006/relationships/image" Target="media/image229.png"/><Relationship Id="rId478" Type="http://schemas.openxmlformats.org/officeDocument/2006/relationships/image" Target="media/image229.png" TargetMode="External"/><Relationship Id="rId479" Type="http://schemas.openxmlformats.org/officeDocument/2006/relationships/image" Target="media/image230.png"/><Relationship Id="rId480" Type="http://schemas.openxmlformats.org/officeDocument/2006/relationships/image" Target="media/image230.png" TargetMode="External"/><Relationship Id="rId481" Type="http://schemas.openxmlformats.org/officeDocument/2006/relationships/image" Target="media/image231.png"/><Relationship Id="rId482" Type="http://schemas.openxmlformats.org/officeDocument/2006/relationships/image" Target="media/image231.png" TargetMode="External"/><Relationship Id="rId483" Type="http://schemas.openxmlformats.org/officeDocument/2006/relationships/image" Target="media/image232.png"/><Relationship Id="rId484" Type="http://schemas.openxmlformats.org/officeDocument/2006/relationships/image" Target="media/image232.png" TargetMode="External"/><Relationship Id="rId485" Type="http://schemas.openxmlformats.org/officeDocument/2006/relationships/image" Target="media/image233.png"/><Relationship Id="rId486" Type="http://schemas.openxmlformats.org/officeDocument/2006/relationships/image" Target="media/image233.png" TargetMode="External"/><Relationship Id="rId487" Type="http://schemas.openxmlformats.org/officeDocument/2006/relationships/image" Target="media/image234.png"/><Relationship Id="rId488" Type="http://schemas.openxmlformats.org/officeDocument/2006/relationships/image" Target="media/image234.png" TargetMode="External"/><Relationship Id="rId489" Type="http://schemas.openxmlformats.org/officeDocument/2006/relationships/image" Target="media/image235.png"/><Relationship Id="rId490" Type="http://schemas.openxmlformats.org/officeDocument/2006/relationships/image" Target="media/image235.png" TargetMode="External"/><Relationship Id="rId491" Type="http://schemas.openxmlformats.org/officeDocument/2006/relationships/image" Target="media/image236.png"/><Relationship Id="rId492" Type="http://schemas.openxmlformats.org/officeDocument/2006/relationships/image" Target="media/image236.png" TargetMode="External"/><Relationship Id="rId493" Type="http://schemas.openxmlformats.org/officeDocument/2006/relationships/image" Target="media/image237.png"/><Relationship Id="rId494" Type="http://schemas.openxmlformats.org/officeDocument/2006/relationships/image" Target="media/image237.png" TargetMode="External"/><Relationship Id="rId495" Type="http://schemas.openxmlformats.org/officeDocument/2006/relationships/image" Target="media/image238.png"/><Relationship Id="rId496" Type="http://schemas.openxmlformats.org/officeDocument/2006/relationships/image" Target="media/image238.png" TargetMode="External"/><Relationship Id="rId497" Type="http://schemas.openxmlformats.org/officeDocument/2006/relationships/image" Target="media/image239.png"/><Relationship Id="rId498" Type="http://schemas.openxmlformats.org/officeDocument/2006/relationships/image" Target="media/image239.png" TargetMode="External"/><Relationship Id="rId499" Type="http://schemas.openxmlformats.org/officeDocument/2006/relationships/image" Target="media/image240.png"/><Relationship Id="rId500" Type="http://schemas.openxmlformats.org/officeDocument/2006/relationships/image" Target="media/image240.png" TargetMode="External"/><Relationship Id="rId501" Type="http://schemas.openxmlformats.org/officeDocument/2006/relationships/image" Target="media/image241.png"/><Relationship Id="rId502" Type="http://schemas.openxmlformats.org/officeDocument/2006/relationships/image" Target="media/image241.png" TargetMode="External"/><Relationship Id="rId503" Type="http://schemas.openxmlformats.org/officeDocument/2006/relationships/image" Target="media/image242.png"/><Relationship Id="rId504" Type="http://schemas.openxmlformats.org/officeDocument/2006/relationships/image" Target="media/image242.png" TargetMode="External"/><Relationship Id="rId505" Type="http://schemas.openxmlformats.org/officeDocument/2006/relationships/image" Target="media/image243.png"/><Relationship Id="rId506" Type="http://schemas.openxmlformats.org/officeDocument/2006/relationships/image" Target="media/image243.png" TargetMode="External"/><Relationship Id="rId507" Type="http://schemas.openxmlformats.org/officeDocument/2006/relationships/image" Target="media/image244.png"/><Relationship Id="rId508" Type="http://schemas.openxmlformats.org/officeDocument/2006/relationships/image" Target="media/image244.png" TargetMode="External"/><Relationship Id="rId509" Type="http://schemas.openxmlformats.org/officeDocument/2006/relationships/image" Target="media/image245.png"/><Relationship Id="rId510" Type="http://schemas.openxmlformats.org/officeDocument/2006/relationships/image" Target="media/image245.png" TargetMode="External"/><Relationship Id="rId511" Type="http://schemas.openxmlformats.org/officeDocument/2006/relationships/image" Target="media/image246.png"/><Relationship Id="rId512" Type="http://schemas.openxmlformats.org/officeDocument/2006/relationships/image" Target="media/image246.png" TargetMode="External"/><Relationship Id="rId513" Type="http://schemas.openxmlformats.org/officeDocument/2006/relationships/header" Target="header9.xml"/><Relationship Id="rId514" Type="http://schemas.openxmlformats.org/officeDocument/2006/relationships/footer" Target="footer9.xml"/><Relationship Id="rId515" Type="http://schemas.openxmlformats.org/officeDocument/2006/relationships/header" Target="header10.xml"/><Relationship Id="rId516" Type="http://schemas.openxmlformats.org/officeDocument/2006/relationships/footer" Target="footer10.xml"/><Relationship Id="rId517" Type="http://schemas.openxmlformats.org/officeDocument/2006/relationships/header" Target="header11.xml"/><Relationship Id="rId518" Type="http://schemas.openxmlformats.org/officeDocument/2006/relationships/footer" Target="footer11.xml"/><Relationship Id="rId519" Type="http://schemas.openxmlformats.org/officeDocument/2006/relationships/header" Target="header12.xml"/><Relationship Id="rId520" Type="http://schemas.openxmlformats.org/officeDocument/2006/relationships/footer" Target="footer12.xml"/><Relationship Id="rId521" Type="http://schemas.openxmlformats.org/officeDocument/2006/relationships/header" Target="header13.xml"/><Relationship Id="rId522" Type="http://schemas.openxmlformats.org/officeDocument/2006/relationships/footer" Target="footer13.xml"/><Relationship Id="rId523" Type="http://schemas.openxmlformats.org/officeDocument/2006/relationships/header" Target="header14.xml"/><Relationship Id="rId524" Type="http://schemas.openxmlformats.org/officeDocument/2006/relationships/footer" Target="footer14.xml"/><Relationship Id="rId525" Type="http://schemas.openxmlformats.org/officeDocument/2006/relationships/header" Target="header15.xml"/><Relationship Id="rId526" Type="http://schemas.openxmlformats.org/officeDocument/2006/relationships/footer" Target="footer15.xml"/><Relationship Id="rId527" Type="http://schemas.openxmlformats.org/officeDocument/2006/relationships/header" Target="header16.xml"/><Relationship Id="rId528" Type="http://schemas.openxmlformats.org/officeDocument/2006/relationships/footer" Target="footer16.xml"/><Relationship Id="rId529" Type="http://schemas.openxmlformats.org/officeDocument/2006/relationships/header" Target="header17.xml"/><Relationship Id="rId530" Type="http://schemas.openxmlformats.org/officeDocument/2006/relationships/footer" Target="footer17.xml"/></Relationships>
</file>