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15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0335" cy="7334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0335" cy="733425"/>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423" w:right="2423" w:firstLine="0"/>
        <w:jc w:val="center"/>
        <w:rPr>
          <w:rFonts w:ascii="宋体" w:hAnsi="宋体" w:cs="宋体" w:eastAsia="宋体" w:hint="default"/>
          <w:sz w:val="36"/>
          <w:szCs w:val="36"/>
        </w:rPr>
      </w:pPr>
      <w:r>
        <w:rPr>
          <w:rFonts w:ascii="宋体" w:hAnsi="宋体" w:cs="宋体" w:eastAsia="宋体" w:hint="default"/>
          <w:b/>
          <w:bCs/>
          <w:sz w:val="36"/>
          <w:szCs w:val="36"/>
        </w:rPr>
        <w:t>蓝盾信息安全技术股份有限公司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3"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公司负责人柯宗贵、主管会计工作负责人魏树华及会计机构负责人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景丽声明：保证年度报告中财务报告的真实、准确、完整。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3"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公司基本情况简介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2">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71" w:val="right" w:leader="dot"/>
            </w:tabs>
            <w:spacing w:line="240" w:lineRule="auto"/>
            <w:ind w:left="154" w:right="0"/>
            <w:jc w:val="left"/>
            <w:rPr>
              <w:rFonts w:ascii="Times New Roman" w:hAnsi="Times New Roman" w:cs="Times New Roman" w:eastAsia="Times New Roman" w:hint="default"/>
              <w:b w:val="0"/>
              <w:bCs w:val="0"/>
            </w:rPr>
          </w:pPr>
          <w:hyperlink w:history="true" w:anchor="_bookmark3">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6">
            <w:r>
              <w:rPr/>
              <w:t>第七节 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7">
            <w:r>
              <w:rPr/>
              <w:t>第八节 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before="218"/>
            <w:ind w:left="154" w:right="0"/>
            <w:jc w:val="left"/>
            <w:rPr>
              <w:rFonts w:ascii="Times New Roman" w:hAnsi="Times New Roman" w:cs="Times New Roman" w:eastAsia="Times New Roman" w:hint="default"/>
              <w:b w:val="0"/>
              <w:bCs w:val="0"/>
            </w:rPr>
          </w:pPr>
          <w:hyperlink w:history="true" w:anchor="_bookmark8">
            <w:r>
              <w:rPr/>
              <w:t>第九节 财务报告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9">
            <w:r>
              <w:rPr/>
              <w:t>第十节 备查文件目录</w:t>
            </w:r>
            <w:r>
              <w:rPr>
                <w:rFonts w:ascii="Times New Roman" w:hAnsi="Times New Roman" w:cs="Times New Roman" w:eastAsia="Times New Roman" w:hint="default"/>
              </w:rPr>
              <w:tab/>
              <w:t>141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spacing w:before="946"/>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10"/>
        <w:gridCol w:w="5413"/>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公司、本公司、股份公司、蓝盾股份</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柯宗庆、柯宗贵兄弟二人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用于保证信息安全的各种软件产品和相关的软硬一体化产品。</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1"/>
              <w:ind w:left="16" w:right="9"/>
              <w:jc w:val="left"/>
              <w:rPr>
                <w:rFonts w:ascii="宋体" w:hAnsi="宋体" w:cs="宋体" w:eastAsia="宋体" w:hint="default"/>
                <w:sz w:val="18"/>
                <w:szCs w:val="18"/>
              </w:rPr>
            </w:pPr>
            <w:r>
              <w:rPr>
                <w:rFonts w:ascii="宋体" w:hAnsi="宋体" w:cs="宋体" w:eastAsia="宋体" w:hint="default"/>
                <w:spacing w:val="-2"/>
                <w:sz w:val="18"/>
                <w:szCs w:val="18"/>
              </w:rPr>
              <w:t>根据客户需求提供与信息安全相关的安全测评、技术支持、安全管理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咨询、系统维护、运营管理、安全培训、安全托管等内容。</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根据客户要求，为客户设置或组建能满足其个性化需求的信息安全系 统，提供从安全方案设计、方案实施、系统测试到系统验收的信息安 全整体解决方案，满足客户在系统集成中对信息安全的全方位需求。</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安全运营</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09" w:lineRule="auto" w:before="51"/>
              <w:ind w:left="16" w:right="9"/>
              <w:jc w:val="both"/>
              <w:rPr>
                <w:rFonts w:ascii="宋体" w:hAnsi="宋体" w:cs="宋体" w:eastAsia="宋体" w:hint="default"/>
                <w:sz w:val="18"/>
                <w:szCs w:val="18"/>
              </w:rPr>
            </w:pPr>
            <w:r>
              <w:rPr>
                <w:rFonts w:ascii="宋体" w:hAnsi="宋体" w:cs="宋体" w:eastAsia="宋体" w:hint="default"/>
                <w:spacing w:val="-2"/>
                <w:sz w:val="18"/>
                <w:szCs w:val="18"/>
              </w:rPr>
              <w:t>利用先进的云计算技术，搭建云安全综合运营平台，为客户提供诸如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网站安全防护等一系列服务，让客户得到</w:t>
            </w:r>
            <w:r>
              <w:rPr>
                <w:rFonts w:ascii="Times New Roman" w:hAnsi="Times New Roman" w:cs="Times New Roman" w:eastAsia="Times New Roman" w:hint="default"/>
                <w:sz w:val="18"/>
                <w:szCs w:val="18"/>
              </w:rPr>
              <w:t>"</w:t>
            </w:r>
            <w:r>
              <w:rPr>
                <w:rFonts w:ascii="宋体" w:hAnsi="宋体" w:cs="宋体" w:eastAsia="宋体" w:hint="default"/>
                <w:sz w:val="18"/>
                <w:szCs w:val="18"/>
              </w:rPr>
              <w:t>零部署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零维护</w:t>
            </w:r>
            <w:r>
              <w:rPr>
                <w:rFonts w:ascii="Times New Roman" w:hAnsi="Times New Roman" w:cs="Times New Roman" w:eastAsia="Times New Roman" w:hint="default"/>
                <w:sz w:val="18"/>
                <w:szCs w:val="18"/>
              </w:rPr>
              <w:t>"</w:t>
            </w:r>
            <w:r>
              <w:rPr>
                <w:rFonts w:ascii="宋体" w:hAnsi="宋体" w:cs="宋体" w:eastAsia="宋体" w:hint="default"/>
                <w:sz w:val="18"/>
                <w:szCs w:val="18"/>
              </w:rPr>
              <w:t>等一站 式的智能安全防护体验。</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1"/>
              <w:ind w:left="16" w:right="71"/>
              <w:jc w:val="left"/>
              <w:rPr>
                <w:rFonts w:ascii="宋体" w:hAnsi="宋体" w:cs="宋体" w:eastAsia="宋体" w:hint="default"/>
                <w:sz w:val="18"/>
                <w:szCs w:val="18"/>
              </w:rPr>
            </w:pPr>
            <w:r>
              <w:rPr>
                <w:rFonts w:ascii="宋体" w:hAnsi="宋体" w:cs="宋体" w:eastAsia="宋体" w:hint="default"/>
                <w:sz w:val="18"/>
                <w:szCs w:val="18"/>
              </w:rPr>
              <w:t>对信息系统、信息与信息的利用的固有属性</w:t>
            </w:r>
            <w:r>
              <w:rPr>
                <w:rFonts w:ascii="Times New Roman" w:hAnsi="Times New Roman" w:cs="Times New Roman" w:eastAsia="Times New Roman" w:hint="default"/>
                <w:sz w:val="18"/>
                <w:szCs w:val="18"/>
              </w:rPr>
              <w:t>(</w:t>
            </w:r>
            <w:r>
              <w:rPr>
                <w:rFonts w:ascii="宋体" w:hAnsi="宋体" w:cs="宋体" w:eastAsia="宋体" w:hint="default"/>
                <w:sz w:val="18"/>
                <w:szCs w:val="18"/>
              </w:rPr>
              <w:t>即</w:t>
            </w:r>
            <w:r>
              <w:rPr>
                <w:rFonts w:ascii="Times New Roman" w:hAnsi="Times New Roman" w:cs="Times New Roman" w:eastAsia="Times New Roman" w:hint="default"/>
                <w:sz w:val="18"/>
                <w:szCs w:val="18"/>
              </w:rPr>
              <w:t>"</w:t>
            </w:r>
            <w:r>
              <w:rPr>
                <w:rFonts w:ascii="宋体" w:hAnsi="宋体" w:cs="宋体" w:eastAsia="宋体" w:hint="default"/>
                <w:sz w:val="18"/>
                <w:szCs w:val="18"/>
              </w:rPr>
              <w:t>序</w:t>
            </w:r>
            <w:r>
              <w:rPr>
                <w:rFonts w:ascii="Times New Roman" w:hAnsi="Times New Roman" w:cs="Times New Roman" w:eastAsia="Times New Roman" w:hint="default"/>
                <w:sz w:val="18"/>
                <w:szCs w:val="18"/>
              </w:rPr>
              <w:t>")</w:t>
            </w:r>
            <w:r>
              <w:rPr>
                <w:rFonts w:ascii="宋体" w:hAnsi="宋体" w:cs="宋体" w:eastAsia="宋体" w:hint="default"/>
                <w:sz w:val="18"/>
                <w:szCs w:val="18"/>
              </w:rPr>
              <w:t>攻击与保护的过 程。</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动立方</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09" w:lineRule="auto" w:before="51"/>
              <w:ind w:left="16" w:right="12"/>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蓝盾信息安全技术股份有限公司集多年研发经验提出的产品设计理 念，即</w:t>
            </w:r>
            <w:r>
              <w:rPr>
                <w:rFonts w:ascii="Times New Roman" w:hAnsi="Times New Roman" w:cs="Times New Roman" w:eastAsia="Times New Roman" w:hint="default"/>
                <w:sz w:val="18"/>
                <w:szCs w:val="18"/>
              </w:rPr>
              <w:t>"</w:t>
            </w:r>
            <w:r>
              <w:rPr>
                <w:rFonts w:ascii="宋体" w:hAnsi="宋体" w:cs="宋体" w:eastAsia="宋体" w:hint="default"/>
                <w:sz w:val="18"/>
                <w:szCs w:val="18"/>
              </w:rPr>
              <w:t>主动、自动、联动</w:t>
            </w:r>
            <w:r>
              <w:rPr>
                <w:rFonts w:ascii="Times New Roman" w:hAnsi="Times New Roman" w:cs="Times New Roman" w:eastAsia="Times New Roman" w:hint="default"/>
                <w:sz w:val="18"/>
                <w:szCs w:val="18"/>
              </w:rPr>
              <w:t>"</w:t>
            </w:r>
            <w:r>
              <w:rPr>
                <w:rFonts w:ascii="宋体" w:hAnsi="宋体" w:cs="宋体" w:eastAsia="宋体" w:hint="default"/>
                <w:sz w:val="18"/>
                <w:szCs w:val="18"/>
              </w:rPr>
              <w:t>，建立主动防御、自动响应、联动管理的 网络安全防护体系。</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473"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防火墙</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1"/>
              <w:ind w:left="16" w:right="9"/>
              <w:jc w:val="both"/>
              <w:rPr>
                <w:rFonts w:ascii="宋体" w:hAnsi="宋体" w:cs="宋体" w:eastAsia="宋体" w:hint="default"/>
                <w:sz w:val="18"/>
                <w:szCs w:val="18"/>
              </w:rPr>
            </w:pPr>
            <w:r>
              <w:rPr>
                <w:rFonts w:ascii="宋体" w:hAnsi="宋体" w:cs="宋体" w:eastAsia="宋体" w:hint="default"/>
                <w:spacing w:val="-2"/>
                <w:sz w:val="18"/>
                <w:szCs w:val="18"/>
              </w:rPr>
              <w:t>是一种访问控制产品，它在内部网络与不安全的外部网络之间设置障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碍，阻止外界对内部资源的非法访问和内部对外部的不安全访问，能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有效防止对内部网络的攻击，并实现数据流的监控、过滤、记录和报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告功能，隔断内部网络与外部网络的连接。</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473"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入侵检测系统</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16" w:right="9"/>
              <w:jc w:val="both"/>
              <w:rPr>
                <w:rFonts w:ascii="宋体" w:hAnsi="宋体" w:cs="宋体" w:eastAsia="宋体" w:hint="default"/>
                <w:sz w:val="18"/>
                <w:szCs w:val="18"/>
              </w:rPr>
            </w:pPr>
            <w:r>
              <w:rPr>
                <w:rFonts w:ascii="宋体" w:hAnsi="宋体" w:cs="宋体" w:eastAsia="宋体" w:hint="default"/>
                <w:spacing w:val="-2"/>
                <w:sz w:val="18"/>
                <w:szCs w:val="18"/>
              </w:rPr>
              <w:t>依照一定的安全策略，对网络、系统的运行状况进行监视，尽可能发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现各种攻击企图、攻击行为或者攻击结果，以保证网络系统资源的机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密性、完整性和可用性。</w:t>
            </w:r>
          </w:p>
        </w:tc>
      </w:tr>
      <w:tr>
        <w:trPr>
          <w:trHeight w:val="393"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防止电磁场、电磁脉冲对各类信息、控制、通信和电子设备的攻击、 干扰和破坏，而采取的抑制防护的安全措施</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CE8CF"/>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CE8CF"/>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36"/>
        <w:gridCol w:w="59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石河子欣晟</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27" w:right="9"/>
              <w:jc w:val="left"/>
              <w:rPr>
                <w:rFonts w:ascii="宋体" w:hAnsi="宋体" w:cs="宋体" w:eastAsia="宋体" w:hint="default"/>
                <w:sz w:val="18"/>
                <w:szCs w:val="18"/>
              </w:rPr>
            </w:pPr>
            <w:r>
              <w:rPr>
                <w:rFonts w:ascii="宋体" w:hAnsi="宋体" w:cs="宋体" w:eastAsia="宋体" w:hint="default"/>
                <w:spacing w:val="-2"/>
                <w:sz w:val="18"/>
                <w:szCs w:val="18"/>
              </w:rPr>
              <w:t>石河子欣晟股权投资有限合伙企业，公司首发股东之一，原公司名称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为广州欣晟投资咨询有限公司</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CE8CF"/>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深圳博益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深圳市博益投资发展有限公司，公司首发股东之一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蓝盾学院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蓝盾乐庚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蓝盾移动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广东蓝盾移动互联网科技信息有限公司，公司全资子公司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纹歌科技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北京纹歌科技发展有限公司，公司的参股公司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华炜科技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本次交易</w:t>
            </w:r>
            <w:r>
              <w:rPr>
                <w:rFonts w:ascii="宋体" w:hAnsi="宋体" w:cs="宋体" w:eastAsia="宋体" w:hint="default"/>
                <w:sz w:val="18"/>
                <w:szCs w:val="18"/>
              </w:rPr>
              <w:t>/</w:t>
            </w:r>
            <w:r>
              <w:rPr>
                <w:rFonts w:ascii="宋体" w:hAnsi="宋体" w:cs="宋体" w:eastAsia="宋体" w:hint="default"/>
                <w:sz w:val="18"/>
                <w:szCs w:val="18"/>
              </w:rPr>
              <w:t>本次重大资产重组</w:t>
            </w:r>
            <w:r>
              <w:rPr>
                <w:rFonts w:ascii="宋体" w:hAnsi="宋体" w:cs="宋体" w:eastAsia="宋体" w:hint="default"/>
                <w:sz w:val="18"/>
                <w:szCs w:val="18"/>
              </w:rPr>
              <w:t>/</w:t>
            </w:r>
            <w:r>
              <w:rPr>
                <w:rFonts w:ascii="宋体" w:hAnsi="宋体" w:cs="宋体" w:eastAsia="宋体" w:hint="default"/>
                <w:sz w:val="18"/>
                <w:szCs w:val="18"/>
              </w:rPr>
              <w:t>本次重组</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27" w:right="158"/>
              <w:jc w:val="left"/>
              <w:rPr>
                <w:rFonts w:ascii="宋体" w:hAnsi="宋体" w:cs="宋体" w:eastAsia="宋体" w:hint="default"/>
                <w:sz w:val="18"/>
                <w:szCs w:val="18"/>
              </w:rPr>
            </w:pPr>
            <w:r>
              <w:rPr>
                <w:rFonts w:ascii="宋体" w:hAnsi="宋体" w:cs="宋体" w:eastAsia="宋体" w:hint="default"/>
                <w:sz w:val="18"/>
                <w:szCs w:val="18"/>
              </w:rPr>
              <w:t>公司向华炜科技全体股东以发行股份及支付现金的方式购买其持有 的华炜科技</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股权，同时募集配套资金</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CE8CF"/>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6"/>
        <w:gridCol w:w="2188"/>
      </w:tblGrid>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300297</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蓝盾股份</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Bluedon Information Security Technologies</w:t>
            </w:r>
            <w:r>
              <w:rPr>
                <w:rFonts w:ascii="Times New Roman"/>
                <w:spacing w:val="-25"/>
                <w:sz w:val="18"/>
              </w:rPr>
              <w:t> </w:t>
            </w:r>
            <w:r>
              <w:rPr>
                <w:rFonts w:ascii="Times New Roman"/>
                <w:sz w:val="18"/>
              </w:rPr>
              <w:t>Co.,Ltd</w:t>
            </w:r>
          </w:p>
        </w:tc>
      </w:tr>
      <w:tr>
        <w:trPr>
          <w:trHeight w:val="401"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BLUEDON</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柯宗贵</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510665</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www.bluedon.com</w:t>
              </w:r>
            </w:hyperlink>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stock@chinabluedon.cn</w:t>
              </w:r>
            </w:hyperlink>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93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肖泽燕</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020-85639340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020-85639340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lee_bluedon@163.com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zeyan_xiao@163.com</w:t>
              </w:r>
            </w:hyperlink>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4400002004846</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440106707689817</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shd w:val="clear" w:color="auto" w:fill="CCE8CF"/>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股份公司成立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440000000030094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440106707689817</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公开发行股票上市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440000000030094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440106707689817</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440000000030094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440106707689817</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440000000030094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440106707689817</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717736"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93"/>
        <w:gridCol w:w="1382"/>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524,904,499.06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395,366,353.03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345,203,862.94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306,702,505.37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249,656,361.15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192,196,870.75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32,184,186.88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11,447,579.90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50,935,148.86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41,189,310.62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36,215,550.23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67,789,424.88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35,302,789.86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31,963,282.74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58,090,774.13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9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32,450,891.51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12,743,389.75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48,848,198.87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35,544,858.85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49,937,839.99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35,472,526.83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0.1814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w:t>
            </w:r>
          </w:p>
        </w:tc>
      </w:tr>
      <w:tr>
        <w:trPr>
          <w:trHeight w:val="161" w:hRule="exact"/>
        </w:trPr>
        <w:tc>
          <w:tcPr>
            <w:tcW w:w="2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634" w:type="dxa"/>
            <w:tcBorders>
              <w:top w:val="nil" w:sz="6" w:space="0" w:color="auto"/>
              <w:left w:val="single" w:sz="4" w:space="0" w:color="000000"/>
              <w:bottom w:val="nil" w:sz="6" w:space="0" w:color="auto"/>
              <w:right w:val="single" w:sz="4" w:space="0" w:color="000000"/>
            </w:tcBorders>
            <w:shd w:val="clear" w:color="auto" w:fill="D2D2D2"/>
          </w:tcPr>
          <w:p>
            <w:pPr/>
          </w:p>
        </w:tc>
        <w:tc>
          <w:tcPr>
            <w:tcW w:w="17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vMerge/>
            <w:tcBorders>
              <w:left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3"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196,000,000.00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1,314,648,499.63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1,088,703,880.98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942,800,517.78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595,788,627.12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403,827,606.29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286,018,100.15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713,228,490.23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680,865,700.37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654,782,417.63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6.6815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二、非经常性损益的项目及金额" w:id="12"/>
      <w:bookmarkEnd w:id="12"/>
      <w:r>
        <w:rPr>
          <w:b w:val="0"/>
          <w:bCs w:val="0"/>
        </w:rPr>
      </w:r>
      <w:r>
        <w:rPr/>
        <w:t>二、非经常性损益的项目及金额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-2,363,337.31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-2,320.55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5,342,951.28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24,188,000.00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10,915,200.00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-2,165,720.21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-455,343.06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-39,261.50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324,971.80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2,149,119.34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1,631,042.69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2,851,898.35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19,219,892.99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9,242,575.26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3"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264"/>
        <w:gridCol w:w="2264"/>
        <w:gridCol w:w="5042"/>
      </w:tblGrid>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9"/>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5" w:right="0"/>
              <w:jc w:val="left"/>
              <w:rPr>
                <w:rFonts w:ascii="Times New Roman" w:hAnsi="Times New Roman" w:cs="Times New Roman" w:eastAsia="Times New Roman" w:hint="default"/>
                <w:sz w:val="18"/>
                <w:szCs w:val="18"/>
              </w:rPr>
            </w:pPr>
            <w:r>
              <w:rPr>
                <w:rFonts w:ascii="Times New Roman"/>
                <w:sz w:val="18"/>
              </w:rPr>
              <w:t>5,827,892.67</w:t>
            </w:r>
          </w:p>
        </w:tc>
        <w:tc>
          <w:tcPr>
            <w:tcW w:w="50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依据国家对软件行业的总体政策导向，预期软件增值税退税的税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收优惠政策将在较长时期内保持稳定，故定义为经常性损益。</w:t>
            </w:r>
          </w:p>
        </w:tc>
      </w:tr>
    </w:tbl>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三、重大风险提示" w:id="13"/>
      <w:bookmarkEnd w:id="13"/>
      <w:r>
        <w:rPr>
          <w:b w:val="0"/>
          <w:bCs w:val="0"/>
        </w:rPr>
      </w:r>
      <w:r>
        <w:rPr/>
        <w:t>三、重大风险提示</w:t>
      </w:r>
      <w:r>
        <w:rPr>
          <w:b w:val="0"/>
          <w:bCs w:val="0"/>
        </w:rPr>
      </w:r>
    </w:p>
    <w:p>
      <w:pPr>
        <w:spacing w:line="240" w:lineRule="auto" w:before="5"/>
        <w:rPr>
          <w:rFonts w:ascii="宋体" w:hAnsi="宋体" w:cs="宋体" w:eastAsia="宋体" w:hint="default"/>
          <w:b/>
          <w:bCs/>
          <w:sz w:val="31"/>
          <w:szCs w:val="31"/>
        </w:rPr>
      </w:pPr>
    </w:p>
    <w:p>
      <w:pPr>
        <w:pStyle w:val="BodyText"/>
        <w:spacing w:line="328" w:lineRule="auto"/>
        <w:ind w:left="573" w:right="0"/>
        <w:jc w:val="left"/>
      </w:pPr>
      <w:r>
        <w:rPr>
          <w:rFonts w:ascii="Times New Roman" w:hAnsi="Times New Roman" w:cs="Times New Roman" w:eastAsia="Times New Roman" w:hint="default"/>
        </w:rPr>
        <w:t>1</w:t>
      </w:r>
      <w:r>
        <w:rPr/>
        <w:t>、重组整合不及预期的风险 </w:t>
      </w:r>
      <w:r>
        <w:rPr>
          <w:spacing w:val="-1"/>
        </w:rPr>
        <w:t>本次重组的标的资产华炜科技</w:t>
      </w:r>
      <w:r>
        <w:rPr>
          <w:rFonts w:ascii="宋体" w:hAnsi="宋体" w:cs="宋体" w:eastAsia="宋体" w:hint="default"/>
          <w:spacing w:val="-1"/>
        </w:rPr>
        <w:t>100%</w:t>
      </w:r>
      <w:r>
        <w:rPr>
          <w:spacing w:val="-1"/>
        </w:rPr>
        <w:t>股权的过户手续及工商变更登记手续已全部办理完成，华炜科技已</w:t>
      </w:r>
    </w:p>
    <w:p>
      <w:pPr>
        <w:pStyle w:val="BodyText"/>
        <w:spacing w:line="240" w:lineRule="auto" w:before="48"/>
        <w:ind w:right="0"/>
        <w:jc w:val="left"/>
      </w:pPr>
      <w:r>
        <w:rPr/>
        <w:t>成为本公司的全资子公司。此次重组仍存在以下风险：</w:t>
      </w:r>
    </w:p>
    <w:p>
      <w:pPr>
        <w:pStyle w:val="BodyText"/>
        <w:spacing w:line="348" w:lineRule="auto" w:before="124"/>
        <w:ind w:left="154" w:right="217" w:firstLine="420"/>
        <w:jc w:val="left"/>
      </w:pPr>
      <w:r>
        <w:rPr/>
        <w:t>（</w:t>
      </w:r>
      <w:r>
        <w:rPr>
          <w:rFonts w:ascii="宋体" w:hAnsi="宋体" w:cs="宋体" w:eastAsia="宋体" w:hint="default"/>
        </w:rPr>
        <w:t>1</w:t>
      </w:r>
      <w:r>
        <w:rPr/>
        <w:t>）因未来市场环境变化，华炜科技可能出现实际经营成果与承诺业绩存在一定差异的情况，会影 响公司通过并购重组扩大经营规模和提升盈利能力的预期和效果；</w:t>
      </w:r>
    </w:p>
    <w:p>
      <w:pPr>
        <w:pStyle w:val="BodyText"/>
        <w:spacing w:line="348" w:lineRule="auto" w:before="31"/>
        <w:ind w:right="113" w:firstLine="420"/>
        <w:jc w:val="left"/>
      </w:pPr>
      <w:r>
        <w:rPr/>
        <w:t>（</w:t>
      </w:r>
      <w:r>
        <w:rPr>
          <w:rFonts w:ascii="宋体" w:hAnsi="宋体" w:cs="宋体" w:eastAsia="宋体" w:hint="default"/>
        </w:rPr>
        <w:t>2</w:t>
      </w:r>
      <w:r>
        <w:rPr/>
        <w:t>）并购重组给公司带来机遇的同时也带来了整合风险与挑战，公司与华炜科技在经营模式、管理 模式、企业文化、财务管理等方面尚需进一步融合，能否充分发挥本次交易的协同效应仍具有不确定性。</w:t>
      </w:r>
    </w:p>
    <w:p>
      <w:pPr>
        <w:pStyle w:val="BodyText"/>
        <w:spacing w:line="240" w:lineRule="auto" w:before="30"/>
        <w:ind w:left="574" w:right="0"/>
        <w:jc w:val="left"/>
      </w:pPr>
      <w:r>
        <w:rPr>
          <w:rFonts w:ascii="Times New Roman" w:hAnsi="Times New Roman" w:cs="Times New Roman" w:eastAsia="Times New Roman" w:hint="default"/>
        </w:rPr>
        <w:t>2</w:t>
      </w:r>
      <w:r>
        <w:rPr/>
        <w:t>、固定资产折旧、无形资产摊销及运营成本增加给公司经营业绩造成的风险</w:t>
      </w:r>
    </w:p>
    <w:p>
      <w:pPr>
        <w:pStyle w:val="BodyText"/>
        <w:spacing w:line="345" w:lineRule="auto" w:before="110"/>
        <w:ind w:left="154" w:right="151" w:firstLine="420"/>
        <w:jc w:val="both"/>
      </w:pPr>
      <w:r>
        <w:rPr>
          <w:rFonts w:ascii="Times New Roman" w:hAnsi="Times New Roman" w:cs="Times New Roman" w:eastAsia="Times New Roman" w:hint="default"/>
          <w:spacing w:val="-1"/>
        </w:rPr>
        <w:t>2014</w:t>
      </w:r>
      <w:r>
        <w:rPr>
          <w:spacing w:val="-1"/>
        </w:rPr>
        <w:t>年，公司的募投资项目陆续完成开发工作，有利于公司完善产品结构、提升服务质量。募投项目</w:t>
      </w:r>
      <w:r>
        <w:rPr/>
        <w:t> </w:t>
      </w:r>
      <w:r>
        <w:rPr>
          <w:spacing w:val="-1"/>
        </w:rPr>
        <w:t>建成后，公司每年将新增大量的固定资产折旧及无形资产摊销，虽然公司在对项目进行可行性研究时，已</w:t>
      </w:r>
      <w:r>
        <w:rPr>
          <w:spacing w:val="-83"/>
        </w:rPr>
        <w:t> </w:t>
      </w:r>
      <w:r>
        <w:rPr>
          <w:spacing w:val="-83"/>
        </w:rPr>
      </w:r>
      <w:r>
        <w:rPr>
          <w:spacing w:val="-1"/>
        </w:rPr>
        <w:t>经充分考虑了折旧、摊销费用等因素，同时这些费用也可通过提升经营业绩和项目利润予以消化，但若因</w:t>
      </w:r>
      <w:r>
        <w:rPr>
          <w:spacing w:val="-83"/>
        </w:rPr>
        <w:t> </w:t>
      </w:r>
      <w:r>
        <w:rPr>
          <w:spacing w:val="-83"/>
        </w:rPr>
      </w:r>
      <w:r>
        <w:rPr>
          <w:spacing w:val="-1"/>
        </w:rPr>
        <w:t>国家产业政策调整、市场需求变化等各种因素导致市场发生重大变化，使公司募投项目不能如期产生效益</w:t>
      </w:r>
      <w:r>
        <w:rPr>
          <w:spacing w:val="-81"/>
        </w:rPr>
        <w:t> </w:t>
      </w:r>
      <w:r>
        <w:rPr>
          <w:spacing w:val="-81"/>
        </w:rPr>
      </w:r>
      <w:r>
        <w:rPr/>
        <w:t>或实际收益低于盈亏平衡点的收益，则新增的折旧、摊销费用将对公司的经营业绩造成不利影响。</w:t>
      </w:r>
    </w:p>
    <w:p>
      <w:pPr>
        <w:pStyle w:val="BodyText"/>
        <w:spacing w:line="240" w:lineRule="auto" w:before="32"/>
        <w:ind w:left="574" w:right="0"/>
        <w:jc w:val="left"/>
      </w:pPr>
      <w:r>
        <w:rPr/>
        <w:t>另外，公司利用部分超募资金投资建设的蓝盾信息安全产业基地已验收并准备投入使用，而公司经营</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0" w:lineRule="auto"/>
        <w:ind w:left="573" w:right="0" w:hanging="420"/>
        <w:jc w:val="left"/>
      </w:pPr>
      <w:r>
        <w:rPr/>
        <w:t>办公场地的大幅增加，相应的运营维护成本也将有所增加，也会对公司的经营业绩造成一定影响。 </w:t>
      </w:r>
      <w:r>
        <w:rPr>
          <w:rFonts w:ascii="Times New Roman" w:hAnsi="Times New Roman" w:cs="Times New Roman" w:eastAsia="Times New Roman" w:hint="default"/>
        </w:rPr>
        <w:t>3</w:t>
      </w:r>
      <w:r>
        <w:rPr/>
        <w:t>、技术失密和核心技术人员流失的风险 </w:t>
      </w:r>
      <w:r>
        <w:rPr>
          <w:spacing w:val="-1"/>
        </w:rPr>
        <w:t>信息安全行业属知识密集型行业，行业内的市场竞争主要体现为产品科技含量和研发技术人员技术水</w:t>
      </w:r>
    </w:p>
    <w:p>
      <w:pPr>
        <w:pStyle w:val="BodyText"/>
        <w:spacing w:line="348" w:lineRule="auto" w:before="37"/>
        <w:ind w:right="151"/>
        <w:jc w:val="both"/>
      </w:pPr>
      <w:r>
        <w:rPr>
          <w:spacing w:val="-1"/>
        </w:rPr>
        <w:t>平的竞争。由于公司的技术水平处于行业领先地位，不排除出现竞争对手通过各种不正当手段窃取公司技</w:t>
      </w:r>
      <w:r>
        <w:rPr>
          <w:spacing w:val="-81"/>
        </w:rPr>
        <w:t> </w:t>
      </w:r>
      <w:r>
        <w:rPr>
          <w:spacing w:val="-81"/>
        </w:rPr>
      </w:r>
      <w:r>
        <w:rPr/>
        <w:t>术机密或争夺公司核心技术人员的情形。</w:t>
      </w:r>
    </w:p>
    <w:p>
      <w:pPr>
        <w:pStyle w:val="BodyText"/>
        <w:spacing w:line="328" w:lineRule="auto" w:before="31"/>
        <w:ind w:left="573" w:right="323"/>
        <w:jc w:val="left"/>
      </w:pPr>
      <w:r>
        <w:rPr>
          <w:rFonts w:ascii="Times New Roman" w:hAnsi="Times New Roman" w:cs="Times New Roman" w:eastAsia="Times New Roman" w:hint="default"/>
        </w:rPr>
        <w:t>4</w:t>
      </w:r>
      <w:r>
        <w:rPr/>
        <w:t>、技术开发和升级滞后的风险 信息安全领域涉及的专业技术门类较多，涉及到公司业务的技术主要包括计算机威胁检测与清除技</w:t>
      </w:r>
    </w:p>
    <w:p>
      <w:pPr>
        <w:pStyle w:val="BodyText"/>
        <w:spacing w:line="350" w:lineRule="auto" w:before="47"/>
        <w:ind w:right="151"/>
        <w:jc w:val="both"/>
      </w:pPr>
      <w:r>
        <w:rPr>
          <w:spacing w:val="-1"/>
        </w:rPr>
        <w:t>术、安全防护技术、安全审计技术、安全检测与监控技术、身份认证技术等，上述信息安全技术更新速度</w:t>
      </w:r>
      <w:r>
        <w:rPr>
          <w:spacing w:val="-83"/>
        </w:rPr>
        <w:t> </w:t>
      </w:r>
      <w:r>
        <w:rPr>
          <w:spacing w:val="-83"/>
        </w:rPr>
      </w:r>
      <w:r>
        <w:rPr>
          <w:spacing w:val="-1"/>
        </w:rPr>
        <w:t>快、生命周期短。为了保持竞争优势，公司必须准确预测业内技术发展趋势，及时将成熟、实用、先进的</w:t>
      </w:r>
      <w:r>
        <w:rPr>
          <w:spacing w:val="-83"/>
        </w:rPr>
        <w:t> </w:t>
      </w:r>
      <w:r>
        <w:rPr>
          <w:spacing w:val="-83"/>
        </w:rPr>
      </w:r>
      <w:r>
        <w:rPr>
          <w:spacing w:val="-1"/>
        </w:rPr>
        <w:t>技术用于自身产品的设计开发和技术升级。如果不能准确地把握行业技术的发展趋势，在技术开发方向的</w:t>
      </w:r>
      <w:r>
        <w:rPr>
          <w:spacing w:val="-81"/>
        </w:rPr>
        <w:t> </w:t>
      </w:r>
      <w:r>
        <w:rPr>
          <w:spacing w:val="-81"/>
        </w:rPr>
      </w:r>
      <w:r>
        <w:rPr>
          <w:spacing w:val="-1"/>
        </w:rPr>
        <w:t>决策上发生失误，或不能及时将新技术运用于业务的开发和升级，公司将可能丧失在技术研发和市场的领</w:t>
      </w:r>
      <w:r>
        <w:rPr>
          <w:spacing w:val="-81"/>
        </w:rPr>
        <w:t> </w:t>
      </w:r>
      <w:r>
        <w:rPr>
          <w:spacing w:val="-81"/>
        </w:rPr>
      </w:r>
      <w:r>
        <w:rPr/>
        <w:t>先地位。</w:t>
      </w:r>
    </w:p>
    <w:p>
      <w:pPr>
        <w:pStyle w:val="BodyText"/>
        <w:spacing w:line="328" w:lineRule="auto" w:before="28"/>
        <w:ind w:left="573" w:right="1163"/>
        <w:jc w:val="left"/>
      </w:pPr>
      <w:r>
        <w:rPr>
          <w:rFonts w:ascii="Times New Roman" w:hAnsi="Times New Roman" w:cs="Times New Roman" w:eastAsia="Times New Roman" w:hint="default"/>
        </w:rPr>
        <w:t>5</w:t>
      </w:r>
      <w:r>
        <w:rPr/>
        <w:t>、应收账款风险 由于公司部分合同执行期及结算周期较长，应收账款数额增加，有可能存在坏账的风险。</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应对措施：</w:t>
      </w:r>
    </w:p>
    <w:p>
      <w:pPr>
        <w:pStyle w:val="BodyText"/>
        <w:spacing w:line="340" w:lineRule="auto" w:before="124"/>
        <w:ind w:right="0" w:firstLine="420"/>
        <w:jc w:val="left"/>
      </w:pPr>
      <w:r>
        <w:rPr>
          <w:rFonts w:ascii="Times New Roman" w:hAnsi="Times New Roman" w:cs="Times New Roman" w:eastAsia="Times New Roman" w:hint="default"/>
        </w:rPr>
        <w:t>1</w:t>
      </w:r>
      <w:r>
        <w:rPr/>
        <w:t>、公司已形成了一整套规避主要经营风险的整合策略和措施。交易完成后公司将通过客户资源、人 </w:t>
      </w:r>
      <w:r>
        <w:rPr>
          <w:spacing w:val="-1"/>
        </w:rPr>
        <w:t>力资源、企业文化等一系列整合措施，充分调动子公司的积极性，加快并购协同效应的发挥，同时将加强</w:t>
      </w:r>
      <w:r>
        <w:rPr>
          <w:spacing w:val="-86"/>
        </w:rPr>
        <w:t> </w:t>
      </w:r>
      <w:r>
        <w:rPr>
          <w:spacing w:val="-86"/>
        </w:rPr>
      </w:r>
      <w:r>
        <w:rPr/>
        <w:t>子公司管理制度的执行，严格规范子公司运作和管理。</w:t>
      </w:r>
    </w:p>
    <w:p>
      <w:pPr>
        <w:pStyle w:val="BodyText"/>
        <w:spacing w:line="331" w:lineRule="auto" w:before="36"/>
        <w:ind w:right="218" w:firstLine="420"/>
        <w:jc w:val="left"/>
      </w:pPr>
      <w:r>
        <w:rPr>
          <w:rFonts w:ascii="Times New Roman" w:hAnsi="Times New Roman" w:cs="Times New Roman" w:eastAsia="Times New Roman" w:hint="default"/>
        </w:rPr>
        <w:t>2</w:t>
      </w:r>
      <w:r>
        <w:rPr/>
        <w:t>、公司将加大对募投项目的推广和市场开拓工作，积极推进产品的销售，并根据市场反应不断调整 策略，努力使募投项目尽快产生预期收益。</w:t>
      </w:r>
    </w:p>
    <w:p>
      <w:pPr>
        <w:pStyle w:val="BodyText"/>
        <w:spacing w:line="340" w:lineRule="auto" w:before="45"/>
        <w:ind w:right="0" w:firstLine="420"/>
        <w:jc w:val="left"/>
      </w:pPr>
      <w:r>
        <w:rPr>
          <w:rFonts w:ascii="Times New Roman" w:hAnsi="Times New Roman" w:cs="Times New Roman" w:eastAsia="Times New Roman" w:hint="default"/>
        </w:rPr>
        <w:t>3</w:t>
      </w:r>
      <w:r>
        <w:rPr/>
        <w:t>、公司将持续努力创建良好的工作环境和工作氛围，防止人才流失，同时公司已推出第一期员工持 </w:t>
      </w:r>
      <w:r>
        <w:rPr>
          <w:spacing w:val="-1"/>
        </w:rPr>
        <w:t>股计划，对公司核心技术和管理团队的稳定将起到一定作用。目前，公司通过内部培养和外部聘请，努力</w:t>
      </w:r>
      <w:r>
        <w:rPr>
          <w:spacing w:val="-85"/>
        </w:rPr>
        <w:t> </w:t>
      </w:r>
      <w:r>
        <w:rPr>
          <w:spacing w:val="-85"/>
        </w:rPr>
      </w:r>
      <w:r>
        <w:rPr/>
        <w:t>打造一批高端的管理、研发及营销人才，以适应公司快速发展需要。</w:t>
      </w:r>
    </w:p>
    <w:p>
      <w:pPr>
        <w:pStyle w:val="BodyText"/>
        <w:spacing w:line="340" w:lineRule="auto" w:before="36"/>
        <w:ind w:right="0" w:firstLine="420"/>
        <w:jc w:val="left"/>
      </w:pPr>
      <w:r>
        <w:rPr>
          <w:rFonts w:ascii="Times New Roman" w:hAnsi="Times New Roman" w:cs="Times New Roman" w:eastAsia="Times New Roman" w:hint="default"/>
        </w:rPr>
        <w:t>4</w:t>
      </w:r>
      <w:r>
        <w:rPr/>
        <w:t>、公司将持续加大技术研发投入，进一步完善研发激励机制。同时，加快技术软硬件建设、实验室 </w:t>
      </w:r>
      <w:r>
        <w:rPr>
          <w:spacing w:val="-1"/>
        </w:rPr>
        <w:t>建设。另外，公司研发部将持续关注行业技术发展情况，积极参与行业技术研讨会议，探索适合公司发展</w:t>
      </w:r>
      <w:r>
        <w:rPr>
          <w:spacing w:val="-85"/>
        </w:rPr>
        <w:t> </w:t>
      </w:r>
      <w:r>
        <w:rPr>
          <w:spacing w:val="-85"/>
        </w:rPr>
      </w:r>
      <w:r>
        <w:rPr/>
        <w:t>情况的开发模式。</w:t>
      </w:r>
    </w:p>
    <w:p>
      <w:pPr>
        <w:pStyle w:val="BodyText"/>
        <w:spacing w:line="331" w:lineRule="auto" w:before="76"/>
        <w:ind w:right="0" w:firstLine="420"/>
        <w:jc w:val="left"/>
      </w:pPr>
      <w:r>
        <w:rPr>
          <w:rFonts w:ascii="Times New Roman" w:hAnsi="Times New Roman" w:cs="Times New Roman" w:eastAsia="Times New Roman" w:hint="default"/>
        </w:rPr>
        <w:t>5</w:t>
      </w:r>
      <w:r>
        <w:rPr/>
        <w:t>、公司将完善信用制度规范信用期限，调整收账政策强化应收账款管理，建立销售合同专项管理， 加大应收账款责任制实施力度，优化业务人员在收款工作方面的考评。</w:t>
      </w:r>
    </w:p>
    <w:p>
      <w:pPr>
        <w:spacing w:after="0" w:line="331"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9"/>
        <w:jc w:val="center"/>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bookmarkStart w:name="一、管理层讨论与分析" w:id="16"/>
      <w:bookmarkEnd w:id="16"/>
      <w:r>
        <w:rPr>
          <w:b w:val="0"/>
          <w:bCs w:val="0"/>
        </w:rPr>
      </w:r>
      <w:r>
        <w:rPr/>
        <w:t>一、管理层讨论与分析</w:t>
      </w:r>
      <w:r>
        <w:rPr>
          <w:b w:val="0"/>
          <w:bCs w:val="0"/>
        </w:rPr>
      </w:r>
    </w:p>
    <w:p>
      <w:pPr>
        <w:spacing w:line="702" w:lineRule="exact" w:before="7"/>
        <w:ind w:left="573" w:right="173" w:hanging="420"/>
        <w:jc w:val="left"/>
        <w:rPr>
          <w:rFonts w:ascii="宋体" w:hAnsi="宋体" w:cs="宋体" w:eastAsia="宋体" w:hint="default"/>
          <w:sz w:val="21"/>
          <w:szCs w:val="21"/>
        </w:rPr>
      </w:pPr>
      <w:bookmarkStart w:name="1、报告期内主要业务回顾" w:id="17"/>
      <w:bookmarkEnd w:id="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、报告期内主要业务回顾</w:t>
      </w:r>
      <w:r>
        <w:rPr>
          <w:rFonts w:ascii="宋体" w:hAnsi="宋体" w:cs="宋体" w:eastAsia="宋体" w:hint="default"/>
          <w:b/>
          <w:bCs/>
          <w:w w:val="99"/>
          <w:sz w:val="21"/>
          <w:szCs w:val="21"/>
        </w:rPr>
        <w:t> </w:t>
      </w:r>
      <w:r>
        <w:rPr>
          <w:rFonts w:ascii="宋体" w:hAnsi="宋体" w:cs="宋体" w:eastAsia="宋体" w:hint="default"/>
          <w:sz w:val="21"/>
          <w:szCs w:val="21"/>
        </w:rPr>
        <w:t>网络安全与电子信息技术安全作为国家安全的重要领域之一，这种趋势正在世界范围内深刻地展现。</w:t>
      </w:r>
    </w:p>
    <w:p>
      <w:pPr>
        <w:pStyle w:val="BodyText"/>
        <w:spacing w:line="345" w:lineRule="auto" w:before="14"/>
        <w:ind w:right="101"/>
        <w:jc w:val="left"/>
      </w:pPr>
      <w:r>
        <w:rPr/>
        <w:t>随着中央网络安全与信息化领导小组的成立以及《国家安全战略纲要》的审议通过，安全产业已经成为我 </w:t>
      </w:r>
      <w:r>
        <w:rPr>
          <w:spacing w:val="-1"/>
        </w:rPr>
        <w:t>国国家战略产业之一，同时也保障着我国“互联网</w:t>
      </w:r>
      <w:r>
        <w:rPr>
          <w:rFonts w:ascii="Times New Roman" w:hAnsi="Times New Roman" w:cs="Times New Roman" w:eastAsia="Times New Roman" w:hint="default"/>
          <w:spacing w:val="-1"/>
        </w:rPr>
        <w:t>+</w:t>
      </w:r>
      <w:r>
        <w:rPr>
          <w:spacing w:val="-1"/>
        </w:rPr>
        <w:t>”行动计划的顺利推进。公司以“让你的安全更智慧”</w:t>
      </w:r>
      <w:r>
        <w:rPr>
          <w:spacing w:val="-97"/>
        </w:rPr>
        <w:t> </w:t>
      </w:r>
      <w:r>
        <w:rPr>
          <w:spacing w:val="-97"/>
        </w:rPr>
      </w:r>
      <w:r>
        <w:rPr/>
        <w:t>为发展理念，本着维护国家安全的使命感与责任感，在不断巩固网络安全传统领域优势的情况下，积极把</w:t>
      </w:r>
      <w:r>
        <w:rPr/>
        <w:t> 握安全产业发展的新机遇，在电磁安防这一信息安全的蓝海市场进行了领先布局，持续推进着“大安全” 产业发展战略。</w:t>
      </w:r>
    </w:p>
    <w:p>
      <w:pPr>
        <w:pStyle w:val="BodyText"/>
        <w:spacing w:line="340" w:lineRule="auto" w:before="33"/>
        <w:ind w:right="210" w:firstLine="421"/>
        <w:jc w:val="both"/>
      </w:pPr>
      <w:r>
        <w:rPr/>
        <w:t>报告期内，公司实现营业收入</w:t>
      </w:r>
      <w:r>
        <w:rPr>
          <w:spacing w:val="-52"/>
        </w:rPr>
        <w:t> </w:t>
      </w:r>
      <w:r>
        <w:rPr>
          <w:rFonts w:ascii="Times New Roman" w:hAnsi="Times New Roman" w:cs="Times New Roman" w:eastAsia="Times New Roman" w:hint="default"/>
        </w:rPr>
        <w:t>52,490.45</w:t>
      </w:r>
      <w:r>
        <w:rPr>
          <w:rFonts w:ascii="Times New Roman" w:hAnsi="Times New Roman" w:cs="Times New Roman" w:eastAsia="Times New Roman" w:hint="default"/>
          <w:spacing w:val="1"/>
        </w:rPr>
        <w:t> </w:t>
      </w:r>
      <w:r>
        <w:rPr/>
        <w:t>万元，同比增长</w:t>
      </w:r>
      <w:r>
        <w:rPr>
          <w:spacing w:val="-52"/>
        </w:rPr>
        <w:t> </w:t>
      </w:r>
      <w:r>
        <w:rPr>
          <w:rFonts w:ascii="Times New Roman" w:hAnsi="Times New Roman" w:cs="Times New Roman" w:eastAsia="Times New Roman" w:hint="default"/>
        </w:rPr>
        <w:t>32.76%</w:t>
      </w:r>
      <w:r>
        <w:rPr/>
        <w:t>；实现营业利润</w:t>
      </w:r>
      <w:r>
        <w:rPr>
          <w:spacing w:val="-52"/>
        </w:rPr>
        <w:t> </w:t>
      </w:r>
      <w:r>
        <w:rPr>
          <w:rFonts w:ascii="Times New Roman" w:hAnsi="Times New Roman" w:cs="Times New Roman" w:eastAsia="Times New Roman" w:hint="default"/>
        </w:rPr>
        <w:t>3,218.42</w:t>
      </w:r>
      <w:r>
        <w:rPr>
          <w:rFonts w:ascii="Times New Roman" w:hAnsi="Times New Roman" w:cs="Times New Roman" w:eastAsia="Times New Roman" w:hint="default"/>
          <w:spacing w:val="1"/>
        </w:rPr>
        <w:t> </w:t>
      </w:r>
      <w:r>
        <w:rPr/>
        <w:t>万元，同比 增长</w:t>
      </w:r>
      <w:r>
        <w:rPr>
          <w:spacing w:val="-45"/>
        </w:rPr>
        <w:t> </w:t>
      </w:r>
      <w:r>
        <w:rPr>
          <w:rFonts w:ascii="Times New Roman" w:hAnsi="Times New Roman" w:cs="Times New Roman" w:eastAsia="Times New Roman" w:hint="default"/>
        </w:rPr>
        <w:t>181.14%</w:t>
      </w:r>
      <w:r>
        <w:rPr/>
        <w:t>；实现归属于上市公司股东的净利润</w:t>
      </w:r>
      <w:r>
        <w:rPr>
          <w:spacing w:val="-45"/>
        </w:rPr>
        <w:t> </w:t>
      </w:r>
      <w:r>
        <w:rPr>
          <w:rFonts w:ascii="Times New Roman" w:hAnsi="Times New Roman" w:cs="Times New Roman" w:eastAsia="Times New Roman" w:hint="default"/>
        </w:rPr>
        <w:t>3,530.28</w:t>
      </w:r>
      <w:r>
        <w:rPr>
          <w:rFonts w:ascii="Times New Roman" w:hAnsi="Times New Roman" w:cs="Times New Roman" w:eastAsia="Times New Roman" w:hint="default"/>
          <w:spacing w:val="7"/>
        </w:rPr>
        <w:t> </w:t>
      </w:r>
      <w:r>
        <w:rPr/>
        <w:t>万元，同比增长</w:t>
      </w:r>
      <w:r>
        <w:rPr>
          <w:spacing w:val="-45"/>
        </w:rPr>
        <w:t> </w:t>
      </w:r>
      <w:r>
        <w:rPr>
          <w:rFonts w:ascii="Times New Roman" w:hAnsi="Times New Roman" w:cs="Times New Roman" w:eastAsia="Times New Roman" w:hint="default"/>
        </w:rPr>
        <w:t>10.45%</w:t>
      </w:r>
      <w:r>
        <w:rPr/>
        <w:t>。公司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年收入规 </w:t>
      </w:r>
      <w:r>
        <w:rPr>
          <w:spacing w:val="-1"/>
        </w:rPr>
        <w:t>模实现了稳步增长，同时利润结构也得到了一定优化，主要原因是信息安全市场需求持续提升，公司各项</w:t>
      </w:r>
      <w:r>
        <w:rPr>
          <w:spacing w:val="-82"/>
        </w:rPr>
        <w:t> </w:t>
      </w:r>
      <w:r>
        <w:rPr>
          <w:spacing w:val="-82"/>
        </w:rPr>
      </w:r>
      <w:r>
        <w:rPr>
          <w:spacing w:val="-1"/>
        </w:rPr>
        <w:t>产业布局及新产品研发、推广工作在有步骤地进行，且公司的运营效率和效益进一步提升，综合毛利率较</w:t>
      </w:r>
      <w:r>
        <w:rPr>
          <w:spacing w:val="-83"/>
        </w:rPr>
        <w:t> </w:t>
      </w:r>
      <w:r>
        <w:rPr>
          <w:spacing w:val="-83"/>
        </w:rPr>
      </w:r>
      <w:r>
        <w:rPr/>
        <w:t>上年有所上升。</w:t>
      </w:r>
    </w:p>
    <w:p>
      <w:pPr>
        <w:spacing w:line="240" w:lineRule="auto" w:before="0"/>
        <w:rPr>
          <w:rFonts w:ascii="宋体" w:hAnsi="宋体" w:cs="宋体" w:eastAsia="宋体" w:hint="default"/>
          <w:sz w:val="20"/>
          <w:szCs w:val="20"/>
        </w:rPr>
      </w:pPr>
    </w:p>
    <w:p>
      <w:pPr>
        <w:pStyle w:val="Heading3"/>
        <w:spacing w:line="240" w:lineRule="auto" w:before="176"/>
        <w:ind w:left="573" w:right="173"/>
        <w:jc w:val="left"/>
        <w:rPr>
          <w:b w:val="0"/>
          <w:bCs w:val="0"/>
        </w:rPr>
      </w:pPr>
      <w:r>
        <w:rPr/>
        <w:t>报告期内，公司主要经营情况如下：</w:t>
      </w:r>
      <w:r>
        <w:rPr>
          <w:b w:val="0"/>
          <w:bCs w:val="0"/>
        </w:rPr>
      </w:r>
    </w:p>
    <w:p>
      <w:pPr>
        <w:spacing w:line="328" w:lineRule="auto" w:before="124"/>
        <w:ind w:left="575" w:right="173" w:firstLine="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、布局电磁安防领域，拓展信息安全蓝海市场</w:t>
      </w:r>
      <w:r>
        <w:rPr>
          <w:rFonts w:ascii="宋体" w:hAnsi="宋体" w:cs="宋体" w:eastAsia="宋体" w:hint="default"/>
          <w:b/>
          <w:bCs/>
          <w:w w:val="99"/>
          <w:sz w:val="21"/>
          <w:szCs w:val="21"/>
        </w:rPr>
        <w:t> </w:t>
      </w:r>
      <w:r>
        <w:rPr>
          <w:rFonts w:ascii="宋体" w:hAnsi="宋体" w:cs="宋体" w:eastAsia="宋体" w:hint="default"/>
          <w:spacing w:val="-4"/>
          <w:sz w:val="21"/>
          <w:szCs w:val="21"/>
        </w:rPr>
        <w:t>报告期内，公司披露了本次重大资产重组方案，公司将以</w:t>
      </w:r>
      <w:r>
        <w:rPr>
          <w:rFonts w:ascii="Times New Roman" w:hAnsi="Times New Roman" w:cs="Times New Roman" w:eastAsia="Times New Roman" w:hint="default"/>
          <w:spacing w:val="-4"/>
          <w:sz w:val="21"/>
          <w:szCs w:val="21"/>
        </w:rPr>
        <w:t>3.9</w:t>
      </w:r>
      <w:r>
        <w:rPr>
          <w:rFonts w:ascii="宋体" w:hAnsi="宋体" w:cs="宋体" w:eastAsia="宋体" w:hint="default"/>
          <w:spacing w:val="-4"/>
          <w:sz w:val="21"/>
          <w:szCs w:val="21"/>
        </w:rPr>
        <w:t>亿元收购电磁安防领先企业华炜科技</w:t>
      </w:r>
      <w:r>
        <w:rPr>
          <w:rFonts w:ascii="Times New Roman" w:hAnsi="Times New Roman" w:cs="Times New Roman" w:eastAsia="Times New Roman" w:hint="default"/>
          <w:spacing w:val="-4"/>
          <w:sz w:val="21"/>
          <w:szCs w:val="21"/>
        </w:rPr>
        <w:t>100%</w:t>
      </w:r>
    </w:p>
    <w:p>
      <w:pPr>
        <w:pStyle w:val="BodyText"/>
        <w:spacing w:line="350" w:lineRule="auto" w:before="24"/>
        <w:ind w:right="190"/>
        <w:jc w:val="both"/>
      </w:pPr>
      <w:r>
        <w:rPr>
          <w:spacing w:val="-1"/>
        </w:rPr>
        <w:t>股权，从而在业内率先进军电磁安防领域。公司管理团队经过深入的产业调研及产业策略讨论分析，认为</w:t>
      </w:r>
      <w:r>
        <w:rPr>
          <w:spacing w:val="-83"/>
        </w:rPr>
        <w:t> </w:t>
      </w:r>
      <w:r>
        <w:rPr>
          <w:spacing w:val="-83"/>
        </w:rPr>
      </w:r>
      <w:r>
        <w:rPr>
          <w:spacing w:val="-1"/>
        </w:rPr>
        <w:t>信息安全已成为国家安全的重要基础之一，同时安全外延不断扩大，信息安全对象已经不仅仅是传统的计</w:t>
      </w:r>
      <w:r>
        <w:rPr>
          <w:spacing w:val="-81"/>
        </w:rPr>
        <w:t> </w:t>
      </w:r>
      <w:r>
        <w:rPr>
          <w:spacing w:val="-81"/>
        </w:rPr>
      </w:r>
      <w:r>
        <w:rPr>
          <w:spacing w:val="-1"/>
        </w:rPr>
        <w:t>算机网络数据，还包括各类应用领域中电子、通信、控制、微电子设备所传输的电子信息流，信息安全外</w:t>
      </w:r>
      <w:r>
        <w:rPr>
          <w:spacing w:val="-83"/>
        </w:rPr>
        <w:t> </w:t>
      </w:r>
      <w:r>
        <w:rPr>
          <w:spacing w:val="-83"/>
        </w:rPr>
      </w:r>
      <w:r>
        <w:rPr/>
        <w:t>延应涵盖网络安全和电磁安全在内的电子信息安全。因此，公司瞄准了电磁安防这一信息安全蓝海市场， </w:t>
      </w:r>
      <w:r>
        <w:rPr>
          <w:spacing w:val="-1"/>
        </w:rPr>
        <w:t>也是国内首家布局电磁安防领域的信息安全上市公司，成为了重大产业机会的发现者，并将借此契机向军</w:t>
      </w:r>
      <w:r>
        <w:rPr>
          <w:spacing w:val="-81"/>
        </w:rPr>
        <w:t> </w:t>
      </w:r>
      <w:r>
        <w:rPr>
          <w:spacing w:val="-81"/>
        </w:rPr>
      </w:r>
      <w:r>
        <w:rPr>
          <w:spacing w:val="-1"/>
        </w:rPr>
        <w:t>工及航空航天、轨道交通、通信、能源等新兴市场快速渗透。与此同时，公司在多个重点方向继续进行并</w:t>
      </w:r>
      <w:r>
        <w:rPr>
          <w:spacing w:val="-83"/>
        </w:rPr>
        <w:t> </w:t>
      </w:r>
      <w:r>
        <w:rPr>
          <w:spacing w:val="-83"/>
        </w:rPr>
      </w:r>
      <w:r>
        <w:rPr>
          <w:spacing w:val="-1"/>
        </w:rPr>
        <w:t>购标的的考察与储备，在保证内生增长的同时，也为公司“大安全”产业战略的实现与完善提供了较充足</w:t>
      </w:r>
      <w:r>
        <w:rPr>
          <w:spacing w:val="-84"/>
        </w:rPr>
        <w:t> </w:t>
      </w:r>
      <w:r>
        <w:rPr>
          <w:spacing w:val="-84"/>
        </w:rPr>
      </w:r>
      <w:r>
        <w:rPr/>
        <w:t>的空间。</w:t>
      </w:r>
    </w:p>
    <w:p>
      <w:pPr>
        <w:spacing w:line="331" w:lineRule="auto" w:before="28"/>
        <w:ind w:left="576" w:right="1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、优化营销策略，提升行业拓展深度与广度</w:t>
      </w:r>
      <w:r>
        <w:rPr>
          <w:rFonts w:ascii="宋体" w:hAnsi="宋体" w:cs="宋体" w:eastAsia="宋体" w:hint="default"/>
          <w:b/>
          <w:bCs/>
          <w:w w:val="99"/>
          <w:sz w:val="21"/>
          <w:szCs w:val="21"/>
        </w:rPr>
        <w:t> </w:t>
      </w:r>
      <w:r>
        <w:rPr>
          <w:rFonts w:ascii="宋体" w:hAnsi="宋体" w:cs="宋体" w:eastAsia="宋体" w:hint="default"/>
          <w:sz w:val="21"/>
          <w:szCs w:val="21"/>
        </w:rPr>
        <w:t>报告期内，公司强化了信息安全解决方案的提供及设计能力，以行业解决方案为主导向各行业浸透，</w:t>
      </w:r>
    </w:p>
    <w:p>
      <w:pPr>
        <w:pStyle w:val="BodyText"/>
        <w:spacing w:line="340" w:lineRule="auto" w:before="45"/>
        <w:ind w:left="154" w:right="211"/>
        <w:jc w:val="both"/>
      </w:pPr>
      <w:r>
        <w:rPr/>
        <w:t>业务规模取得了超过</w:t>
      </w:r>
      <w:r>
        <w:rPr>
          <w:rFonts w:ascii="Times New Roman" w:hAnsi="Times New Roman" w:cs="Times New Roman" w:eastAsia="Times New Roman" w:hint="default"/>
        </w:rPr>
        <w:t>30%</w:t>
      </w:r>
      <w:r>
        <w:rPr/>
        <w:t>的增长水平。面对信息系统及安全产品国产化的行业机遇，公司在重点行业进行</w:t>
      </w:r>
      <w:r>
        <w:rPr>
          <w:spacing w:val="-98"/>
        </w:rPr>
        <w:t> </w:t>
      </w:r>
      <w:r>
        <w:rPr>
          <w:spacing w:val="-98"/>
        </w:rPr>
      </w:r>
      <w:r>
        <w:rPr>
          <w:spacing w:val="-1"/>
        </w:rPr>
        <w:t>了许多新方案设计，同时针对国内分级保护、等级保护等工作的持续推进，公司在司法、教育等领域加强</w:t>
      </w:r>
      <w:r>
        <w:rPr>
          <w:spacing w:val="-86"/>
        </w:rPr>
        <w:t> </w:t>
      </w:r>
      <w:r>
        <w:rPr>
          <w:spacing w:val="-86"/>
        </w:rPr>
      </w:r>
      <w:r>
        <w:rPr>
          <w:spacing w:val="-1"/>
        </w:rPr>
        <w:t>了行业浸透；公司对营销策略进行了一定调整与优化，根据全国各区域的信息安全需求及业务的实际开展</w:t>
      </w:r>
    </w:p>
    <w:p>
      <w:pPr>
        <w:spacing w:after="0" w:line="340"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right="211"/>
        <w:jc w:val="both"/>
      </w:pPr>
      <w:r>
        <w:rPr>
          <w:spacing w:val="-1"/>
        </w:rPr>
        <w:t>情况，全局性地对全国分支机构进行整合与提升，将重点区域的分支机构升级为分公司或子公司，优化了</w:t>
      </w:r>
      <w:r>
        <w:rPr>
          <w:spacing w:val="-83"/>
        </w:rPr>
        <w:t> </w:t>
      </w:r>
      <w:r>
        <w:rPr>
          <w:spacing w:val="-83"/>
        </w:rPr>
      </w:r>
      <w:r>
        <w:rPr>
          <w:spacing w:val="-1"/>
        </w:rPr>
        <w:t>资源配置，提升了业务竞争能力，同时在全国超过十个省份的重点行业设立了独家分销渠道，取得了较显</w:t>
      </w:r>
      <w:r>
        <w:rPr>
          <w:spacing w:val="-83"/>
        </w:rPr>
        <w:t> </w:t>
      </w:r>
      <w:r>
        <w:rPr>
          <w:spacing w:val="-83"/>
        </w:rPr>
      </w:r>
      <w:r>
        <w:rPr/>
        <w:t>著的效果。</w:t>
      </w:r>
    </w:p>
    <w:p>
      <w:pPr>
        <w:spacing w:line="328" w:lineRule="auto" w:before="28"/>
        <w:ind w:left="574" w:right="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、保持研发创新力度，注重自主、可控的安全技术</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报告期内，公司的所有募投项目，包括超募资金建设项目已全部完成开发工作，产品体系得到了有效</w:t>
      </w:r>
    </w:p>
    <w:p>
      <w:pPr>
        <w:pStyle w:val="BodyText"/>
        <w:spacing w:line="340" w:lineRule="auto" w:before="48"/>
        <w:ind w:left="154" w:right="211"/>
        <w:jc w:val="both"/>
      </w:pPr>
      <w:r>
        <w:rPr>
          <w:spacing w:val="-1"/>
        </w:rPr>
        <w:t>的整合和升级完善；公司在研发工作中秉承了“主动、自动、联动”的“动立方”产品策略，注重安全技</w:t>
      </w:r>
      <w:r>
        <w:rPr>
          <w:spacing w:val="-86"/>
        </w:rPr>
        <w:t> </w:t>
      </w:r>
      <w:r>
        <w:rPr>
          <w:spacing w:val="-86"/>
        </w:rPr>
      </w:r>
      <w:r>
        <w:rPr>
          <w:spacing w:val="-1"/>
        </w:rPr>
        <w:t>术在实际应用中的自主、可控，取得了一定成果，公司大数据安全综合管理平台产品被列入国家信息安全</w:t>
      </w:r>
      <w:r>
        <w:rPr>
          <w:spacing w:val="-83"/>
        </w:rPr>
        <w:t> </w:t>
      </w:r>
      <w:r>
        <w:rPr>
          <w:spacing w:val="-83"/>
        </w:rPr>
      </w:r>
      <w:r>
        <w:rPr>
          <w:spacing w:val="-5"/>
          <w:w w:val="99"/>
        </w:rPr>
        <w:t>专项及下一代互联网技术研发、产业化和规模商用专项项目清单，而智能安全运维综合管理平台</w:t>
      </w:r>
      <w:r>
        <w:rPr>
          <w:rFonts w:ascii="Times New Roman" w:hAnsi="Times New Roman" w:cs="Times New Roman" w:eastAsia="Times New Roman" w:hint="default"/>
          <w:spacing w:val="-5"/>
          <w:w w:val="99"/>
        </w:rPr>
        <w:t>BD-NxSOC</w:t>
      </w:r>
      <w:r>
        <w:rPr>
          <w:rFonts w:ascii="Times New Roman" w:hAnsi="Times New Roman" w:cs="Times New Roman" w:eastAsia="Times New Roman" w:hint="default"/>
          <w:spacing w:val="-15"/>
          <w:w w:val="99"/>
        </w:rPr>
        <w:t> </w:t>
      </w:r>
      <w:r>
        <w:rPr>
          <w:rFonts w:ascii="Times New Roman" w:hAnsi="Times New Roman" w:cs="Times New Roman" w:eastAsia="Times New Roman" w:hint="default"/>
          <w:spacing w:val="-15"/>
          <w:w w:val="99"/>
        </w:rPr>
      </w:r>
      <w:r>
        <w:rPr>
          <w:rFonts w:ascii="Times New Roman" w:hAnsi="Times New Roman" w:cs="Times New Roman" w:eastAsia="Times New Roman" w:hint="default"/>
          <w:spacing w:val="-1"/>
        </w:rPr>
        <w:t>V2.0</w:t>
      </w:r>
      <w:r>
        <w:rPr>
          <w:spacing w:val="-1"/>
        </w:rPr>
        <w:t>则通过国家保密科技检测中心的检测；公司开发的虚拟系统保护机制，填补了国内在虚拟化专业安全</w:t>
      </w:r>
      <w:r>
        <w:rPr>
          <w:spacing w:val="-77"/>
        </w:rPr>
        <w:t> </w:t>
      </w:r>
      <w:r>
        <w:rPr>
          <w:spacing w:val="-77"/>
        </w:rPr>
      </w:r>
      <w:r>
        <w:rPr>
          <w:spacing w:val="-1"/>
        </w:rPr>
        <w:t>系统领域的空白，并将继续探索安全产品的虚拟化方案及云服务方案；公司在移动互联网安全领域进行了</w:t>
      </w:r>
      <w:r>
        <w:rPr>
          <w:spacing w:val="-81"/>
        </w:rPr>
        <w:t> </w:t>
      </w:r>
      <w:r>
        <w:rPr>
          <w:spacing w:val="-81"/>
        </w:rPr>
      </w:r>
      <w:r>
        <w:rPr/>
        <w:t>研发积累，相关产品重点针对移动智能终端的支付安全、隐私保护等需求进行开发。</w:t>
      </w:r>
    </w:p>
    <w:p>
      <w:pPr>
        <w:pStyle w:val="BodyText"/>
        <w:spacing w:line="328" w:lineRule="auto" w:before="37"/>
        <w:ind w:right="189" w:firstLine="421"/>
        <w:jc w:val="both"/>
      </w:pPr>
      <w:r>
        <w:rPr>
          <w:spacing w:val="-1"/>
        </w:rPr>
        <w:t>报告期内，在研发成果转化方面，公司新增专利</w:t>
      </w:r>
      <w:r>
        <w:rPr>
          <w:rFonts w:ascii="Times New Roman" w:hAnsi="Times New Roman" w:cs="Times New Roman" w:eastAsia="Times New Roman" w:hint="default"/>
          <w:spacing w:val="-1"/>
        </w:rPr>
        <w:t>1</w:t>
      </w:r>
      <w:r>
        <w:rPr>
          <w:spacing w:val="-1"/>
        </w:rPr>
        <w:t>项，新增软件著作权</w:t>
      </w:r>
      <w:r>
        <w:rPr>
          <w:rFonts w:ascii="Times New Roman" w:hAnsi="Times New Roman" w:cs="Times New Roman" w:eastAsia="Times New Roman" w:hint="default"/>
          <w:spacing w:val="-1"/>
        </w:rPr>
        <w:t>6</w:t>
      </w:r>
      <w:r>
        <w:rPr>
          <w:spacing w:val="-1"/>
        </w:rPr>
        <w:t>项，子公司蓝盾技术新增软件</w:t>
      </w:r>
      <w:r>
        <w:rPr/>
        <w:t> 著作权</w:t>
      </w:r>
      <w:r>
        <w:rPr>
          <w:rFonts w:ascii="Times New Roman" w:hAnsi="Times New Roman" w:cs="Times New Roman" w:eastAsia="Times New Roman" w:hint="default"/>
        </w:rPr>
        <w:t>52</w:t>
      </w:r>
      <w:r>
        <w:rPr/>
        <w:t>项。截至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日，蓝盾股份拥有专利</w:t>
      </w:r>
      <w:r>
        <w:rPr>
          <w:rFonts w:ascii="Times New Roman" w:hAnsi="Times New Roman" w:cs="Times New Roman" w:eastAsia="Times New Roman" w:hint="default"/>
        </w:rPr>
        <w:t>14</w:t>
      </w:r>
      <w:r>
        <w:rPr/>
        <w:t>项，软件著作权</w:t>
      </w:r>
      <w:r>
        <w:rPr>
          <w:rFonts w:ascii="Times New Roman" w:hAnsi="Times New Roman" w:cs="Times New Roman" w:eastAsia="Times New Roman" w:hint="default"/>
        </w:rPr>
        <w:t>123</w:t>
      </w:r>
      <w:r>
        <w:rPr/>
        <w:t>项；蓝盾技术拥有专利</w:t>
      </w:r>
      <w:r>
        <w:rPr>
          <w:rFonts w:ascii="Times New Roman" w:hAnsi="Times New Roman" w:cs="Times New Roman" w:eastAsia="Times New Roman" w:hint="default"/>
        </w:rPr>
        <w:t>1</w:t>
      </w:r>
      <w:r>
        <w:rPr/>
        <w:t>项， 软件著作权</w:t>
      </w:r>
      <w:r>
        <w:rPr>
          <w:rFonts w:ascii="Times New Roman" w:hAnsi="Times New Roman" w:cs="Times New Roman" w:eastAsia="Times New Roman" w:hint="default"/>
        </w:rPr>
        <w:t>107</w:t>
      </w:r>
      <w:r>
        <w:rPr/>
        <w:t>项。</w:t>
      </w:r>
    </w:p>
    <w:p>
      <w:pPr>
        <w:spacing w:line="328" w:lineRule="auto" w:before="24"/>
        <w:ind w:left="576" w:right="1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、子公司业务发展迅速，提供多维度增长动力</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报告期内，随着公司对子公司投资力度的加大及其业务推广进度的深入，公司几家主要的子公司业务</w:t>
      </w:r>
    </w:p>
    <w:p>
      <w:pPr>
        <w:pStyle w:val="BodyText"/>
        <w:spacing w:line="331" w:lineRule="auto" w:before="47"/>
        <w:ind w:right="189"/>
        <w:jc w:val="both"/>
      </w:pPr>
      <w:r>
        <w:rPr/>
        <w:t>发展迅速，为公司经营业绩的提升提供了更多动力。其中，蓝盾技术的主营业务收入达到</w:t>
      </w:r>
      <w:r>
        <w:rPr>
          <w:rFonts w:ascii="Times New Roman" w:hAnsi="Times New Roman" w:cs="Times New Roman" w:eastAsia="Times New Roman" w:hint="default"/>
        </w:rPr>
        <w:t>24,928.85</w:t>
      </w:r>
      <w:r>
        <w:rPr/>
        <w:t>万元， 同比大幅增长</w:t>
      </w:r>
      <w:r>
        <w:rPr>
          <w:rFonts w:ascii="Times New Roman" w:hAnsi="Times New Roman" w:cs="Times New Roman" w:eastAsia="Times New Roman" w:hint="default"/>
        </w:rPr>
        <w:t>516.50%</w:t>
      </w:r>
      <w:r>
        <w:rPr/>
        <w:t>，同时实现了</w:t>
      </w:r>
      <w:r>
        <w:rPr>
          <w:rFonts w:ascii="Times New Roman" w:hAnsi="Times New Roman" w:cs="Times New Roman" w:eastAsia="Times New Roman" w:hint="default"/>
        </w:rPr>
        <w:t>1,183.16</w:t>
      </w:r>
      <w:r>
        <w:rPr/>
        <w:t>万元的盈利；蓝盾乐庚实现营业收入</w:t>
      </w:r>
      <w:r>
        <w:rPr>
          <w:rFonts w:ascii="Times New Roman" w:hAnsi="Times New Roman" w:cs="Times New Roman" w:eastAsia="Times New Roman" w:hint="default"/>
        </w:rPr>
        <w:t>1,549.30</w:t>
      </w:r>
      <w:r>
        <w:rPr/>
        <w:t>万元，同比大幅</w:t>
      </w:r>
      <w:r>
        <w:rPr>
          <w:spacing w:val="-51"/>
        </w:rPr>
        <w:t> </w:t>
      </w:r>
      <w:r>
        <w:rPr>
          <w:spacing w:val="-51"/>
        </w:rPr>
      </w:r>
      <w:r>
        <w:rPr>
          <w:spacing w:val="-2"/>
        </w:rPr>
        <w:t>增长</w:t>
      </w:r>
      <w:r>
        <w:rPr>
          <w:rFonts w:ascii="Times New Roman" w:hAnsi="Times New Roman" w:cs="Times New Roman" w:eastAsia="Times New Roman" w:hint="default"/>
          <w:spacing w:val="-2"/>
        </w:rPr>
        <w:t>208.71%</w:t>
      </w:r>
      <w:r>
        <w:rPr>
          <w:spacing w:val="-2"/>
        </w:rPr>
        <w:t>，同时实现了</w:t>
      </w:r>
      <w:r>
        <w:rPr>
          <w:rFonts w:ascii="Times New Roman" w:hAnsi="Times New Roman" w:cs="Times New Roman" w:eastAsia="Times New Roman" w:hint="default"/>
          <w:spacing w:val="-2"/>
        </w:rPr>
        <w:t>405.20</w:t>
      </w:r>
      <w:r>
        <w:rPr>
          <w:spacing w:val="-2"/>
        </w:rPr>
        <w:t>万元的盈利；蓝盾学院在保持收入稳步增长的情况下，</w:t>
      </w:r>
      <w:r>
        <w:rPr>
          <w:rFonts w:ascii="Times New Roman" w:hAnsi="Times New Roman" w:cs="Times New Roman" w:eastAsia="Times New Roman" w:hint="default"/>
          <w:spacing w:val="-2"/>
        </w:rPr>
        <w:t>2014</w:t>
      </w:r>
      <w:r>
        <w:rPr>
          <w:spacing w:val="-2"/>
        </w:rPr>
        <w:t>年末学员总数</w:t>
      </w:r>
      <w:r>
        <w:rPr>
          <w:spacing w:val="-92"/>
        </w:rPr>
        <w:t> </w:t>
      </w:r>
      <w:r>
        <w:rPr>
          <w:spacing w:val="-92"/>
        </w:rPr>
      </w:r>
      <w:r>
        <w:rPr/>
        <w:t>也累计达到了</w:t>
      </w:r>
      <w:r>
        <w:rPr>
          <w:rFonts w:ascii="Times New Roman" w:hAnsi="Times New Roman" w:cs="Times New Roman" w:eastAsia="Times New Roman" w:hint="default"/>
        </w:rPr>
        <w:t>6000</w:t>
      </w:r>
      <w:r>
        <w:rPr/>
        <w:t>人。</w:t>
      </w:r>
    </w:p>
    <w:p>
      <w:pPr>
        <w:spacing w:line="328" w:lineRule="auto" w:before="21"/>
        <w:ind w:left="576" w:right="1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、推出员工持股计划，优化人力资源结构与机制</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报告期内，公司在推出重大资产重组方案的同时，也借此契机推出了第一期员工持股计划，有利于统</w:t>
      </w:r>
    </w:p>
    <w:p>
      <w:pPr>
        <w:pStyle w:val="BodyText"/>
        <w:spacing w:line="340" w:lineRule="auto" w:before="47"/>
        <w:ind w:right="90"/>
        <w:jc w:val="left"/>
      </w:pPr>
      <w:r>
        <w:rPr/>
        <w:t>一公司利益、股东利益及员工利益，有助于留住人才、吸引人才，从而实现公司的长远持续发展。作为公 司激励与管理机制的新探索，本次员工持股计划通过非公开发行的方式，拟认购公司股份 </w:t>
      </w:r>
      <w:r>
        <w:rPr>
          <w:rFonts w:ascii="Times New Roman" w:hAnsi="Times New Roman" w:cs="Times New Roman" w:eastAsia="Times New Roman" w:hint="default"/>
        </w:rPr>
        <w:t>1,113,585</w:t>
      </w:r>
      <w:r>
        <w:rPr>
          <w:rFonts w:ascii="Times New Roman" w:hAnsi="Times New Roman" w:cs="Times New Roman" w:eastAsia="Times New Roman" w:hint="default"/>
          <w:spacing w:val="34"/>
        </w:rPr>
        <w:t> </w:t>
      </w:r>
      <w:r>
        <w:rPr/>
        <w:t>股， 参与对象主要为公司董事、监事、高级管理人员及其他部分研发、管理人员；与此同时，公司控股股东柯 宗庆、柯宗贵也将在公司本次非公开发行中各自认购</w:t>
      </w:r>
      <w:r>
        <w:rPr>
          <w:spacing w:val="-64"/>
        </w:rPr>
        <w:t> </w:t>
      </w:r>
      <w:r>
        <w:rPr>
          <w:rFonts w:ascii="Times New Roman" w:hAnsi="Times New Roman" w:cs="Times New Roman" w:eastAsia="Times New Roman" w:hint="default"/>
        </w:rPr>
        <w:t>3,062,360</w:t>
      </w:r>
      <w:r>
        <w:rPr>
          <w:rFonts w:ascii="Times New Roman" w:hAnsi="Times New Roman" w:cs="Times New Roman" w:eastAsia="Times New Roman" w:hint="default"/>
          <w:spacing w:val="-11"/>
        </w:rPr>
        <w:t> </w:t>
      </w:r>
      <w:r>
        <w:rPr/>
        <w:t>股，显示出对公司长远发展的信心与决心； 随着公司募投项目的完成以及分支机构的调整，公司也对员工结构进行了优化调整，提升了公司的经营效 益，截至 </w:t>
      </w:r>
      <w:r>
        <w:rPr>
          <w:rFonts w:ascii="Times New Roman" w:hAnsi="Times New Roman" w:cs="Times New Roman" w:eastAsia="Times New Roman" w:hint="default"/>
        </w:rPr>
        <w:t>2014 </w:t>
      </w:r>
      <w:r>
        <w:rPr/>
        <w:t>年底，公司员工总数为 </w:t>
      </w:r>
      <w:r>
        <w:rPr>
          <w:rFonts w:ascii="Times New Roman" w:hAnsi="Times New Roman" w:cs="Times New Roman" w:eastAsia="Times New Roman" w:hint="default"/>
        </w:rPr>
        <w:t>598</w:t>
      </w:r>
      <w:r>
        <w:rPr>
          <w:rFonts w:ascii="Times New Roman" w:hAnsi="Times New Roman" w:cs="Times New Roman" w:eastAsia="Times New Roman" w:hint="default"/>
          <w:spacing w:val="-26"/>
        </w:rPr>
        <w:t> </w:t>
      </w:r>
      <w:r>
        <w:rPr/>
        <w:t>人。公司将进一步探索激励及淘汰机制，优化团队结构，提升 公司对核心人才的吸引力。</w:t>
      </w:r>
    </w:p>
    <w:p>
      <w:pPr>
        <w:spacing w:line="240" w:lineRule="auto" w:before="0"/>
        <w:rPr>
          <w:rFonts w:ascii="宋体" w:hAnsi="宋体" w:cs="宋体" w:eastAsia="宋体" w:hint="default"/>
          <w:sz w:val="19"/>
          <w:szCs w:val="19"/>
        </w:rPr>
      </w:pPr>
    </w:p>
    <w:p>
      <w:pPr>
        <w:pStyle w:val="Heading3"/>
        <w:spacing w:line="240" w:lineRule="auto"/>
        <w:ind w:left="153" w:right="0"/>
        <w:jc w:val="both"/>
        <w:rPr>
          <w:b w:val="0"/>
          <w:bCs w:val="0"/>
        </w:rPr>
      </w:pPr>
      <w:bookmarkStart w:name="2、报告期内主要经营情况" w:id="18"/>
      <w:bookmarkEnd w:id="18"/>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主营业务分析" w:id="19"/>
      <w:bookmarkEnd w:id="19"/>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both"/>
      </w:pPr>
      <w:r>
        <w:rPr>
          <w:rFonts w:ascii="Times New Roman" w:hAnsi="Times New Roman" w:cs="Times New Roman" w:eastAsia="Times New Roman" w:hint="default"/>
        </w:rPr>
        <w:t>1</w:t>
      </w:r>
      <w:r>
        <w:rPr/>
        <w:t>）概述</w:t>
      </w:r>
    </w:p>
    <w:p>
      <w:pPr>
        <w:spacing w:after="0" w:line="240"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4"/>
        <w:ind w:right="85" w:firstLine="420"/>
        <w:jc w:val="left"/>
      </w:pPr>
      <w:r>
        <w:rPr/>
        <w:t>报告期内，公司实现营业收入</w:t>
      </w:r>
      <w:r>
        <w:rPr>
          <w:rFonts w:ascii="Times New Roman" w:hAnsi="Times New Roman" w:cs="Times New Roman" w:eastAsia="Times New Roman" w:hint="default"/>
        </w:rPr>
        <w:t>52,490.45</w:t>
      </w:r>
      <w:r>
        <w:rPr/>
        <w:t>万元，同比增长</w:t>
      </w:r>
      <w:r>
        <w:rPr>
          <w:rFonts w:ascii="Times New Roman" w:hAnsi="Times New Roman" w:cs="Times New Roman" w:eastAsia="Times New Roman" w:hint="default"/>
        </w:rPr>
        <w:t>32.76</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，主要原因是公司积极进行业务拓展， 保持了营业收入的稳步增长。</w:t>
      </w:r>
    </w:p>
    <w:p>
      <w:pPr>
        <w:pStyle w:val="BodyText"/>
        <w:spacing w:line="386" w:lineRule="auto" w:before="65"/>
        <w:ind w:right="240" w:firstLine="420"/>
        <w:jc w:val="left"/>
      </w:pPr>
      <w:r>
        <w:rPr/>
        <w:t>报告期内，公司营业成本为</w:t>
      </w:r>
      <w:r>
        <w:rPr>
          <w:rFonts w:ascii="Times New Roman" w:hAnsi="Times New Roman" w:cs="Times New Roman" w:eastAsia="Times New Roman" w:hint="default"/>
        </w:rPr>
        <w:t>30,670.25</w:t>
      </w:r>
      <w:r>
        <w:rPr/>
        <w:t>万元，同比增长</w:t>
      </w:r>
      <w:r>
        <w:rPr>
          <w:rFonts w:ascii="Times New Roman" w:hAnsi="Times New Roman" w:cs="Times New Roman" w:eastAsia="Times New Roman" w:hint="default"/>
        </w:rPr>
        <w:t>22.85%</w:t>
      </w:r>
      <w:r>
        <w:rPr/>
        <w:t>，主要原因是报告期公司收入规模增长</w:t>
      </w:r>
      <w:r>
        <w:rPr>
          <w:rFonts w:ascii="宋体" w:hAnsi="宋体" w:cs="宋体" w:eastAsia="宋体" w:hint="default"/>
        </w:rPr>
        <w:t>, </w:t>
      </w:r>
      <w:r>
        <w:rPr/>
        <w:t>成本相应增长。</w:t>
      </w:r>
    </w:p>
    <w:p>
      <w:pPr>
        <w:pStyle w:val="BodyText"/>
        <w:spacing w:line="386" w:lineRule="auto" w:before="65"/>
        <w:ind w:right="240" w:firstLine="420"/>
        <w:jc w:val="left"/>
      </w:pPr>
      <w:r>
        <w:rPr/>
        <w:t>报告期内，公司销售费用为</w:t>
      </w:r>
      <w:r>
        <w:rPr>
          <w:rFonts w:ascii="Times New Roman" w:hAnsi="Times New Roman" w:cs="Times New Roman" w:eastAsia="Times New Roman" w:hint="default"/>
        </w:rPr>
        <w:t>3,253.23</w:t>
      </w:r>
      <w:r>
        <w:rPr/>
        <w:t>万元，同比增长</w:t>
      </w:r>
      <w:r>
        <w:rPr>
          <w:rFonts w:ascii="Times New Roman" w:hAnsi="Times New Roman" w:cs="Times New Roman" w:eastAsia="Times New Roman" w:hint="default"/>
        </w:rPr>
        <w:t>13.76%</w:t>
      </w:r>
      <w:r>
        <w:rPr/>
        <w:t>，主要原因是报告期公司人工费用支出增 加</w:t>
      </w:r>
      <w:r>
        <w:rPr>
          <w:rFonts w:ascii="宋体" w:hAnsi="宋体" w:cs="宋体" w:eastAsia="宋体" w:hint="default"/>
        </w:rPr>
        <w:t>,</w:t>
      </w:r>
      <w:r>
        <w:rPr/>
        <w:t>以及因业务增长相应的投标服务费增加。</w:t>
      </w:r>
    </w:p>
    <w:p>
      <w:pPr>
        <w:pStyle w:val="BodyText"/>
        <w:spacing w:line="386" w:lineRule="auto" w:before="65"/>
        <w:ind w:left="154" w:right="186" w:firstLine="420"/>
        <w:jc w:val="left"/>
      </w:pPr>
      <w:r>
        <w:rPr>
          <w:spacing w:val="-1"/>
        </w:rPr>
        <w:t>报告期内，公司管理费用为</w:t>
      </w:r>
      <w:r>
        <w:rPr>
          <w:rFonts w:ascii="Times New Roman" w:hAnsi="Times New Roman" w:cs="Times New Roman" w:eastAsia="Times New Roman" w:hint="default"/>
          <w:spacing w:val="-1"/>
        </w:rPr>
        <w:t>12,566.69</w:t>
      </w:r>
      <w:r>
        <w:rPr>
          <w:spacing w:val="-1"/>
        </w:rPr>
        <w:t>万元，同比增长</w:t>
      </w:r>
      <w:r>
        <w:rPr>
          <w:rFonts w:ascii="Times New Roman" w:hAnsi="Times New Roman" w:cs="Times New Roman" w:eastAsia="Times New Roman" w:hint="default"/>
          <w:spacing w:val="-1"/>
        </w:rPr>
        <w:t>38.41%</w:t>
      </w:r>
      <w:r>
        <w:rPr>
          <w:spacing w:val="-1"/>
        </w:rPr>
        <w:t>，主要原因是报告期固定资产折旧、无形</w:t>
      </w:r>
      <w:r>
        <w:rPr/>
        <w:t> 资产摊销形成的费用增加；费用化的研发投入较上年同期增加。</w:t>
      </w:r>
    </w:p>
    <w:p>
      <w:pPr>
        <w:pStyle w:val="BodyText"/>
        <w:spacing w:line="386" w:lineRule="auto" w:before="65"/>
        <w:ind w:right="187" w:firstLine="420"/>
        <w:jc w:val="left"/>
      </w:pPr>
      <w:r>
        <w:rPr>
          <w:spacing w:val="-1"/>
        </w:rPr>
        <w:t>报告期内，公司财务费用为</w:t>
      </w:r>
      <w:r>
        <w:rPr>
          <w:rFonts w:ascii="Times New Roman" w:hAnsi="Times New Roman" w:cs="Times New Roman" w:eastAsia="Times New Roman" w:hint="default"/>
          <w:spacing w:val="-1"/>
        </w:rPr>
        <w:t>1,425.24</w:t>
      </w:r>
      <w:r>
        <w:rPr>
          <w:spacing w:val="-1"/>
        </w:rPr>
        <w:t>万元，同比增长</w:t>
      </w:r>
      <w:r>
        <w:rPr>
          <w:rFonts w:ascii="Times New Roman" w:hAnsi="Times New Roman" w:cs="Times New Roman" w:eastAsia="Times New Roman" w:hint="default"/>
          <w:spacing w:val="-1"/>
        </w:rPr>
        <w:t>101.46%</w:t>
      </w:r>
      <w:r>
        <w:rPr>
          <w:spacing w:val="-1"/>
        </w:rPr>
        <w:t>，主要原因是报告期银行借款增加，基建</w:t>
      </w:r>
      <w:r>
        <w:rPr/>
        <w:t> 工程专门借款不再资本化所致。</w:t>
      </w:r>
    </w:p>
    <w:p>
      <w:pPr>
        <w:pStyle w:val="BodyText"/>
        <w:spacing w:line="386" w:lineRule="auto" w:before="65"/>
        <w:ind w:right="223" w:firstLine="420"/>
        <w:jc w:val="left"/>
      </w:pPr>
      <w:r>
        <w:rPr/>
        <w:t>报告期内，公司研发投入金额为</w:t>
      </w:r>
      <w:r>
        <w:rPr>
          <w:rFonts w:ascii="Times New Roman" w:hAnsi="Times New Roman" w:cs="Times New Roman" w:eastAsia="Times New Roman" w:hint="default"/>
        </w:rPr>
        <w:t>7,326.53</w:t>
      </w:r>
      <w:r>
        <w:rPr/>
        <w:t>万元，同比下降</w:t>
      </w:r>
      <w:r>
        <w:rPr>
          <w:rFonts w:ascii="Times New Roman" w:hAnsi="Times New Roman" w:cs="Times New Roman" w:eastAsia="Times New Roman" w:hint="default"/>
        </w:rPr>
        <w:t>10.35%</w:t>
      </w:r>
      <w:r>
        <w:rPr/>
        <w:t>，占当期营业收入的</w:t>
      </w:r>
      <w:r>
        <w:rPr>
          <w:rFonts w:ascii="Times New Roman" w:hAnsi="Times New Roman" w:cs="Times New Roman" w:eastAsia="Times New Roman" w:hint="default"/>
        </w:rPr>
        <w:t>13.96%</w:t>
      </w:r>
      <w:r>
        <w:rPr/>
        <w:t>，主要原 因是报告期募投项目开发完成，研发团队结构调整。</w:t>
      </w:r>
    </w:p>
    <w:p>
      <w:pPr>
        <w:pStyle w:val="BodyText"/>
        <w:spacing w:line="386" w:lineRule="auto" w:before="106"/>
        <w:ind w:right="85" w:firstLine="420"/>
        <w:jc w:val="left"/>
      </w:pPr>
      <w:r>
        <w:rPr/>
        <w:t>报告期内，公司经营活动产生的现金流量净额为</w:t>
      </w:r>
      <w:r>
        <w:rPr>
          <w:rFonts w:ascii="Times New Roman" w:hAnsi="Times New Roman" w:cs="Times New Roman" w:eastAsia="Times New Roman" w:hint="default"/>
        </w:rPr>
        <w:t>3,554.49</w:t>
      </w:r>
      <w:r>
        <w:rPr/>
        <w:t>万元，同比下降</w:t>
      </w:r>
      <w:r>
        <w:rPr>
          <w:rFonts w:ascii="Times New Roman" w:hAnsi="Times New Roman" w:cs="Times New Roman" w:eastAsia="Times New Roman" w:hint="default"/>
        </w:rPr>
        <w:t>28.82%</w:t>
      </w:r>
      <w:r>
        <w:rPr/>
        <w:t>，主要是报告期随着 业务拓展，安全集成业务增长，购买商品支出金额较上年同期增加所致。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90" w:lineRule="auto"/>
        <w:ind w:right="5088"/>
        <w:jc w:val="left"/>
      </w:pPr>
      <w:r>
        <w:rPr>
          <w:rFonts w:ascii="Times New Roman" w:hAnsi="Times New Roman" w:cs="Times New Roman" w:eastAsia="Times New Roman" w:hint="default"/>
        </w:rPr>
        <w:t>2</w:t>
      </w:r>
      <w:r>
        <w:rPr/>
        <w:t>）报告期利润构成或利润来源发生重大变动的说明 报告期利润构成或利润来源未发生重大变动。</w:t>
      </w:r>
    </w:p>
    <w:p>
      <w:pPr>
        <w:spacing w:line="240" w:lineRule="auto" w:before="6"/>
        <w:rPr>
          <w:rFonts w:ascii="宋体" w:hAnsi="宋体" w:cs="宋体" w:eastAsia="宋体" w:hint="default"/>
          <w:sz w:val="29"/>
          <w:szCs w:val="29"/>
        </w:rPr>
      </w:pPr>
    </w:p>
    <w:p>
      <w:pPr>
        <w:pStyle w:val="BodyText"/>
        <w:spacing w:line="240" w:lineRule="auto"/>
        <w:ind w:left="154" w:right="85"/>
        <w:jc w:val="left"/>
      </w:pPr>
      <w:r>
        <w:rPr>
          <w:rFonts w:ascii="Times New Roman" w:hAnsi="Times New Roman" w:cs="Times New Roman" w:eastAsia="Times New Roman" w:hint="default"/>
        </w:rPr>
        <w:t>3</w:t>
      </w:r>
      <w:r>
        <w:rPr/>
        <w:t>）收入</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5" w:right="0"/>
              <w:jc w:val="left"/>
              <w:rPr>
                <w:rFonts w:ascii="Times New Roman" w:hAnsi="Times New Roman" w:cs="Times New Roman" w:eastAsia="Times New Roman" w:hint="default"/>
                <w:sz w:val="18"/>
                <w:szCs w:val="18"/>
              </w:rPr>
            </w:pPr>
            <w:r>
              <w:rPr>
                <w:rFonts w:ascii="Times New Roman"/>
                <w:sz w:val="18"/>
              </w:rPr>
              <w:t>524,904,499.06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395,366,353.03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32.76%</w:t>
            </w:r>
          </w:p>
        </w:tc>
      </w:tr>
    </w:tbl>
    <w:p>
      <w:pPr>
        <w:pStyle w:val="BodyText"/>
        <w:spacing w:line="384" w:lineRule="auto" w:before="26"/>
        <w:ind w:left="574" w:right="85" w:hanging="420"/>
        <w:jc w:val="left"/>
      </w:pPr>
      <w:r>
        <w:rPr/>
        <w:t>驱动收入变化的因素 </w:t>
      </w:r>
      <w:r>
        <w:rPr>
          <w:spacing w:val="-1"/>
        </w:rPr>
        <w:t>公司本年收入较去年同期相比稳定增长。公司管理层积极应对日益加剧的市场竞争格局，紧抓市场机</w:t>
      </w:r>
    </w:p>
    <w:p>
      <w:pPr>
        <w:pStyle w:val="BodyText"/>
        <w:spacing w:line="240" w:lineRule="auto"/>
        <w:ind w:left="154" w:right="85"/>
        <w:jc w:val="left"/>
      </w:pPr>
      <w:r>
        <w:rPr/>
        <w:t>遇，不断调整战略部署，调动营销人员的工作激情，强化公司竞争优势，探索开拓新市场。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right="85"/>
        <w:jc w:val="left"/>
      </w:pPr>
      <w:r>
        <w:rPr/>
        <w:t>公司实物销售收入是否大于劳务收入</w:t>
      </w:r>
    </w:p>
    <w:p>
      <w:pPr>
        <w:spacing w:line="240" w:lineRule="auto" w:before="3"/>
        <w:rPr>
          <w:rFonts w:ascii="宋体" w:hAnsi="宋体" w:cs="宋体" w:eastAsia="宋体" w:hint="default"/>
          <w:sz w:val="15"/>
          <w:szCs w:val="15"/>
        </w:rPr>
      </w:pPr>
    </w:p>
    <w:p>
      <w:pPr>
        <w:spacing w:before="0"/>
        <w:ind w:left="153" w:right="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56"/>
        <w:ind w:right="85"/>
        <w:jc w:val="left"/>
      </w:pPr>
      <w:r>
        <w:rPr/>
        <w:t>公司重大的在手订单情况</w:t>
      </w:r>
    </w:p>
    <w:p>
      <w:pPr>
        <w:spacing w:line="240" w:lineRule="auto" w:before="5"/>
        <w:rPr>
          <w:rFonts w:ascii="宋体" w:hAnsi="宋体" w:cs="宋体" w:eastAsia="宋体" w:hint="default"/>
          <w:sz w:val="15"/>
          <w:szCs w:val="15"/>
        </w:rPr>
      </w:pPr>
    </w:p>
    <w:p>
      <w:pPr>
        <w:spacing w:before="0"/>
        <w:ind w:left="154" w:right="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right="85"/>
        <w:jc w:val="left"/>
      </w:pPr>
      <w:r>
        <w:rPr/>
        <w:t>数量分散的订单情况</w:t>
      </w:r>
    </w:p>
    <w:p>
      <w:pPr>
        <w:spacing w:line="240" w:lineRule="auto" w:before="4"/>
        <w:rPr>
          <w:rFonts w:ascii="宋体" w:hAnsi="宋体" w:cs="宋体" w:eastAsia="宋体" w:hint="default"/>
          <w:sz w:val="15"/>
          <w:szCs w:val="15"/>
        </w:rPr>
      </w:pPr>
    </w:p>
    <w:p>
      <w:pPr>
        <w:spacing w:before="0"/>
        <w:ind w:left="153" w:right="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73"/>
        <w:jc w:val="left"/>
      </w:pPr>
      <w:r>
        <w:rPr/>
        <w:t>公司报告期内产品或服务发生重大变化或调整有关情况</w:t>
      </w:r>
    </w:p>
    <w:p>
      <w:pPr>
        <w:spacing w:line="240" w:lineRule="auto" w:before="4"/>
        <w:rPr>
          <w:rFonts w:ascii="宋体" w:hAnsi="宋体" w:cs="宋体" w:eastAsia="宋体" w:hint="default"/>
          <w:sz w:val="15"/>
          <w:szCs w:val="15"/>
        </w:rPr>
      </w:pPr>
    </w:p>
    <w:p>
      <w:pPr>
        <w:spacing w:before="0"/>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79" w:top="1060" w:bottom="1160" w:left="980" w:right="920"/>
        </w:sectPr>
      </w:pPr>
    </w:p>
    <w:p>
      <w:pPr>
        <w:pStyle w:val="BodyText"/>
        <w:spacing w:line="240" w:lineRule="auto" w:before="35"/>
        <w:ind w:right="-19"/>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890" w:space="8029"/>
            <w:col w:w="109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145,001,843.81</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135,434,867.16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7.06%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122,521,420.87</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39.95%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54,373,720.26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125.33%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19,822,888.40</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23,487,554.00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-15.60%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5,401,212.03</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20,178,672.45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-73.23%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1,665,500.44</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7,051,972.99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-76.38%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12,289,639.82</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9,129,574.29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34.61%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306,702,505.37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249,656,361.15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22.85%</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80" w:right="920"/>
        </w:sectPr>
      </w:pPr>
    </w:p>
    <w:p>
      <w:pPr>
        <w:pStyle w:val="BodyText"/>
        <w:spacing w:line="240" w:lineRule="auto" w:before="26"/>
        <w:ind w:left="154" w:right="-20"/>
        <w:jc w:val="left"/>
      </w:pPr>
      <w:r>
        <w:rPr>
          <w:rFonts w:ascii="Times New Roman" w:hAnsi="Times New Roman" w:cs="Times New Roman" w:eastAsia="Times New Roman" w:hint="default"/>
        </w:rPr>
        <w:t>5</w:t>
      </w:r>
      <w:r>
        <w:rPr/>
        <w:t>）费用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890" w:space="8029"/>
            <w:col w:w="109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32,532,332.62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28,597,482.04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125,666,859.23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90,791,343.47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38.41%</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固定折旧、无形资产摊销形成的费用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增加，以及费用化的研发投入增加</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14,252,365.25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7,074,660.22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101.46%</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银行借款增加，基建工程专门借款不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再资本化所致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4,265,712.80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4,241,693.17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26"/>
        <w:ind w:left="154" w:right="173"/>
        <w:jc w:val="left"/>
      </w:pPr>
      <w:r>
        <w:rPr>
          <w:rFonts w:ascii="Times New Roman" w:hAnsi="Times New Roman" w:cs="Times New Roman" w:eastAsia="Times New Roman" w:hint="default"/>
        </w:rPr>
        <w:t>6</w:t>
      </w:r>
      <w:r>
        <w:rPr/>
        <w:t>）研发投入</w:t>
      </w:r>
    </w:p>
    <w:p>
      <w:pPr>
        <w:pStyle w:val="BodyText"/>
        <w:spacing w:line="348" w:lineRule="auto" w:before="151"/>
        <w:ind w:right="211" w:firstLine="420"/>
        <w:jc w:val="both"/>
      </w:pPr>
      <w:r>
        <w:rPr>
          <w:spacing w:val="-1"/>
        </w:rPr>
        <w:t>通过持续加大研发创新力度和市场拓展力度，公司产品和技术不断创新，核心竞争力进一步提升，主</w:t>
      </w:r>
      <w:r>
        <w:rPr/>
        <w:t> 要表现如下：</w:t>
      </w:r>
    </w:p>
    <w:p>
      <w:pPr>
        <w:pStyle w:val="BodyText"/>
        <w:spacing w:line="350" w:lineRule="auto" w:before="30"/>
        <w:ind w:right="212" w:firstLine="420"/>
        <w:jc w:val="both"/>
      </w:pPr>
      <w:r>
        <w:rPr>
          <w:spacing w:val="-1"/>
        </w:rPr>
        <w:t>无形资产情况：报告期内，公司新增专利</w:t>
      </w:r>
      <w:r>
        <w:rPr>
          <w:rFonts w:ascii="宋体" w:hAnsi="宋体" w:cs="宋体" w:eastAsia="宋体" w:hint="default"/>
          <w:spacing w:val="-1"/>
        </w:rPr>
        <w:t>1</w:t>
      </w:r>
      <w:r>
        <w:rPr>
          <w:spacing w:val="-1"/>
        </w:rPr>
        <w:t>项，新增软件著作权</w:t>
      </w:r>
      <w:r>
        <w:rPr>
          <w:rFonts w:ascii="宋体" w:hAnsi="宋体" w:cs="宋体" w:eastAsia="宋体" w:hint="default"/>
          <w:spacing w:val="-1"/>
        </w:rPr>
        <w:t>6</w:t>
      </w:r>
      <w:r>
        <w:rPr>
          <w:spacing w:val="-1"/>
        </w:rPr>
        <w:t>项，子公司蓝盾技术新增软件著作权</w:t>
      </w:r>
      <w:r>
        <w:rPr/>
        <w:t> </w:t>
      </w:r>
      <w:r>
        <w:rPr>
          <w:rFonts w:ascii="宋体" w:hAnsi="宋体" w:cs="宋体" w:eastAsia="宋体" w:hint="default"/>
          <w:spacing w:val="-1"/>
        </w:rPr>
        <w:t>52</w:t>
      </w:r>
      <w:r>
        <w:rPr>
          <w:spacing w:val="-1"/>
        </w:rPr>
        <w:t>项。截至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日，蓝盾股份拥有专利</w:t>
      </w:r>
      <w:r>
        <w:rPr>
          <w:rFonts w:ascii="宋体" w:hAnsi="宋体" w:cs="宋体" w:eastAsia="宋体" w:hint="default"/>
          <w:spacing w:val="-1"/>
        </w:rPr>
        <w:t>14</w:t>
      </w:r>
      <w:r>
        <w:rPr>
          <w:spacing w:val="-1"/>
        </w:rPr>
        <w:t>项，软件著作权</w:t>
      </w:r>
      <w:r>
        <w:rPr>
          <w:rFonts w:ascii="宋体" w:hAnsi="宋体" w:cs="宋体" w:eastAsia="宋体" w:hint="default"/>
          <w:spacing w:val="-1"/>
        </w:rPr>
        <w:t>123</w:t>
      </w:r>
      <w:r>
        <w:rPr>
          <w:spacing w:val="-1"/>
        </w:rPr>
        <w:t>项；蓝盾技术拥有专利</w:t>
      </w:r>
      <w:r>
        <w:rPr>
          <w:rFonts w:ascii="宋体" w:hAnsi="宋体" w:cs="宋体" w:eastAsia="宋体" w:hint="default"/>
          <w:spacing w:val="-1"/>
        </w:rPr>
        <w:t>1</w:t>
      </w:r>
      <w:r>
        <w:rPr>
          <w:spacing w:val="-1"/>
        </w:rPr>
        <w:t>项，软件著</w:t>
      </w:r>
      <w:r>
        <w:rPr>
          <w:spacing w:val="-80"/>
        </w:rPr>
        <w:t> </w:t>
      </w:r>
      <w:r>
        <w:rPr>
          <w:spacing w:val="-80"/>
        </w:rPr>
      </w:r>
      <w:r>
        <w:rPr/>
        <w:t>作权</w:t>
      </w:r>
      <w:r>
        <w:rPr>
          <w:rFonts w:ascii="宋体" w:hAnsi="宋体" w:cs="宋体" w:eastAsia="宋体" w:hint="default"/>
        </w:rPr>
        <w:t>107</w:t>
      </w:r>
      <w:r>
        <w:rPr/>
        <w:t>项。</w:t>
      </w:r>
    </w:p>
    <w:p>
      <w:pPr>
        <w:pStyle w:val="BodyText"/>
        <w:spacing w:line="331" w:lineRule="auto" w:before="28"/>
        <w:ind w:right="225" w:firstLine="420"/>
        <w:jc w:val="both"/>
      </w:pPr>
      <w:r>
        <w:rPr>
          <w:spacing w:val="-3"/>
        </w:rPr>
        <w:t>重要资质方面：公司被认定为“</w:t>
      </w:r>
      <w:r>
        <w:rPr>
          <w:rFonts w:ascii="Times New Roman" w:hAnsi="Times New Roman" w:cs="Times New Roman" w:eastAsia="Times New Roman" w:hint="default"/>
          <w:spacing w:val="-3"/>
        </w:rPr>
        <w:t>2013-2014</w:t>
      </w:r>
      <w:r>
        <w:rPr>
          <w:spacing w:val="-3"/>
        </w:rPr>
        <w:t>年度国家规划布局内重点软件企业”，同时再次通过高新技</w:t>
      </w:r>
      <w:r>
        <w:rPr/>
        <w:t> 术企业认定，而子公司蓝盾技术则是首次获得高新技术企业认定。</w:t>
      </w:r>
    </w:p>
    <w:p>
      <w:pPr>
        <w:pStyle w:val="BodyText"/>
        <w:spacing w:line="547" w:lineRule="auto" w:before="45"/>
        <w:ind w:right="101" w:firstLine="420"/>
        <w:jc w:val="left"/>
      </w:pPr>
      <w:r>
        <w:rPr>
          <w:spacing w:val="-7"/>
        </w:rPr>
        <w:t>报告期内，公司研发支出总额</w:t>
      </w:r>
      <w:r>
        <w:rPr>
          <w:rFonts w:ascii="Times New Roman" w:hAnsi="Times New Roman" w:cs="Times New Roman" w:eastAsia="Times New Roman" w:hint="default"/>
          <w:spacing w:val="-7"/>
        </w:rPr>
        <w:t>7,326.53</w:t>
      </w:r>
      <w:r>
        <w:rPr>
          <w:spacing w:val="-7"/>
        </w:rPr>
        <w:t>万元，其中：资本化金额为</w:t>
      </w:r>
      <w:r>
        <w:rPr>
          <w:rFonts w:ascii="Times New Roman" w:hAnsi="Times New Roman" w:cs="Times New Roman" w:eastAsia="Times New Roman" w:hint="default"/>
          <w:spacing w:val="-7"/>
        </w:rPr>
        <w:t>1,028.80</w:t>
      </w:r>
      <w:r>
        <w:rPr>
          <w:spacing w:val="-7"/>
        </w:rPr>
        <w:t>万元，占研发支出总额</w:t>
      </w:r>
      <w:r>
        <w:rPr>
          <w:rFonts w:ascii="Times New Roman" w:hAnsi="Times New Roman" w:cs="Times New Roman" w:eastAsia="Times New Roman" w:hint="default"/>
          <w:spacing w:val="-7"/>
        </w:rPr>
        <w:t>14.04%</w:t>
      </w:r>
      <w:r>
        <w:rPr>
          <w:spacing w:val="-7"/>
        </w:rPr>
        <w:t>。</w:t>
      </w:r>
      <w:r>
        <w:rPr/>
        <w:t> 近三年公司研发投入金额及占营业收入的比例</w:t>
      </w:r>
    </w:p>
    <w:p>
      <w:pPr>
        <w:spacing w:after="0" w:line="547" w:lineRule="auto"/>
        <w:jc w:val="left"/>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73,265,297.46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81,724,503.32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35,294,990.05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10,287,976.83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42,540,403.77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18,125,375.04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31.20%</w:t>
            </w:r>
          </w:p>
        </w:tc>
      </w:tr>
    </w:tbl>
    <w:p>
      <w:pPr>
        <w:pStyle w:val="BodyText"/>
        <w:spacing w:line="240" w:lineRule="auto" w:before="26"/>
        <w:ind w:left="154" w:right="0"/>
        <w:jc w:val="left"/>
      </w:pPr>
      <w:r>
        <w:rPr/>
        <w:t>研发投入资本化率大幅变动的原因及其合理性说明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77"/>
        <w:ind w:right="0"/>
        <w:jc w:val="left"/>
      </w:pPr>
      <w:r>
        <w:rPr/>
        <w:t>本期资本化的研发项目减少。</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980"/>
        </w:sectPr>
      </w:pPr>
    </w:p>
    <w:p>
      <w:pPr>
        <w:pStyle w:val="BodyText"/>
        <w:spacing w:line="240" w:lineRule="auto" w:before="168"/>
        <w:ind w:right="-19"/>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100" w:space="7819"/>
            <w:col w:w="103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594,058,633.44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443,588,130.01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558,513,774.59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393,650,290.02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35,544,858.85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49,937,839.99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134,677,633.41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140,343,346.41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-123,977,633.41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-124,943,346.41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249,074,290.59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246,324,366.52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224,276,144.24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215,032,257.10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24,798,146.35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31,292,109.42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-63,634,628.21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-43,713,397.00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tc>
      </w:tr>
    </w:tbl>
    <w:p>
      <w:pPr>
        <w:pStyle w:val="BodyText"/>
        <w:spacing w:line="240" w:lineRule="auto" w:before="26"/>
        <w:ind w:left="154" w:right="0"/>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spacing w:before="8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28" w:lineRule="auto"/>
        <w:ind w:left="154" w:right="0" w:firstLine="42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spacing w:val="-3"/>
        </w:rPr>
        <w:t>经营活动现金流入同比增长</w:t>
      </w:r>
      <w:r>
        <w:rPr>
          <w:rFonts w:ascii="Times New Roman" w:hAnsi="Times New Roman" w:cs="Times New Roman" w:eastAsia="Times New Roman" w:hint="default"/>
          <w:spacing w:val="-3"/>
        </w:rPr>
        <w:t>33.92%</w:t>
      </w:r>
      <w:r>
        <w:rPr>
          <w:spacing w:val="-3"/>
        </w:rPr>
        <w:t>，主要是报告期公司营业规模进一步扩大，销售收入增加，销售</w:t>
      </w:r>
      <w:r>
        <w:rPr>
          <w:w w:val="99"/>
        </w:rPr>
        <w:t> </w:t>
      </w:r>
      <w:r>
        <w:rPr/>
        <w:t>商品、提供劳务收到的现金随之增加所致；</w:t>
      </w:r>
    </w:p>
    <w:p>
      <w:pPr>
        <w:pStyle w:val="BodyText"/>
        <w:spacing w:line="331" w:lineRule="auto" w:before="48"/>
        <w:ind w:left="154" w:right="236" w:firstLine="42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1"/>
        </w:rPr>
        <w:t> </w:t>
      </w:r>
      <w:r>
        <w:rPr/>
        <w:t>经营活动现金流出同比增长</w:t>
      </w:r>
      <w:r>
        <w:rPr>
          <w:rFonts w:ascii="Times New Roman" w:hAnsi="Times New Roman" w:cs="Times New Roman" w:eastAsia="Times New Roman" w:hint="default"/>
        </w:rPr>
        <w:t>41.88%</w:t>
      </w:r>
      <w:r>
        <w:rPr/>
        <w:t>，主要是报告期销售收入增加，随之产生的购买商品、接受劳</w:t>
      </w:r>
      <w:r>
        <w:rPr>
          <w:w w:val="99"/>
        </w:rPr>
        <w:t> </w:t>
      </w:r>
      <w:r>
        <w:rPr/>
        <w:t>务支付的现金增加所致；</w:t>
      </w:r>
    </w:p>
    <w:p>
      <w:pPr>
        <w:pStyle w:val="BodyText"/>
        <w:spacing w:line="240" w:lineRule="auto" w:before="45"/>
        <w:ind w:left="574"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0"/>
        </w:rPr>
        <w:t> </w:t>
      </w:r>
      <w:r>
        <w:rPr/>
        <w:t>投资活动现金流入同比下降</w:t>
      </w:r>
      <w:r>
        <w:rPr>
          <w:rFonts w:ascii="Times New Roman" w:hAnsi="Times New Roman" w:cs="Times New Roman" w:eastAsia="Times New Roman" w:hint="default"/>
        </w:rPr>
        <w:t>30.52%</w:t>
      </w:r>
      <w:r>
        <w:rPr/>
        <w:t>，主要是报告期收到的与资产相关的政府补助同比下降；</w:t>
      </w:r>
    </w:p>
    <w:p>
      <w:pPr>
        <w:pStyle w:val="BodyText"/>
        <w:spacing w:line="240" w:lineRule="auto" w:before="110"/>
        <w:ind w:left="573"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50"/>
        </w:rPr>
        <w:t> </w:t>
      </w:r>
      <w:r>
        <w:rPr/>
        <w:t>现金及现金等价物净增加额同比下降</w:t>
      </w:r>
      <w:r>
        <w:rPr>
          <w:rFonts w:ascii="Times New Roman" w:hAnsi="Times New Roman" w:cs="Times New Roman" w:eastAsia="Times New Roman" w:hint="default"/>
        </w:rPr>
        <w:t>45.57%</w:t>
      </w:r>
      <w:r>
        <w:rPr/>
        <w:t>，主要是经营活动产生的现金流量净额下降以及筹资</w:t>
      </w:r>
    </w:p>
    <w:p>
      <w:pPr>
        <w:spacing w:after="0" w:line="240" w:lineRule="auto"/>
        <w:jc w:val="lef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4" w:lineRule="auto"/>
        <w:ind w:right="2843"/>
        <w:jc w:val="left"/>
      </w:pPr>
      <w:r>
        <w:rPr/>
        <w:t>活动产生的现金流量净额下降所致。 报告期内公司经营活动的现金流量与本年度净利润存在重大差异的原因说明</w:t>
      </w:r>
    </w:p>
    <w:p>
      <w:pPr>
        <w:spacing w:before="7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90" w:lineRule="auto"/>
        <w:ind w:right="6938"/>
        <w:jc w:val="left"/>
      </w:pPr>
      <w:r>
        <w:rPr>
          <w:rFonts w:ascii="Times New Roman" w:hAnsi="Times New Roman" w:cs="Times New Roman" w:eastAsia="Times New Roman" w:hint="default"/>
        </w:rPr>
        <w:t>8</w:t>
      </w:r>
      <w:r>
        <w:rPr/>
        <w:t>）公司主要供应商、客户情况 公司主要销售客户情况</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111,280,699.17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21.20%</w:t>
            </w:r>
          </w:p>
        </w:tc>
      </w:tr>
    </w:tbl>
    <w:p>
      <w:pPr>
        <w:pStyle w:val="BodyText"/>
        <w:spacing w:line="240" w:lineRule="auto" w:before="26"/>
        <w:ind w:left="154" w:right="0"/>
        <w:jc w:val="left"/>
      </w:pPr>
      <w:r>
        <w:rPr/>
        <w:t>向单一客户销售比例超过</w:t>
      </w:r>
      <w:r>
        <w:rPr>
          <w:spacing w:val="-55"/>
        </w:rPr>
        <w:t> </w:t>
      </w:r>
      <w:r>
        <w:rPr>
          <w:rFonts w:ascii="Times New Roman" w:hAnsi="Times New Roman" w:cs="Times New Roman" w:eastAsia="Times New Roman" w:hint="default"/>
        </w:rPr>
        <w:t>30%</w:t>
      </w:r>
      <w:r>
        <w:rPr/>
        <w:t>的客户资料</w:t>
      </w:r>
    </w:p>
    <w:p>
      <w:pPr>
        <w:spacing w:before="18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公司主要供应商情况</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54,306,335.65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bl>
    <w:p>
      <w:pPr>
        <w:pStyle w:val="BodyText"/>
        <w:spacing w:line="240" w:lineRule="auto" w:before="26"/>
        <w:ind w:left="154" w:right="0"/>
        <w:jc w:val="left"/>
      </w:pPr>
      <w:r>
        <w:rPr/>
        <w:t>向单一供应商采购比例超过</w:t>
      </w:r>
      <w:r>
        <w:rPr>
          <w:spacing w:val="-54"/>
        </w:rPr>
        <w:t> </w:t>
      </w:r>
      <w:r>
        <w:rPr>
          <w:rFonts w:ascii="Times New Roman" w:hAnsi="Times New Roman" w:cs="Times New Roman" w:eastAsia="Times New Roman" w:hint="default"/>
        </w:rPr>
        <w:t>30%</w:t>
      </w:r>
      <w:r>
        <w:rPr/>
        <w:t>的客户资料</w:t>
      </w:r>
    </w:p>
    <w:p>
      <w:pPr>
        <w:spacing w:before="1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62" w:lineRule="auto" w:before="124"/>
        <w:ind w:right="3053"/>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spacing w:before="9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0" w:lineRule="auto" w:before="155"/>
        <w:ind w:right="151" w:firstLine="420"/>
        <w:jc w:val="both"/>
      </w:pPr>
      <w:r>
        <w:rPr>
          <w:spacing w:val="-1"/>
        </w:rPr>
        <w:t>公司在首次公开发行招股说明书中披露的未来三年发展规划及目标，主要围绕把公司“打造为国际一</w:t>
      </w:r>
      <w:r>
        <w:rPr/>
        <w:t> </w:t>
      </w:r>
      <w:r>
        <w:rPr>
          <w:spacing w:val="-1"/>
        </w:rPr>
        <w:t>流的信息安全企业”的战略远景，在企业级信息安全领域深耕细作，拓展蓝盾自主品牌，积极进行技术创</w:t>
      </w:r>
      <w:r>
        <w:rPr>
          <w:spacing w:val="-86"/>
        </w:rPr>
        <w:t> </w:t>
      </w:r>
      <w:r>
        <w:rPr>
          <w:spacing w:val="-86"/>
        </w:rPr>
      </w:r>
      <w:r>
        <w:rPr>
          <w:spacing w:val="-1"/>
        </w:rPr>
        <w:t>新，拓展全国业务布局，针对安全产品、安全集成、安全服务等主营业务发展做出了计划，同时企业管理</w:t>
      </w:r>
      <w:r>
        <w:rPr>
          <w:spacing w:val="-83"/>
        </w:rPr>
        <w:t> </w:t>
      </w:r>
      <w:r>
        <w:rPr>
          <w:spacing w:val="-83"/>
        </w:rPr>
      </w:r>
      <w:r>
        <w:rPr/>
        <w:t>水平得到提升。</w:t>
      </w:r>
    </w:p>
    <w:p>
      <w:pPr>
        <w:pStyle w:val="BodyText"/>
        <w:spacing w:line="350" w:lineRule="auto" w:before="29"/>
        <w:ind w:right="153" w:firstLine="420"/>
        <w:jc w:val="both"/>
      </w:pPr>
      <w:r>
        <w:rPr>
          <w:spacing w:val="-1"/>
        </w:rPr>
        <w:t>报告期内，公司紧紧围绕年度经营计划，积极开展各项工作。面对信息安全市场需求的持续提升，公</w:t>
      </w:r>
      <w:r>
        <w:rPr/>
        <w:t> </w:t>
      </w:r>
      <w:r>
        <w:rPr>
          <w:spacing w:val="-1"/>
        </w:rPr>
        <w:t>司积极把握机遇，取得了较好的效果；针对移动互联网、云计算、大数据等新兴技术领域，公司也在不断</w:t>
      </w:r>
      <w:r>
        <w:rPr>
          <w:spacing w:val="-83"/>
        </w:rPr>
        <w:t> </w:t>
      </w:r>
      <w:r>
        <w:rPr>
          <w:spacing w:val="-83"/>
        </w:rPr>
      </w:r>
      <w:r>
        <w:rPr>
          <w:spacing w:val="-1"/>
        </w:rPr>
        <w:t>进行产品优化及技术布局，提升了公司的核心竞争力；同时公司积极进行“大安全”产业布局，针对信息</w:t>
      </w:r>
      <w:r>
        <w:rPr>
          <w:spacing w:val="-83"/>
        </w:rPr>
        <w:t> </w:t>
      </w:r>
      <w:r>
        <w:rPr>
          <w:spacing w:val="-83"/>
        </w:rPr>
      </w:r>
      <w:r>
        <w:rPr/>
        <w:t>安全领域丰富的内涵与外延，在电磁安防领域进行布局，积极丰富和完善产业链及客户渠道。</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left="574" w:right="0" w:hanging="420"/>
        <w:jc w:val="left"/>
      </w:pPr>
      <w:r>
        <w:rPr/>
        <w:t>前期披露的发展战略和经营计划在报告期内的进展情况 </w:t>
      </w:r>
      <w:r>
        <w:rPr>
          <w:spacing w:val="-1"/>
        </w:rPr>
        <w:t>报告期内，公司基本按照年初董事会制定的发展战略和年度经营计划开展工作，各方面工作基本得到</w:t>
      </w:r>
    </w:p>
    <w:p>
      <w:pPr>
        <w:pStyle w:val="BodyText"/>
        <w:spacing w:line="328" w:lineRule="auto"/>
        <w:ind w:right="139"/>
        <w:jc w:val="left"/>
      </w:pPr>
      <w:r>
        <w:rPr/>
        <w:t>落实</w:t>
      </w:r>
      <w:r>
        <w:rPr>
          <w:spacing w:val="-4"/>
        </w:rPr>
        <w:t>，</w:t>
      </w:r>
      <w:r>
        <w:rPr/>
        <w:t>公司管理能力及综合竞争力进一步提升</w:t>
      </w:r>
      <w:r>
        <w:rPr>
          <w:spacing w:val="-110"/>
        </w:rPr>
        <w:t>。</w:t>
      </w:r>
      <w:r>
        <w:rPr/>
        <w:t>（详见本</w:t>
      </w:r>
      <w:r>
        <w:rPr>
          <w:spacing w:val="-4"/>
        </w:rPr>
        <w:t>节</w:t>
      </w:r>
      <w:r>
        <w:rPr/>
        <w:t>“一</w:t>
      </w:r>
      <w:r>
        <w:rPr>
          <w:spacing w:val="-4"/>
        </w:rPr>
        <w:t>、</w:t>
      </w:r>
      <w:r>
        <w:rPr/>
        <w:t>管</w:t>
      </w:r>
      <w:r>
        <w:rPr>
          <w:spacing w:val="1"/>
        </w:rPr>
        <w:t>理</w:t>
      </w:r>
      <w:r>
        <w:rPr/>
        <w:t>层讨论与分析</w:t>
      </w:r>
      <w:r>
        <w:rPr>
          <w:spacing w:val="-4"/>
        </w:rPr>
        <w:t>”之</w:t>
      </w:r>
      <w:r>
        <w:rPr>
          <w:spacing w:val="1"/>
        </w:rPr>
        <w:t>“</w:t>
      </w:r>
      <w:r>
        <w:rPr>
          <w:rFonts w:ascii="Times New Roman" w:hAnsi="Times New Roman" w:cs="Times New Roman" w:eastAsia="Times New Roman" w:hint="default"/>
        </w:rPr>
        <w:t>1</w:t>
      </w:r>
      <w:r>
        <w:rPr>
          <w:spacing w:val="-3"/>
        </w:rPr>
        <w:t>、</w:t>
      </w:r>
      <w:r>
        <w:rPr/>
        <w:t>报告期内主</w:t>
      </w:r>
      <w:r>
        <w:rPr/>
        <w:t> 要业务回顾</w:t>
      </w:r>
      <w:r>
        <w:rPr>
          <w:spacing w:val="-106"/>
        </w:rPr>
        <w:t>”</w:t>
      </w:r>
      <w:r>
        <w:rPr>
          <w:spacing w:val="-105"/>
        </w:rPr>
        <w:t>。</w:t>
      </w:r>
      <w:r>
        <w:rPr/>
        <w:t>）</w:t>
      </w:r>
    </w:p>
    <w:p>
      <w:pPr>
        <w:spacing w:after="0" w:line="32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86"/>
        <w:ind w:right="0"/>
        <w:jc w:val="left"/>
      </w:pPr>
      <w:r>
        <w:rPr/>
        <w:t>公司实际经营业绩较曾公开披露过的本年度盈利预测低于或高于</w:t>
      </w:r>
      <w:r>
        <w:rPr>
          <w:spacing w:val="-53"/>
        </w:rPr>
        <w:t> </w:t>
      </w:r>
      <w:r>
        <w:rPr>
          <w:rFonts w:ascii="Times New Roman" w:hAnsi="Times New Roman" w:cs="Times New Roman" w:eastAsia="Times New Roman" w:hint="default"/>
        </w:rPr>
        <w:t>20%</w:t>
      </w:r>
      <w:r>
        <w:rPr/>
        <w:t>以上的差异原因</w:t>
      </w:r>
    </w:p>
    <w:p>
      <w:pPr>
        <w:spacing w:before="18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left="153" w:right="0"/>
        <w:jc w:val="left"/>
        <w:rPr>
          <w:b w:val="0"/>
          <w:bCs w:val="0"/>
        </w:rPr>
      </w:pPr>
      <w:bookmarkStart w:name="（2）主营业务分部报告" w:id="20"/>
      <w:bookmarkEnd w:id="20"/>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980"/>
        </w:sectPr>
      </w:pPr>
    </w:p>
    <w:p>
      <w:pPr>
        <w:pStyle w:val="BodyText"/>
        <w:spacing w:line="240" w:lineRule="auto" w:before="35"/>
        <w:ind w:right="0"/>
        <w:jc w:val="left"/>
      </w:pPr>
      <w:r>
        <w:rPr>
          <w:rFonts w:ascii="Times New Roman" w:hAnsi="Times New Roman" w:cs="Times New Roman" w:eastAsia="Times New Roman" w:hint="default"/>
          <w:spacing w:val="-1"/>
        </w:rPr>
        <w:t>1</w:t>
      </w:r>
      <w:r>
        <w:rPr>
          <w:spacing w:val="-1"/>
        </w:rPr>
        <w:t>）报告期主营业务收入及主营业务利润的构成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59" w:space="4461"/>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2"/>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206,737,113.75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61,735,269.94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246,584,884.74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124,063,463.87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28,855,751.04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9,032,862.64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18,219,588.09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12,818,376.06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2,629,555.25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964,054.81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21,877,606.19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9,587,966.37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92,407,941.15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68,492,306.60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398,425,728.30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128,261,860.87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34,070,829.61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21,447,826.22</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1,771,230.75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1,267,795.19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8,550,050.56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5,471,474.23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25,535,022.57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11,397,741.98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452,654,821.08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184,982,227.01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27,238,707.59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10,818,324.45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6,702,835.84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2,515,310.51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2,451,830.67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1,749,120.32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26"/>
        <w:ind w:left="154" w:right="-20"/>
        <w:jc w:val="left"/>
      </w:pPr>
      <w:r>
        <w:rPr>
          <w:rFonts w:ascii="Times New Roman" w:hAnsi="Times New Roman" w:cs="Times New Roman" w:eastAsia="Times New Roman" w:hint="default"/>
        </w:rPr>
        <w:t>2</w:t>
      </w:r>
      <w:r>
        <w:rPr/>
        <w:t>）占比</w:t>
      </w:r>
      <w:r>
        <w:rPr>
          <w:spacing w:val="-53"/>
        </w:rPr>
        <w:t> </w:t>
      </w:r>
      <w:r>
        <w:rPr>
          <w:rFonts w:ascii="Times New Roman" w:hAnsi="Times New Roman" w:cs="Times New Roman" w:eastAsia="Times New Roman" w:hint="default"/>
        </w:rPr>
        <w:t>10%</w:t>
      </w:r>
      <w:r>
        <w:rPr/>
        <w:t>以上的产品、行业或地区情况</w:t>
      </w:r>
    </w:p>
    <w:p>
      <w:pPr>
        <w:spacing w:before="8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057" w:space="4862"/>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72"/>
        <w:gridCol w:w="1366"/>
        <w:gridCol w:w="1367"/>
        <w:gridCol w:w="1367"/>
        <w:gridCol w:w="1367"/>
        <w:gridCol w:w="137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7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206,737,113.75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145,001,843.81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7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246,584,884.74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122,521,420.87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72"/>
        <w:gridCol w:w="1366"/>
        <w:gridCol w:w="1367"/>
        <w:gridCol w:w="1367"/>
        <w:gridCol w:w="1367"/>
        <w:gridCol w:w="137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37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92,407,941.15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23,915,634.55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37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398,425,728.30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270,163,867.43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7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452,654,821.08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267,672,594.07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bl>
    <w:p>
      <w:pPr>
        <w:pStyle w:val="BodyText"/>
        <w:spacing w:line="259" w:lineRule="auto" w:before="26"/>
        <w:ind w:left="154" w:right="280"/>
        <w:jc w:val="left"/>
      </w:pPr>
      <w:r>
        <w:rPr>
          <w:rFonts w:ascii="Times New Roman" w:hAnsi="Times New Roman" w:cs="Times New Roman" w:eastAsia="Times New Roman" w:hint="default"/>
        </w:rPr>
        <w:t>3</w:t>
      </w:r>
      <w:r>
        <w:rPr/>
        <w:t>）公司主营业务数据统计口径在报告期发生调整的情况下，公司最近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年按报告期末口径调整后的主营 业务数据</w:t>
      </w:r>
    </w:p>
    <w:p>
      <w:pPr>
        <w:spacing w:line="240" w:lineRule="auto" w:before="1"/>
        <w:rPr>
          <w:rFonts w:ascii="宋体" w:hAnsi="宋体" w:cs="宋体" w:eastAsia="宋体" w:hint="default"/>
          <w:sz w:val="14"/>
          <w:szCs w:val="14"/>
        </w:rPr>
      </w:pPr>
    </w:p>
    <w:p>
      <w:pPr>
        <w:spacing w:before="0"/>
        <w:ind w:left="154"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4"/>
          <w:szCs w:val="24"/>
        </w:rPr>
      </w:pPr>
    </w:p>
    <w:p>
      <w:pPr>
        <w:pStyle w:val="Heading3"/>
        <w:spacing w:line="240" w:lineRule="auto"/>
        <w:ind w:left="153" w:right="173"/>
        <w:jc w:val="left"/>
        <w:rPr>
          <w:b w:val="0"/>
          <w:bCs w:val="0"/>
        </w:rPr>
      </w:pPr>
      <w:bookmarkStart w:name="（3）资产、负债状况分析" w:id="21"/>
      <w:bookmarkEnd w:id="21"/>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920"/>
        </w:sectPr>
      </w:pPr>
    </w:p>
    <w:p>
      <w:pPr>
        <w:pStyle w:val="BodyText"/>
        <w:spacing w:line="240" w:lineRule="auto" w:before="35"/>
        <w:ind w:right="-8"/>
        <w:jc w:val="left"/>
      </w:pPr>
      <w:r>
        <w:rPr>
          <w:rFonts w:ascii="Times New Roman" w:hAnsi="Times New Roman" w:cs="Times New Roman" w:eastAsia="Times New Roman" w:hint="default"/>
          <w:spacing w:val="-1"/>
        </w:rPr>
        <w:t>1</w:t>
      </w:r>
      <w:r>
        <w:rPr>
          <w:spacing w:val="-1"/>
        </w:rPr>
        <w:t>）资产项目重大变动情况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2569" w:space="6351"/>
            <w:col w:w="109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84"/>
        <w:gridCol w:w="1063"/>
        <w:gridCol w:w="1194"/>
        <w:gridCol w:w="1063"/>
        <w:gridCol w:w="809"/>
        <w:gridCol w:w="289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4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09"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89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8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9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0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289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28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28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357,652,024.59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408,677,824.12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37.54%</w:t>
            </w:r>
          </w:p>
        </w:tc>
        <w:tc>
          <w:tcPr>
            <w:tcW w:w="809"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-10.33%</w:t>
            </w:r>
          </w:p>
        </w:tc>
        <w:tc>
          <w:tcPr>
            <w:tcW w:w="28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报告期购建长期资产的支出增多</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303,019,792.35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204,929,839.53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c>
          <w:tcPr>
            <w:tcW w:w="809"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4.23%</w:t>
            </w:r>
          </w:p>
        </w:tc>
        <w:tc>
          <w:tcPr>
            <w:tcW w:w="289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52,187,984.15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19,840,013.33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809"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2.15%</w:t>
            </w:r>
          </w:p>
        </w:tc>
        <w:tc>
          <w:tcPr>
            <w:tcW w:w="289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2,140,665.95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0.16%</w:t>
            </w:r>
          </w:p>
        </w:tc>
        <w:tc>
          <w:tcPr>
            <w:tcW w:w="28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报告期新增投资</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334,862,074.06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25.47%</w:t>
            </w:r>
          </w:p>
        </w:tc>
        <w:tc>
          <w:tcPr>
            <w:tcW w:w="11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165,171,233.73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15.17%</w:t>
            </w:r>
          </w:p>
        </w:tc>
        <w:tc>
          <w:tcPr>
            <w:tcW w:w="809" w:type="dxa"/>
            <w:vMerge w:val="restart"/>
            <w:tcBorders>
              <w:top w:val="single" w:sz="4" w:space="0" w:color="000000"/>
              <w:left w:val="single" w:sz="4" w:space="0" w:color="000000"/>
              <w:right w:val="single" w:sz="9" w:space="0" w:color="CCE8C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10.30%</w:t>
            </w:r>
          </w:p>
        </w:tc>
        <w:tc>
          <w:tcPr>
            <w:tcW w:w="2896"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报告期产业基地完工由在建工程转 入固定资产</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9" w:type="dxa"/>
            <w:vMerge/>
            <w:tcBorders>
              <w:left w:val="single" w:sz="4" w:space="0" w:color="000000"/>
              <w:right w:val="single" w:sz="9" w:space="0" w:color="CCE8CF"/>
            </w:tcBorders>
          </w:tcPr>
          <w:p>
            <w:pPr/>
          </w:p>
        </w:tc>
        <w:tc>
          <w:tcPr>
            <w:tcW w:w="2896"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9" w:space="0" w:color="CCE8CF"/>
            </w:tcBorders>
          </w:tcPr>
          <w:p>
            <w:pPr/>
          </w:p>
        </w:tc>
        <w:tc>
          <w:tcPr>
            <w:tcW w:w="2896"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7,619,913.64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0.58%</w:t>
            </w:r>
          </w:p>
        </w:tc>
        <w:tc>
          <w:tcPr>
            <w:tcW w:w="11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114,319,458.69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10.50%</w:t>
            </w:r>
          </w:p>
        </w:tc>
        <w:tc>
          <w:tcPr>
            <w:tcW w:w="809" w:type="dxa"/>
            <w:vMerge w:val="restart"/>
            <w:tcBorders>
              <w:top w:val="single" w:sz="4" w:space="0" w:color="000000"/>
              <w:left w:val="single" w:sz="4" w:space="0" w:color="000000"/>
              <w:right w:val="single" w:sz="9" w:space="0" w:color="CCE8C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-9.92%</w:t>
            </w:r>
          </w:p>
        </w:tc>
        <w:tc>
          <w:tcPr>
            <w:tcW w:w="2896"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报告期产业基地完工由在建工程转 入固定资产</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9" w:type="dxa"/>
            <w:vMerge/>
            <w:tcBorders>
              <w:left w:val="single" w:sz="4" w:space="0" w:color="000000"/>
              <w:right w:val="single" w:sz="9" w:space="0" w:color="CCE8CF"/>
            </w:tcBorders>
          </w:tcPr>
          <w:p>
            <w:pPr/>
          </w:p>
        </w:tc>
        <w:tc>
          <w:tcPr>
            <w:tcW w:w="2896"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9" w:space="0" w:color="CCE8CF"/>
            </w:tcBorders>
          </w:tcPr>
          <w:p>
            <w:pPr/>
          </w:p>
        </w:tc>
        <w:tc>
          <w:tcPr>
            <w:tcW w:w="2896"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160" w:left="980" w:right="920"/>
        </w:sectPr>
      </w:pPr>
    </w:p>
    <w:p>
      <w:pPr>
        <w:pStyle w:val="BodyText"/>
        <w:spacing w:line="240" w:lineRule="auto" w:before="35"/>
        <w:ind w:left="154" w:right="-9"/>
        <w:jc w:val="left"/>
      </w:pPr>
      <w:r>
        <w:rPr>
          <w:rFonts w:ascii="Times New Roman" w:hAnsi="Times New Roman" w:cs="Times New Roman" w:eastAsia="Times New Roman" w:hint="default"/>
          <w:spacing w:val="-1"/>
        </w:rPr>
        <w:t>2</w:t>
      </w:r>
      <w:r>
        <w:rPr>
          <w:spacing w:val="-1"/>
        </w:rPr>
        <w:t>）负债项目重大变动情况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2569" w:space="6351"/>
            <w:col w:w="109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1064"/>
        <w:gridCol w:w="1195"/>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90"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32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223,213,027.00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162,900,000.00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14.96%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2.02%</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-6.43%</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长期借款因到期时间短于一年调整 至一年内到期的非流动负债</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26"/>
        <w:ind w:left="154" w:right="173"/>
        <w:jc w:val="left"/>
      </w:pPr>
      <w:r>
        <w:rPr>
          <w:rFonts w:ascii="Times New Roman" w:hAnsi="Times New Roman" w:cs="Times New Roman" w:eastAsia="Times New Roman" w:hint="default"/>
        </w:rPr>
        <w:t>3</w:t>
      </w:r>
      <w:r>
        <w:rPr/>
        <w:t>）以公允价值计量的资产和负债</w:t>
      </w:r>
    </w:p>
    <w:p>
      <w:pPr>
        <w:spacing w:before="186"/>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20"/>
        </w:sectPr>
      </w:pPr>
    </w:p>
    <w:p>
      <w:pPr>
        <w:spacing w:line="240" w:lineRule="auto" w:before="9"/>
        <w:rPr>
          <w:rFonts w:ascii="宋体" w:hAnsi="宋体" w:cs="宋体" w:eastAsia="宋体" w:hint="default"/>
          <w:sz w:val="24"/>
          <w:szCs w:val="24"/>
        </w:rPr>
      </w:pPr>
    </w:p>
    <w:p>
      <w:pPr>
        <w:spacing w:line="506" w:lineRule="auto" w:before="35"/>
        <w:ind w:left="153" w:right="5993" w:firstLine="0"/>
        <w:jc w:val="left"/>
        <w:rPr>
          <w:rFonts w:ascii="宋体" w:hAnsi="宋体" w:cs="宋体" w:eastAsia="宋体" w:hint="default"/>
          <w:sz w:val="21"/>
          <w:szCs w:val="21"/>
        </w:rPr>
      </w:pPr>
      <w:bookmarkStart w:name="（4）公司竞争能力重大变化分析" w:id="22"/>
      <w:bookmarkEnd w:id="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b/>
          <w:bCs/>
          <w:w w:val="99"/>
          <w:sz w:val="21"/>
          <w:szCs w:val="21"/>
        </w:rPr>
        <w:t> </w:t>
      </w:r>
      <w:r>
        <w:rPr>
          <w:rFonts w:ascii="宋体" w:hAnsi="宋体" w:cs="宋体" w:eastAsia="宋体" w:hint="default"/>
          <w:sz w:val="21"/>
          <w:szCs w:val="21"/>
        </w:rPr>
        <w:t>报告期，公司竞争能力未发生重大变化。</w:t>
      </w:r>
    </w:p>
    <w:p>
      <w:pPr>
        <w:pStyle w:val="Heading3"/>
        <w:spacing w:line="240" w:lineRule="auto" w:before="103"/>
        <w:ind w:left="153" w:right="0"/>
        <w:jc w:val="left"/>
        <w:rPr>
          <w:b w:val="0"/>
          <w:bCs w:val="0"/>
        </w:rPr>
      </w:pPr>
      <w:bookmarkStart w:name="（5）投资状况分析" w:id="23"/>
      <w:bookmarkEnd w:id="23"/>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spacing w:line="240" w:lineRule="auto" w:before="8"/>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09"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9" w:hRule="exact"/>
        </w:trPr>
        <w:tc>
          <w:tcPr>
            <w:tcW w:w="2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119"/>
              <w:jc w:val="left"/>
              <w:rPr>
                <w:rFonts w:ascii="宋体" w:hAnsi="宋体" w:cs="宋体" w:eastAsia="宋体" w:hint="default"/>
                <w:sz w:val="18"/>
                <w:szCs w:val="18"/>
              </w:rPr>
            </w:pPr>
            <w:r>
              <w:rPr>
                <w:rFonts w:ascii="宋体" w:hAnsi="宋体" w:cs="宋体" w:eastAsia="宋体" w:hint="default"/>
                <w:sz w:val="18"/>
                <w:szCs w:val="18"/>
              </w:rPr>
              <w:t>北京纹歌科技发展有限公 司</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75"/>
              <w:jc w:val="left"/>
              <w:rPr>
                <w:rFonts w:ascii="宋体" w:hAnsi="宋体" w:cs="宋体" w:eastAsia="宋体" w:hint="default"/>
                <w:sz w:val="18"/>
                <w:szCs w:val="18"/>
              </w:rPr>
            </w:pPr>
            <w:r>
              <w:rPr>
                <w:rFonts w:ascii="宋体" w:hAnsi="宋体" w:cs="宋体" w:eastAsia="宋体" w:hint="default"/>
                <w:sz w:val="18"/>
                <w:szCs w:val="18"/>
              </w:rPr>
              <w:t>电子取证、计算机应 用与服务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30.00%</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665.95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5"/>
        <w:ind w:left="154" w:right="0"/>
        <w:jc w:val="left"/>
      </w:pPr>
      <w:r>
        <w:rPr>
          <w:rFonts w:ascii="Times New Roman" w:hAnsi="Times New Roman" w:cs="Times New Roman" w:eastAsia="Times New Roman" w:hint="default"/>
        </w:rPr>
        <w:t>2</w:t>
      </w:r>
      <w:r>
        <w:rPr/>
        <w:t>）募集资金使用情况</w:t>
      </w:r>
    </w:p>
    <w:p>
      <w:pPr>
        <w:pStyle w:val="BodyText"/>
        <w:spacing w:line="240" w:lineRule="auto" w:before="169"/>
        <w:ind w:left="154" w:right="0"/>
        <w:jc w:val="left"/>
      </w:pPr>
      <w:r>
        <w:rPr>
          <w:rFonts w:ascii="Times New Roman" w:hAnsi="Times New Roman" w:cs="Times New Roman" w:eastAsia="Times New Roman" w:hint="default"/>
        </w:rPr>
        <w:t>1.</w:t>
      </w:r>
      <w:r>
        <w:rPr/>
        <w:t>募集资金总体使用情况</w:t>
      </w:r>
    </w:p>
    <w:p>
      <w:pPr>
        <w:spacing w:line="240" w:lineRule="auto" w:before="2"/>
        <w:rPr>
          <w:rFonts w:ascii="宋体" w:hAnsi="宋体" w:cs="宋体" w:eastAsia="宋体" w:hint="default"/>
          <w:sz w:val="12"/>
          <w:szCs w:val="12"/>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9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35,275.67</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13,436.74</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35,412.09</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11" w:right="21"/>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公司严格按照《募集资金管理办法》的规定和要求，对募集资金的存放和使用进行了有效的监督和管理，以确保用于募集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资金投资项目的建设。本报告期公司使用募集资金</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13,436.74</w:t>
            </w:r>
            <w:r>
              <w:rPr>
                <w:rFonts w:ascii="Times New Roman" w:hAnsi="Times New Roman" w:cs="Times New Roman" w:eastAsia="Times New Roman" w:hint="default"/>
                <w:spacing w:val="-16"/>
                <w:sz w:val="18"/>
                <w:szCs w:val="18"/>
              </w:rPr>
              <w:t> </w:t>
            </w:r>
            <w:r>
              <w:rPr>
                <w:rFonts w:ascii="宋体" w:hAnsi="宋体" w:cs="宋体" w:eastAsia="宋体" w:hint="default"/>
                <w:spacing w:val="-18"/>
                <w:sz w:val="18"/>
                <w:szCs w:val="18"/>
              </w:rPr>
              <w:t>万元，截止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日，公司累计使用募集资金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35,412.09</w:t>
            </w:r>
          </w:p>
          <w:p>
            <w:pPr>
              <w:pStyle w:val="TableParagraph"/>
              <w:spacing w:line="309" w:lineRule="auto"/>
              <w:ind w:left="11" w:right="84"/>
              <w:jc w:val="both"/>
              <w:rPr>
                <w:rFonts w:ascii="宋体" w:hAnsi="宋体" w:cs="宋体" w:eastAsia="宋体" w:hint="default"/>
                <w:sz w:val="18"/>
                <w:szCs w:val="18"/>
              </w:rPr>
            </w:pPr>
            <w:r>
              <w:rPr>
                <w:rFonts w:ascii="宋体" w:hAnsi="宋体" w:cs="宋体" w:eastAsia="宋体" w:hint="default"/>
                <w:sz w:val="18"/>
                <w:szCs w:val="18"/>
              </w:rPr>
              <w:t>万元。公司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年第二次临时股东大会和第五次临时股东大会分别审议通过了《关于使用募投项目节余资金永久补充流 </w:t>
            </w:r>
            <w:r>
              <w:rPr>
                <w:rFonts w:ascii="宋体" w:hAnsi="宋体" w:cs="宋体" w:eastAsia="宋体" w:hint="default"/>
                <w:spacing w:val="-2"/>
                <w:sz w:val="18"/>
                <w:szCs w:val="18"/>
              </w:rPr>
              <w:t>动资金的议案》和《关于使用剩余超募资金永久补充流动资金的议案》，报告期内，公司已将募投项目节余资金和剩余超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募资金及专户利息收入永久补充流动资金，资金专户已全部销户。</w:t>
            </w:r>
          </w:p>
        </w:tc>
      </w:tr>
    </w:tbl>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980"/>
        </w:sectPr>
      </w:pPr>
    </w:p>
    <w:p>
      <w:pPr>
        <w:pStyle w:val="BodyText"/>
        <w:spacing w:line="240" w:lineRule="auto" w:before="35"/>
        <w:ind w:left="154" w:right="-9"/>
        <w:jc w:val="left"/>
      </w:pPr>
      <w:r>
        <w:rPr>
          <w:rFonts w:ascii="Times New Roman" w:hAnsi="Times New Roman" w:cs="Times New Roman" w:eastAsia="Times New Roman" w:hint="default"/>
          <w:spacing w:val="-1"/>
        </w:rPr>
        <w:t>2.</w:t>
      </w:r>
      <w:r>
        <w:rPr>
          <w:spacing w:val="-1"/>
        </w:rPr>
        <w:t>募集资金承诺项目情况</w:t>
      </w:r>
    </w:p>
    <w:p>
      <w:pPr>
        <w:spacing w:before="86"/>
        <w:ind w:left="153"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412" w:space="6328"/>
            <w:col w:w="121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18"/>
        <w:gridCol w:w="648"/>
        <w:gridCol w:w="90"/>
        <w:gridCol w:w="906"/>
        <w:gridCol w:w="893"/>
        <w:gridCol w:w="808"/>
        <w:gridCol w:w="870"/>
        <w:gridCol w:w="722"/>
        <w:gridCol w:w="843"/>
        <w:gridCol w:w="722"/>
        <w:gridCol w:w="722"/>
        <w:gridCol w:w="721"/>
        <w:gridCol w:w="723"/>
      </w:tblGrid>
      <w:tr>
        <w:trPr>
          <w:trHeight w:val="1650"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70"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7" w:right="8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65" w:right="65"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38" w:right="37"/>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69"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6" w:right="5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5"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28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全网综合监控审计 平台项目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5,520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3,372.45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639.78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639.78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统一安全</w:t>
            </w:r>
            <w:r>
              <w:rPr>
                <w:rFonts w:ascii="宋体" w:hAnsi="宋体" w:cs="宋体" w:eastAsia="宋体" w:hint="default"/>
                <w:w w:val="99"/>
                <w:sz w:val="18"/>
                <w:szCs w:val="18"/>
              </w:rPr>
              <w:t> </w:t>
            </w:r>
            <w:r>
              <w:rPr>
                <w:rFonts w:ascii="宋体" w:hAnsi="宋体" w:cs="宋体" w:eastAsia="宋体" w:hint="default"/>
                <w:sz w:val="18"/>
                <w:szCs w:val="18"/>
              </w:rPr>
              <w:t>网关项目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5,010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599.79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599.79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服务器安全综合监 测平台项目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3,600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618.84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618.84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新一代安全 综合运维管理平台 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4,006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531.82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2,251.73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37.33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研发及培训中心建 设项目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2,896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1,098.71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92.21%</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8,655.14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99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21,032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11,700.98</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21,132.90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1,895.74</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1,895.74</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028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互联网舆情分析平 台项目</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2,163.35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61.81%</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蓝盾股份信息安全 产业基地</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7,943.67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80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7,937.42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38" w:type="dxa"/>
            <w:gridSpan w:val="2"/>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06"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2,800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2,800</w:t>
            </w:r>
          </w:p>
        </w:tc>
        <w:tc>
          <w:tcPr>
            <w:tcW w:w="808"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2,800</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8" w:type="dxa"/>
            <w:vMerge/>
            <w:tcBorders>
              <w:left w:val="single" w:sz="4" w:space="0" w:color="000000"/>
              <w:right w:val="single" w:sz="4" w:space="0" w:color="000000"/>
            </w:tcBorders>
            <w:shd w:val="clear" w:color="auto" w:fill="D2D2D2"/>
          </w:tcPr>
          <w:p>
            <w:pPr/>
          </w:p>
        </w:tc>
        <w:tc>
          <w:tcPr>
            <w:tcW w:w="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906" w:type="dxa"/>
            <w:vMerge/>
            <w:tcBorders>
              <w:left w:val="single" w:sz="9" w:space="0" w:color="D2D2D2"/>
              <w:right w:val="single" w:sz="4" w:space="0" w:color="000000"/>
            </w:tcBorders>
          </w:tcPr>
          <w:p>
            <w:pPr/>
          </w:p>
        </w:tc>
        <w:tc>
          <w:tcPr>
            <w:tcW w:w="893"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06" w:type="dxa"/>
            <w:vMerge/>
            <w:tcBorders>
              <w:left w:val="single" w:sz="9" w:space="0" w:color="D2D2D2"/>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14,243.67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14,243.67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1,735.76</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14,279.19</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25.82</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25.82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35,275.67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35,275.67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13,436.74</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35,412.09</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1,921.56</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1,921.56</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r>
      <w:tr>
        <w:trPr>
          <w:trHeight w:val="1021"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8668" w:type="dxa"/>
            <w:gridSpan w:val="12"/>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300" w:lineRule="auto" w:before="46"/>
              <w:ind w:left="25" w:right="84"/>
              <w:jc w:val="both"/>
              <w:rPr>
                <w:rFonts w:ascii="宋体" w:hAnsi="宋体" w:cs="宋体" w:eastAsia="宋体" w:hint="default"/>
                <w:sz w:val="18"/>
                <w:szCs w:val="18"/>
              </w:rPr>
            </w:pPr>
            <w:r>
              <w:rPr>
                <w:rFonts w:ascii="宋体" w:hAnsi="宋体" w:cs="宋体" w:eastAsia="宋体" w:hint="default"/>
                <w:sz w:val="18"/>
                <w:szCs w:val="18"/>
              </w:rPr>
              <w:t>截止报告期四个承诺募投项目及一个超募项目累计实现效益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1,921.56 </w:t>
            </w:r>
            <w:r>
              <w:rPr>
                <w:rFonts w:ascii="宋体" w:hAnsi="宋体" w:cs="宋体" w:eastAsia="宋体" w:hint="default"/>
                <w:sz w:val="18"/>
                <w:szCs w:val="18"/>
              </w:rPr>
              <w:t>万元，整体完成计划的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91.95%</w:t>
            </w:r>
            <w:r>
              <w:rPr>
                <w:rFonts w:ascii="宋体" w:hAnsi="宋体" w:cs="宋体" w:eastAsia="宋体" w:hint="default"/>
                <w:sz w:val="18"/>
                <w:szCs w:val="18"/>
              </w:rPr>
              <w:t>，基本达 到预计收益，未达预计收益的情况如下：</w:t>
            </w: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新一代安全综合运维管理平台项目和互联网舆情分析平台项 目因产品推出的时间较短，目前仍处于推广阶段，市场反应相对滞后，导致本期销售收入和盈利较低。</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668" w:type="dxa"/>
            <w:gridSpan w:val="12"/>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18" w:type="dxa"/>
            <w:vMerge w:val="restart"/>
            <w:tcBorders>
              <w:top w:val="single" w:sz="4" w:space="0" w:color="000000"/>
              <w:left w:val="single" w:sz="4" w:space="0" w:color="000000"/>
              <w:right w:val="single" w:sz="4" w:space="0" w:color="000000"/>
            </w:tcBorders>
            <w:shd w:val="clear" w:color="auto" w:fill="D2D2D2"/>
          </w:tcPr>
          <w:p>
            <w:pPr/>
          </w:p>
        </w:tc>
        <w:tc>
          <w:tcPr>
            <w:tcW w:w="86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618" w:type="dxa"/>
            <w:vMerge/>
            <w:tcBorders>
              <w:left w:val="single" w:sz="4" w:space="0" w:color="000000"/>
              <w:bottom w:val="nil" w:sz="6" w:space="0" w:color="auto"/>
              <w:right w:val="single" w:sz="4" w:space="0" w:color="000000"/>
            </w:tcBorders>
            <w:shd w:val="clear" w:color="auto" w:fill="D2D2D2"/>
          </w:tcPr>
          <w:p>
            <w:pPr/>
          </w:p>
        </w:tc>
        <w:tc>
          <w:tcPr>
            <w:tcW w:w="8668" w:type="dxa"/>
            <w:gridSpan w:val="12"/>
            <w:vMerge w:val="restart"/>
            <w:tcBorders>
              <w:top w:val="single" w:sz="4" w:space="0" w:color="000000"/>
              <w:left w:val="single" w:sz="10" w:space="0" w:color="D2D2D2"/>
              <w:right w:val="single" w:sz="4" w:space="0" w:color="000000"/>
            </w:tcBorders>
          </w:tcPr>
          <w:p>
            <w:pPr>
              <w:pStyle w:val="TableParagraph"/>
              <w:spacing w:line="240" w:lineRule="auto" w:before="51"/>
              <w:ind w:left="30"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日公司第一届董事会第十八次会议审议通过了《关于使用部分超募资金永久性补充流动资金</w:t>
            </w:r>
          </w:p>
          <w:p>
            <w:pPr>
              <w:pStyle w:val="TableParagraph"/>
              <w:spacing w:line="309" w:lineRule="auto" w:before="63"/>
              <w:ind w:left="30" w:right="69"/>
              <w:jc w:val="both"/>
              <w:rPr>
                <w:rFonts w:ascii="宋体" w:hAnsi="宋体" w:cs="宋体" w:eastAsia="宋体" w:hint="default"/>
                <w:sz w:val="18"/>
                <w:szCs w:val="18"/>
              </w:rPr>
            </w:pPr>
            <w:r>
              <w:rPr>
                <w:rFonts w:ascii="宋体" w:hAnsi="宋体" w:cs="宋体" w:eastAsia="宋体" w:hint="default"/>
                <w:spacing w:val="-6"/>
                <w:sz w:val="18"/>
                <w:szCs w:val="18"/>
              </w:rPr>
              <w:t>的议案》。公司使用超募资金人民币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万元用于永久性补充流动资金。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年年度股东大会审议通过了《关于使用部分超募资金对子公司广东蓝盾信息安全技术有限公司进行增资的议 </w:t>
            </w:r>
            <w:r>
              <w:rPr>
                <w:rFonts w:ascii="宋体" w:hAnsi="宋体" w:cs="宋体" w:eastAsia="宋体" w:hint="default"/>
                <w:spacing w:val="-3"/>
                <w:sz w:val="18"/>
                <w:szCs w:val="18"/>
              </w:rPr>
              <w:t>案》，公司拟使用部分超募资金对子公司广东蓝盾信息安全技术有限公司进行增资，本次增资</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r>
        <w:trPr>
          <w:trHeight w:val="704" w:hRule="exact"/>
        </w:trPr>
        <w:tc>
          <w:tcPr>
            <w:tcW w:w="16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8668" w:type="dxa"/>
            <w:gridSpan w:val="12"/>
            <w:vMerge/>
            <w:tcBorders>
              <w:left w:val="single" w:sz="10" w:space="0" w:color="D2D2D2"/>
              <w:right w:val="single" w:sz="4" w:space="0" w:color="000000"/>
            </w:tcBorders>
          </w:tcPr>
          <w:p>
            <w:pPr/>
          </w:p>
        </w:tc>
      </w:tr>
      <w:tr>
        <w:trPr>
          <w:trHeight w:val="498" w:hRule="exact"/>
        </w:trPr>
        <w:tc>
          <w:tcPr>
            <w:tcW w:w="16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8" w:type="dxa"/>
            <w:gridSpan w:val="12"/>
            <w:vMerge/>
            <w:tcBorders>
              <w:left w:val="single" w:sz="10" w:space="0" w:color="D2D2D2"/>
              <w:bottom w:val="single" w:sz="4" w:space="0" w:color="000000"/>
              <w:right w:val="single" w:sz="4" w:space="0" w:color="000000"/>
            </w:tcBorders>
          </w:tcPr>
          <w:p>
            <w:pPr/>
          </w:p>
        </w:tc>
      </w:tr>
    </w:tbl>
    <w:p>
      <w:pPr>
        <w:spacing w:after="0"/>
        <w:sectPr>
          <w:pgSz w:w="11910" w:h="16840"/>
          <w:pgMar w:header="747" w:footer="979" w:top="1060" w:bottom="1160" w:left="980" w:right="36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515.1pt;height:675.2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8653"/>
                  </w:tblGrid>
                  <w:tr>
                    <w:trPr>
                      <w:trHeight w:val="2859"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增资完成后公司出资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万元，占注册资本比例为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，子公司于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日办妥工商变更手续。</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本次增资用途为：建设互联网舆情分析平台项目。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 </w:t>
                        </w:r>
                        <w:r>
                          <w:rPr>
                            <w:rFonts w:ascii="宋体" w:hAnsi="宋体" w:cs="宋体" w:eastAsia="宋体" w:hint="default"/>
                            <w:spacing w:val="-1"/>
                            <w:sz w:val="18"/>
                            <w:szCs w:val="18"/>
                          </w:rPr>
                          <w:t>了《关于使用部分超募资金建设蓝盾股份信息安全产业基地的议案》及相关的可行性研究报告，公司拟使用超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募资金 </w:t>
                        </w:r>
                        <w:r>
                          <w:rPr>
                            <w:rFonts w:ascii="Times New Roman" w:hAnsi="Times New Roman" w:cs="Times New Roman" w:eastAsia="Times New Roman" w:hint="default"/>
                            <w:sz w:val="18"/>
                            <w:szCs w:val="18"/>
                          </w:rPr>
                          <w:t>79,436,663.50</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元建设蓝盾股份信息安全产业基地。公司独立董事、保荐机构和监事会分别对此事项发表</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pacing w:val="-3"/>
                            <w:sz w:val="18"/>
                            <w:szCs w:val="18"/>
                          </w:rPr>
                          <w:t>了同意意见。</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日公司第二届董事会第九次（临时）会议审议通过了《关于对蓝盾股份信息安</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全产业基地追加投资的议案</w:t>
                        </w:r>
                        <w:r>
                          <w:rPr>
                            <w:rFonts w:ascii="宋体" w:hAnsi="宋体" w:cs="宋体" w:eastAsia="宋体" w:hint="default"/>
                            <w:spacing w:val="-90"/>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使用自有资金追加投资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追加后的总投资额为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17,698.77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0"/>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取得了广州市规划局颁发</w:t>
                        </w:r>
                        <w:r>
                          <w:rPr>
                            <w:rFonts w:ascii="宋体" w:hAnsi="宋体" w:cs="宋体" w:eastAsia="宋体" w:hint="default"/>
                            <w:spacing w:val="-10"/>
                            <w:sz w:val="18"/>
                            <w:szCs w:val="18"/>
                          </w:rPr>
                          <w:t>的</w:t>
                        </w:r>
                        <w:r>
                          <w:rPr>
                            <w:rFonts w:ascii="宋体" w:hAnsi="宋体" w:cs="宋体" w:eastAsia="宋体" w:hint="default"/>
                            <w:sz w:val="18"/>
                            <w:szCs w:val="18"/>
                          </w:rPr>
                          <w:t>《建设工程规划验收合格证</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0"/>
                            <w:sz w:val="18"/>
                            <w:szCs w:val="18"/>
                          </w:rPr>
                          <w:t>、</w:t>
                        </w:r>
                        <w:r>
                          <w:rPr>
                            <w:rFonts w:ascii="宋体" w:hAnsi="宋体" w:cs="宋体" w:eastAsia="宋体" w:hint="default"/>
                            <w:sz w:val="18"/>
                            <w:szCs w:val="18"/>
                          </w:rPr>
                          <w:t>公司于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年第五次临时股东大会，审议通过了《关于使用剩余超募资金永久补充流动资金的议案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，报告期内</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公司已将剩余超募资金及专户利息收入 </w:t>
                        </w:r>
                        <w:r>
                          <w:rPr>
                            <w:rFonts w:ascii="Times New Roman" w:hAnsi="Times New Roman" w:cs="Times New Roman" w:eastAsia="Times New Roman" w:hint="default"/>
                            <w:sz w:val="18"/>
                            <w:szCs w:val="18"/>
                          </w:rPr>
                          <w:t>1,378.42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万元永久补充流动资金。</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日公司第一届董事会第十七次会议审议通过了《关于使用募集资金置换预先投入募集资金投资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日，公司以自筹资金预先投入募集资金投资项目的实际投资额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元，公司以募集资金置换预先投入募集资金投资项目的自筹资金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元，上述投入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及置换情况已经北京永拓会计师事务所有限责任公司审核，并由其出具京永专字〔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31059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号《关于蓝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盾信息安全技术股份有限公司以募集资金置换预先已投入募集资金项目的自筹资金的鉴证报告</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日，公司置换了上述预先投入募投项目的自筹资金。</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年第二次临时股东大会审议通过了《关于使用部分闲置募集资金暂时性补充流动资金及归还银</w:t>
                        </w:r>
                      </w:p>
                      <w:p>
                        <w:pPr>
                          <w:pStyle w:val="TableParagraph"/>
                          <w:spacing w:line="300" w:lineRule="auto" w:before="61"/>
                          <w:ind w:left="22" w:right="-20"/>
                          <w:jc w:val="left"/>
                          <w:rPr>
                            <w:rFonts w:ascii="宋体" w:hAnsi="宋体" w:cs="宋体" w:eastAsia="宋体" w:hint="default"/>
                            <w:sz w:val="18"/>
                            <w:szCs w:val="18"/>
                          </w:rPr>
                        </w:pPr>
                        <w:r>
                          <w:rPr>
                            <w:rFonts w:ascii="宋体" w:hAnsi="宋体" w:cs="宋体" w:eastAsia="宋体" w:hint="default"/>
                            <w:spacing w:val="-5"/>
                            <w:sz w:val="18"/>
                            <w:szCs w:val="18"/>
                          </w:rPr>
                          <w:t>行贷款的议案》，同意公司使用募集资金中的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万元闲置募集资金暂时性补充流动资金及归还银行贷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款，其中 </w:t>
                        </w:r>
                        <w:r>
                          <w:rPr>
                            <w:rFonts w:ascii="Times New Roman" w:hAnsi="Times New Roman" w:cs="Times New Roman" w:eastAsia="Times New Roman" w:hint="default"/>
                            <w:sz w:val="18"/>
                            <w:szCs w:val="18"/>
                          </w:rPr>
                          <w:t>2,626.00 </w:t>
                        </w:r>
                        <w:r>
                          <w:rPr>
                            <w:rFonts w:ascii="宋体" w:hAnsi="宋体" w:cs="宋体" w:eastAsia="宋体" w:hint="default"/>
                            <w:sz w:val="18"/>
                            <w:szCs w:val="18"/>
                          </w:rPr>
                          <w:t>万元用于补充流动资金，</w:t>
                        </w:r>
                        <w:r>
                          <w:rPr>
                            <w:rFonts w:ascii="Times New Roman" w:hAnsi="Times New Roman" w:cs="Times New Roman" w:eastAsia="Times New Roman" w:hint="default"/>
                            <w:sz w:val="18"/>
                            <w:szCs w:val="18"/>
                          </w:rPr>
                          <w:t>7,374.00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万元用于归还银行贷款，使用期限不超过股东大会批准之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个月，到期将归还至募集资金专户。公司独立董事、保荐机构和监事会分别对此事项发表了同意意见。</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该事项详见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日证监会指定创业板信息披露网站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。本次使用闲置募集资金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万元暂</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时性补充流动资金及归还银行贷款的到期日为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 </w:t>
                        </w:r>
                        <w:r>
                          <w:rPr>
                            <w:rFonts w:ascii="宋体" w:hAnsi="宋体" w:cs="宋体" w:eastAsia="宋体" w:hint="default"/>
                            <w:spacing w:val="-1"/>
                            <w:sz w:val="18"/>
                            <w:szCs w:val="18"/>
                          </w:rPr>
                          <w:t>元人民币归还至公司募集资金专用账户，并及时通知了公司保荐机构广发证券股份有限公司及保荐代表人。至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此，本次用于补充流动资金及归还银行贷款的闲置募集资金已归还完毕。</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8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firstLine="360"/>
                          <w:jc w:val="both"/>
                          <w:rPr>
                            <w:rFonts w:ascii="宋体" w:hAnsi="宋体" w:cs="宋体" w:eastAsia="宋体" w:hint="default"/>
                            <w:sz w:val="18"/>
                            <w:szCs w:val="18"/>
                          </w:rPr>
                        </w:pPr>
                        <w:r>
                          <w:rPr>
                            <w:rFonts w:ascii="宋体" w:hAnsi="宋体" w:cs="宋体" w:eastAsia="宋体" w:hint="default"/>
                            <w:spacing w:val="-1"/>
                            <w:sz w:val="18"/>
                            <w:szCs w:val="18"/>
                          </w:rPr>
                          <w:t>在项目实施进程中公司较好地利用了前期积累的研发资源，对募投项目的研发和实施环节进行了优化，使</w:t>
                        </w:r>
                        <w:r>
                          <w:rPr>
                            <w:rFonts w:ascii="宋体" w:hAnsi="宋体" w:cs="宋体" w:eastAsia="宋体" w:hint="default"/>
                            <w:sz w:val="18"/>
                            <w:szCs w:val="18"/>
                          </w:rPr>
                          <w:t> 得实际投入较计划有一定幅度的减少，从而降低了项目总支出。</w:t>
                        </w:r>
                      </w:p>
                      <w:p>
                        <w:pPr>
                          <w:pStyle w:val="TableParagraph"/>
                          <w:spacing w:line="309" w:lineRule="auto" w:before="58"/>
                          <w:ind w:left="22" w:right="22"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日召开的第二届董事会第十六次（临时）会议和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 </w:t>
                        </w:r>
                        <w:r>
                          <w:rPr>
                            <w:rFonts w:ascii="宋体" w:hAnsi="宋体" w:cs="宋体" w:eastAsia="宋体" w:hint="default"/>
                            <w:spacing w:val="-2"/>
                            <w:sz w:val="18"/>
                            <w:szCs w:val="18"/>
                          </w:rPr>
                          <w:t>次临时股东大会，审议通过了《关于使用募投项目节余资金永久补充流动资金的议案》，报告期内，公司已将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五个募集资金投资项目的节余资金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8,655.14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6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公司募集资金已经全部使用完毕，募集资金专户已经全部注销。</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6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62" w:lineRule="auto"/>
        <w:ind w:right="5783"/>
        <w:jc w:val="left"/>
      </w:pPr>
      <w:r>
        <w:rPr>
          <w:rFonts w:ascii="Times New Roman" w:hAnsi="Times New Roman" w:cs="Times New Roman" w:eastAsia="Times New Roman" w:hint="default"/>
        </w:rPr>
        <w:t>3.</w:t>
      </w:r>
      <w:r>
        <w:rPr/>
        <w:t>募集资金变更项目情况 公司报告期不存在募集资金变更项目情况。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3</w:t>
      </w:r>
      <w:r>
        <w:rPr/>
        <w:t>）非募集资金投资的重大项目情况</w:t>
      </w:r>
    </w:p>
    <w:p>
      <w:pPr>
        <w:spacing w:line="240" w:lineRule="auto" w:before="9"/>
        <w:rPr>
          <w:rFonts w:ascii="宋体" w:hAnsi="宋体" w:cs="宋体" w:eastAsia="宋体" w:hint="default"/>
          <w:sz w:val="10"/>
          <w:szCs w:val="10"/>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9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萝岗产业基地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26,682.75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2.85%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8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740.68</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154" w:right="0"/>
        <w:jc w:val="left"/>
      </w:pPr>
      <w:r>
        <w:rPr>
          <w:rFonts w:ascii="Times New Roman" w:hAnsi="Times New Roman" w:cs="Times New Roman" w:eastAsia="Times New Roman" w:hint="default"/>
        </w:rPr>
        <w:t>4</w:t>
      </w:r>
      <w:r>
        <w:rPr/>
        <w:t>）持有其他上市公司股权情况</w:t>
      </w:r>
    </w:p>
    <w:p>
      <w:pPr>
        <w:spacing w:before="18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62" w:lineRule="auto" w:before="125"/>
        <w:ind w:left="154" w:right="6622"/>
        <w:jc w:val="left"/>
      </w:pPr>
      <w:r>
        <w:rPr>
          <w:rFonts w:ascii="Times New Roman" w:hAnsi="Times New Roman" w:cs="Times New Roman" w:eastAsia="Times New Roman" w:hint="default"/>
        </w:rPr>
        <w:t>5</w:t>
      </w:r>
      <w:r>
        <w:rPr/>
        <w:t>）持有金融企业股权情况 公司报告期未持有金融企业股权。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154" w:right="0"/>
        <w:jc w:val="left"/>
      </w:pPr>
      <w:r>
        <w:rPr>
          <w:rFonts w:ascii="Times New Roman" w:hAnsi="Times New Roman" w:cs="Times New Roman" w:eastAsia="Times New Roman" w:hint="default"/>
        </w:rPr>
        <w:t>6</w:t>
      </w:r>
      <w:r>
        <w:rPr/>
        <w:t>）买卖其他上市公司股份的情况</w:t>
      </w:r>
    </w:p>
    <w:p>
      <w:pPr>
        <w:spacing w:before="18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5"/>
        <w:ind w:right="0"/>
        <w:jc w:val="left"/>
      </w:pPr>
      <w:r>
        <w:rPr>
          <w:rFonts w:ascii="Times New Roman" w:hAnsi="Times New Roman" w:cs="Times New Roman" w:eastAsia="Times New Roman" w:hint="default"/>
        </w:rPr>
        <w:t>7</w:t>
      </w:r>
      <w:r>
        <w:rPr/>
        <w:t>）以公允价值计量的金融资产</w:t>
      </w:r>
    </w:p>
    <w:p>
      <w:pPr>
        <w:spacing w:before="18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4"/>
          <w:szCs w:val="24"/>
        </w:rPr>
      </w:pPr>
    </w:p>
    <w:p>
      <w:pPr>
        <w:pStyle w:val="Heading3"/>
        <w:spacing w:line="240" w:lineRule="auto"/>
        <w:ind w:left="153" w:right="0"/>
        <w:jc w:val="left"/>
        <w:rPr>
          <w:b w:val="0"/>
          <w:bCs w:val="0"/>
        </w:rPr>
      </w:pPr>
      <w:bookmarkStart w:name="（6）主要控股参股公司分析" w:id="24"/>
      <w:bookmarkEnd w:id="24"/>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主要子公司、参股公司情况</w:t>
      </w:r>
    </w:p>
    <w:p>
      <w:pPr>
        <w:spacing w:after="0" w:line="240" w:lineRule="auto"/>
        <w:jc w:val="left"/>
        <w:sectPr>
          <w:pgSz w:w="11910" w:h="16840"/>
          <w:pgMar w:header="747" w:footer="979" w:top="1060" w:bottom="1160" w:left="980" w:right="980"/>
        </w:sectPr>
      </w:pPr>
    </w:p>
    <w:p>
      <w:pPr>
        <w:spacing w:before="15"/>
        <w:ind w:left="0" w:right="436" w:firstLine="0"/>
        <w:jc w:val="righ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4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0"/>
        <w:ind w:left="0" w:right="535" w:firstLine="0"/>
        <w:jc w:val="right"/>
        <w:rPr>
          <w:rFonts w:ascii="宋体" w:hAnsi="宋体" w:cs="宋体" w:eastAsia="宋体" w:hint="default"/>
          <w:sz w:val="18"/>
          <w:szCs w:val="18"/>
        </w:rPr>
      </w:pPr>
      <w:r>
        <w:rPr/>
        <w:pict>
          <v:shape style="position:absolute;margin-left:332.54599pt;margin-top:53.651737pt;width:148pt;height:23.4pt;mso-position-horizontal-relative:page;mso-position-vertical-relative:paragraph;z-index:-7176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计算机信息系统集成；</w:t>
                  </w:r>
                </w:p>
              </w:txbxContent>
            </v:textbox>
            <w10:wrap type="none"/>
          </v:shape>
        </w:pict>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1037"/>
        <w:gridCol w:w="1276"/>
        <w:gridCol w:w="3402"/>
        <w:gridCol w:w="1227"/>
        <w:gridCol w:w="1275"/>
        <w:gridCol w:w="1276"/>
        <w:gridCol w:w="1277"/>
        <w:gridCol w:w="1134"/>
        <w:gridCol w:w="1147"/>
      </w:tblGrid>
      <w:tr>
        <w:trPr>
          <w:trHeight w:val="7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6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84"/>
              <w:jc w:val="left"/>
              <w:rPr>
                <w:rFonts w:ascii="宋体" w:hAnsi="宋体" w:cs="宋体" w:eastAsia="宋体" w:hint="default"/>
                <w:sz w:val="18"/>
                <w:szCs w:val="18"/>
              </w:rPr>
            </w:pPr>
            <w:r>
              <w:rPr>
                <w:rFonts w:ascii="宋体" w:hAnsi="宋体" w:cs="宋体" w:eastAsia="宋体" w:hint="default"/>
                <w:sz w:val="18"/>
                <w:szCs w:val="18"/>
              </w:rPr>
              <w:t>蓝盾信息安全技术 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计算机应用服 务业</w:t>
            </w:r>
          </w:p>
        </w:tc>
        <w:tc>
          <w:tcPr>
            <w:tcW w:w="34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9"/>
              <w:jc w:val="left"/>
              <w:rPr>
                <w:rFonts w:ascii="宋体" w:hAnsi="宋体" w:cs="宋体" w:eastAsia="宋体" w:hint="default"/>
                <w:sz w:val="18"/>
                <w:szCs w:val="18"/>
              </w:rPr>
            </w:pPr>
            <w:r>
              <w:rPr>
                <w:rFonts w:ascii="宋体" w:hAnsi="宋体" w:cs="宋体" w:eastAsia="宋体" w:hint="default"/>
                <w:spacing w:val="-9"/>
                <w:sz w:val="18"/>
                <w:szCs w:val="18"/>
              </w:rPr>
              <w:t>计算机软、硬件开发；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承接网络工程建设项目；信息技术开发、服</w:t>
            </w:r>
            <w:r>
              <w:rPr>
                <w:rFonts w:ascii="宋体" w:hAnsi="宋体" w:cs="宋体" w:eastAsia="宋体" w:hint="default"/>
                <w:sz w:val="18"/>
                <w:szCs w:val="18"/>
              </w:rPr>
              <w:t> </w:t>
            </w:r>
            <w:r>
              <w:rPr>
                <w:rFonts w:ascii="宋体" w:hAnsi="宋体" w:cs="宋体" w:eastAsia="宋体" w:hint="default"/>
                <w:spacing w:val="-4"/>
                <w:sz w:val="18"/>
                <w:szCs w:val="18"/>
              </w:rPr>
              <w:t>务；计算机网络技术服务、咨询；销售：计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算机及辅助设备、电子产品</w:t>
            </w:r>
          </w:p>
        </w:tc>
        <w:tc>
          <w:tcPr>
            <w:tcW w:w="12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365,556,679.04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164,373,835.46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249,288,514.28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10,567,574.32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11,831,621.48</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广东省蓝盾职业培 训学院</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教育培训服务</w:t>
            </w:r>
          </w:p>
        </w:tc>
        <w:tc>
          <w:tcPr>
            <w:tcW w:w="34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4"/>
                <w:sz w:val="18"/>
                <w:szCs w:val="18"/>
              </w:rPr>
              <w:t>计算机网络管理员、计算机程序设计员、电</w:t>
            </w:r>
            <w:r>
              <w:rPr>
                <w:rFonts w:ascii="宋体" w:hAnsi="宋体" w:cs="宋体" w:eastAsia="宋体" w:hint="default"/>
                <w:sz w:val="18"/>
                <w:szCs w:val="18"/>
              </w:rPr>
              <w:t> </w:t>
            </w:r>
            <w:r>
              <w:rPr>
                <w:rFonts w:ascii="宋体" w:hAnsi="宋体" w:cs="宋体" w:eastAsia="宋体" w:hint="default"/>
                <w:spacing w:val="-5"/>
                <w:sz w:val="18"/>
                <w:szCs w:val="18"/>
              </w:rPr>
              <w:t>子商务师、通信网络管理员（三四级）等的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教育培训</w:t>
            </w:r>
          </w:p>
        </w:tc>
        <w:tc>
          <w:tcPr>
            <w:tcW w:w="12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7,523,872.71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6,659,606.66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1,838,781.00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-2,728,900.73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-2,210,542.34</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广东蓝盾乐庚信息 技术有限公司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计算机应用服 务业</w:t>
            </w:r>
          </w:p>
        </w:tc>
        <w:tc>
          <w:tcPr>
            <w:tcW w:w="34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承接计算机软件和网络工程；计算机系统集</w:t>
            </w:r>
            <w:r>
              <w:rPr>
                <w:rFonts w:ascii="宋体" w:hAnsi="宋体" w:cs="宋体" w:eastAsia="宋体" w:hint="default"/>
                <w:sz w:val="18"/>
                <w:szCs w:val="18"/>
              </w:rPr>
              <w:t> 成；软件咨询；计算机软硬件及网络维护</w:t>
            </w:r>
          </w:p>
        </w:tc>
        <w:tc>
          <w:tcPr>
            <w:tcW w:w="12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18,289,807.94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14,078,455.68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15,492,982.83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3,892,230.28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4,052,019.89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440" w:right="0"/>
        <w:jc w:val="left"/>
      </w:pPr>
      <w:r>
        <w:rPr/>
        <w:t>主要子公司、参股公司情况说明</w:t>
      </w:r>
    </w:p>
    <w:p>
      <w:pPr>
        <w:pStyle w:val="BodyText"/>
        <w:spacing w:line="240" w:lineRule="auto" w:before="165"/>
        <w:ind w:left="440" w:right="0"/>
        <w:jc w:val="left"/>
      </w:pPr>
      <w:r>
        <w:rPr>
          <w:rFonts w:ascii="Times New Roman" w:hAnsi="Times New Roman" w:cs="Times New Roman" w:eastAsia="Times New Roman" w:hint="default"/>
        </w:rPr>
        <w:t>1</w:t>
      </w:r>
      <w:r>
        <w:rPr/>
        <w:t>、报告期子公司蓝盾技术进一步增加人员，并不断拓展业务，充分发挥蓝盾的技术积累和优势力量，营业收入和净利润都有大幅增长。</w:t>
      </w:r>
    </w:p>
    <w:p>
      <w:pPr>
        <w:pStyle w:val="BodyText"/>
        <w:spacing w:line="240" w:lineRule="auto" w:before="149"/>
        <w:ind w:left="440" w:right="0"/>
        <w:jc w:val="left"/>
      </w:pPr>
      <w:r>
        <w:rPr>
          <w:rFonts w:ascii="Times New Roman" w:hAnsi="Times New Roman" w:cs="Times New Roman" w:eastAsia="Times New Roman" w:hint="default"/>
        </w:rPr>
        <w:t>2</w:t>
      </w:r>
      <w:r>
        <w:rPr/>
        <w:t>、报告期控股子公司蓝盾乐庚取得多个政府应急项目，公司经营开始进入稳定发展阶段。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pStyle w:val="BodyText"/>
        <w:spacing w:line="240" w:lineRule="auto"/>
        <w:ind w:left="440" w:right="0"/>
        <w:jc w:val="left"/>
      </w:pPr>
      <w:r>
        <w:rPr/>
        <w:t>报告期内取得和处置子公司的情况</w:t>
      </w:r>
    </w:p>
    <w:p>
      <w:pPr>
        <w:spacing w:line="240" w:lineRule="auto" w:before="5"/>
        <w:rPr>
          <w:rFonts w:ascii="宋体" w:hAnsi="宋体" w:cs="宋体" w:eastAsia="宋体" w:hint="default"/>
          <w:sz w:val="15"/>
          <w:szCs w:val="15"/>
        </w:rPr>
      </w:pPr>
    </w:p>
    <w:p>
      <w:pPr>
        <w:spacing w:before="0"/>
        <w:ind w:left="4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6"/>
          <w:szCs w:val="6"/>
        </w:rPr>
      </w:pPr>
    </w:p>
    <w:tbl>
      <w:tblPr>
        <w:tblW w:w="0" w:type="auto"/>
        <w:jc w:val="left"/>
        <w:tblInd w:w="435" w:type="dxa"/>
        <w:tblLayout w:type="fixed"/>
        <w:tblCellMar>
          <w:top w:w="0" w:type="dxa"/>
          <w:left w:w="0" w:type="dxa"/>
          <w:bottom w:w="0" w:type="dxa"/>
          <w:right w:w="0" w:type="dxa"/>
        </w:tblCellMar>
        <w:tblLook w:val="01E0"/>
      </w:tblPr>
      <w:tblGrid>
        <w:gridCol w:w="3687"/>
        <w:gridCol w:w="2693"/>
        <w:gridCol w:w="2835"/>
        <w:gridCol w:w="239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8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8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269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8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0" w:right="436" w:firstLine="0"/>
        <w:jc w:val="right"/>
        <w:rPr>
          <w:rFonts w:ascii="Times New Roman" w:hAnsi="Times New Roman" w:cs="Times New Roman" w:eastAsia="Times New Roman" w:hint="default"/>
          <w:sz w:val="18"/>
          <w:szCs w:val="18"/>
        </w:rPr>
      </w:pPr>
      <w:r>
        <w:rPr>
          <w:rFonts w:ascii="Times New Roman"/>
          <w:sz w:val="18"/>
        </w:rPr>
        <w:t>23</w:t>
      </w:r>
    </w:p>
    <w:p>
      <w:pPr>
        <w:spacing w:after="0"/>
        <w:jc w:val="right"/>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800" w:bottom="280" w:left="1000" w:right="100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173"/>
        <w:jc w:val="left"/>
        <w:rPr>
          <w:b w:val="0"/>
          <w:bCs w:val="0"/>
        </w:rPr>
      </w:pPr>
      <w:bookmarkStart w:name="（7）公司控制的特殊目的主体情况" w:id="25"/>
      <w:bookmarkEnd w:id="25"/>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before="0"/>
        <w:ind w:right="173"/>
        <w:jc w:val="left"/>
        <w:rPr>
          <w:b w:val="0"/>
          <w:bCs w:val="0"/>
        </w:rPr>
      </w:pPr>
      <w:bookmarkStart w:name="二、公司未来发展的展望" w:id="26"/>
      <w:bookmarkEnd w:id="26"/>
      <w:r>
        <w:rPr>
          <w:b w:val="0"/>
          <w:bCs w:val="0"/>
        </w:rPr>
      </w:r>
      <w:r>
        <w:rPr/>
        <w:t>二、公司未来发展的展望</w:t>
      </w:r>
      <w:r>
        <w:rPr>
          <w:b w:val="0"/>
          <w:bCs w:val="0"/>
        </w:rPr>
      </w:r>
    </w:p>
    <w:p>
      <w:pPr>
        <w:spacing w:line="240" w:lineRule="auto" w:before="7"/>
        <w:rPr>
          <w:rFonts w:ascii="宋体" w:hAnsi="宋体" w:cs="宋体" w:eastAsia="宋体" w:hint="default"/>
          <w:b/>
          <w:bCs/>
          <w:sz w:val="31"/>
          <w:szCs w:val="31"/>
        </w:rPr>
      </w:pPr>
    </w:p>
    <w:p>
      <w:pPr>
        <w:pStyle w:val="Heading3"/>
        <w:spacing w:line="348" w:lineRule="auto"/>
        <w:ind w:left="576" w:right="3008"/>
        <w:jc w:val="left"/>
        <w:rPr>
          <w:b w:val="0"/>
          <w:bCs w:val="0"/>
        </w:rPr>
      </w:pPr>
      <w:r>
        <w:rPr/>
        <w:t>（一）行业发展趋势</w:t>
      </w:r>
      <w:r>
        <w:rPr>
          <w:w w:val="99"/>
        </w:rPr>
        <w:t> </w:t>
      </w:r>
      <w:r>
        <w:rPr>
          <w:rFonts w:ascii="宋体" w:hAnsi="宋体" w:cs="宋体" w:eastAsia="宋体" w:hint="default"/>
          <w:w w:val="95"/>
        </w:rPr>
        <w:t>1</w:t>
      </w:r>
      <w:r>
        <w:rPr>
          <w:w w:val="95"/>
        </w:rPr>
        <w:t>、与安全产业相关的法规、政策逐步落地，行业标准将加快制定与落实</w:t>
      </w:r>
      <w:r>
        <w:rPr>
          <w:b w:val="0"/>
          <w:bCs w:val="0"/>
        </w:rPr>
      </w:r>
    </w:p>
    <w:p>
      <w:pPr>
        <w:pStyle w:val="BodyText"/>
        <w:spacing w:line="340" w:lineRule="auto" w:before="31"/>
        <w:ind w:right="104" w:firstLine="42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月，“中央网络安全和信息化领导小组”成立；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月，网信办公布即将出台网络安全审 查制度；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月，工信部颁布《关于加强电信和互联网行业网络安全工作的指导意见》；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 银监会印发《关于应用安全可控信息技术加强银行业网络安全和信息化建设的指导意见》；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 中央军委印发了《关于进一步加强军队信息安全工作的意见》；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月，中央政治局审议通过《国家 安全战略纲要》；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月，十二届全国人大常委会第十四次会议对国家安全法草案进行了二次审议， 明确了国家安全观的内涵，同时增加了一些重要领域的安全任务，包括国家“建设国家网络与信息安全保 障体系，提升网络与信息安全保护能力”、“维护国家网络空间主权”等规定。可以预期，与安全产业相 关的法规、政策将会逐步发布并进入落实期，对于信息安全产业而言，信息系统国产化及良好的政策环境 为其快速发展增加了砝码。而信息安全行业标准的制定与落实也将成为推进行业发展的重要力量，如针对 云计算、大数据、移动互联网、虚拟化、工业控制、互联网金融等方面的信息安全标准，包括在重点领域 </w:t>
      </w:r>
      <w:r>
        <w:rPr>
          <w:spacing w:val="-3"/>
        </w:rPr>
        <w:t>和部门的分级保护、等级保护等工作的持续推进，为安全产业的发展提供了重要规范及更广阔的市场空间。</w:t>
      </w:r>
    </w:p>
    <w:p>
      <w:pPr>
        <w:spacing w:line="350" w:lineRule="auto" w:before="37"/>
        <w:ind w:left="573" w:right="17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、“云、大、移、物、智”催生安全新需求，“互联网</w:t>
      </w:r>
      <w:r>
        <w:rPr>
          <w:rFonts w:ascii="宋体" w:hAnsi="宋体" w:cs="宋体" w:eastAsia="宋体" w:hint="default"/>
          <w:b/>
          <w:bCs/>
          <w:sz w:val="21"/>
          <w:szCs w:val="21"/>
        </w:rPr>
        <w:t>+</w:t>
      </w:r>
      <w:r>
        <w:rPr>
          <w:rFonts w:ascii="宋体" w:hAnsi="宋体" w:cs="宋体" w:eastAsia="宋体" w:hint="default"/>
          <w:b/>
          <w:bCs/>
          <w:sz w:val="21"/>
          <w:szCs w:val="21"/>
        </w:rPr>
        <w:t>”时代更显信息安全重要性</w:t>
      </w:r>
      <w:r>
        <w:rPr>
          <w:rFonts w:ascii="宋体" w:hAnsi="宋体" w:cs="宋体" w:eastAsia="宋体" w:hint="default"/>
          <w:b/>
          <w:bCs/>
          <w:w w:val="99"/>
          <w:sz w:val="21"/>
          <w:szCs w:val="21"/>
        </w:rPr>
        <w:t> </w:t>
      </w:r>
      <w:r>
        <w:rPr>
          <w:rFonts w:ascii="宋体" w:hAnsi="宋体" w:cs="宋体" w:eastAsia="宋体" w:hint="default"/>
          <w:sz w:val="21"/>
          <w:szCs w:val="21"/>
        </w:rPr>
        <w:t>李克强总理在今年两会中正式提出了“互联网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”行动计划的相关内容，各个领域纷纷置身于“互联</w:t>
      </w:r>
    </w:p>
    <w:p>
      <w:pPr>
        <w:pStyle w:val="BodyText"/>
        <w:spacing w:line="240" w:lineRule="auto" w:before="2"/>
        <w:ind w:left="154" w:right="101"/>
        <w:jc w:val="left"/>
      </w:pPr>
      <w:r>
        <w:rPr/>
        <w:t>网风口”之上，但看似繁华的互联网风暴背后却隐藏着巨大危机，而信息安全问题很可能是制约“互联网</w:t>
      </w:r>
    </w:p>
    <w:p>
      <w:pPr>
        <w:pStyle w:val="BodyText"/>
        <w:spacing w:line="343" w:lineRule="auto" w:before="124"/>
        <w:ind w:right="190"/>
        <w:jc w:val="both"/>
      </w:pPr>
      <w:r>
        <w:rPr>
          <w:rFonts w:ascii="Times New Roman" w:hAnsi="Times New Roman" w:cs="Times New Roman" w:eastAsia="Times New Roman" w:hint="default"/>
          <w:spacing w:val="-2"/>
        </w:rPr>
        <w:t>+</w:t>
      </w:r>
      <w:r>
        <w:rPr>
          <w:spacing w:val="-2"/>
        </w:rPr>
        <w:t>”的一个无形杀手，“互联网</w:t>
      </w:r>
      <w:r>
        <w:rPr>
          <w:rFonts w:ascii="Times New Roman" w:hAnsi="Times New Roman" w:cs="Times New Roman" w:eastAsia="Times New Roman" w:hint="default"/>
          <w:spacing w:val="-2"/>
        </w:rPr>
        <w:t>+</w:t>
      </w:r>
      <w:r>
        <w:rPr>
          <w:spacing w:val="-2"/>
        </w:rPr>
        <w:t>”时代更须注重各行业、全方位的信息安全保护。在互联网迅速发展的基</w:t>
      </w:r>
      <w:r>
        <w:rPr>
          <w:spacing w:val="-64"/>
        </w:rPr>
        <w:t> </w:t>
      </w:r>
      <w:r>
        <w:rPr>
          <w:spacing w:val="-64"/>
        </w:rPr>
      </w:r>
      <w:r>
        <w:rPr/>
        <w:t>础上，云计算、大数据、移动互联网、物联网、智慧城市建设等新技术和新业务极大地催生安全新需求。 作为智慧城市核心基础设施的云计算中心，由于其应用和操作均基于开放网络，整个 </w:t>
      </w:r>
      <w:r>
        <w:rPr>
          <w:rFonts w:ascii="Times New Roman" w:hAnsi="Times New Roman" w:cs="Times New Roman" w:eastAsia="Times New Roman" w:hint="default"/>
        </w:rPr>
        <w:t>IT</w:t>
      </w:r>
      <w:r>
        <w:rPr>
          <w:rFonts w:ascii="Times New Roman" w:hAnsi="Times New Roman" w:cs="Times New Roman" w:eastAsia="Times New Roman" w:hint="default"/>
          <w:spacing w:val="41"/>
        </w:rPr>
        <w:t> </w:t>
      </w:r>
      <w:r>
        <w:rPr/>
        <w:t>架构面临更大风 </w:t>
      </w:r>
      <w:r>
        <w:rPr>
          <w:spacing w:val="-1"/>
        </w:rPr>
        <w:t>险，而大数据的应用更是将潜在威胁进一步放大；而基于移动终端的移动互联网位置服务、支付、社交网</w:t>
      </w:r>
      <w:r>
        <w:rPr>
          <w:spacing w:val="-86"/>
        </w:rPr>
        <w:t> </w:t>
      </w:r>
      <w:r>
        <w:rPr>
          <w:spacing w:val="-86"/>
        </w:rPr>
      </w:r>
      <w:r>
        <w:rPr>
          <w:spacing w:val="-1"/>
        </w:rPr>
        <w:t>络等越来越普及，个人隐私泄露等安全威胁持续加大，手机病毒黑色产业链的成熟造成更大安全隐患；而</w:t>
      </w:r>
      <w:r>
        <w:rPr>
          <w:spacing w:val="-83"/>
        </w:rPr>
        <w:t> </w:t>
      </w:r>
      <w:r>
        <w:rPr>
          <w:spacing w:val="-83"/>
        </w:rPr>
      </w:r>
      <w:r>
        <w:rPr>
          <w:spacing w:val="-1"/>
        </w:rPr>
        <w:t>随着物联网的广泛应用，无论是智能穿戴设备还是智能家居、互联网汽车，攻击者都可能借助物联网远程</w:t>
      </w:r>
      <w:r>
        <w:rPr>
          <w:spacing w:val="-83"/>
        </w:rPr>
        <w:t> </w:t>
      </w:r>
      <w:r>
        <w:rPr>
          <w:spacing w:val="-83"/>
        </w:rPr>
      </w:r>
      <w:r>
        <w:rPr/>
        <w:t>控制物理设施，造成更为严重的安全后果。上述新兴技术及业务发展的同时，也使得安全隐患更为突出， 范围更加广阔，同时也将催生巨大的安全新需求。</w:t>
      </w:r>
    </w:p>
    <w:p>
      <w:pPr>
        <w:spacing w:line="348" w:lineRule="auto" w:before="34"/>
        <w:ind w:left="575" w:right="173" w:firstLine="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、电磁安防需求将激增，信息安全概念突破网络、扩大外延</w:t>
      </w:r>
      <w:r>
        <w:rPr>
          <w:rFonts w:ascii="宋体" w:hAnsi="宋体" w:cs="宋体" w:eastAsia="宋体" w:hint="default"/>
          <w:b/>
          <w:bCs/>
          <w:w w:val="99"/>
          <w:sz w:val="21"/>
          <w:szCs w:val="21"/>
        </w:rPr>
        <w:t> </w:t>
      </w:r>
      <w:r>
        <w:rPr>
          <w:rFonts w:ascii="宋体" w:hAnsi="宋体" w:cs="宋体" w:eastAsia="宋体" w:hint="default"/>
          <w:spacing w:val="-1"/>
          <w:sz w:val="21"/>
          <w:szCs w:val="21"/>
        </w:rPr>
        <w:t>随着信息技术的发展，信息安全呈现出“突破网络”的趋势，安全外延不断扩大，信息安全已不单指</w:t>
      </w:r>
    </w:p>
    <w:p>
      <w:pPr>
        <w:pStyle w:val="BodyText"/>
        <w:spacing w:line="350" w:lineRule="auto" w:before="31"/>
        <w:ind w:left="154" w:right="103"/>
        <w:jc w:val="left"/>
      </w:pPr>
      <w:r>
        <w:rPr/>
        <w:t>基于计算机系统的网络数据安全，也覆盖了各类设备所传输的电子信息流安全，信息数据除了可以通过网 </w:t>
      </w:r>
      <w:r>
        <w:rPr>
          <w:spacing w:val="-3"/>
        </w:rPr>
        <w:t>络被泄密外，还可以通过电磁辐射泄密，除了通过病毒等手段攻击信息系统，还可以通过电磁脉冲来攻击、</w:t>
      </w:r>
      <w:r>
        <w:rPr>
          <w:spacing w:val="-90"/>
        </w:rPr>
        <w:t> </w:t>
      </w:r>
      <w:r>
        <w:rPr>
          <w:spacing w:val="-90"/>
        </w:rPr>
      </w:r>
      <w:r>
        <w:rPr/>
        <w:t>干扰正常的系统。如在保障军事领域的通信、支援保障、指挥控制、雷达预警、制导以及电子对抗等各类</w:t>
      </w:r>
      <w:r>
        <w:rPr/>
        <w:t> 系统安全以及高速铁路领域的信号控制、指挥调度等各方面的应用安全。特别是随着网络化、信息化建设</w:t>
      </w:r>
    </w:p>
    <w:p>
      <w:pPr>
        <w:spacing w:after="0" w:line="350" w:lineRule="auto"/>
        <w:jc w:val="left"/>
        <w:sectPr>
          <w:footerReference w:type="default" r:id="rId16"/>
          <w:pgSz w:w="11910" w:h="16840"/>
          <w:pgMar w:footer="979" w:header="0" w:top="1060" w:bottom="1160" w:left="980" w:right="920"/>
          <w:pgNumType w:start="2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right="211"/>
        <w:jc w:val="both"/>
      </w:pPr>
      <w:r>
        <w:rPr>
          <w:spacing w:val="-1"/>
        </w:rPr>
        <w:t>进程的加快，在三网融合、互联网、物联网等网络化趋势的推动下，各种信息、线路的互联互通，扩大了</w:t>
      </w:r>
      <w:r>
        <w:rPr>
          <w:spacing w:val="-83"/>
        </w:rPr>
        <w:t> </w:t>
      </w:r>
      <w:r>
        <w:rPr>
          <w:spacing w:val="-83"/>
        </w:rPr>
      </w:r>
      <w:r>
        <w:rPr>
          <w:spacing w:val="-1"/>
        </w:rPr>
        <w:t>电磁环境的影响范围。电磁安防一旦疏忽，除了带来数据安全的隐患外，新产业格局下对电子设备物理安</w:t>
      </w:r>
      <w:r>
        <w:rPr>
          <w:spacing w:val="-83"/>
        </w:rPr>
        <w:t> </w:t>
      </w:r>
      <w:r>
        <w:rPr>
          <w:spacing w:val="-83"/>
        </w:rPr>
      </w:r>
      <w:r>
        <w:rPr>
          <w:spacing w:val="-1"/>
        </w:rPr>
        <w:t>全的负面影响更加广泛，对信息系统安全甚至国家安全将构成直接威胁。由于逐步意识到电磁安防的重要</w:t>
      </w:r>
      <w:r>
        <w:rPr>
          <w:spacing w:val="-81"/>
        </w:rPr>
        <w:t> </w:t>
      </w:r>
      <w:r>
        <w:rPr>
          <w:spacing w:val="-81"/>
        </w:rPr>
      </w:r>
      <w:r>
        <w:rPr>
          <w:spacing w:val="-1"/>
        </w:rPr>
        <w:t>性，军工及航空航天、轨道交通、通信、能源等重要行业已逐步开始进行电磁防护，特别是在我国军工信</w:t>
      </w:r>
      <w:r>
        <w:rPr>
          <w:spacing w:val="-83"/>
        </w:rPr>
        <w:t> </w:t>
      </w:r>
      <w:r>
        <w:rPr>
          <w:spacing w:val="-83"/>
        </w:rPr>
      </w:r>
      <w:r>
        <w:rPr/>
        <w:t>息化大发展及铁路大建设的背景下，电磁安防需求将有可能出现爆发式的增长。</w:t>
      </w:r>
    </w:p>
    <w:p>
      <w:pPr>
        <w:spacing w:line="348" w:lineRule="auto" w:before="29"/>
        <w:ind w:left="577" w:right="173" w:hanging="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、安全产业与重点行业加速融合，产业集中度将进一步提升</w:t>
      </w:r>
      <w:r>
        <w:rPr>
          <w:rFonts w:ascii="宋体" w:hAnsi="宋体" w:cs="宋体" w:eastAsia="宋体" w:hint="default"/>
          <w:b/>
          <w:bCs/>
          <w:w w:val="99"/>
          <w:sz w:val="21"/>
          <w:szCs w:val="21"/>
        </w:rPr>
        <w:t> </w:t>
      </w:r>
      <w:r>
        <w:rPr>
          <w:rFonts w:ascii="宋体" w:hAnsi="宋体" w:cs="宋体" w:eastAsia="宋体" w:hint="default"/>
          <w:spacing w:val="-1"/>
          <w:sz w:val="21"/>
          <w:szCs w:val="21"/>
        </w:rPr>
        <w:t>在国家政策的导向下，军工、航空航天、政府、能源、金融、通信等多个重点行业将逐渐转向采用国</w:t>
      </w:r>
    </w:p>
    <w:p>
      <w:pPr>
        <w:pStyle w:val="BodyText"/>
        <w:spacing w:line="350" w:lineRule="auto" w:before="30"/>
        <w:ind w:right="104"/>
        <w:jc w:val="left"/>
      </w:pPr>
      <w:r>
        <w:rPr/>
        <w:t>内自主可控的信息安全技术和产品，安全系统将更密切地与各行业的应用系统和业务系统相融合。而安全 产业也逐步突破了简单的安全产品堆叠，更深刻地进入到各领域的信息化建设、升级之中，原有的信息安 </w:t>
      </w:r>
      <w:r>
        <w:rPr>
          <w:spacing w:val="-3"/>
        </w:rPr>
        <w:t>全市场规模将有待重估，信息安全解决方案提供商将有可能更快地占据市场领先地位。而从产业格局来看，</w:t>
      </w:r>
      <w:r>
        <w:rPr>
          <w:spacing w:val="-92"/>
        </w:rPr>
        <w:t> </w:t>
      </w:r>
      <w:r>
        <w:rPr>
          <w:spacing w:val="-92"/>
        </w:rPr>
      </w:r>
      <w:r>
        <w:rPr/>
        <w:t>产业并购是安全企业快速发展壮大的必由之路，这种趋势目前已经越来越明显地展现出来，产业集中度的</w:t>
      </w:r>
      <w:r>
        <w:rPr/>
        <w:t> 持续提升将增加安全企业的安全运营和服务能力，而各行业客户也将得到更好的安全保障。</w:t>
      </w:r>
    </w:p>
    <w:p>
      <w:pPr>
        <w:pStyle w:val="Heading3"/>
        <w:spacing w:line="240" w:lineRule="auto" w:before="28"/>
        <w:ind w:left="576" w:right="173"/>
        <w:jc w:val="left"/>
        <w:rPr>
          <w:b w:val="0"/>
          <w:bCs w:val="0"/>
        </w:rPr>
      </w:pPr>
      <w:r>
        <w:rPr/>
        <w:t>（二）公司未来发展规划及</w:t>
      </w:r>
      <w:r>
        <w:rPr>
          <w:rFonts w:ascii="Times New Roman" w:hAnsi="Times New Roman" w:cs="Times New Roman" w:eastAsia="Times New Roman" w:hint="default"/>
        </w:rPr>
        <w:t>2015</w:t>
      </w:r>
      <w:r>
        <w:rPr/>
        <w:t>年主要工作计划</w:t>
      </w:r>
      <w:r>
        <w:rPr>
          <w:b w:val="0"/>
          <w:bCs w:val="0"/>
        </w:rPr>
      </w:r>
    </w:p>
    <w:p>
      <w:pPr>
        <w:pStyle w:val="Heading3"/>
        <w:spacing w:line="240" w:lineRule="auto" w:before="109"/>
        <w:ind w:left="573" w:right="173"/>
        <w:jc w:val="left"/>
        <w:rPr>
          <w:b w:val="0"/>
          <w:bCs w:val="0"/>
        </w:rPr>
      </w:pPr>
      <w:r>
        <w:rPr>
          <w:rFonts w:ascii="Times New Roman" w:hAnsi="Times New Roman" w:cs="Times New Roman" w:eastAsia="Times New Roman" w:hint="default"/>
        </w:rPr>
        <w:t>2015</w:t>
      </w:r>
      <w:r>
        <w:rPr/>
        <w:t>年度经营计划：</w:t>
      </w:r>
      <w:r>
        <w:rPr>
          <w:b w:val="0"/>
          <w:bCs w:val="0"/>
        </w:rPr>
      </w:r>
    </w:p>
    <w:p>
      <w:pPr>
        <w:spacing w:line="328" w:lineRule="auto" w:before="110"/>
        <w:ind w:left="575" w:right="173"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、推进重大资产重组实施与整合，发挥产业协同效应</w:t>
      </w:r>
      <w:r>
        <w:rPr>
          <w:rFonts w:ascii="宋体" w:hAnsi="宋体" w:cs="宋体" w:eastAsia="宋体" w:hint="default"/>
          <w:b/>
          <w:bCs/>
          <w:w w:val="99"/>
          <w:sz w:val="21"/>
          <w:szCs w:val="21"/>
        </w:rPr>
        <w:t> </w:t>
      </w:r>
      <w:r>
        <w:rPr>
          <w:rFonts w:ascii="宋体" w:hAnsi="宋体" w:cs="宋体" w:eastAsia="宋体" w:hint="default"/>
          <w:spacing w:val="-3"/>
          <w:sz w:val="21"/>
          <w:szCs w:val="21"/>
        </w:rPr>
        <w:t>截至本报告披露日，公司本次重大资产重组的标的资产华炜科技</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股权已过户至公司名下，相关股</w:t>
      </w:r>
    </w:p>
    <w:p>
      <w:pPr>
        <w:pStyle w:val="BodyText"/>
        <w:spacing w:line="350" w:lineRule="auto" w:before="23"/>
        <w:ind w:right="211"/>
        <w:jc w:val="both"/>
      </w:pPr>
      <w:r>
        <w:rPr>
          <w:spacing w:val="-1"/>
        </w:rPr>
        <w:t>份发行及预登记工作也已按计划推进，新增股份将于近期上市。在公司完成对华炜科技的重组事项后，在</w:t>
      </w:r>
      <w:r>
        <w:rPr>
          <w:spacing w:val="-83"/>
        </w:rPr>
        <w:t> </w:t>
      </w:r>
      <w:r>
        <w:rPr>
          <w:spacing w:val="-83"/>
        </w:rPr>
      </w:r>
      <w:r>
        <w:rPr>
          <w:spacing w:val="-1"/>
        </w:rPr>
        <w:t>保证华炜科技独立运营的前提下，将促进公司与华炜科技之间的业务融合，在产品线、渠道、业务区域等</w:t>
      </w:r>
      <w:r>
        <w:rPr>
          <w:spacing w:val="-86"/>
        </w:rPr>
        <w:t> </w:t>
      </w:r>
      <w:r>
        <w:rPr>
          <w:spacing w:val="-86"/>
        </w:rPr>
      </w:r>
      <w:r>
        <w:rPr/>
        <w:t>方面充分发挥出协同效应。</w:t>
      </w:r>
    </w:p>
    <w:p>
      <w:pPr>
        <w:spacing w:line="331" w:lineRule="auto" w:before="28"/>
        <w:ind w:left="575" w:right="173"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、围绕国家安全推动内生与外延发展，继续完善“大安全”产业版图</w:t>
      </w:r>
      <w:r>
        <w:rPr>
          <w:rFonts w:ascii="宋体" w:hAnsi="宋体" w:cs="宋体" w:eastAsia="宋体" w:hint="default"/>
          <w:b/>
          <w:bCs/>
          <w:w w:val="99"/>
          <w:sz w:val="21"/>
          <w:szCs w:val="21"/>
        </w:rPr>
        <w:t> </w:t>
      </w:r>
      <w:r>
        <w:rPr>
          <w:rFonts w:ascii="宋体" w:hAnsi="宋体" w:cs="宋体" w:eastAsia="宋体" w:hint="default"/>
          <w:spacing w:val="-1"/>
          <w:sz w:val="21"/>
          <w:szCs w:val="21"/>
        </w:rPr>
        <w:t>习近平主席多次重点强调国家安全是安邦定国的重要基石，公司将围绕国家安全中的信息安全、科技</w:t>
      </w:r>
    </w:p>
    <w:p>
      <w:pPr>
        <w:pStyle w:val="BodyText"/>
        <w:spacing w:line="348" w:lineRule="auto" w:before="45"/>
        <w:ind w:left="154" w:right="213"/>
        <w:jc w:val="both"/>
      </w:pPr>
      <w:r>
        <w:rPr>
          <w:spacing w:val="-1"/>
        </w:rPr>
        <w:t>安全、军事安全，乃至国民安全、经济安全、文化安全等内涵进行产业布局，通过原有的内生性业务拓展</w:t>
      </w:r>
      <w:r>
        <w:rPr>
          <w:spacing w:val="-83"/>
        </w:rPr>
        <w:t> </w:t>
      </w:r>
      <w:r>
        <w:rPr>
          <w:spacing w:val="-83"/>
        </w:rPr>
      </w:r>
      <w:r>
        <w:rPr/>
        <w:t>以及外延并购等手段，继续完善“大安全”产业版图。</w:t>
      </w:r>
    </w:p>
    <w:p>
      <w:pPr>
        <w:spacing w:line="328" w:lineRule="auto" w:before="31"/>
        <w:ind w:left="575" w:right="173"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、依托“互联网</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”加快前沿技术布局与新兴行业拓展</w:t>
      </w:r>
      <w:r>
        <w:rPr>
          <w:rFonts w:ascii="宋体" w:hAnsi="宋体" w:cs="宋体" w:eastAsia="宋体" w:hint="default"/>
          <w:b/>
          <w:bCs/>
          <w:w w:val="99"/>
          <w:sz w:val="21"/>
          <w:szCs w:val="21"/>
        </w:rPr>
        <w:t> </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”行动计划将深刻推动我国产业结构升级，形成一个个跨领域、网络化的协同创新平台，</w:t>
      </w:r>
    </w:p>
    <w:p>
      <w:pPr>
        <w:pStyle w:val="BodyText"/>
        <w:spacing w:line="340" w:lineRule="auto" w:before="23"/>
        <w:ind w:right="211"/>
        <w:jc w:val="both"/>
      </w:pPr>
      <w:r>
        <w:rPr>
          <w:spacing w:val="-1"/>
        </w:rPr>
        <w:t>这对信息安全防护能力提出了更高的要求。公司在整合、完善原有网络安全产品体系的同时，将积极把握</w:t>
      </w:r>
      <w:r>
        <w:rPr>
          <w:spacing w:val="-83"/>
        </w:rPr>
        <w:t> </w:t>
      </w:r>
      <w:r>
        <w:rPr>
          <w:spacing w:val="-83"/>
        </w:rPr>
      </w:r>
      <w:r>
        <w:rPr/>
        <w:t>“互联网</w:t>
      </w:r>
      <w:r>
        <w:rPr>
          <w:rFonts w:ascii="Times New Roman" w:hAnsi="Times New Roman" w:cs="Times New Roman" w:eastAsia="Times New Roman" w:hint="default"/>
        </w:rPr>
        <w:t>+</w:t>
      </w:r>
      <w:r>
        <w:rPr/>
        <w:t>”带来的安全产业机遇，加快在工业控制安全、能源安全、移动互联网安全、在线安全教育、</w:t>
      </w:r>
      <w:r>
        <w:rPr>
          <w:spacing w:val="-50"/>
        </w:rPr>
        <w:t> </w:t>
      </w:r>
      <w:r>
        <w:rPr>
          <w:spacing w:val="-50"/>
        </w:rPr>
      </w:r>
      <w:r>
        <w:rPr/>
        <w:t>云计算及大数据安全等重点新兴领域的技术和业务布局。</w:t>
      </w:r>
    </w:p>
    <w:p>
      <w:pPr>
        <w:spacing w:line="331" w:lineRule="auto" w:before="36"/>
        <w:ind w:left="575" w:right="173"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、充分发挥解决方案优势，把握国产化与行业标准落实带来的新机遇</w:t>
      </w:r>
      <w:r>
        <w:rPr>
          <w:rFonts w:ascii="宋体" w:hAnsi="宋体" w:cs="宋体" w:eastAsia="宋体" w:hint="default"/>
          <w:b/>
          <w:bCs/>
          <w:w w:val="99"/>
          <w:sz w:val="21"/>
          <w:szCs w:val="21"/>
        </w:rPr>
        <w:t> </w:t>
      </w:r>
      <w:r>
        <w:rPr>
          <w:rFonts w:ascii="宋体" w:hAnsi="宋体" w:cs="宋体" w:eastAsia="宋体" w:hint="default"/>
          <w:spacing w:val="-1"/>
          <w:sz w:val="21"/>
          <w:szCs w:val="21"/>
        </w:rPr>
        <w:t>作为业内首家提出“安全集成”概念的企业，公司较早判断到信息安全将与各大行业深度融合，安全</w:t>
      </w:r>
    </w:p>
    <w:p>
      <w:pPr>
        <w:pStyle w:val="BodyText"/>
        <w:spacing w:line="350" w:lineRule="auto" w:before="45"/>
        <w:ind w:left="154" w:right="103"/>
        <w:jc w:val="left"/>
      </w:pPr>
      <w:r>
        <w:rPr>
          <w:spacing w:val="-3"/>
        </w:rPr>
        <w:t>解决方案能力将是考量业务拓展能力的重要一环，甚至是最核心的一环。公司将在完善政府、教育、应急、</w:t>
      </w:r>
      <w:r>
        <w:rPr>
          <w:spacing w:val="-95"/>
        </w:rPr>
        <w:t> </w:t>
      </w:r>
      <w:r>
        <w:rPr>
          <w:spacing w:val="-95"/>
        </w:rPr>
      </w:r>
      <w:r>
        <w:rPr/>
        <w:t>电信、医疗、制造业等十多个行业解决方案的同时，将加强在军工、航空航天、轨道交通、能源、金融等</w:t>
      </w:r>
      <w:r>
        <w:rPr/>
        <w:t> 新兴重点领域的解决方案设计与推广。同时针对信息安全国产化的机遇，公司将积极参与行业协会、产业 联盟以及参与信息安全技术标准的制定，一方面研发出更多性能突出、自主可控的安全产品，另一方面争</w:t>
      </w:r>
    </w:p>
    <w:p>
      <w:pPr>
        <w:spacing w:after="0" w:line="350" w:lineRule="auto"/>
        <w:jc w:val="left"/>
        <w:sectPr>
          <w:pgSz w:w="11910" w:h="16840"/>
          <w:pgMar w:header="0" w:footer="979" w:top="1060" w:bottom="116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right="173"/>
        <w:jc w:val="left"/>
      </w:pPr>
      <w:r>
        <w:rPr>
          <w:spacing w:val="-1"/>
        </w:rPr>
        <w:t>取联合国内优秀的</w:t>
      </w:r>
      <w:r>
        <w:rPr>
          <w:rFonts w:ascii="Times New Roman" w:hAnsi="Times New Roman" w:cs="Times New Roman" w:eastAsia="Times New Roman" w:hint="default"/>
          <w:spacing w:val="-1"/>
        </w:rPr>
        <w:t>IT</w:t>
      </w:r>
      <w:r>
        <w:rPr>
          <w:spacing w:val="-1"/>
        </w:rPr>
        <w:t>企业、信息安全企业或互联网企业进行横向和纵向的资源整合，为各行业用户提供更</w:t>
      </w:r>
      <w:r>
        <w:rPr>
          <w:spacing w:val="-68"/>
        </w:rPr>
        <w:t> </w:t>
      </w:r>
      <w:r>
        <w:rPr>
          <w:spacing w:val="-68"/>
        </w:rPr>
      </w:r>
      <w:r>
        <w:rPr/>
        <w:t>加完善的自主可控的整体安全解决方案。</w:t>
      </w:r>
    </w:p>
    <w:p>
      <w:pPr>
        <w:spacing w:line="331" w:lineRule="auto" w:before="48"/>
        <w:ind w:left="573" w:right="1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、发挥各大子公司业务优势，争取业绩贡献上百花齐放</w:t>
      </w:r>
      <w:r>
        <w:rPr>
          <w:rFonts w:ascii="宋体" w:hAnsi="宋体" w:cs="宋体" w:eastAsia="宋体" w:hint="default"/>
          <w:b/>
          <w:bCs/>
          <w:w w:val="99"/>
          <w:sz w:val="21"/>
          <w:szCs w:val="21"/>
        </w:rPr>
        <w:t> </w:t>
      </w:r>
      <w:r>
        <w:rPr>
          <w:rFonts w:ascii="宋体" w:hAnsi="宋体" w:cs="宋体" w:eastAsia="宋体" w:hint="default"/>
          <w:spacing w:val="-1"/>
          <w:sz w:val="21"/>
          <w:szCs w:val="21"/>
        </w:rPr>
        <w:t>公司将逐步转变为控股集团，全局性地进行各类业务子公司的规划与设立，最大限度地发挥出各大子</w:t>
      </w:r>
    </w:p>
    <w:p>
      <w:pPr>
        <w:pStyle w:val="BodyText"/>
        <w:spacing w:line="350" w:lineRule="auto" w:before="45"/>
        <w:ind w:left="573" w:right="173" w:hanging="420"/>
        <w:jc w:val="left"/>
      </w:pPr>
      <w:r>
        <w:rPr/>
        <w:t>公司的效益贡献能力。 </w:t>
      </w:r>
      <w:r>
        <w:rPr>
          <w:spacing w:val="-1"/>
        </w:rPr>
        <w:t>华炜科技作为公司在物理安全领域布局的重要一环，将重点推进在军工、航空航天、轨道交通及通信</w:t>
      </w:r>
    </w:p>
    <w:p>
      <w:pPr>
        <w:pStyle w:val="BodyText"/>
        <w:spacing w:line="350" w:lineRule="auto" w:before="28"/>
        <w:ind w:right="106"/>
        <w:jc w:val="both"/>
      </w:pPr>
      <w:r>
        <w:rPr/>
        <w:t>等领域的电磁安防业务，同时也为公司原有信息安全业务进入上述领域提供重要渠道。华炜科技以“持续 创新、军民融合”为发展思路，将往以下几方面进行拓展和应用：一是从陆地上武器装备的电磁防护向天 上和海上发展，即机载和舰载电子设备的防护，实现“陆海空一体化”防护；二是向“攻防兼备”发展， 从单纯防护功能向攻击系统的关键配套发展；三是在与公司产业融合的基础上，积极研发防电磁信息泄漏 </w:t>
      </w:r>
      <w:r>
        <w:rPr>
          <w:spacing w:val="-8"/>
        </w:rPr>
        <w:t>的技术和产品，从信息设备的物理损坏防护向信息数据辐射泄漏的安全防护发展，技术上达到“软硬兼施”。</w:t>
      </w:r>
    </w:p>
    <w:p>
      <w:pPr>
        <w:pStyle w:val="BodyText"/>
        <w:spacing w:line="345" w:lineRule="auto" w:before="29"/>
        <w:ind w:right="190" w:firstLine="420"/>
        <w:jc w:val="both"/>
      </w:pPr>
      <w:r>
        <w:rPr>
          <w:spacing w:val="-1"/>
        </w:rPr>
        <w:t>蓝盾技术将继续发挥公司的解决方案优势，持续提升项目承接能力，特别是重大项目的承接能力；蓝</w:t>
      </w:r>
      <w:r>
        <w:rPr/>
        <w:t> </w:t>
      </w:r>
      <w:r>
        <w:rPr>
          <w:spacing w:val="-1"/>
        </w:rPr>
        <w:t>盾乐庚继续发挥在应急联动领域的优势，今年将重点在广东、广西、宁夏、吉林等地推进应急指挥调试系</w:t>
      </w:r>
      <w:r>
        <w:rPr>
          <w:spacing w:val="-85"/>
        </w:rPr>
        <w:t> </w:t>
      </w:r>
      <w:r>
        <w:rPr>
          <w:spacing w:val="-85"/>
        </w:rPr>
      </w:r>
      <w:r>
        <w:rPr>
          <w:spacing w:val="-1"/>
        </w:rPr>
        <w:t>统以及中小学生安全应急宣教系统；蓝盾学院一方面将加强与国内院校的战略合作，另一方面将作为公司</w:t>
      </w:r>
      <w:r>
        <w:rPr>
          <w:spacing w:val="-81"/>
        </w:rPr>
        <w:t> </w:t>
      </w:r>
      <w:r>
        <w:rPr>
          <w:spacing w:val="-81"/>
        </w:rPr>
      </w:r>
      <w:r>
        <w:rPr>
          <w:spacing w:val="-1"/>
        </w:rPr>
        <w:t>未来在线教育项目的重要平台，逐步打造为国内顶级的职业培训和服务平台；蓝盾移动经过在移动安全领</w:t>
      </w:r>
      <w:r>
        <w:rPr>
          <w:spacing w:val="-80"/>
        </w:rPr>
        <w:t> </w:t>
      </w:r>
      <w:r>
        <w:rPr>
          <w:spacing w:val="-80"/>
        </w:rPr>
      </w:r>
      <w:r>
        <w:rPr>
          <w:spacing w:val="-1"/>
        </w:rPr>
        <w:t>域一年多的技术积累，加上参股子公司纹歌科技在手机取证方面的技术支持，将在今年推出相关的移动安</w:t>
      </w:r>
      <w:r>
        <w:rPr>
          <w:spacing w:val="-81"/>
        </w:rPr>
        <w:t> </w:t>
      </w:r>
      <w:r>
        <w:rPr>
          <w:spacing w:val="-81"/>
        </w:rPr>
      </w:r>
      <w:r>
        <w:rPr>
          <w:spacing w:val="-1"/>
        </w:rPr>
        <w:t>全产品，使公司业务既包括企业级用户，也将涵盖个人用户；蓝盾投资在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月成立，将专业从事孵</w:t>
      </w:r>
      <w:r>
        <w:rPr>
          <w:spacing w:val="-84"/>
        </w:rPr>
        <w:t> </w:t>
      </w:r>
      <w:r>
        <w:rPr>
          <w:spacing w:val="-84"/>
        </w:rPr>
      </w:r>
      <w:r>
        <w:rPr>
          <w:spacing w:val="-1"/>
        </w:rPr>
        <w:t>化器运营管理、产业投资管理，并打造成围绕国家信息安全有关企业作为特色的专业型孵化器；另外由于</w:t>
      </w:r>
      <w:r>
        <w:rPr>
          <w:spacing w:val="-83"/>
        </w:rPr>
        <w:t> </w:t>
      </w:r>
      <w:r>
        <w:rPr>
          <w:spacing w:val="-83"/>
        </w:rPr>
      </w:r>
      <w:r>
        <w:rPr/>
        <w:t>业务拓展需求，公司今年将北京、广西、深圳三家分公司升级为子公司，有利于其独立经营与业务发展。</w:t>
      </w:r>
    </w:p>
    <w:p>
      <w:pPr>
        <w:pStyle w:val="Heading3"/>
        <w:spacing w:line="240" w:lineRule="auto" w:before="32"/>
        <w:ind w:left="573" w:right="173"/>
        <w:jc w:val="left"/>
        <w:rPr>
          <w:b w:val="0"/>
          <w:bCs w:val="0"/>
        </w:rPr>
      </w:pPr>
      <w:r>
        <w:rPr>
          <w:rFonts w:ascii="Times New Roman" w:hAnsi="Times New Roman" w:cs="Times New Roman" w:eastAsia="Times New Roman" w:hint="default"/>
        </w:rPr>
        <w:t>6</w:t>
      </w:r>
      <w:r>
        <w:rPr/>
        <w:t>、借助产业园区建设加快产业布局，优化办公环境及内部管理机制</w:t>
      </w:r>
      <w:r>
        <w:rPr>
          <w:b w:val="0"/>
          <w:bCs w:val="0"/>
        </w:rPr>
      </w:r>
    </w:p>
    <w:p>
      <w:pPr>
        <w:pStyle w:val="BodyText"/>
        <w:spacing w:line="345" w:lineRule="auto" w:before="110"/>
        <w:ind w:left="154" w:right="211" w:firstLine="421"/>
        <w:jc w:val="both"/>
      </w:pPr>
      <w:r>
        <w:rPr/>
        <w:t>蓝盾股份信息安全产业基地已于 </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年建成，待相关设备配置完善以及公司内部管理规划完成后， </w:t>
      </w:r>
      <w:r>
        <w:rPr>
          <w:spacing w:val="-1"/>
        </w:rPr>
        <w:t>该产业基地将作为公司统一的办公场所，公司办公环境将得到极大优化，同时有利于提升公司各部门的工</w:t>
      </w:r>
      <w:r>
        <w:rPr>
          <w:spacing w:val="-81"/>
        </w:rPr>
        <w:t> </w:t>
      </w:r>
      <w:r>
        <w:rPr>
          <w:spacing w:val="-81"/>
        </w:rPr>
      </w:r>
      <w:r>
        <w:rPr>
          <w:spacing w:val="-1"/>
        </w:rPr>
        <w:t>作效率，能增强公司对人才的吸引力；而蓝盾信息安全产业园项目也将逐步启动建设，该产业园项目建成</w:t>
      </w:r>
      <w:r>
        <w:rPr>
          <w:spacing w:val="-83"/>
        </w:rPr>
        <w:t> </w:t>
      </w:r>
      <w:r>
        <w:rPr>
          <w:spacing w:val="-83"/>
        </w:rPr>
      </w:r>
      <w:r>
        <w:rPr>
          <w:spacing w:val="-1"/>
        </w:rPr>
        <w:t>后，首批进驻项目主要包括云安全运营平台项目、在线安全教育平台项目及移动互联网运营平台项目等前</w:t>
      </w:r>
      <w:r>
        <w:rPr>
          <w:spacing w:val="-81"/>
        </w:rPr>
        <w:t> </w:t>
      </w:r>
      <w:r>
        <w:rPr>
          <w:spacing w:val="-81"/>
        </w:rPr>
      </w:r>
      <w:r>
        <w:rPr>
          <w:spacing w:val="-1"/>
        </w:rPr>
        <w:t>沿技术项目的研发及应用，目标是打造高端技术、前沿技术的产业化创新基地，也为公司未来加快产业布</w:t>
      </w:r>
      <w:r>
        <w:rPr>
          <w:spacing w:val="-83"/>
        </w:rPr>
        <w:t> </w:t>
      </w:r>
      <w:r>
        <w:rPr>
          <w:spacing w:val="-83"/>
        </w:rPr>
      </w:r>
      <w:r>
        <w:rPr/>
        <w:t>局打下良好基础。</w:t>
      </w:r>
    </w:p>
    <w:p>
      <w:pPr>
        <w:spacing w:line="240" w:lineRule="auto" w:before="12"/>
        <w:rPr>
          <w:rFonts w:ascii="宋体" w:hAnsi="宋体" w:cs="宋体" w:eastAsia="宋体" w:hint="default"/>
          <w:sz w:val="16"/>
          <w:szCs w:val="16"/>
        </w:rPr>
      </w:pPr>
    </w:p>
    <w:p>
      <w:pPr>
        <w:pStyle w:val="Heading2"/>
        <w:spacing w:line="240" w:lineRule="auto" w:before="0"/>
        <w:ind w:left="154" w:right="0"/>
        <w:jc w:val="both"/>
        <w:rPr>
          <w:b w:val="0"/>
          <w:bCs w:val="0"/>
        </w:rPr>
      </w:pPr>
      <w:bookmarkStart w:name="三、董事会、监事会对会计师事务所本报告期“非标准审计报告”的说明" w:id="27"/>
      <w:bookmarkEnd w:id="27"/>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both"/>
      </w:pPr>
      <w:r>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both"/>
        <w:rPr>
          <w:b w:val="0"/>
          <w:bCs w:val="0"/>
        </w:rPr>
      </w:pPr>
      <w:bookmarkStart w:name="四、董事会关于报告期会计政策、会计估计变更或重要前期差错更正的说明" w:id="28"/>
      <w:bookmarkEnd w:id="28"/>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28" w:lineRule="auto"/>
        <w:ind w:right="210" w:firstLine="420"/>
        <w:jc w:val="both"/>
      </w:pPr>
      <w:r>
        <w:rPr>
          <w:spacing w:val="-1"/>
        </w:rPr>
        <w:t>会计政策变更的原因：执行财政部于</w:t>
      </w:r>
      <w:r>
        <w:rPr>
          <w:rFonts w:ascii="Times New Roman" w:hAnsi="Times New Roman" w:cs="Times New Roman" w:eastAsia="Times New Roman" w:hint="default"/>
          <w:spacing w:val="-1"/>
        </w:rPr>
        <w:t>2014</w:t>
      </w:r>
      <w:r>
        <w:rPr>
          <w:spacing w:val="-1"/>
        </w:rPr>
        <w:t>年修订及新颁布的准则，本公司已执行财政部于</w:t>
      </w:r>
      <w:r>
        <w:rPr>
          <w:rFonts w:ascii="Times New Roman" w:hAnsi="Times New Roman" w:cs="Times New Roman" w:eastAsia="Times New Roman" w:hint="default"/>
          <w:spacing w:val="-1"/>
        </w:rPr>
        <w:t>2014</w:t>
      </w:r>
      <w:r>
        <w:rPr>
          <w:spacing w:val="-1"/>
        </w:rPr>
        <w:t>年颁布</w:t>
      </w:r>
      <w:r>
        <w:rPr/>
        <w:t> 的下列新的及修订的企业会计准则：</w:t>
      </w:r>
    </w:p>
    <w:p>
      <w:pPr>
        <w:spacing w:after="0" w:line="328" w:lineRule="auto"/>
        <w:jc w:val="both"/>
        <w:sectPr>
          <w:pgSz w:w="11910" w:h="16840"/>
          <w:pgMar w:header="0"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86"/>
        <w:ind w:left="573" w:right="173"/>
        <w:jc w:val="left"/>
      </w:pPr>
      <w:r>
        <w:rPr>
          <w:rFonts w:ascii="Times New Roman" w:hAnsi="Times New Roman" w:cs="Times New Roman" w:eastAsia="Times New Roman" w:hint="default"/>
        </w:rPr>
        <w:t>1</w:t>
      </w:r>
      <w:r>
        <w:rPr/>
        <w:t>、《企业会计准则</w:t>
      </w:r>
      <w:r>
        <w:rPr>
          <w:rFonts w:ascii="Times New Roman" w:hAnsi="Times New Roman" w:cs="Times New Roman" w:eastAsia="Times New Roman" w:hint="default"/>
        </w:rPr>
        <w:t>—</w:t>
      </w:r>
      <w:r>
        <w:rPr/>
        <w:t>基本准则》（修订）；</w:t>
      </w:r>
    </w:p>
    <w:p>
      <w:pPr>
        <w:pStyle w:val="BodyText"/>
        <w:spacing w:line="240" w:lineRule="auto" w:before="109"/>
        <w:ind w:left="573" w:right="173"/>
        <w:jc w:val="left"/>
      </w:pPr>
      <w:r>
        <w:rPr>
          <w:rFonts w:ascii="Times New Roman" w:hAnsi="Times New Roman" w:cs="Times New Roman" w:eastAsia="Times New Roman" w:hint="default"/>
        </w:rPr>
        <w:t>2</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110"/>
        <w:ind w:left="573" w:right="173"/>
        <w:jc w:val="left"/>
      </w:pPr>
      <w:r>
        <w:rPr>
          <w:rFonts w:ascii="Times New Roman" w:hAnsi="Times New Roman" w:cs="Times New Roman" w:eastAsia="Times New Roman" w:hint="default"/>
        </w:rPr>
        <w:t>3</w:t>
      </w: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109"/>
        <w:ind w:left="574" w:right="173"/>
        <w:jc w:val="left"/>
      </w:pPr>
      <w:r>
        <w:rPr>
          <w:rFonts w:ascii="Times New Roman" w:hAnsi="Times New Roman" w:cs="Times New Roman" w:eastAsia="Times New Roman" w:hint="default"/>
        </w:rPr>
        <w:t>4</w:t>
      </w: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109"/>
        <w:ind w:left="573" w:right="173"/>
        <w:jc w:val="left"/>
      </w:pPr>
      <w:r>
        <w:rPr>
          <w:rFonts w:ascii="Times New Roman" w:hAnsi="Times New Roman" w:cs="Times New Roman" w:eastAsia="Times New Roman" w:hint="default"/>
        </w:rPr>
        <w:t>5</w:t>
      </w: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110"/>
        <w:ind w:left="573" w:right="173"/>
        <w:jc w:val="left"/>
      </w:pPr>
      <w:r>
        <w:rPr>
          <w:rFonts w:ascii="Times New Roman" w:hAnsi="Times New Roman" w:cs="Times New Roman" w:eastAsia="Times New Roman" w:hint="default"/>
        </w:rPr>
        <w:t>6</w:t>
      </w: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109"/>
        <w:ind w:left="573" w:right="173"/>
        <w:jc w:val="left"/>
      </w:pPr>
      <w:r>
        <w:rPr>
          <w:rFonts w:ascii="Times New Roman" w:hAnsi="Times New Roman" w:cs="Times New Roman" w:eastAsia="Times New Roman" w:hint="default"/>
        </w:rPr>
        <w:t>7</w:t>
      </w: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109"/>
        <w:ind w:left="573" w:right="173"/>
        <w:jc w:val="left"/>
      </w:pPr>
      <w:r>
        <w:rPr>
          <w:rFonts w:ascii="Times New Roman" w:hAnsi="Times New Roman" w:cs="Times New Roman" w:eastAsia="Times New Roman" w:hint="default"/>
        </w:rPr>
        <w:t>8</w:t>
      </w: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338" w:lineRule="auto" w:before="110"/>
        <w:ind w:left="574" w:right="100"/>
        <w:jc w:val="left"/>
      </w:pPr>
      <w:r>
        <w:rPr>
          <w:rFonts w:ascii="Times New Roman" w:hAnsi="Times New Roman" w:cs="Times New Roman" w:eastAsia="Times New Roman" w:hint="default"/>
        </w:rPr>
        <w:t>9</w:t>
      </w: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 本公司执行上述企业会计准则的主要影响如下： </w:t>
      </w:r>
      <w:r>
        <w:rPr>
          <w:spacing w:val="-3"/>
        </w:rPr>
        <w:t>执行《企业会计准则第</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w:t>
      </w:r>
      <w:r>
        <w:rPr>
          <w:spacing w:val="-3"/>
        </w:rPr>
        <w:t>职工薪酬》（修订），本公司根据《企业会计准则第</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w:t>
      </w:r>
      <w:r>
        <w:rPr>
          <w:spacing w:val="-3"/>
        </w:rPr>
        <w:t>职工薪酬》</w:t>
      </w:r>
    </w:p>
    <w:p>
      <w:pPr>
        <w:pStyle w:val="BodyText"/>
        <w:spacing w:line="348" w:lineRule="auto" w:before="14"/>
        <w:ind w:right="173"/>
        <w:jc w:val="left"/>
      </w:pPr>
      <w:r>
        <w:rPr>
          <w:spacing w:val="-1"/>
        </w:rPr>
        <w:t>（修订）将本公司辞退福利、基本养老保险及失业保险单独分类至辞退福利及设定提存计划核算，并进行</w:t>
      </w:r>
      <w:r>
        <w:rPr>
          <w:spacing w:val="-82"/>
        </w:rPr>
        <w:t> </w:t>
      </w:r>
      <w:r>
        <w:rPr>
          <w:spacing w:val="-82"/>
        </w:rPr>
      </w:r>
      <w:r>
        <w:rPr/>
        <w:t>了补充披露。</w:t>
      </w:r>
    </w:p>
    <w:p>
      <w:pPr>
        <w:pStyle w:val="BodyText"/>
        <w:spacing w:line="340" w:lineRule="auto" w:before="30"/>
        <w:ind w:right="212" w:firstLine="420"/>
        <w:jc w:val="both"/>
      </w:pPr>
      <w:r>
        <w:rPr>
          <w:spacing w:val="-1"/>
        </w:rPr>
        <w:t>执行《企业会计准则第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财务报表列报（修订）》，本公司根据《企业会计准则第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w:t>
      </w:r>
      <w:r>
        <w:rPr/>
        <w:t> </w:t>
      </w:r>
      <w:r>
        <w:rPr>
          <w:spacing w:val="-1"/>
        </w:rPr>
        <w:t>务报表列报》（修订）将本公司核算在其他非流动负债的政府补助分类至递延收益核算，并进行了补充披</w:t>
      </w:r>
      <w:r>
        <w:rPr>
          <w:spacing w:val="-83"/>
        </w:rPr>
        <w:t> </w:t>
      </w:r>
      <w:r>
        <w:rPr>
          <w:spacing w:val="-83"/>
        </w:rPr>
      </w:r>
      <w:r>
        <w:rPr/>
        <w:t>露。</w:t>
      </w:r>
    </w:p>
    <w:p>
      <w:pPr>
        <w:spacing w:line="240" w:lineRule="auto" w:before="2"/>
        <w:rPr>
          <w:rFonts w:ascii="宋体" w:hAnsi="宋体" w:cs="宋体" w:eastAsia="宋体" w:hint="default"/>
          <w:sz w:val="17"/>
          <w:szCs w:val="17"/>
        </w:rPr>
      </w:pPr>
    </w:p>
    <w:p>
      <w:pPr>
        <w:pStyle w:val="Heading2"/>
        <w:spacing w:line="240" w:lineRule="auto" w:before="0"/>
        <w:ind w:left="154" w:right="173"/>
        <w:jc w:val="left"/>
        <w:rPr>
          <w:b w:val="0"/>
          <w:bCs w:val="0"/>
        </w:rPr>
      </w:pPr>
      <w:bookmarkStart w:name="五、公司利润分配及分红派息情况" w:id="29"/>
      <w:bookmarkEnd w:id="29"/>
      <w:r>
        <w:rPr>
          <w:b w:val="0"/>
          <w:bCs w:val="0"/>
        </w:rPr>
      </w:r>
      <w:r>
        <w:rPr/>
        <w:t>五、公司利润分配及分红派息情况</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right="173"/>
        <w:jc w:val="left"/>
      </w:pPr>
      <w:r>
        <w:rPr/>
        <w:t>报告期内利润分配政策特别是现金分红政策的制定、执行或调整情况</w:t>
      </w:r>
    </w:p>
    <w:p>
      <w:pPr>
        <w:spacing w:line="240" w:lineRule="auto" w:before="4"/>
        <w:rPr>
          <w:rFonts w:ascii="宋体" w:hAnsi="宋体" w:cs="宋体" w:eastAsia="宋体" w:hint="default"/>
          <w:sz w:val="15"/>
          <w:szCs w:val="15"/>
        </w:rPr>
      </w:pPr>
    </w:p>
    <w:p>
      <w:pPr>
        <w:spacing w:before="0"/>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28" w:lineRule="auto" w:before="156"/>
        <w:ind w:right="173" w:firstLine="420"/>
        <w:jc w:val="left"/>
      </w:pPr>
      <w:r>
        <w:rPr/>
        <w:pict>
          <v:shape style="position:absolute;margin-left:57.029999pt;margin-top:64.043663pt;width:478.6pt;height:172.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公司</w:t>
      </w:r>
      <w:r>
        <w:rPr>
          <w:rFonts w:ascii="Times New Roman" w:hAnsi="Times New Roman" w:cs="Times New Roman" w:eastAsia="Times New Roman" w:hint="default"/>
        </w:rPr>
        <w:t>2013</w:t>
      </w:r>
      <w:r>
        <w:rPr/>
        <w:t>年年度利润分配方案为：以截止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196,000,000</w:t>
      </w:r>
      <w:r>
        <w:rPr/>
        <w:t>股为基数向全体股 </w:t>
      </w:r>
      <w:r>
        <w:rPr>
          <w:spacing w:val="-1"/>
        </w:rPr>
        <w:t>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0.15</w:t>
      </w:r>
      <w:r>
        <w:rPr>
          <w:spacing w:val="-1"/>
        </w:rPr>
        <w:t>元人民币（含税），合计派发现金红利</w:t>
      </w:r>
      <w:r>
        <w:rPr>
          <w:rFonts w:ascii="Times New Roman" w:hAnsi="Times New Roman" w:cs="Times New Roman" w:eastAsia="Times New Roman" w:hint="default"/>
          <w:spacing w:val="-1"/>
        </w:rPr>
        <w:t>2,940,000.00</w:t>
      </w:r>
      <w:r>
        <w:rPr>
          <w:spacing w:val="-1"/>
        </w:rPr>
        <w:t>元，以上现金分红已在</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5"/>
        </w:rPr>
        <w:t> </w:t>
      </w:r>
      <w:r>
        <w:rPr/>
        <w:t>年全部派发完毕。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154" w:right="173"/>
        <w:jc w:val="left"/>
      </w:pPr>
      <w:r>
        <w:rPr/>
        <w:t>公司报告期利润分配预案及资本公积金转增股本预案与公司章程和分红管理办法等的相关规定一致</w:t>
      </w:r>
    </w:p>
    <w:p>
      <w:pPr>
        <w:spacing w:line="240" w:lineRule="auto" w:before="6"/>
        <w:rPr>
          <w:rFonts w:ascii="宋体" w:hAnsi="宋体" w:cs="宋体" w:eastAsia="宋体" w:hint="default"/>
          <w:sz w:val="15"/>
          <w:szCs w:val="15"/>
        </w:rPr>
      </w:pPr>
    </w:p>
    <w:p>
      <w:pPr>
        <w:spacing w:before="0"/>
        <w:ind w:left="15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4" w:lineRule="auto"/>
        <w:ind w:right="2213"/>
        <w:jc w:val="left"/>
      </w:pPr>
      <w:r>
        <w:rPr/>
        <w:pict>
          <v:shape style="position:absolute;margin-left:57.029999pt;margin-top:40.223698pt;width:478.6pt;height:252.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220,610,235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2,206,102.35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183,138,138.73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根据当期经营情况和后期发展过程中的资金需求计划，公司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年利润分配预案为：以截止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220,610,235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2,206,102.35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同</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时以资本公积向股东每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股，合计转增股本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264,732,282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股。转增股本后公司总股本变更为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485,342,517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t>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5"/>
        <w:ind w:left="154" w:right="0"/>
        <w:jc w:val="left"/>
      </w:pPr>
      <w:r>
        <w:rPr/>
        <w:t>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49"/>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年年度利润分配预案</w:t>
      </w:r>
    </w:p>
    <w:p>
      <w:pPr>
        <w:pStyle w:val="BodyText"/>
        <w:spacing w:line="328" w:lineRule="auto" w:before="110"/>
        <w:ind w:right="150" w:firstLine="420"/>
        <w:jc w:val="both"/>
      </w:pPr>
      <w:r>
        <w:rPr/>
        <w:t>以截止</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14</w:t>
      </w:r>
      <w:r>
        <w:rPr/>
        <w:t>日公司总股本</w:t>
      </w:r>
      <w:r>
        <w:rPr>
          <w:rFonts w:ascii="Times New Roman" w:hAnsi="Times New Roman" w:cs="Times New Roman" w:eastAsia="Times New Roman" w:hint="default"/>
        </w:rPr>
        <w:t>220,610,235 </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7"/>
        </w:rPr>
        <w:t> </w:t>
      </w:r>
      <w:r>
        <w:rPr>
          <w:spacing w:val="2"/>
        </w:rPr>
        <w:t>股派发现金红利</w:t>
      </w:r>
      <w:r>
        <w:rPr>
          <w:rFonts w:ascii="Times New Roman" w:hAnsi="Times New Roman" w:cs="Times New Roman" w:eastAsia="Times New Roman" w:hint="default"/>
          <w:spacing w:val="2"/>
        </w:rPr>
        <w:t>0.1</w:t>
      </w:r>
      <w:r>
        <w:rPr>
          <w:spacing w:val="2"/>
        </w:rPr>
        <w:t>元人民</w:t>
      </w:r>
      <w:r>
        <w:rPr/>
        <w:t> 币（含税），合计派发现金红利</w:t>
      </w:r>
      <w:r>
        <w:rPr>
          <w:rFonts w:ascii="Times New Roman" w:hAnsi="Times New Roman" w:cs="Times New Roman" w:eastAsia="Times New Roman" w:hint="default"/>
        </w:rPr>
        <w:t>2,206,102.35</w:t>
      </w:r>
      <w:r>
        <w:rPr/>
        <w:t>元；同时以资本公积向股东每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股，合计转增股本 </w:t>
      </w:r>
      <w:r>
        <w:rPr>
          <w:rFonts w:ascii="Times New Roman" w:hAnsi="Times New Roman" w:cs="Times New Roman" w:eastAsia="Times New Roman" w:hint="default"/>
        </w:rPr>
        <w:t>264,732,282</w:t>
      </w:r>
      <w:r>
        <w:rPr/>
        <w:t>股。转增股本后公司总股本变更为</w:t>
      </w:r>
      <w:r>
        <w:rPr>
          <w:rFonts w:ascii="Times New Roman" w:hAnsi="Times New Roman" w:cs="Times New Roman" w:eastAsia="Times New Roman" w:hint="default"/>
        </w:rPr>
        <w:t>485,342,517</w:t>
      </w:r>
      <w:r>
        <w:rPr/>
        <w:t>股。</w:t>
      </w:r>
    </w:p>
    <w:p>
      <w:pPr>
        <w:pStyle w:val="BodyText"/>
        <w:spacing w:line="328" w:lineRule="auto" w:before="24"/>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年年度利润分配方案 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196,000,000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元人民币</w:t>
      </w:r>
    </w:p>
    <w:p>
      <w:pPr>
        <w:pStyle w:val="BodyText"/>
        <w:spacing w:line="240" w:lineRule="auto" w:before="23"/>
        <w:ind w:left="154" w:right="0"/>
        <w:jc w:val="left"/>
      </w:pPr>
      <w:r>
        <w:rPr/>
        <w:t>（含税），合计派发现金红利</w:t>
      </w:r>
      <w:r>
        <w:rPr>
          <w:rFonts w:ascii="Times New Roman" w:hAnsi="Times New Roman" w:cs="Times New Roman" w:eastAsia="Times New Roman" w:hint="default"/>
        </w:rPr>
        <w:t>2,940,000.00</w:t>
      </w:r>
      <w:r>
        <w:rPr/>
        <w:t>元。</w:t>
      </w:r>
    </w:p>
    <w:p>
      <w:pPr>
        <w:pStyle w:val="BodyText"/>
        <w:spacing w:line="240" w:lineRule="auto" w:before="110"/>
        <w:ind w:left="57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年年度利润分配方案</w:t>
      </w:r>
    </w:p>
    <w:p>
      <w:pPr>
        <w:pStyle w:val="BodyText"/>
        <w:spacing w:line="331" w:lineRule="auto" w:before="148"/>
        <w:ind w:right="147" w:firstLine="420"/>
        <w:jc w:val="both"/>
      </w:pPr>
      <w:r>
        <w:rPr/>
        <w:t>以截止</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98,000,000 </w:t>
      </w:r>
      <w:r>
        <w:rPr>
          <w:spacing w:val="3"/>
        </w:rPr>
        <w:t>股为基数向全体股东每</w:t>
      </w:r>
      <w:r>
        <w:rPr>
          <w:rFonts w:ascii="Times New Roman" w:hAnsi="Times New Roman" w:cs="Times New Roman" w:eastAsia="Times New Roman" w:hint="default"/>
          <w:spacing w:val="3"/>
        </w:rPr>
        <w:t>10 </w:t>
      </w:r>
      <w:r>
        <w:rPr>
          <w:spacing w:val="2"/>
        </w:rPr>
        <w:t>股派发现金红利</w:t>
      </w:r>
      <w:r>
        <w:rPr>
          <w:rFonts w:ascii="Times New Roman" w:hAnsi="Times New Roman" w:cs="Times New Roman" w:eastAsia="Times New Roman" w:hint="default"/>
          <w:spacing w:val="2"/>
        </w:rPr>
        <w:t>0.6</w:t>
      </w:r>
      <w:r>
        <w:rPr>
          <w:rFonts w:ascii="Times New Roman" w:hAnsi="Times New Roman" w:cs="Times New Roman" w:eastAsia="Times New Roman" w:hint="default"/>
          <w:spacing w:val="-6"/>
        </w:rPr>
        <w:t> </w:t>
      </w:r>
      <w:r>
        <w:rPr>
          <w:spacing w:val="4"/>
        </w:rPr>
        <w:t>元人 </w:t>
      </w:r>
      <w:r>
        <w:rPr/>
        <w:t>民币（含税），合计派发现金红利</w:t>
      </w:r>
      <w:r>
        <w:rPr>
          <w:rFonts w:ascii="Times New Roman" w:hAnsi="Times New Roman" w:cs="Times New Roman" w:eastAsia="Times New Roman" w:hint="default"/>
        </w:rPr>
        <w:t>5,880,000.00</w:t>
      </w:r>
      <w:r>
        <w:rPr/>
        <w:t>元；同时以资本公积向股东每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股，合计转增股 本</w:t>
      </w:r>
      <w:r>
        <w:rPr>
          <w:rFonts w:ascii="Times New Roman" w:hAnsi="Times New Roman" w:cs="Times New Roman" w:eastAsia="Times New Roman" w:hint="default"/>
        </w:rPr>
        <w:t>98,000,000  </w:t>
      </w:r>
      <w:r>
        <w:rPr/>
        <w:t>股。转增股本后公司总股本变更为</w:t>
      </w:r>
      <w:r>
        <w:rPr>
          <w:rFonts w:ascii="Times New Roman" w:hAnsi="Times New Roman" w:cs="Times New Roman" w:eastAsia="Times New Roman" w:hint="default"/>
        </w:rPr>
        <w:t>196,000,000</w:t>
      </w:r>
      <w:r>
        <w:rPr>
          <w:rFonts w:ascii="Times New Roman" w:hAnsi="Times New Roman" w:cs="Times New Roman" w:eastAsia="Times New Roman" w:hint="default"/>
          <w:spacing w:val="9"/>
        </w:rPr>
        <w:t> </w:t>
      </w:r>
      <w:r>
        <w:rPr/>
        <w:t>股。</w:t>
      </w:r>
    </w:p>
    <w:p>
      <w:pPr>
        <w:spacing w:after="0" w:line="331" w:lineRule="auto"/>
        <w:jc w:val="both"/>
        <w:sectPr>
          <w:pgSz w:w="11910" w:h="16840"/>
          <w:pgMar w:header="0" w:footer="979" w:top="1060" w:bottom="1160" w:left="980" w:right="980"/>
        </w:sectPr>
      </w:pPr>
    </w:p>
    <w:p>
      <w:pPr>
        <w:pStyle w:val="BodyText"/>
        <w:spacing w:line="240" w:lineRule="auto" w:before="61"/>
        <w:ind w:right="-19"/>
        <w:jc w:val="left"/>
      </w:pPr>
      <w:r>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675" w:space="624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2,206,102.35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35,302,789.86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31,963,282.74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58,090,774.13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5"/>
        <w:ind w:left="173" w:right="0"/>
        <w:jc w:val="left"/>
      </w:pPr>
      <w:r>
        <w:rPr/>
        <w:t>公司报告期内盈利且母公司未分配利润为正但未提出现金红利分配预案</w:t>
      </w:r>
    </w:p>
    <w:p>
      <w:pPr>
        <w:spacing w:line="240" w:lineRule="auto" w:before="4"/>
        <w:rPr>
          <w:rFonts w:ascii="宋体" w:hAnsi="宋体" w:cs="宋体" w:eastAsia="宋体" w:hint="default"/>
          <w:sz w:val="15"/>
          <w:szCs w:val="15"/>
        </w:rPr>
      </w:pPr>
    </w:p>
    <w:p>
      <w:pPr>
        <w:spacing w:before="0"/>
        <w:ind w:left="1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3"/>
          <w:szCs w:val="23"/>
        </w:rPr>
      </w:pPr>
    </w:p>
    <w:p>
      <w:pPr>
        <w:pStyle w:val="Heading2"/>
        <w:spacing w:line="240" w:lineRule="auto" w:before="0"/>
        <w:ind w:left="173" w:right="0"/>
        <w:jc w:val="left"/>
        <w:rPr>
          <w:b w:val="0"/>
          <w:bCs w:val="0"/>
        </w:rPr>
      </w:pPr>
      <w:bookmarkStart w:name="六、内幕信息知情人管理制度的建立和执行情况" w:id="30"/>
      <w:bookmarkEnd w:id="30"/>
      <w:r>
        <w:rPr>
          <w:b w:val="0"/>
          <w:bCs w:val="0"/>
        </w:rPr>
      </w:r>
      <w:r>
        <w:rPr/>
        <w:t>六、内幕信息知情人管理制度的建立和执行情况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173" w:right="0"/>
        <w:jc w:val="left"/>
      </w:pPr>
      <w:r>
        <w:rPr/>
        <w:t>（一）内幕信息知情人制度建立情况</w:t>
      </w:r>
    </w:p>
    <w:p>
      <w:pPr>
        <w:pStyle w:val="BodyText"/>
        <w:spacing w:line="340" w:lineRule="auto" w:before="124"/>
        <w:ind w:left="174"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日公司第一届董事会第十七次会议审议通过了《关于制定内幕信息知情人登记与外部报 </w:t>
      </w:r>
      <w:r>
        <w:rPr>
          <w:spacing w:val="-1"/>
        </w:rPr>
        <w:t>送管理制度的议案》。该项制度对内幕信息的定义、内幕信息的人员范围、内幕信息登记和报备、内幕信</w:t>
      </w:r>
      <w:r>
        <w:rPr>
          <w:spacing w:val="-83"/>
        </w:rPr>
        <w:t> </w:t>
      </w:r>
      <w:r>
        <w:rPr>
          <w:spacing w:val="-83"/>
        </w:rPr>
      </w:r>
      <w:r>
        <w:rPr/>
        <w:t>息管理的机构及人员、保密及责任追究等做了详细规定。</w:t>
      </w:r>
    </w:p>
    <w:p>
      <w:pPr>
        <w:pStyle w:val="BodyText"/>
        <w:spacing w:line="348" w:lineRule="auto" w:before="36"/>
        <w:ind w:left="594" w:right="0" w:hanging="420"/>
        <w:jc w:val="left"/>
      </w:pPr>
      <w:r>
        <w:rPr/>
        <w:t>（二）报告期内内幕信息知情人制度执行情况 </w:t>
      </w:r>
      <w:r>
        <w:rPr>
          <w:spacing w:val="-1"/>
        </w:rPr>
        <w:t>报告期内，公司的内幕信息流转、信息知情人登记管理、重大事项的报告、传递、审核、披露程序均</w:t>
      </w:r>
    </w:p>
    <w:p>
      <w:pPr>
        <w:pStyle w:val="BodyText"/>
        <w:spacing w:line="355" w:lineRule="auto" w:before="31"/>
        <w:ind w:left="174" w:right="107" w:hanging="106"/>
        <w:jc w:val="center"/>
      </w:pPr>
      <w:r>
        <w:rPr/>
        <w:t>严格遵守《内幕信息知情人登记与外部报送管理制度》的有关规定；严把内幕信息流转程序，将信息知情 人控制在最小范围内，切实做到内幕信息在披露前各环节所有知情人员如实、完整登记；公司董事会秘书 </w:t>
      </w:r>
      <w:r>
        <w:rPr>
          <w:spacing w:val="-3"/>
        </w:rPr>
        <w:t>负责知情人登记信息的核实、报备和建档，确保</w:t>
      </w:r>
      <w:r>
        <w:rPr>
          <w:rFonts w:ascii="Times New Roman" w:hAnsi="Times New Roman" w:cs="Times New Roman" w:eastAsia="Times New Roman" w:hint="default"/>
          <w:spacing w:val="-3"/>
        </w:rPr>
        <w:t>“</w:t>
      </w:r>
      <w:r>
        <w:rPr>
          <w:spacing w:val="-3"/>
        </w:rPr>
        <w:t>内幕信息知情人登记表</w:t>
      </w:r>
      <w:r>
        <w:rPr>
          <w:rFonts w:ascii="Times New Roman" w:hAnsi="Times New Roman" w:cs="Times New Roman" w:eastAsia="Times New Roman" w:hint="default"/>
          <w:spacing w:val="-3"/>
        </w:rPr>
        <w:t>”</w:t>
      </w:r>
      <w:r>
        <w:rPr>
          <w:spacing w:val="-3"/>
        </w:rPr>
        <w:t>所填报内容的真实、准确、完整。</w:t>
      </w:r>
      <w:r>
        <w:rPr/>
        <w:t> 报告期内，公司内幕信息知情人管理制度执行情况较好，未发生被监管部门的查处和整改的情况。</w:t>
      </w:r>
    </w:p>
    <w:p>
      <w:pPr>
        <w:spacing w:line="240" w:lineRule="auto" w:before="2"/>
        <w:rPr>
          <w:rFonts w:ascii="宋体" w:hAnsi="宋体" w:cs="宋体" w:eastAsia="宋体" w:hint="default"/>
          <w:sz w:val="16"/>
          <w:szCs w:val="16"/>
        </w:rPr>
      </w:pPr>
    </w:p>
    <w:p>
      <w:pPr>
        <w:pStyle w:val="Heading2"/>
        <w:spacing w:line="240" w:lineRule="auto" w:before="0"/>
        <w:ind w:left="173" w:right="0"/>
        <w:jc w:val="left"/>
        <w:rPr>
          <w:b w:val="0"/>
          <w:bCs w:val="0"/>
        </w:rPr>
      </w:pPr>
      <w:bookmarkStart w:name="七、报告期内接待调研、沟通、采访等活动登记表" w:id="31"/>
      <w:bookmarkEnd w:id="31"/>
      <w:r>
        <w:rPr>
          <w:b w:val="0"/>
          <w:bCs w:val="0"/>
        </w:rPr>
      </w:r>
      <w:r>
        <w:rPr/>
        <w:t>七、报告期内接待调研、沟通、采访等活动登记表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494"/>
        <w:gridCol w:w="1498"/>
        <w:gridCol w:w="1497"/>
        <w:gridCol w:w="1498"/>
        <w:gridCol w:w="1497"/>
        <w:gridCol w:w="2266"/>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6" w:right="47" w:hanging="990"/>
              <w:jc w:val="left"/>
              <w:rPr>
                <w:rFonts w:ascii="宋体" w:hAnsi="宋体" w:cs="宋体" w:eastAsia="宋体" w:hint="default"/>
                <w:sz w:val="18"/>
                <w:szCs w:val="18"/>
              </w:rPr>
            </w:pPr>
            <w:r>
              <w:rPr>
                <w:rFonts w:ascii="宋体" w:hAnsi="宋体" w:cs="宋体" w:eastAsia="宋体" w:hint="default"/>
                <w:sz w:val="18"/>
                <w:szCs w:val="18"/>
              </w:rPr>
              <w:t>谈论的主要内容及提供的资 料</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113"/>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w:t>
            </w:r>
            <w:r>
              <w:rPr>
                <w:rFonts w:ascii="宋体" w:hAnsi="宋体" w:cs="宋体" w:eastAsia="宋体" w:hint="default"/>
                <w:spacing w:val="1"/>
                <w:sz w:val="18"/>
                <w:szCs w:val="18"/>
              </w:rPr>
              <w:t> </w:t>
            </w:r>
            <w:r>
              <w:rPr>
                <w:rFonts w:ascii="宋体" w:hAnsi="宋体" w:cs="宋体" w:eastAsia="宋体" w:hint="default"/>
                <w:sz w:val="18"/>
                <w:szCs w:val="18"/>
              </w:rPr>
              <w:t>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兴业证券、北京华 章德远资管</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行业发展情况、公司业务的 经营发展情况、市场竞争情 况、产品发展空间、战略发 展规划、蓝盾移动的发展规 划、公司在教育行业的情况</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22"/>
              <w:jc w:val="both"/>
              <w:rPr>
                <w:rFonts w:ascii="宋体" w:hAnsi="宋体" w:cs="宋体" w:eastAsia="宋体" w:hint="default"/>
                <w:sz w:val="18"/>
                <w:szCs w:val="18"/>
              </w:rPr>
            </w:pPr>
            <w:r>
              <w:rPr>
                <w:rFonts w:ascii="宋体" w:hAnsi="宋体" w:cs="宋体" w:eastAsia="宋体" w:hint="default"/>
                <w:sz w:val="18"/>
                <w:szCs w:val="18"/>
              </w:rPr>
              <w:t>华创证券、国海创 新资本、信达澳银 基金</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行业发展情况、公司的投资 情况、公司在教育领域的布 局、公司市场竞争情况、公 司业务经营情况、募投项目 进展情况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金鹰基金</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公司的战略发展规划、公司 业务经营情况、募投项目进 展情况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招商证券、广东新 价值投资</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公司业务经营情况、战略发 展规划、云防线产品发展情 况</w:t>
            </w:r>
          </w:p>
        </w:tc>
      </w:tr>
      <w:tr>
        <w:trPr>
          <w:trHeight w:val="102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13"/>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w:t>
            </w:r>
            <w:r>
              <w:rPr>
                <w:rFonts w:ascii="宋体" w:hAnsi="宋体" w:cs="宋体" w:eastAsia="宋体" w:hint="default"/>
                <w:spacing w:val="1"/>
                <w:sz w:val="18"/>
                <w:szCs w:val="18"/>
              </w:rPr>
              <w:t> </w:t>
            </w:r>
            <w:r>
              <w:rPr>
                <w:rFonts w:ascii="宋体" w:hAnsi="宋体" w:cs="宋体" w:eastAsia="宋体" w:hint="default"/>
                <w:sz w:val="18"/>
                <w:szCs w:val="18"/>
              </w:rPr>
              <w:t>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浙商证券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行业发展情况、公司业务的 经营情况、公司在云计算安 全方面的布局</w:t>
            </w:r>
          </w:p>
        </w:tc>
      </w:tr>
    </w:tbl>
    <w:p>
      <w:pPr>
        <w:spacing w:after="0" w:line="316" w:lineRule="auto"/>
        <w:jc w:val="both"/>
        <w:rPr>
          <w:rFonts w:ascii="宋体" w:hAnsi="宋体" w:cs="宋体" w:eastAsia="宋体" w:hint="default"/>
          <w:sz w:val="18"/>
          <w:szCs w:val="18"/>
        </w:rPr>
        <w:sectPr>
          <w:pgSz w:w="11910" w:h="16840"/>
          <w:pgMar w:header="0" w:footer="979" w:top="1060" w:bottom="1160" w:left="96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494"/>
        <w:gridCol w:w="1498"/>
        <w:gridCol w:w="1497"/>
        <w:gridCol w:w="1498"/>
        <w:gridCol w:w="1497"/>
        <w:gridCol w:w="2266"/>
      </w:tblGrid>
      <w:tr>
        <w:trPr>
          <w:trHeight w:val="709"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6" w:right="47" w:hanging="990"/>
              <w:jc w:val="left"/>
              <w:rPr>
                <w:rFonts w:ascii="宋体" w:hAnsi="宋体" w:cs="宋体" w:eastAsia="宋体" w:hint="default"/>
                <w:sz w:val="18"/>
                <w:szCs w:val="18"/>
              </w:rPr>
            </w:pPr>
            <w:r>
              <w:rPr>
                <w:rFonts w:ascii="宋体" w:hAnsi="宋体" w:cs="宋体" w:eastAsia="宋体" w:hint="default"/>
                <w:sz w:val="18"/>
                <w:szCs w:val="18"/>
              </w:rPr>
              <w:t>谈论的主要内容及提供的资 料</w:t>
            </w:r>
          </w:p>
        </w:tc>
      </w:tr>
      <w:tr>
        <w:trPr>
          <w:trHeight w:val="103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野村投资管理香港 有限公司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71"/>
              <w:jc w:val="both"/>
              <w:rPr>
                <w:rFonts w:ascii="宋体" w:hAnsi="宋体" w:cs="宋体" w:eastAsia="宋体" w:hint="default"/>
                <w:sz w:val="18"/>
                <w:szCs w:val="18"/>
              </w:rPr>
            </w:pPr>
            <w:r>
              <w:rPr>
                <w:rFonts w:ascii="宋体" w:hAnsi="宋体" w:cs="宋体" w:eastAsia="宋体" w:hint="default"/>
                <w:sz w:val="18"/>
                <w:szCs w:val="18"/>
              </w:rPr>
              <w:t>公司业务的经营情况、公司 的战略发展规划、公司在教 育领域的战略布局</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2"/>
              <w:jc w:val="left"/>
              <w:rPr>
                <w:rFonts w:ascii="宋体" w:hAnsi="宋体" w:cs="宋体" w:eastAsia="宋体" w:hint="default"/>
                <w:sz w:val="18"/>
                <w:szCs w:val="18"/>
              </w:rPr>
            </w:pPr>
            <w:r>
              <w:rPr>
                <w:rFonts w:ascii="宋体" w:hAnsi="宋体" w:cs="宋体" w:eastAsia="宋体" w:hint="default"/>
                <w:sz w:val="18"/>
                <w:szCs w:val="18"/>
              </w:rPr>
              <w:t>新华基金、长城证 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公司在移动安全领域的情 况、公司在不同行业的拓展 情况、市场竞争状况、云防 线产品发展情况、蓝盾学院 的发展规划</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凯基证券亚洲有限 公司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公司募投项目发展情况、公 司在移动互联网安全方面的 规划布局、公司跨区域的战 略规划、市场竞争状况</w:t>
            </w:r>
          </w:p>
        </w:tc>
      </w:tr>
      <w:tr>
        <w:trPr>
          <w:trHeight w:val="289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安信证券、东方证 券、广证恒生、广 </w:t>
            </w:r>
            <w:r>
              <w:rPr>
                <w:rFonts w:ascii="宋体" w:hAnsi="宋体" w:cs="宋体" w:eastAsia="宋体" w:hint="default"/>
                <w:spacing w:val="-12"/>
                <w:sz w:val="18"/>
                <w:szCs w:val="18"/>
              </w:rPr>
              <w:t>发证券、华创证券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金元证券、长城基 金、天弘基金、金 </w:t>
            </w:r>
            <w:r>
              <w:rPr>
                <w:rFonts w:ascii="宋体" w:hAnsi="宋体" w:cs="宋体" w:eastAsia="宋体" w:hint="default"/>
                <w:spacing w:val="-12"/>
                <w:sz w:val="18"/>
                <w:szCs w:val="18"/>
              </w:rPr>
              <w:t>鹰基金、怀新投资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惠正投资、证券时 报</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exact" w:before="12"/>
              <w:ind w:left="22" w:right="71"/>
              <w:jc w:val="both"/>
              <w:rPr>
                <w:rFonts w:ascii="宋体" w:hAnsi="宋体" w:cs="宋体" w:eastAsia="宋体" w:hint="default"/>
                <w:sz w:val="18"/>
                <w:szCs w:val="18"/>
              </w:rPr>
            </w:pPr>
            <w:r>
              <w:rPr>
                <w:rFonts w:ascii="宋体" w:hAnsi="宋体" w:cs="宋体" w:eastAsia="宋体" w:hint="default"/>
                <w:sz w:val="18"/>
                <w:szCs w:val="18"/>
              </w:rPr>
              <w:t>公司并购事项的目的及思路 介绍、并购事项的交易概况 及要点介绍、标的公司产品</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both"/>
              <w:rPr>
                <w:rFonts w:ascii="宋体" w:hAnsi="宋体" w:cs="宋体" w:eastAsia="宋体" w:hint="default"/>
                <w:sz w:val="18"/>
                <w:szCs w:val="18"/>
              </w:rPr>
            </w:pPr>
            <w:r>
              <w:rPr>
                <w:rFonts w:ascii="宋体" w:hAnsi="宋体" w:cs="宋体" w:eastAsia="宋体" w:hint="default"/>
                <w:sz w:val="18"/>
                <w:szCs w:val="18"/>
              </w:rPr>
              <w:t>及销售模式情况、公司市场</w:t>
            </w:r>
          </w:p>
          <w:p>
            <w:pPr>
              <w:pStyle w:val="TableParagraph"/>
              <w:spacing w:line="310" w:lineRule="atLeast" w:before="2"/>
              <w:ind w:left="22" w:right="71"/>
              <w:jc w:val="both"/>
              <w:rPr>
                <w:rFonts w:ascii="宋体" w:hAnsi="宋体" w:cs="宋体" w:eastAsia="宋体" w:hint="default"/>
                <w:sz w:val="18"/>
                <w:szCs w:val="18"/>
              </w:rPr>
            </w:pPr>
            <w:r>
              <w:rPr>
                <w:rFonts w:ascii="宋体" w:hAnsi="宋体" w:cs="宋体" w:eastAsia="宋体" w:hint="default"/>
                <w:sz w:val="18"/>
                <w:szCs w:val="18"/>
              </w:rPr>
              <w:t>拓展情况、电磁安防行业未 来发展情况、标的公司的市</w:t>
            </w:r>
          </w:p>
          <w:p>
            <w:pPr>
              <w:pStyle w:val="TableParagraph"/>
              <w:spacing w:line="11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both"/>
              <w:rPr>
                <w:rFonts w:ascii="宋体" w:hAnsi="宋体" w:cs="宋体" w:eastAsia="宋体" w:hint="default"/>
                <w:sz w:val="18"/>
                <w:szCs w:val="18"/>
              </w:rPr>
            </w:pPr>
            <w:r>
              <w:rPr>
                <w:rFonts w:ascii="宋体" w:hAnsi="宋体" w:cs="宋体" w:eastAsia="宋体" w:hint="default"/>
                <w:sz w:val="18"/>
                <w:szCs w:val="18"/>
              </w:rPr>
              <w:t>场竞争情况、公司的发展战</w:t>
            </w:r>
          </w:p>
          <w:p>
            <w:pPr>
              <w:pStyle w:val="TableParagraph"/>
              <w:spacing w:line="319" w:lineRule="auto" w:before="77"/>
              <w:ind w:left="22" w:right="71"/>
              <w:jc w:val="both"/>
              <w:rPr>
                <w:rFonts w:ascii="宋体" w:hAnsi="宋体" w:cs="宋体" w:eastAsia="宋体" w:hint="default"/>
                <w:sz w:val="18"/>
                <w:szCs w:val="18"/>
              </w:rPr>
            </w:pPr>
            <w:r>
              <w:rPr>
                <w:rFonts w:ascii="宋体" w:hAnsi="宋体" w:cs="宋体" w:eastAsia="宋体" w:hint="default"/>
                <w:sz w:val="18"/>
                <w:szCs w:val="18"/>
              </w:rPr>
              <w:t>略情况、公司员工持股计划 的目的</w:t>
            </w:r>
          </w:p>
        </w:tc>
      </w:tr>
      <w:tr>
        <w:trPr>
          <w:trHeight w:val="352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2" w:lineRule="auto"/>
              <w:ind w:left="22" w:right="113"/>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 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证券时报、怀新投 资（证券时报全资 子公司）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发展产业并购战略的依据及 战略目标、增发收购标的公 司的战略意义和协同效应、 公司与标的公司的文化融 合、电磁安防的市场前景以 及标的公司的技术准备、标 的公司的市场竞争情况、公 司的战略发展情况、员工持 股计划的积极影响、公司对 大股东和管理层以及中小股 东的利益兼顾</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113"/>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w:t>
            </w:r>
            <w:r>
              <w:rPr>
                <w:rFonts w:ascii="宋体" w:hAnsi="宋体" w:cs="宋体" w:eastAsia="宋体" w:hint="default"/>
                <w:spacing w:val="1"/>
                <w:sz w:val="18"/>
                <w:szCs w:val="18"/>
              </w:rPr>
              <w:t> </w:t>
            </w:r>
            <w:r>
              <w:rPr>
                <w:rFonts w:ascii="宋体" w:hAnsi="宋体" w:cs="宋体" w:eastAsia="宋体" w:hint="default"/>
                <w:sz w:val="18"/>
                <w:szCs w:val="18"/>
              </w:rPr>
              <w:t>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平安证券、广证恒 生</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电磁安防概况及公司并购思 路、公司的市场拓展战略、 募投项目进展情况、公司产 品研发方向</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宏源证券、长江证 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公司在教育行业的规划和布 局、募投产品推进情况及研 发方向、公司的并购思路</w:t>
            </w:r>
          </w:p>
        </w:tc>
      </w:tr>
      <w:tr>
        <w:trPr>
          <w:trHeight w:val="39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蓝盾股份董事会秘</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信达证券、东海证</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公司并购的行业考量、公司</w:t>
            </w:r>
          </w:p>
        </w:tc>
      </w:tr>
    </w:tbl>
    <w:p>
      <w:pPr>
        <w:spacing w:after="0" w:line="240" w:lineRule="auto"/>
        <w:jc w:val="left"/>
        <w:rPr>
          <w:rFonts w:ascii="宋体" w:hAnsi="宋体" w:cs="宋体" w:eastAsia="宋体" w:hint="default"/>
          <w:sz w:val="18"/>
          <w:szCs w:val="18"/>
        </w:rPr>
        <w:sectPr>
          <w:pgSz w:w="11910" w:h="16840"/>
          <w:pgMar w:header="0" w:footer="979" w:top="106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494"/>
        <w:gridCol w:w="1498"/>
        <w:gridCol w:w="1497"/>
        <w:gridCol w:w="1498"/>
        <w:gridCol w:w="1497"/>
        <w:gridCol w:w="2266"/>
      </w:tblGrid>
      <w:tr>
        <w:trPr>
          <w:trHeight w:val="709"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6" w:right="47" w:hanging="990"/>
              <w:jc w:val="left"/>
              <w:rPr>
                <w:rFonts w:ascii="宋体" w:hAnsi="宋体" w:cs="宋体" w:eastAsia="宋体" w:hint="default"/>
                <w:sz w:val="18"/>
                <w:szCs w:val="18"/>
              </w:rPr>
            </w:pPr>
            <w:r>
              <w:rPr>
                <w:rFonts w:ascii="宋体" w:hAnsi="宋体" w:cs="宋体" w:eastAsia="宋体" w:hint="default"/>
                <w:sz w:val="18"/>
                <w:szCs w:val="18"/>
              </w:rPr>
              <w:t>谈论的主要内容及提供的资 料</w:t>
            </w:r>
          </w:p>
        </w:tc>
      </w:tr>
      <w:tr>
        <w:trPr>
          <w:trHeight w:val="99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书办公室</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券、安信证券、银 泰证券、国投瑞银</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5"/>
              <w:ind w:left="22" w:right="71"/>
              <w:jc w:val="left"/>
              <w:rPr>
                <w:rFonts w:ascii="宋体" w:hAnsi="宋体" w:cs="宋体" w:eastAsia="宋体" w:hint="default"/>
                <w:sz w:val="18"/>
                <w:szCs w:val="18"/>
              </w:rPr>
            </w:pPr>
            <w:r>
              <w:rPr>
                <w:rFonts w:ascii="宋体" w:hAnsi="宋体" w:cs="宋体" w:eastAsia="宋体" w:hint="default"/>
                <w:sz w:val="18"/>
                <w:szCs w:val="18"/>
              </w:rPr>
              <w:t>在移动安全市场的发展情 况、蓝盾学院的战略部署、 员工持股计划的积极影响</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蓝盾股份董事会秘 书办公室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瑞银证券、德盛安 联、毅恒资本、中 国中投证券</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标的公司在通信领域的情 况、标的公司实现盈利承诺 的措施、公司募投项目的情 况、公司的业务经营情况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113"/>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w:t>
            </w:r>
            <w:r>
              <w:rPr>
                <w:rFonts w:ascii="宋体" w:hAnsi="宋体" w:cs="宋体" w:eastAsia="宋体" w:hint="default"/>
                <w:spacing w:val="1"/>
                <w:sz w:val="18"/>
                <w:szCs w:val="18"/>
              </w:rPr>
              <w:t> </w:t>
            </w:r>
            <w:r>
              <w:rPr>
                <w:rFonts w:ascii="宋体" w:hAnsi="宋体" w:cs="宋体" w:eastAsia="宋体" w:hint="default"/>
                <w:sz w:val="18"/>
                <w:szCs w:val="18"/>
              </w:rPr>
              <w:t>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工银瑞信</w:t>
            </w:r>
          </w:p>
        </w:tc>
        <w:tc>
          <w:tcPr>
            <w:tcW w:w="2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公司的异地营销策略、公司 在教育领域的拓展情况、公 司在云计算安全领域的防护 规划、公司并购思路</w:t>
            </w:r>
          </w:p>
        </w:tc>
      </w:tr>
    </w:tbl>
    <w:p>
      <w:pPr>
        <w:spacing w:after="0" w:line="316" w:lineRule="auto"/>
        <w:jc w:val="both"/>
        <w:rPr>
          <w:rFonts w:ascii="宋体" w:hAnsi="宋体" w:cs="宋体" w:eastAsia="宋体" w:hint="default"/>
          <w:sz w:val="18"/>
          <w:szCs w:val="18"/>
        </w:rPr>
        <w:sectPr>
          <w:pgSz w:w="11910" w:h="16840"/>
          <w:pgMar w:header="0" w:footer="979" w:top="106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4070" w:right="4070"/>
        <w:jc w:val="center"/>
        <w:rPr>
          <w:b w:val="0"/>
          <w:bCs w:val="0"/>
        </w:rPr>
      </w:pPr>
      <w:bookmarkStart w:name="第五节 重要事项" w:id="32"/>
      <w:bookmarkEnd w:id="32"/>
      <w:r>
        <w:rPr>
          <w:b w:val="0"/>
          <w:bCs w:val="0"/>
        </w:rPr>
      </w:r>
      <w:bookmarkStart w:name="_bookmark4" w:id="33"/>
      <w:bookmarkEnd w:id="3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473" w:right="0"/>
        <w:jc w:val="left"/>
        <w:rPr>
          <w:b w:val="0"/>
          <w:bCs w:val="0"/>
        </w:rPr>
      </w:pPr>
      <w:bookmarkStart w:name="一、重大诉讼仲裁事项" w:id="34"/>
      <w:bookmarkEnd w:id="34"/>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left="473" w:right="0"/>
        <w:jc w:val="left"/>
      </w:pPr>
      <w:r>
        <w:rPr/>
        <w:t>本年度公司无重大诉讼、仲裁事项。</w:t>
      </w:r>
    </w:p>
    <w:p>
      <w:pPr>
        <w:spacing w:line="240" w:lineRule="auto" w:before="12"/>
        <w:rPr>
          <w:rFonts w:ascii="宋体" w:hAnsi="宋体" w:cs="宋体" w:eastAsia="宋体" w:hint="default"/>
          <w:sz w:val="23"/>
          <w:szCs w:val="23"/>
        </w:rPr>
      </w:pPr>
    </w:p>
    <w:p>
      <w:pPr>
        <w:pStyle w:val="Heading2"/>
        <w:spacing w:line="240" w:lineRule="auto" w:before="0"/>
        <w:ind w:left="473" w:right="0"/>
        <w:jc w:val="left"/>
        <w:rPr>
          <w:b w:val="0"/>
          <w:bCs w:val="0"/>
        </w:rPr>
      </w:pPr>
      <w:bookmarkStart w:name="二、上市公司发生控股股东及其关联方非经营性占用资金情况" w:id="35"/>
      <w:bookmarkEnd w:id="35"/>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473" w:right="0"/>
        <w:jc w:val="left"/>
      </w:pPr>
      <w:r>
        <w:rPr/>
        <w:t>公司报告期不存在上市公司发生控股股东及其关联方非经营性占用资金情况。</w:t>
      </w:r>
    </w:p>
    <w:p>
      <w:pPr>
        <w:spacing w:line="240" w:lineRule="auto" w:before="12"/>
        <w:rPr>
          <w:rFonts w:ascii="宋体" w:hAnsi="宋体" w:cs="宋体" w:eastAsia="宋体" w:hint="default"/>
          <w:sz w:val="23"/>
          <w:szCs w:val="23"/>
        </w:rPr>
      </w:pPr>
    </w:p>
    <w:p>
      <w:pPr>
        <w:pStyle w:val="Heading2"/>
        <w:spacing w:line="240" w:lineRule="auto" w:before="0"/>
        <w:ind w:left="473" w:right="0"/>
        <w:jc w:val="left"/>
        <w:rPr>
          <w:b w:val="0"/>
          <w:bCs w:val="0"/>
        </w:rPr>
      </w:pPr>
      <w:bookmarkStart w:name="三、破产重整相关事项" w:id="36"/>
      <w:bookmarkEnd w:id="36"/>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473" w:right="0"/>
        <w:jc w:val="left"/>
      </w:pPr>
      <w:r>
        <w:rPr/>
        <w:t>公司报告期未发生破产重整相关事项。</w:t>
      </w:r>
    </w:p>
    <w:p>
      <w:pPr>
        <w:spacing w:line="240" w:lineRule="auto" w:before="0"/>
        <w:rPr>
          <w:rFonts w:ascii="宋体" w:hAnsi="宋体" w:cs="宋体" w:eastAsia="宋体" w:hint="default"/>
          <w:sz w:val="24"/>
          <w:szCs w:val="24"/>
        </w:rPr>
      </w:pPr>
    </w:p>
    <w:p>
      <w:pPr>
        <w:pStyle w:val="Heading2"/>
        <w:spacing w:line="240" w:lineRule="auto" w:before="0"/>
        <w:ind w:left="473" w:right="0"/>
        <w:jc w:val="left"/>
        <w:rPr>
          <w:b w:val="0"/>
          <w:bCs w:val="0"/>
        </w:rPr>
      </w:pPr>
      <w:bookmarkStart w:name="四、资产交易事项" w:id="37"/>
      <w:bookmarkEnd w:id="37"/>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0"/>
        <w:jc w:val="left"/>
        <w:rPr>
          <w:b w:val="0"/>
          <w:bCs w:val="0"/>
        </w:rPr>
      </w:pPr>
      <w:bookmarkStart w:name="1、收购资产情况" w:id="38"/>
      <w:bookmarkEnd w:id="38"/>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before="0"/>
        <w:ind w:left="4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418"/>
        <w:gridCol w:w="870"/>
        <w:gridCol w:w="870"/>
        <w:gridCol w:w="1096"/>
        <w:gridCol w:w="870"/>
        <w:gridCol w:w="869"/>
        <w:gridCol w:w="870"/>
        <w:gridCol w:w="870"/>
        <w:gridCol w:w="870"/>
        <w:gridCol w:w="870"/>
        <w:gridCol w:w="870"/>
      </w:tblGrid>
      <w:tr>
        <w:trPr>
          <w:trHeight w:val="19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33" w:right="72" w:hanging="360"/>
              <w:jc w:val="left"/>
              <w:rPr>
                <w:rFonts w:ascii="宋体" w:hAnsi="宋体" w:cs="宋体" w:eastAsia="宋体" w:hint="default"/>
                <w:sz w:val="18"/>
                <w:szCs w:val="18"/>
              </w:rPr>
            </w:pPr>
            <w:r>
              <w:rPr>
                <w:rFonts w:ascii="宋体" w:hAnsi="宋体" w:cs="宋体" w:eastAsia="宋体" w:hint="default"/>
                <w:sz w:val="18"/>
                <w:szCs w:val="18"/>
              </w:rPr>
              <w:t>交易对方或最终 控制方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7"/>
                <w:sz w:val="18"/>
                <w:szCs w:val="18"/>
              </w:rPr>
              <w:t>进展情况（注</w:t>
            </w:r>
          </w:p>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9"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1" w:right="21" w:hanging="29"/>
              <w:jc w:val="both"/>
              <w:rPr>
                <w:rFonts w:ascii="宋体" w:hAnsi="宋体" w:cs="宋体" w:eastAsia="宋体" w:hint="default"/>
                <w:sz w:val="18"/>
                <w:szCs w:val="18"/>
              </w:rPr>
            </w:pPr>
            <w:r>
              <w:rPr>
                <w:rFonts w:ascii="宋体" w:hAnsi="宋体" w:cs="宋体" w:eastAsia="宋体" w:hint="default"/>
                <w:spacing w:val="-10"/>
                <w:sz w:val="18"/>
                <w:szCs w:val="18"/>
              </w:rPr>
              <w:t>张远鹏、史利民等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位自然人以及 新疆阳信盈昇股 权投资合伙企业</w:t>
            </w:r>
          </w:p>
          <w:p>
            <w:pPr>
              <w:pStyle w:val="TableParagraph"/>
              <w:spacing w:line="240" w:lineRule="auto" w:before="22"/>
              <w:ind w:left="22"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（有限合伙）等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家公司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0" w:right="37" w:firstLine="30"/>
              <w:jc w:val="both"/>
              <w:rPr>
                <w:rFonts w:ascii="宋体" w:hAnsi="宋体" w:cs="宋体" w:eastAsia="宋体" w:hint="default"/>
                <w:sz w:val="18"/>
                <w:szCs w:val="18"/>
              </w:rPr>
            </w:pPr>
            <w:r>
              <w:rPr>
                <w:rFonts w:ascii="宋体" w:hAnsi="宋体" w:cs="宋体" w:eastAsia="宋体" w:hint="default"/>
                <w:sz w:val="18"/>
                <w:szCs w:val="18"/>
              </w:rPr>
              <w:t>广州华炜 科技股份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39,000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9" w:lineRule="auto" w:before="63"/>
              <w:ind w:left="23" w:right="21"/>
              <w:jc w:val="center"/>
              <w:rPr>
                <w:rFonts w:ascii="宋体" w:hAnsi="宋体" w:cs="宋体" w:eastAsia="宋体" w:hint="default"/>
                <w:sz w:val="18"/>
                <w:szCs w:val="18"/>
              </w:rPr>
            </w:pPr>
            <w:r>
              <w:rPr>
                <w:rFonts w:ascii="宋体" w:hAnsi="宋体" w:cs="宋体" w:eastAsia="宋体" w:hint="default"/>
                <w:sz w:val="18"/>
                <w:szCs w:val="18"/>
              </w:rPr>
              <w:t>标的资产已 完成过户手 续及工商变 </w:t>
            </w:r>
            <w:r>
              <w:rPr>
                <w:rFonts w:ascii="宋体" w:hAnsi="宋体" w:cs="宋体" w:eastAsia="宋体" w:hint="default"/>
                <w:spacing w:val="-7"/>
                <w:sz w:val="18"/>
                <w:szCs w:val="18"/>
              </w:rPr>
              <w:t>更手续，成为</w:t>
            </w:r>
            <w:r>
              <w:rPr>
                <w:rFonts w:ascii="宋体" w:hAnsi="宋体" w:cs="宋体" w:eastAsia="宋体" w:hint="default"/>
                <w:sz w:val="18"/>
                <w:szCs w:val="18"/>
              </w:rPr>
              <w:t> 本公司的全 资子公司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firstLine="46"/>
              <w:jc w:val="both"/>
              <w:rPr>
                <w:rFonts w:ascii="宋体" w:hAnsi="宋体" w:cs="宋体" w:eastAsia="宋体" w:hint="default"/>
                <w:sz w:val="18"/>
                <w:szCs w:val="18"/>
              </w:rPr>
            </w:pPr>
            <w:r>
              <w:rPr>
                <w:rFonts w:ascii="宋体" w:hAnsi="宋体" w:cs="宋体" w:eastAsia="宋体" w:hint="default"/>
                <w:sz w:val="18"/>
                <w:szCs w:val="18"/>
              </w:rPr>
              <w:t>收购事项 不影响公 司业务连 </w:t>
            </w:r>
            <w:r>
              <w:rPr>
                <w:rFonts w:ascii="宋体" w:hAnsi="宋体" w:cs="宋体" w:eastAsia="宋体" w:hint="default"/>
                <w:spacing w:val="-18"/>
                <w:sz w:val="18"/>
                <w:szCs w:val="18"/>
              </w:rPr>
              <w:t>续性、管理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层稳定性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hyperlink r:id="rId17">
              <w:r>
                <w:rPr>
                  <w:rFonts w:ascii="Times New Roman"/>
                  <w:sz w:val="18"/>
                </w:rPr>
                <w:t>http://www</w:t>
              </w:r>
            </w:hyperlink>
          </w:p>
          <w:p>
            <w:pPr>
              <w:pStyle w:val="TableParagraph"/>
              <w:spacing w:line="362" w:lineRule="auto" w:before="105"/>
              <w:ind w:left="252" w:right="68" w:hanging="183"/>
              <w:jc w:val="left"/>
              <w:rPr>
                <w:rFonts w:ascii="Times New Roman" w:hAnsi="Times New Roman" w:cs="Times New Roman" w:eastAsia="Times New Roman" w:hint="default"/>
                <w:sz w:val="18"/>
                <w:szCs w:val="18"/>
              </w:rPr>
            </w:pPr>
            <w:r>
              <w:rPr>
                <w:rFonts w:ascii="Times New Roman"/>
                <w:sz w:val="18"/>
              </w:rPr>
              <w:t>.cninfo.co m.cn</w:t>
            </w:r>
          </w:p>
        </w:tc>
      </w:tr>
    </w:tbl>
    <w:p>
      <w:pPr>
        <w:pStyle w:val="BodyText"/>
        <w:spacing w:line="240" w:lineRule="auto" w:before="26"/>
        <w:ind w:left="474" w:right="0"/>
        <w:jc w:val="left"/>
      </w:pPr>
      <w:r>
        <w:rPr/>
        <w:t>收购资产情况说明</w:t>
      </w:r>
    </w:p>
    <w:p>
      <w:pPr>
        <w:pStyle w:val="BodyText"/>
        <w:spacing w:line="240" w:lineRule="auto" w:before="76"/>
        <w:ind w:left="89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日，公司第二届董事会第二十二次会议及公司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年第五次临时股东大会审议通过</w:t>
      </w:r>
    </w:p>
    <w:p>
      <w:pPr>
        <w:pStyle w:val="BodyText"/>
        <w:spacing w:line="273" w:lineRule="auto" w:before="21"/>
        <w:ind w:left="473" w:right="540"/>
        <w:jc w:val="left"/>
      </w:pPr>
      <w:r>
        <w:rPr>
          <w:spacing w:val="-3"/>
        </w:rPr>
        <w:t>《关于公司发行股份及支付现金购买资产并募集配套资金暨关联交易方案的议案》。公司以发行股份和支</w:t>
      </w:r>
      <w:r>
        <w:rPr>
          <w:spacing w:val="-73"/>
        </w:rPr>
        <w:t> </w:t>
      </w:r>
      <w:r>
        <w:rPr>
          <w:spacing w:val="-73"/>
        </w:rPr>
      </w:r>
      <w:r>
        <w:rPr/>
        <w:t>付现金的方式向张远鹏、史利民等</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名交易对方购买其持有的广州华炜科技股份有限公司（目前名称已</w:t>
      </w:r>
    </w:p>
    <w:p>
      <w:pPr>
        <w:pStyle w:val="BodyText"/>
        <w:spacing w:line="290" w:lineRule="exact"/>
        <w:ind w:left="474" w:right="0"/>
        <w:jc w:val="left"/>
      </w:pPr>
      <w:r>
        <w:rPr>
          <w:spacing w:val="-5"/>
        </w:rPr>
        <w:t>变更为</w:t>
      </w:r>
      <w:r>
        <w:rPr>
          <w:rFonts w:ascii="Calibri" w:hAnsi="Calibri" w:cs="Calibri" w:eastAsia="Calibri" w:hint="default"/>
          <w:spacing w:val="-5"/>
        </w:rPr>
        <w:t>“</w:t>
      </w:r>
      <w:r>
        <w:rPr>
          <w:spacing w:val="-5"/>
        </w:rPr>
        <w:t>广州华炜科技有限公司</w:t>
      </w:r>
      <w:r>
        <w:rPr>
          <w:rFonts w:ascii="Calibri" w:hAnsi="Calibri" w:cs="Calibri" w:eastAsia="Calibri" w:hint="default"/>
          <w:spacing w:val="-5"/>
        </w:rPr>
        <w:t>”</w:t>
      </w:r>
      <w:r>
        <w:rPr>
          <w:spacing w:val="-5"/>
        </w:rPr>
        <w:t>，以下简称</w:t>
      </w:r>
      <w:r>
        <w:rPr>
          <w:rFonts w:ascii="Calibri" w:hAnsi="Calibri" w:cs="Calibri" w:eastAsia="Calibri" w:hint="default"/>
          <w:spacing w:val="-5"/>
        </w:rPr>
        <w:t>“</w:t>
      </w:r>
      <w:r>
        <w:rPr>
          <w:spacing w:val="-5"/>
        </w:rPr>
        <w:t>华炜科技</w:t>
      </w:r>
      <w:r>
        <w:rPr>
          <w:rFonts w:ascii="Calibri" w:hAnsi="Calibri" w:cs="Calibri" w:eastAsia="Calibri" w:hint="default"/>
          <w:spacing w:val="-5"/>
        </w:rPr>
        <w:t>”</w:t>
      </w:r>
      <w:r>
        <w:rPr>
          <w:spacing w:val="-5"/>
        </w:rPr>
        <w:t>）</w:t>
      </w:r>
      <w:r>
        <w:rPr>
          <w:rFonts w:ascii="Times New Roman" w:hAnsi="Times New Roman" w:cs="Times New Roman" w:eastAsia="Times New Roman" w:hint="default"/>
          <w:spacing w:val="-5"/>
        </w:rPr>
        <w:t>100%</w:t>
      </w:r>
      <w:r>
        <w:rPr>
          <w:spacing w:val="-5"/>
        </w:rPr>
        <w:t>的股份。标的资产的交易价格为 </w:t>
      </w:r>
      <w:r>
        <w:rPr>
          <w:rFonts w:ascii="Times New Roman" w:hAnsi="Times New Roman" w:cs="Times New Roman" w:eastAsia="Times New Roman" w:hint="default"/>
        </w:rPr>
        <w:t>39,000.00</w:t>
      </w:r>
      <w:r>
        <w:rPr>
          <w:rFonts w:ascii="Times New Roman" w:hAnsi="Times New Roman" w:cs="Times New Roman" w:eastAsia="Times New Roman" w:hint="default"/>
          <w:spacing w:val="42"/>
        </w:rPr>
        <w:t> </w:t>
      </w:r>
      <w:r>
        <w:rPr/>
        <w:t>万</w:t>
      </w:r>
    </w:p>
    <w:p>
      <w:pPr>
        <w:pStyle w:val="BodyText"/>
        <w:spacing w:line="240" w:lineRule="auto" w:before="10"/>
        <w:ind w:left="473" w:right="0"/>
        <w:jc w:val="left"/>
      </w:pPr>
      <w:r>
        <w:rPr/>
        <w:t>元，其中以现金方式支付交易对价</w:t>
      </w:r>
      <w:r>
        <w:rPr>
          <w:spacing w:val="-60"/>
        </w:rPr>
        <w:t> </w:t>
      </w:r>
      <w:r>
        <w:rPr>
          <w:rFonts w:ascii="Times New Roman" w:hAnsi="Times New Roman" w:cs="Times New Roman" w:eastAsia="Times New Roman" w:hint="default"/>
        </w:rPr>
        <w:t>7,800.00</w:t>
      </w:r>
      <w:r>
        <w:rPr>
          <w:rFonts w:ascii="Times New Roman" w:hAnsi="Times New Roman" w:cs="Times New Roman" w:eastAsia="Times New Roman" w:hint="default"/>
          <w:spacing w:val="-7"/>
        </w:rPr>
        <w:t> </w:t>
      </w:r>
      <w:r>
        <w:rPr/>
        <w:t>万元，发行</w:t>
      </w:r>
      <w:r>
        <w:rPr>
          <w:spacing w:val="-61"/>
        </w:rPr>
        <w:t> </w:t>
      </w:r>
      <w:r>
        <w:rPr>
          <w:rFonts w:ascii="Times New Roman" w:hAnsi="Times New Roman" w:cs="Times New Roman" w:eastAsia="Times New Roman" w:hint="default"/>
        </w:rPr>
        <w:t>17,371,930</w:t>
      </w:r>
      <w:r>
        <w:rPr>
          <w:rFonts w:ascii="Times New Roman" w:hAnsi="Times New Roman" w:cs="Times New Roman" w:eastAsia="Times New Roman" w:hint="default"/>
          <w:spacing w:val="-7"/>
        </w:rPr>
        <w:t> </w:t>
      </w:r>
      <w:r>
        <w:rPr/>
        <w:t>股股份方式支付剩余交易对价。本次交</w:t>
      </w:r>
    </w:p>
    <w:p>
      <w:pPr>
        <w:spacing w:after="0" w:line="240" w:lineRule="auto"/>
        <w:jc w:val="left"/>
        <w:sectPr>
          <w:pgSz w:w="11910" w:h="16840"/>
          <w:pgMar w:header="0" w:footer="979" w:top="1060" w:bottom="1160" w:left="660" w:right="66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易已于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9 </w:t>
      </w:r>
      <w:r>
        <w:rPr>
          <w:spacing w:val="-2"/>
        </w:rPr>
        <w:t>日</w:t>
      </w:r>
      <w:r>
        <w:rPr/>
        <w:t>获得中国证券监督管理委员</w:t>
      </w:r>
      <w:r>
        <w:rPr>
          <w:spacing w:val="-7"/>
        </w:rPr>
        <w:t>会</w:t>
      </w:r>
      <w:r>
        <w:rPr/>
        <w:t>（以下简</w:t>
      </w:r>
      <w:r>
        <w:rPr>
          <w:spacing w:val="-7"/>
        </w:rPr>
        <w:t>称</w:t>
      </w:r>
      <w:r>
        <w:rPr/>
        <w:t>“中国证监会</w:t>
      </w:r>
      <w:r>
        <w:rPr>
          <w:spacing w:val="-105"/>
        </w:rPr>
        <w:t>”</w:t>
      </w:r>
      <w:r>
        <w:rPr>
          <w:spacing w:val="-7"/>
        </w:rPr>
        <w:t>）</w:t>
      </w:r>
      <w:r>
        <w:rPr/>
        <w:t>的核准批复</w:t>
      </w:r>
      <w:r>
        <w:rPr>
          <w:spacing w:val="-7"/>
        </w:rPr>
        <w:t>，</w:t>
      </w:r>
      <w:r>
        <w:rPr/>
        <w:t>详见</w:t>
      </w:r>
      <w:r>
        <w:rPr>
          <w:spacing w:val="1"/>
        </w:rPr>
        <w:t>公</w:t>
      </w:r>
      <w:r>
        <w:rPr/>
        <w:t>司</w:t>
      </w:r>
    </w:p>
    <w:p>
      <w:pPr>
        <w:pStyle w:val="BodyText"/>
        <w:spacing w:line="264" w:lineRule="auto" w:before="21"/>
        <w:ind w:right="151"/>
        <w:jc w:val="both"/>
      </w:pPr>
      <w:r>
        <w:rPr/>
        <w:t>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日披露在巨潮资讯网的相关公告。截至目前，华炜科技已办理资产过户、更名和工商变 </w:t>
      </w:r>
      <w:r>
        <w:rPr>
          <w:spacing w:val="-1"/>
        </w:rPr>
        <w:t>更登记手续，大华会计师事务所（特殊普通合伙）出具“大华验字</w:t>
      </w:r>
      <w:r>
        <w:rPr>
          <w:rFonts w:ascii="Times New Roman" w:hAnsi="Times New Roman" w:cs="Times New Roman" w:eastAsia="Times New Roman" w:hint="default"/>
          <w:spacing w:val="-1"/>
        </w:rPr>
        <w:t>[2015]000201</w:t>
      </w:r>
      <w:r>
        <w:rPr>
          <w:rFonts w:ascii="Times New Roman" w:hAnsi="Times New Roman" w:cs="Times New Roman" w:eastAsia="Times New Roman" w:hint="default"/>
          <w:spacing w:val="30"/>
        </w:rPr>
        <w:t> </w:t>
      </w:r>
      <w:r>
        <w:rPr>
          <w:spacing w:val="-18"/>
        </w:rPr>
        <w:t>号”《验资报告》，对本次</w:t>
      </w:r>
      <w:r>
        <w:rPr>
          <w:spacing w:val="-98"/>
        </w:rPr>
        <w:t> </w:t>
      </w:r>
      <w:r>
        <w:rPr>
          <w:spacing w:val="-98"/>
        </w:rPr>
      </w:r>
      <w:r>
        <w:rPr>
          <w:spacing w:val="-1"/>
        </w:rPr>
        <w:t>交易新增注册资本等情况进行了验证。公司尚需就本次重组涉及之新增股份上市事宜获得深交所批准及就</w:t>
      </w:r>
      <w:r>
        <w:rPr>
          <w:spacing w:val="-81"/>
        </w:rPr>
        <w:t> </w:t>
      </w:r>
      <w:r>
        <w:rPr>
          <w:spacing w:val="-81"/>
        </w:rPr>
      </w:r>
      <w:r>
        <w:rPr/>
        <w:t>本次重组增加注册资本和实收资本及相应修改章程等事宜办理工商变更登记手续。</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2、出售资产情况" w:id="39"/>
      <w:bookmarkEnd w:id="39"/>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公司报告期未出售资产。</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企业合并情况" w:id="40"/>
      <w:bookmarkEnd w:id="40"/>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公司报告期未发生企业合并情况。</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4、自资产重组报告书或收购出售资产公告刊登后，该事项的进展情况及对报告期经营成果" w:id="41"/>
      <w:bookmarkEnd w:id="41"/>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8"/>
        </w:rPr>
        <w:t> </w:t>
      </w:r>
      <w:r>
        <w:rPr>
          <w:spacing w:val="-68"/>
        </w:rPr>
      </w:r>
      <w:r>
        <w:rPr/>
        <w:t>影响</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1" w:lineRule="auto" w:before="133"/>
        <w:ind w:left="573" w:right="5153"/>
        <w:jc w:val="left"/>
      </w:pPr>
      <w:r>
        <w:rPr/>
        <w:t>详见本节</w:t>
      </w:r>
      <w:r>
        <w:rPr>
          <w:spacing w:val="-53"/>
        </w:rPr>
        <w:t> </w:t>
      </w:r>
      <w:r>
        <w:rPr>
          <w:rFonts w:ascii="Times New Roman" w:hAnsi="Times New Roman" w:cs="Times New Roman" w:eastAsia="Times New Roman" w:hint="default"/>
        </w:rPr>
        <w:t>1</w:t>
      </w:r>
      <w:r>
        <w:rPr/>
        <w:t>、收购资产情况。 本次交易不影响报告期经营成果及财务状况。</w:t>
      </w:r>
    </w:p>
    <w:p>
      <w:pPr>
        <w:spacing w:line="240" w:lineRule="auto" w:before="2"/>
        <w:rPr>
          <w:rFonts w:ascii="宋体" w:hAnsi="宋体" w:cs="宋体" w:eastAsia="宋体" w:hint="default"/>
          <w:sz w:val="17"/>
          <w:szCs w:val="17"/>
        </w:rPr>
      </w:pPr>
    </w:p>
    <w:p>
      <w:pPr>
        <w:pStyle w:val="Heading2"/>
        <w:spacing w:line="240" w:lineRule="auto" w:before="0"/>
        <w:ind w:left="154" w:right="0"/>
        <w:jc w:val="left"/>
        <w:rPr>
          <w:b w:val="0"/>
          <w:bCs w:val="0"/>
        </w:rPr>
      </w:pPr>
      <w:bookmarkStart w:name="五、公司股权激励的实施情况及其影响" w:id="42"/>
      <w:bookmarkEnd w:id="42"/>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01" w:lineRule="auto" w:before="77"/>
        <w:ind w:left="154" w:right="5362" w:firstLine="0"/>
        <w:jc w:val="left"/>
        <w:rPr>
          <w:rFonts w:ascii="宋体" w:hAnsi="宋体" w:cs="宋体" w:eastAsia="宋体" w:hint="default"/>
          <w:sz w:val="21"/>
          <w:szCs w:val="21"/>
        </w:rPr>
      </w:pPr>
      <w:r>
        <w:rPr>
          <w:rFonts w:ascii="宋体" w:hAnsi="宋体" w:cs="宋体" w:eastAsia="宋体" w:hint="default"/>
          <w:sz w:val="21"/>
          <w:szCs w:val="21"/>
        </w:rPr>
        <w:t>公司报告期无股权激励计划及其实施情况。 </w:t>
      </w:r>
      <w:bookmarkStart w:name="六、重大关联交易" w:id="43"/>
      <w:bookmarkEnd w:id="43"/>
      <w:r>
        <w:rPr>
          <w:rFonts w:ascii="宋体" w:hAnsi="宋体" w:cs="宋体" w:eastAsia="宋体" w:hint="default"/>
          <w:sz w:val="21"/>
          <w:szCs w:val="21"/>
        </w:rPr>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bookmarkStart w:name="1、与日常经营相关的关联交易" w:id="44"/>
      <w:bookmarkEnd w:id="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99"/>
          <w:sz w:val="21"/>
          <w:szCs w:val="21"/>
        </w:rPr>
        <w:t> </w:t>
      </w:r>
      <w:r>
        <w:rPr>
          <w:rFonts w:ascii="宋体" w:hAnsi="宋体" w:cs="宋体" w:eastAsia="宋体" w:hint="default"/>
          <w:sz w:val="21"/>
          <w:szCs w:val="21"/>
        </w:rPr>
        <w:t>公司报告期未发生与日常经营相关的关联交易。</w:t>
      </w:r>
    </w:p>
    <w:p>
      <w:pPr>
        <w:spacing w:line="516" w:lineRule="auto" w:before="108"/>
        <w:ind w:left="154" w:right="5152" w:firstLine="0"/>
        <w:jc w:val="left"/>
        <w:rPr>
          <w:rFonts w:ascii="宋体" w:hAnsi="宋体" w:cs="宋体" w:eastAsia="宋体" w:hint="default"/>
          <w:sz w:val="21"/>
          <w:szCs w:val="21"/>
        </w:rPr>
      </w:pPr>
      <w:bookmarkStart w:name="2、资产收购、出售发生的关联交易" w:id="45"/>
      <w:bookmarkEnd w:id="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t>公司报告期未发生资产收购、出售的关联交易。 </w:t>
      </w:r>
      <w:bookmarkStart w:name="3、共同对外投资的重大关联交易" w:id="46"/>
      <w:bookmarkEnd w:id="46"/>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b/>
          <w:bCs/>
          <w:w w:val="99"/>
          <w:sz w:val="21"/>
          <w:szCs w:val="21"/>
        </w:rPr>
        <w:t> </w:t>
      </w:r>
      <w:r>
        <w:rPr>
          <w:rFonts w:ascii="宋体" w:hAnsi="宋体" w:cs="宋体" w:eastAsia="宋体" w:hint="default"/>
          <w:sz w:val="21"/>
          <w:szCs w:val="21"/>
        </w:rPr>
        <w:t>公司报告期未发生共同对外投资的重大关联交易。</w:t>
      </w:r>
    </w:p>
    <w:p>
      <w:pPr>
        <w:spacing w:after="0" w:line="516" w:lineRule="auto"/>
        <w:jc w:val="left"/>
        <w:rPr>
          <w:rFonts w:ascii="宋体" w:hAnsi="宋体" w:cs="宋体" w:eastAsia="宋体" w:hint="default"/>
          <w:sz w:val="21"/>
          <w:szCs w:val="21"/>
        </w:rPr>
        <w:sectPr>
          <w:pgSz w:w="11910" w:h="16840"/>
          <w:pgMar w:header="0" w:footer="979" w:top="1060" w:bottom="1160" w:left="980" w:right="980"/>
        </w:sectPr>
      </w:pPr>
    </w:p>
    <w:p>
      <w:pPr>
        <w:spacing w:line="240" w:lineRule="auto" w:before="9"/>
        <w:rPr>
          <w:rFonts w:ascii="宋体" w:hAnsi="宋体" w:cs="宋体" w:eastAsia="宋体" w:hint="default"/>
          <w:sz w:val="24"/>
          <w:szCs w:val="24"/>
        </w:rPr>
      </w:pPr>
    </w:p>
    <w:p>
      <w:pPr>
        <w:spacing w:line="516" w:lineRule="auto" w:before="35"/>
        <w:ind w:left="153" w:right="6203" w:firstLine="0"/>
        <w:jc w:val="left"/>
        <w:rPr>
          <w:rFonts w:ascii="宋体" w:hAnsi="宋体" w:cs="宋体" w:eastAsia="宋体" w:hint="default"/>
          <w:sz w:val="24"/>
          <w:szCs w:val="24"/>
        </w:rPr>
      </w:pPr>
      <w:bookmarkStart w:name="4、关联债权债务往来" w:id="47"/>
      <w:bookmarkEnd w:id="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公司报告期不存在关联债权债务往来。 </w:t>
      </w:r>
      <w:bookmarkStart w:name="5、其他重大关联交易" w:id="48"/>
      <w:bookmarkEnd w:id="48"/>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99"/>
          <w:sz w:val="21"/>
          <w:szCs w:val="21"/>
        </w:rPr>
        <w:t> </w:t>
      </w:r>
      <w:r>
        <w:rPr>
          <w:rFonts w:ascii="宋体" w:hAnsi="宋体" w:cs="宋体" w:eastAsia="宋体" w:hint="default"/>
          <w:sz w:val="21"/>
          <w:szCs w:val="21"/>
        </w:rPr>
        <w:t>公司报告期无其他重大关联交易。 </w:t>
      </w:r>
      <w:bookmarkStart w:name="七、重大合同及其履行情况" w:id="49"/>
      <w:bookmarkEnd w:id="49"/>
      <w:r>
        <w:rPr>
          <w:rFonts w:ascii="宋体" w:hAnsi="宋体" w:cs="宋体" w:eastAsia="宋体" w:hint="default"/>
          <w:sz w:val="21"/>
          <w:szCs w:val="21"/>
        </w:rPr>
      </w:r>
      <w:r>
        <w:rPr>
          <w:rFonts w:ascii="宋体" w:hAnsi="宋体" w:cs="宋体" w:eastAsia="宋体" w:hint="default"/>
          <w:b/>
          <w:bCs/>
          <w:sz w:val="24"/>
          <w:szCs w:val="24"/>
        </w:rPr>
        <w:t>七、重大合同及其履行情况</w:t>
      </w:r>
      <w:r>
        <w:rPr>
          <w:rFonts w:ascii="宋体" w:hAnsi="宋体" w:cs="宋体" w:eastAsia="宋体" w:hint="default"/>
          <w:sz w:val="24"/>
          <w:szCs w:val="24"/>
        </w:rPr>
      </w:r>
    </w:p>
    <w:p>
      <w:pPr>
        <w:pStyle w:val="Heading3"/>
        <w:spacing w:line="240" w:lineRule="auto" w:before="47"/>
        <w:ind w:left="153" w:right="0"/>
        <w:jc w:val="left"/>
        <w:rPr>
          <w:b w:val="0"/>
          <w:bCs w:val="0"/>
        </w:rPr>
      </w:pPr>
      <w:bookmarkStart w:name="1、托管、承包、租赁事项情况" w:id="50"/>
      <w:bookmarkEnd w:id="5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spacing w:line="506" w:lineRule="auto" w:before="0"/>
        <w:ind w:left="153" w:right="7043" w:firstLine="0"/>
        <w:jc w:val="left"/>
        <w:rPr>
          <w:rFonts w:ascii="宋体" w:hAnsi="宋体" w:cs="宋体" w:eastAsia="宋体" w:hint="default"/>
          <w:sz w:val="21"/>
          <w:szCs w:val="21"/>
        </w:rPr>
      </w:pPr>
      <w:bookmarkStart w:name="（1）托管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公司报告期不存在托管情况。</w:t>
      </w:r>
    </w:p>
    <w:p>
      <w:pPr>
        <w:spacing w:line="506" w:lineRule="auto" w:before="104"/>
        <w:ind w:left="153" w:right="7043" w:firstLine="0"/>
        <w:jc w:val="left"/>
        <w:rPr>
          <w:rFonts w:ascii="宋体" w:hAnsi="宋体" w:cs="宋体" w:eastAsia="宋体" w:hint="default"/>
          <w:sz w:val="21"/>
          <w:szCs w:val="21"/>
        </w:rPr>
      </w:pPr>
      <w:bookmarkStart w:name="（2）承包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公司报告期不存在承包情况。</w:t>
      </w:r>
    </w:p>
    <w:p>
      <w:pPr>
        <w:spacing w:line="520" w:lineRule="auto" w:before="104"/>
        <w:ind w:left="153" w:right="7043" w:firstLine="0"/>
        <w:jc w:val="left"/>
        <w:rPr>
          <w:rFonts w:ascii="宋体" w:hAnsi="宋体" w:cs="宋体" w:eastAsia="宋体" w:hint="default"/>
          <w:sz w:val="21"/>
          <w:szCs w:val="21"/>
        </w:rPr>
      </w:pPr>
      <w:bookmarkStart w:name="（3）租赁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公司报告期不存在租赁情况。 </w:t>
      </w:r>
      <w:bookmarkStart w:name="2、担保情况" w:id="54"/>
      <w:bookmarkEnd w:id="54"/>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before="7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2"/>
        <w:gridCol w:w="952"/>
        <w:gridCol w:w="948"/>
        <w:gridCol w:w="1229"/>
        <w:gridCol w:w="1195"/>
        <w:gridCol w:w="1110"/>
        <w:gridCol w:w="1029"/>
        <w:gridCol w:w="815"/>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8" w:right="11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蓝盾信息安全技术 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6,000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5,000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715" w:hRule="exact"/>
        </w:trPr>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58"/>
        <w:gridCol w:w="2204"/>
        <w:gridCol w:w="2283"/>
        <w:gridCol w:w="2517"/>
      </w:tblGrid>
      <w:tr>
        <w:trPr>
          <w:trHeight w:val="397"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 w:right="9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47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bl>
    <w:p>
      <w:pPr>
        <w:pStyle w:val="BodyText"/>
        <w:spacing w:line="240" w:lineRule="auto" w:before="26"/>
        <w:ind w:left="154" w:right="0"/>
        <w:jc w:val="left"/>
      </w:pPr>
      <w:r>
        <w:rPr/>
        <w:t>采用复合方式担保的具体情况说明：不适用</w:t>
      </w:r>
    </w:p>
    <w:p>
      <w:pPr>
        <w:spacing w:line="240" w:lineRule="auto" w:before="10"/>
        <w:rPr>
          <w:rFonts w:ascii="宋体" w:hAnsi="宋体" w:cs="宋体" w:eastAsia="宋体" w:hint="default"/>
          <w:sz w:val="25"/>
          <w:szCs w:val="25"/>
        </w:rPr>
      </w:pPr>
    </w:p>
    <w:p>
      <w:pPr>
        <w:spacing w:line="520" w:lineRule="auto" w:before="0"/>
        <w:ind w:left="154" w:right="5872" w:firstLine="0"/>
        <w:jc w:val="left"/>
        <w:rPr>
          <w:rFonts w:ascii="宋体" w:hAnsi="宋体" w:cs="宋体" w:eastAsia="宋体" w:hint="default"/>
          <w:sz w:val="21"/>
          <w:szCs w:val="21"/>
        </w:rPr>
      </w:pPr>
      <w:bookmarkStart w:name="（1）违规对外担保情况" w:id="55"/>
      <w:bookmarkEnd w:id="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b/>
          <w:bCs/>
          <w:w w:val="99"/>
          <w:sz w:val="21"/>
          <w:szCs w:val="21"/>
        </w:rPr>
        <w:t> </w:t>
      </w:r>
      <w:r>
        <w:rPr>
          <w:rFonts w:ascii="宋体" w:hAnsi="宋体" w:cs="宋体" w:eastAsia="宋体" w:hint="default"/>
          <w:sz w:val="21"/>
          <w:szCs w:val="21"/>
        </w:rPr>
        <w:t>公司报告期无违规对外担保情况。 </w:t>
      </w:r>
      <w:bookmarkStart w:name="3、委托理财、衍生品投资和委托贷款情况" w:id="56"/>
      <w:bookmarkEnd w:id="56"/>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506" w:lineRule="auto" w:before="51"/>
        <w:ind w:left="154" w:right="7042" w:firstLine="0"/>
        <w:jc w:val="left"/>
        <w:rPr>
          <w:rFonts w:ascii="宋体" w:hAnsi="宋体" w:cs="宋体" w:eastAsia="宋体" w:hint="default"/>
          <w:sz w:val="21"/>
          <w:szCs w:val="21"/>
        </w:rPr>
      </w:pPr>
      <w:bookmarkStart w:name="（1）委托理财情况" w:id="57"/>
      <w:bookmarkEnd w:id="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公司报告期不存在委托理财。</w:t>
      </w:r>
    </w:p>
    <w:p>
      <w:pPr>
        <w:spacing w:line="506" w:lineRule="auto" w:before="103"/>
        <w:ind w:left="154" w:right="6832" w:firstLine="0"/>
        <w:jc w:val="left"/>
        <w:rPr>
          <w:rFonts w:ascii="宋体" w:hAnsi="宋体" w:cs="宋体" w:eastAsia="宋体" w:hint="default"/>
          <w:sz w:val="21"/>
          <w:szCs w:val="21"/>
        </w:rPr>
      </w:pPr>
      <w:bookmarkStart w:name="（2）衍生品投资情况" w:id="58"/>
      <w:bookmarkEnd w:id="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公司报告期不存在衍生品投资。</w:t>
      </w:r>
    </w:p>
    <w:p>
      <w:pPr>
        <w:spacing w:line="516" w:lineRule="auto" w:before="103"/>
        <w:ind w:left="154" w:right="6622" w:firstLine="0"/>
        <w:jc w:val="left"/>
        <w:rPr>
          <w:rFonts w:ascii="宋体" w:hAnsi="宋体" w:cs="宋体" w:eastAsia="宋体" w:hint="default"/>
          <w:sz w:val="21"/>
          <w:szCs w:val="21"/>
        </w:rPr>
      </w:pPr>
      <w:bookmarkStart w:name="（3）委托贷款情况" w:id="59"/>
      <w:bookmarkEnd w:id="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公司报告期不存在委托贷款。 </w:t>
      </w:r>
      <w:bookmarkStart w:name="4、其他重大合同" w:id="60"/>
      <w:bookmarkEnd w:id="60"/>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公司报告期不存在其他重大合同。</w:t>
      </w:r>
    </w:p>
    <w:p>
      <w:pPr>
        <w:spacing w:after="0" w:line="516" w:lineRule="auto"/>
        <w:jc w:val="left"/>
        <w:rPr>
          <w:rFonts w:ascii="宋体" w:hAnsi="宋体" w:cs="宋体" w:eastAsia="宋体" w:hint="default"/>
          <w:sz w:val="21"/>
          <w:szCs w:val="21"/>
        </w:rPr>
        <w:sectPr>
          <w:pgSz w:w="11910" w:h="16840"/>
          <w:pgMar w:header="0" w:footer="979" w:top="1060" w:bottom="1160" w:left="980" w:right="980"/>
        </w:sectPr>
      </w:pPr>
    </w:p>
    <w:p>
      <w:pPr>
        <w:pStyle w:val="Heading2"/>
        <w:spacing w:line="240" w:lineRule="auto" w:before="30"/>
        <w:ind w:left="140" w:right="0"/>
        <w:jc w:val="left"/>
        <w:rPr>
          <w:b w:val="0"/>
          <w:bCs w:val="0"/>
        </w:rPr>
      </w:pPr>
      <w:r>
        <w:rPr/>
        <w:pict>
          <v:shape style="position:absolute;margin-left:536.622986pt;margin-top:281.440002pt;width:116.35pt;height:101.4pt;mso-position-horizontal-relative:page;mso-position-vertical-relative:page;z-index:-7175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公司控股股东、</w:t>
                  </w:r>
                </w:p>
              </w:txbxContent>
            </v:textbox>
            <w10:wrap type="none"/>
          </v:shape>
        </w:pict>
      </w:r>
      <w:r>
        <w:rPr/>
        <w:pict>
          <v:group style="position:absolute;margin-left:70.5pt;margin-top:2.255627pt;width:701pt;height:.1pt;mso-position-horizontal-relative:page;mso-position-vertical-relative:paragraph;z-index:-71754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八、承诺事项履行情况" w:id="61"/>
      <w:bookmarkEnd w:id="61"/>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或持股5%以上股东在报告期内发生或以前期间发生但持续到报告期内的承诺事项" w:id="62"/>
      <w:bookmarkEnd w:id="62"/>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3195"/>
        <w:gridCol w:w="3043"/>
        <w:gridCol w:w="4253"/>
        <w:gridCol w:w="1134"/>
        <w:gridCol w:w="1559"/>
        <w:gridCol w:w="12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304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304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3043"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30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5"/>
                <w:sz w:val="18"/>
                <w:szCs w:val="18"/>
              </w:rPr>
              <w:t>公司控股股东及实际控制人柯宗庆、柯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宗贵兄弟二人、公司股东马美容、黄泽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华、柯瑞强、石河子欣晟以及石河子欣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晟股东柯端霞、柯瑞坤、陈文浩</w:t>
            </w:r>
          </w:p>
        </w:tc>
        <w:tc>
          <w:tcPr>
            <w:tcW w:w="42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自公司首次公开发行的股票在证券交易所上市之日起 三十六个月内，不转让或者委托他人管理其在公司首 次公开发行股票前所直接和间接持有的公司股份，也 不由公司回购其所持有的该等股份。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报告期内，股东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均遵守了所作 出的承诺。</w:t>
            </w:r>
          </w:p>
        </w:tc>
      </w:tr>
      <w:tr>
        <w:trPr>
          <w:trHeight w:val="1520"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3043"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4253" w:type="dxa"/>
            <w:vMerge w:val="restart"/>
            <w:tcBorders>
              <w:top w:val="single" w:sz="4" w:space="0" w:color="000000"/>
              <w:left w:val="single" w:sz="4" w:space="0" w:color="000000"/>
              <w:right w:val="single" w:sz="4" w:space="0" w:color="000000"/>
            </w:tcBorders>
            <w:shd w:val="clear" w:color="auto" w:fill="CCE8CF"/>
          </w:tcPr>
          <w:p>
            <w:pPr>
              <w:pStyle w:val="TableParagraph"/>
              <w:spacing w:line="314"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、分红承诺：公司股东大会根据章程的规定通过利润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分配具体方案或修改《公司章程》中相关利润分配条 款时，公司控股股东、实际控制人柯宗庆、柯宗贵承 </w:t>
            </w:r>
            <w:r>
              <w:rPr>
                <w:rFonts w:ascii="宋体" w:hAnsi="宋体" w:cs="宋体" w:eastAsia="宋体" w:hint="default"/>
                <w:spacing w:val="-2"/>
                <w:sz w:val="18"/>
                <w:szCs w:val="18"/>
              </w:rPr>
              <w:t>诺将表示同意并投赞成票。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、关于同业竞争、关联交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易、资金占用方面的承诺：为避免未来可能发生的同 业竞争，更好地维护中小股东的利益，</w:t>
            </w:r>
            <w:r>
              <w:rPr>
                <w:rFonts w:ascii="宋体" w:hAnsi="宋体" w:cs="宋体" w:eastAsia="宋体" w:hint="default"/>
                <w:sz w:val="18"/>
                <w:szCs w:val="18"/>
              </w:rPr>
              <w:t> 实际控制人柯宗庆、柯宗贵二人出具了《避免同业竞 </w:t>
            </w:r>
            <w:r>
              <w:rPr>
                <w:rFonts w:ascii="宋体" w:hAnsi="宋体" w:cs="宋体" w:eastAsia="宋体" w:hint="default"/>
                <w:spacing w:val="-4"/>
                <w:sz w:val="18"/>
                <w:szCs w:val="18"/>
              </w:rPr>
              <w:t>争承诺函》。为减少和规范关联交易，公司控股股东、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实际控制人柯宗庆、柯宗贵出具了《减少和规范关联 </w:t>
            </w:r>
            <w:r>
              <w:rPr>
                <w:rFonts w:ascii="宋体" w:hAnsi="宋体" w:cs="宋体" w:eastAsia="宋体" w:hint="default"/>
                <w:spacing w:val="-4"/>
                <w:sz w:val="18"/>
                <w:szCs w:val="18"/>
              </w:rPr>
              <w:t>交易的承诺函》。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、其他承诺：若应广州市有权部门</w:t>
            </w:r>
            <w:r>
              <w:rPr>
                <w:rFonts w:ascii="宋体" w:hAnsi="宋体" w:cs="宋体" w:eastAsia="宋体" w:hint="default"/>
                <w:spacing w:val="-84"/>
                <w:sz w:val="18"/>
                <w:szCs w:val="18"/>
              </w:rPr>
              <w:t> </w:t>
            </w:r>
            <w:r>
              <w:rPr>
                <w:rFonts w:ascii="宋体" w:hAnsi="宋体" w:cs="宋体" w:eastAsia="宋体" w:hint="default"/>
                <w:sz w:val="18"/>
                <w:szCs w:val="18"/>
              </w:rPr>
              <w:t>要求或决定，公司需为员工补缴社会保险和住房公积 金，或公司因未为员工缴纳社会保险和住房公积金而 承担任何罚款或损失，公司控股股东、实际控制人柯 宗庆、柯宗贵承诺愿在无需公司支付对价的情况下连 带承担所有经济支出。</w:t>
            </w:r>
          </w:p>
        </w:tc>
        <w:tc>
          <w:tcPr>
            <w:tcW w:w="1134" w:type="dxa"/>
            <w:vMerge w:val="restart"/>
            <w:tcBorders>
              <w:top w:val="single" w:sz="4" w:space="0" w:color="000000"/>
              <w:left w:val="single" w:sz="4" w:space="0" w:color="000000"/>
              <w:right w:val="single" w:sz="4" w:space="0" w:color="000000"/>
            </w:tcBorders>
          </w:tcPr>
          <w:p>
            <w:pPr>
              <w:pStyle w:val="TableParagraph"/>
              <w:spacing w:line="2028" w:lineRule="exact"/>
              <w:ind w:right="-50"/>
              <w:jc w:val="left"/>
              <w:rPr>
                <w:rFonts w:ascii="宋体" w:hAnsi="宋体" w:cs="宋体" w:eastAsia="宋体" w:hint="default"/>
                <w:sz w:val="20"/>
                <w:szCs w:val="20"/>
              </w:rPr>
            </w:pPr>
            <w:r>
              <w:rPr>
                <w:rFonts w:ascii="宋体" w:hAnsi="宋体" w:cs="宋体" w:eastAsia="宋体" w:hint="default"/>
                <w:position w:val="-40"/>
                <w:sz w:val="20"/>
                <w:szCs w:val="20"/>
              </w:rPr>
              <w:pict>
                <v:group style="width:56.2pt;height:101.4pt;mso-position-horizontal-relative:char;mso-position-vertical-relative:line" coordorigin="0,0" coordsize="1124,2028">
                  <v:group style="position:absolute;left:0;top:0;width:1124;height:2028" coordorigin="0,0" coordsize="1124,2028">
                    <v:shape style="position:absolute;left:0;top:0;width:1124;height:2028" coordorigin="0,0" coordsize="1124,2028" path="m0,2028l1123,2028,1123,0,0,0,0,2028xe" filled="true" fillcolor="#ffffff" stroked="false">
                      <v:path arrowok="t"/>
                      <v:fill type="solid"/>
                    </v:shape>
                  </v:group>
                </v:group>
              </w:pict>
            </w:r>
            <w:r>
              <w:rPr>
                <w:rFonts w:ascii="宋体" w:hAnsi="宋体" w:cs="宋体" w:eastAsia="宋体" w:hint="default"/>
                <w:position w:val="-40"/>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报告期内，股东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均遵守了所作 出的承诺。</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3043" w:type="dxa"/>
            <w:vMerge/>
            <w:tcBorders>
              <w:left w:val="single" w:sz="9" w:space="0" w:color="D2D2D2"/>
              <w:right w:val="single" w:sz="4" w:space="0" w:color="000000"/>
            </w:tcBorders>
            <w:shd w:val="clear" w:color="auto" w:fill="CCE8CF"/>
          </w:tcPr>
          <w:p>
            <w:pPr/>
          </w:p>
        </w:tc>
        <w:tc>
          <w:tcPr>
            <w:tcW w:w="4253" w:type="dxa"/>
            <w:vMerge/>
            <w:tcBorders>
              <w:left w:val="single" w:sz="4" w:space="0" w:color="000000"/>
              <w:right w:val="single" w:sz="4" w:space="0" w:color="000000"/>
            </w:tcBorders>
            <w:shd w:val="clear" w:color="auto" w:fill="CCE8CF"/>
          </w:tcPr>
          <w:p>
            <w:pPr/>
          </w:p>
        </w:tc>
        <w:tc>
          <w:tcPr>
            <w:tcW w:w="1134"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shd w:val="clear" w:color="auto" w:fill="CCE8CF"/>
          </w:tcPr>
          <w:p>
            <w:pPr/>
          </w:p>
        </w:tc>
        <w:tc>
          <w:tcPr>
            <w:tcW w:w="1276" w:type="dxa"/>
            <w:vMerge/>
            <w:tcBorders>
              <w:left w:val="single" w:sz="4" w:space="0" w:color="000000"/>
              <w:right w:val="single" w:sz="4" w:space="0" w:color="000000"/>
            </w:tcBorders>
            <w:shd w:val="clear" w:color="auto" w:fill="CCE8CF"/>
          </w:tcPr>
          <w:p>
            <w:pPr/>
          </w:p>
        </w:tc>
      </w:tr>
      <w:tr>
        <w:trPr>
          <w:trHeight w:val="285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43" w:type="dxa"/>
            <w:vMerge/>
            <w:tcBorders>
              <w:left w:val="single" w:sz="9" w:space="0" w:color="D2D2D2"/>
              <w:bottom w:val="single" w:sz="4" w:space="0" w:color="000000"/>
              <w:right w:val="single" w:sz="4" w:space="0" w:color="000000"/>
            </w:tcBorders>
            <w:shd w:val="clear" w:color="auto" w:fill="CCE8CF"/>
          </w:tcPr>
          <w:p>
            <w:pPr/>
          </w:p>
        </w:tc>
        <w:tc>
          <w:tcPr>
            <w:tcW w:w="4253" w:type="dxa"/>
            <w:vMerge/>
            <w:tcBorders>
              <w:left w:val="single" w:sz="4" w:space="0" w:color="000000"/>
              <w:bottom w:val="single" w:sz="4" w:space="0" w:color="000000"/>
              <w:right w:val="single" w:sz="4" w:space="0" w:color="000000"/>
            </w:tcBorders>
            <w:shd w:val="clear" w:color="auto" w:fill="CCE8CF"/>
          </w:tcPr>
          <w:p>
            <w:pPr/>
          </w:p>
        </w:tc>
        <w:tc>
          <w:tcPr>
            <w:tcW w:w="1134"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shd w:val="clear" w:color="auto" w:fill="CCE8CF"/>
          </w:tcPr>
          <w:p>
            <w:pPr/>
          </w:p>
        </w:tc>
        <w:tc>
          <w:tcPr>
            <w:tcW w:w="1276" w:type="dxa"/>
            <w:vMerge/>
            <w:tcBorders>
              <w:left w:val="single" w:sz="4" w:space="0" w:color="000000"/>
              <w:bottom w:val="single" w:sz="4" w:space="0" w:color="000000"/>
              <w:right w:val="single" w:sz="4" w:space="0" w:color="000000"/>
            </w:tcBorders>
            <w:shd w:val="clear" w:color="auto" w:fill="CCE8CF"/>
          </w:tcPr>
          <w:p>
            <w:pPr/>
          </w:p>
        </w:tc>
      </w:tr>
    </w:tbl>
    <w:p>
      <w:pPr>
        <w:spacing w:after="0"/>
        <w:sectPr>
          <w:headerReference w:type="default" r:id="rId18"/>
          <w:footerReference w:type="default" r:id="rId19"/>
          <w:pgSz w:w="16840" w:h="11910" w:orient="landscape"/>
          <w:pgMar w:header="867" w:footer="979" w:top="1060" w:bottom="1160" w:left="1300" w:right="820"/>
          <w:pgNumType w:start="36"/>
        </w:sectPr>
      </w:pPr>
    </w:p>
    <w:p>
      <w:pPr>
        <w:spacing w:line="240" w:lineRule="auto" w:before="12"/>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3195"/>
        <w:gridCol w:w="3043"/>
        <w:gridCol w:w="4253"/>
        <w:gridCol w:w="1134"/>
        <w:gridCol w:w="1559"/>
        <w:gridCol w:w="1276"/>
      </w:tblGrid>
      <w:tr>
        <w:trPr>
          <w:trHeight w:val="416" w:hRule="exact"/>
        </w:trPr>
        <w:tc>
          <w:tcPr>
            <w:tcW w:w="31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3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2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55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5"/>
                <w:sz w:val="18"/>
                <w:szCs w:val="18"/>
              </w:rPr>
              <w:t>柯宗庆；柯宗贵；黄泽华；王廉君；李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根森</w:t>
            </w:r>
          </w:p>
        </w:tc>
        <w:tc>
          <w:tcPr>
            <w:tcW w:w="42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在任职期间内每年转让的公司股份不超过其所直接和 间接持有公司股份总数的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 让其所直接和间接持有的公司股份。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4"/>
              <w:jc w:val="left"/>
              <w:rPr>
                <w:rFonts w:ascii="宋体" w:hAnsi="宋体" w:cs="宋体" w:eastAsia="宋体" w:hint="default"/>
                <w:sz w:val="18"/>
                <w:szCs w:val="18"/>
              </w:rPr>
            </w:pPr>
            <w:r>
              <w:rPr>
                <w:rFonts w:ascii="宋体" w:hAnsi="宋体" w:cs="宋体" w:eastAsia="宋体" w:hint="default"/>
                <w:sz w:val="18"/>
                <w:szCs w:val="18"/>
              </w:rPr>
              <w:t>任职期间及离职后 半年</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报告期内，股东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均遵守了所作 出的承诺。</w:t>
            </w:r>
          </w:p>
        </w:tc>
      </w:tr>
      <w:tr>
        <w:trPr>
          <w:trHeight w:val="176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3"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253" w:type="dxa"/>
            <w:vMerge w:val="restart"/>
            <w:tcBorders>
              <w:top w:val="single" w:sz="4" w:space="0" w:color="000000"/>
              <w:left w:val="single" w:sz="4" w:space="0" w:color="000000"/>
              <w:right w:val="single" w:sz="9" w:space="0" w:color="FFFFFF"/>
            </w:tcBorders>
            <w:shd w:val="clear" w:color="auto" w:fill="CCE8CF"/>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年第二次临时股东大会审议通过，公司将</w:t>
            </w:r>
          </w:p>
          <w:p>
            <w:pPr>
              <w:pStyle w:val="TableParagraph"/>
              <w:spacing w:line="312" w:lineRule="auto" w:before="63"/>
              <w:ind w:left="22" w:right="14"/>
              <w:jc w:val="both"/>
              <w:rPr>
                <w:rFonts w:ascii="宋体" w:hAnsi="宋体" w:cs="宋体" w:eastAsia="宋体" w:hint="default"/>
                <w:sz w:val="18"/>
                <w:szCs w:val="18"/>
              </w:rPr>
            </w:pPr>
            <w:r>
              <w:rPr>
                <w:rFonts w:ascii="宋体" w:hAnsi="宋体" w:cs="宋体" w:eastAsia="宋体" w:hint="default"/>
                <w:sz w:val="18"/>
                <w:szCs w:val="18"/>
              </w:rPr>
              <w:t>五个募集资金投资项目的全部节余资金 </w:t>
            </w:r>
            <w:r>
              <w:rPr>
                <w:rFonts w:ascii="Times New Roman" w:hAnsi="Times New Roman" w:cs="Times New Roman" w:eastAsia="Times New Roman" w:hint="default"/>
                <w:sz w:val="18"/>
                <w:szCs w:val="18"/>
              </w:rPr>
              <w:t>8,640.45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 元（含专户利息收入）永久补充流动资金。公司承诺 在本次使用募集资金投资项目节余资金永久补充流动 资金后</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个月内不进行证券投资、委托理财、衍生品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投资、创业投资等高风险投资，也不为他人提供财务 资助。</w:t>
            </w:r>
          </w:p>
        </w:tc>
        <w:tc>
          <w:tcPr>
            <w:tcW w:w="113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132" w:lineRule="exact"/>
              <w:ind w:left="-7" w:right="-50"/>
              <w:jc w:val="left"/>
              <w:rPr>
                <w:rFonts w:ascii="宋体" w:hAnsi="宋体" w:cs="宋体" w:eastAsia="宋体" w:hint="default"/>
                <w:sz w:val="20"/>
                <w:szCs w:val="20"/>
              </w:rPr>
            </w:pPr>
            <w:r>
              <w:rPr>
                <w:rFonts w:ascii="宋体" w:hAnsi="宋体" w:cs="宋体" w:eastAsia="宋体" w:hint="default"/>
                <w:position w:val="-22"/>
                <w:sz w:val="20"/>
                <w:szCs w:val="20"/>
              </w:rPr>
              <w:pict>
                <v:group style="width:56.2pt;height:56.65pt;mso-position-horizontal-relative:char;mso-position-vertical-relative:line" coordorigin="0,0" coordsize="1124,1133">
                  <v:group style="position:absolute;left:0;top:0;width:1124;height:780" coordorigin="0,0" coordsize="1124,780">
                    <v:shape style="position:absolute;left:0;top:0;width:1124;height:780" coordorigin="0,0" coordsize="1124,780" path="m0,780l1123,780,1123,0,0,0,0,780xe" filled="true" fillcolor="#ffffff" stroked="false">
                      <v:path arrowok="t"/>
                      <v:fill type="solid"/>
                    </v:shape>
                  </v:group>
                  <v:group style="position:absolute;left:23;top:780;width:1078;height:353" coordorigin="23,780" coordsize="1078,353">
                    <v:shape style="position:absolute;left:23;top:780;width:1078;height:353" coordorigin="23,780" coordsize="1078,353" path="m23,1133l1100,1133,1100,780,23,780,23,1133xe" filled="true" fillcolor="#ffffff" stroked="false">
                      <v:path arrowok="t"/>
                      <v:fill type="solid"/>
                    </v:shape>
                  </v:group>
                </v:group>
              </w:pict>
            </w:r>
            <w:r>
              <w:rPr>
                <w:rFonts w:ascii="宋体" w:hAnsi="宋体" w:cs="宋体" w:eastAsia="宋体" w:hint="default"/>
                <w:position w:val="-22"/>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tc>
        <w:tc>
          <w:tcPr>
            <w:tcW w:w="155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27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报告期内，公司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遵守了所作出 的承诺。</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3043" w:type="dxa"/>
            <w:vMerge/>
            <w:tcBorders>
              <w:left w:val="single" w:sz="9" w:space="0" w:color="D2D2D2"/>
              <w:right w:val="single" w:sz="4" w:space="0" w:color="000000"/>
            </w:tcBorders>
            <w:shd w:val="clear" w:color="auto" w:fill="CCE8CF"/>
          </w:tcPr>
          <w:p>
            <w:pPr/>
          </w:p>
        </w:tc>
        <w:tc>
          <w:tcPr>
            <w:tcW w:w="4253" w:type="dxa"/>
            <w:vMerge/>
            <w:tcBorders>
              <w:left w:val="single" w:sz="4" w:space="0" w:color="000000"/>
              <w:right w:val="single" w:sz="9" w:space="0" w:color="FFFFFF"/>
            </w:tcBorders>
            <w:shd w:val="clear" w:color="auto" w:fill="CCE8CF"/>
          </w:tcPr>
          <w:p>
            <w:pPr/>
          </w:p>
        </w:tc>
        <w:tc>
          <w:tcPr>
            <w:tcW w:w="1134" w:type="dxa"/>
            <w:vMerge/>
            <w:tcBorders>
              <w:left w:val="single" w:sz="9" w:space="0" w:color="FFFFFF"/>
              <w:bottom w:val="nil" w:sz="6" w:space="0" w:color="auto"/>
              <w:right w:val="single" w:sz="4" w:space="0" w:color="000000"/>
            </w:tcBorders>
          </w:tcPr>
          <w:p>
            <w:pPr/>
          </w:p>
        </w:tc>
        <w:tc>
          <w:tcPr>
            <w:tcW w:w="1559" w:type="dxa"/>
            <w:vMerge/>
            <w:tcBorders>
              <w:left w:val="single" w:sz="4" w:space="0" w:color="000000"/>
              <w:right w:val="single" w:sz="4" w:space="0" w:color="000000"/>
            </w:tcBorders>
            <w:shd w:val="clear" w:color="auto" w:fill="CCE8CF"/>
          </w:tcPr>
          <w:p>
            <w:pPr/>
          </w:p>
        </w:tc>
        <w:tc>
          <w:tcPr>
            <w:tcW w:w="1276" w:type="dxa"/>
            <w:vMerge/>
            <w:tcBorders>
              <w:left w:val="single" w:sz="4" w:space="0" w:color="000000"/>
              <w:right w:val="single" w:sz="4" w:space="0" w:color="000000"/>
            </w:tcBorders>
            <w:shd w:val="clear" w:color="auto" w:fill="CCE8CF"/>
          </w:tcPr>
          <w:p>
            <w:pPr/>
          </w:p>
        </w:tc>
      </w:tr>
      <w:tr>
        <w:trPr>
          <w:trHeight w:val="116" w:hRule="exact"/>
        </w:trPr>
        <w:tc>
          <w:tcPr>
            <w:tcW w:w="3195" w:type="dxa"/>
            <w:vMerge w:val="restart"/>
            <w:tcBorders>
              <w:top w:val="nil" w:sz="6" w:space="0" w:color="auto"/>
              <w:left w:val="single" w:sz="4" w:space="0" w:color="000000"/>
              <w:right w:val="single" w:sz="4" w:space="0" w:color="000000"/>
            </w:tcBorders>
            <w:shd w:val="clear" w:color="auto" w:fill="D2D2D2"/>
          </w:tcPr>
          <w:p>
            <w:pPr/>
          </w:p>
        </w:tc>
        <w:tc>
          <w:tcPr>
            <w:tcW w:w="3043" w:type="dxa"/>
            <w:vMerge/>
            <w:tcBorders>
              <w:left w:val="single" w:sz="9" w:space="0" w:color="D2D2D2"/>
              <w:bottom w:val="single" w:sz="4" w:space="0" w:color="000000"/>
              <w:right w:val="single" w:sz="4" w:space="0" w:color="000000"/>
            </w:tcBorders>
            <w:shd w:val="clear" w:color="auto" w:fill="CCE8CF"/>
          </w:tcPr>
          <w:p>
            <w:pPr/>
          </w:p>
        </w:tc>
        <w:tc>
          <w:tcPr>
            <w:tcW w:w="4253" w:type="dxa"/>
            <w:vMerge/>
            <w:tcBorders>
              <w:left w:val="single" w:sz="4" w:space="0" w:color="000000"/>
              <w:bottom w:val="single" w:sz="4" w:space="0" w:color="000000"/>
              <w:right w:val="single" w:sz="9" w:space="0" w:color="FFFFFF"/>
            </w:tcBorders>
            <w:shd w:val="clear" w:color="auto" w:fill="CCE8CF"/>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shd w:val="clear" w:color="auto" w:fill="CCE8CF"/>
          </w:tcPr>
          <w:p>
            <w:pPr/>
          </w:p>
        </w:tc>
        <w:tc>
          <w:tcPr>
            <w:tcW w:w="1276" w:type="dxa"/>
            <w:vMerge/>
            <w:tcBorders>
              <w:left w:val="single" w:sz="4" w:space="0" w:color="000000"/>
              <w:bottom w:val="single" w:sz="4" w:space="0" w:color="000000"/>
              <w:right w:val="single" w:sz="4" w:space="0" w:color="000000"/>
            </w:tcBorders>
            <w:shd w:val="clear" w:color="auto" w:fill="CCE8CF"/>
          </w:tcPr>
          <w:p>
            <w:pPr/>
          </w:p>
        </w:tc>
      </w:tr>
      <w:tr>
        <w:trPr>
          <w:trHeight w:val="1650" w:hRule="exact"/>
        </w:trPr>
        <w:tc>
          <w:tcPr>
            <w:tcW w:w="3195" w:type="dxa"/>
            <w:vMerge/>
            <w:tcBorders>
              <w:left w:val="single" w:sz="4" w:space="0" w:color="000000"/>
              <w:bottom w:val="single" w:sz="4" w:space="0" w:color="000000"/>
              <w:right w:val="single" w:sz="4" w:space="0" w:color="000000"/>
            </w:tcBorders>
            <w:shd w:val="clear" w:color="auto" w:fill="D2D2D2"/>
          </w:tcPr>
          <w:p>
            <w:pPr/>
          </w:p>
        </w:tc>
        <w:tc>
          <w:tcPr>
            <w:tcW w:w="30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2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按照中国证券监督管理委员会和深圳证券交易所的有 关规定，公司承诺本次使用剩余超募资金永久补充流 动资金后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个月内不进行证券投资、委托理财、衍生</w:t>
            </w:r>
            <w:r>
              <w:rPr>
                <w:rFonts w:ascii="宋体" w:hAnsi="宋体" w:cs="宋体" w:eastAsia="宋体" w:hint="default"/>
                <w:sz w:val="18"/>
                <w:szCs w:val="18"/>
              </w:rPr>
              <w:t> 品投资、创业投资等高风险投资，也不为他人提供财 务资助。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pacing w:val="-6"/>
                <w:sz w:val="18"/>
                <w:szCs w:val="18"/>
              </w:rPr>
              <w:t>报告期内，公司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遵守了所作出 的承诺。</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126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before="35"/>
        <w:ind w:left="120"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9"/>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64"/>
      <w:bookmarkEnd w:id="64"/>
      <w:r>
        <w:rPr>
          <w:b w:val="0"/>
          <w:bCs w:val="0"/>
        </w:rPr>
      </w:r>
      <w:r>
        <w:rPr/>
        <w:t>九、聘任、解聘会计师事务所情况</w:t>
      </w:r>
      <w:r>
        <w:rPr>
          <w:b w:val="0"/>
          <w:bCs w:val="0"/>
        </w:rPr>
      </w:r>
    </w:p>
    <w:p>
      <w:pPr>
        <w:spacing w:line="240" w:lineRule="auto" w:before="2"/>
        <w:rPr>
          <w:rFonts w:ascii="宋体" w:hAnsi="宋体" w:cs="宋体" w:eastAsia="宋体" w:hint="default"/>
          <w:b/>
          <w:bCs/>
          <w:sz w:val="20"/>
          <w:szCs w:val="20"/>
        </w:rPr>
      </w:pPr>
    </w:p>
    <w:p>
      <w:pPr>
        <w:pStyle w:val="BodyText"/>
        <w:spacing w:line="240" w:lineRule="auto"/>
        <w:ind w:right="0"/>
        <w:jc w:val="left"/>
      </w:pPr>
      <w:r>
        <w:rPr/>
        <w:t>现聘任的会计事务所</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8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何凌峰、吴朝辉</w:t>
            </w:r>
          </w:p>
        </w:tc>
      </w:tr>
    </w:tbl>
    <w:p>
      <w:pPr>
        <w:pStyle w:val="BodyText"/>
        <w:spacing w:line="240" w:lineRule="auto" w:before="26"/>
        <w:ind w:left="154" w:right="0"/>
        <w:jc w:val="left"/>
      </w:pPr>
      <w:r>
        <w:rPr/>
        <w:t>是否改聘会计师事务所</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5"/>
          <w:szCs w:val="25"/>
        </w:rPr>
      </w:pPr>
    </w:p>
    <w:p>
      <w:pPr>
        <w:pStyle w:val="Heading2"/>
        <w:spacing w:line="312" w:lineRule="exact" w:before="0"/>
        <w:ind w:right="217"/>
        <w:jc w:val="left"/>
        <w:rPr>
          <w:b w:val="0"/>
          <w:bCs w:val="0"/>
        </w:rPr>
      </w:pPr>
      <w:bookmarkStart w:name="十、上市公司及其董事、监事、高级管理人员、公司股东、实际控制人和收购人处罚及整改" w:id="65"/>
      <w:bookmarkEnd w:id="65"/>
      <w:r>
        <w:rPr>
          <w:b w:val="0"/>
          <w:bCs w:val="0"/>
        </w:rPr>
      </w:r>
      <w:r>
        <w:rPr>
          <w:w w:val="95"/>
        </w:rPr>
        <w:t>十、上市公司及其董事、监事、高级管理人员、公司股东、实际控制人和收购人处罚及整改  </w:t>
      </w:r>
      <w:r>
        <w:rPr>
          <w:spacing w:val="104"/>
          <w:w w:val="95"/>
        </w:rPr>
        <w:t> </w:t>
      </w:r>
      <w:r>
        <w:rPr>
          <w:spacing w:val="104"/>
          <w:w w:val="95"/>
        </w:rPr>
      </w:r>
      <w:r>
        <w:rPr/>
        <w:t>情况</w:t>
      </w:r>
      <w:r>
        <w:rPr>
          <w:b w:val="0"/>
          <w:bCs w:val="0"/>
        </w:rPr>
      </w:r>
    </w:p>
    <w:p>
      <w:pPr>
        <w:spacing w:line="240" w:lineRule="auto" w:before="3"/>
        <w:rPr>
          <w:rFonts w:ascii="宋体" w:hAnsi="宋体" w:cs="宋体" w:eastAsia="宋体"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right="0"/>
        <w:jc w:val="left"/>
      </w:pPr>
      <w:r>
        <w:rPr/>
        <w:t>上市公司及其子公司是否被列入环保部门公布的污染严重企业名单</w:t>
      </w:r>
    </w:p>
    <w:p>
      <w:pPr>
        <w:spacing w:line="240" w:lineRule="auto" w:before="4"/>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240" w:lineRule="auto" w:before="156"/>
        <w:ind w:left="154" w:right="0"/>
        <w:jc w:val="left"/>
      </w:pPr>
      <w:r>
        <w:rPr/>
        <w:t>上市公司及其子公司是否存在其他重大社会安全问题</w:t>
      </w:r>
    </w:p>
    <w:p>
      <w:pPr>
        <w:spacing w:line="240" w:lineRule="auto" w:before="3"/>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240" w:lineRule="auto" w:before="156"/>
        <w:ind w:left="154" w:right="0"/>
        <w:jc w:val="left"/>
      </w:pPr>
      <w:r>
        <w:rPr/>
        <w:t>报告期内是否被行政处罚</w:t>
      </w:r>
    </w:p>
    <w:p>
      <w:pPr>
        <w:spacing w:line="240" w:lineRule="auto" w:before="5"/>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left="154" w:right="0"/>
        <w:jc w:val="left"/>
        <w:rPr>
          <w:b w:val="0"/>
          <w:bCs w:val="0"/>
        </w:rPr>
      </w:pPr>
      <w:bookmarkStart w:name="十一、公司股东及其一致行动人在报告期提出或实施股份增持计划的情况" w:id="66"/>
      <w:bookmarkEnd w:id="66"/>
      <w:r>
        <w:rPr>
          <w:b w:val="0"/>
          <w:bCs w:val="0"/>
        </w:rPr>
      </w:r>
      <w:r>
        <w:rPr/>
        <w:t>十一、公司股东及其一致行动人在报告期提出或实施股份增持计划的情况</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25"/>
          <w:szCs w:val="25"/>
        </w:rPr>
      </w:pPr>
    </w:p>
    <w:p>
      <w:pPr>
        <w:pStyle w:val="Heading2"/>
        <w:spacing w:line="240" w:lineRule="auto" w:before="0"/>
        <w:ind w:left="154" w:right="0"/>
        <w:jc w:val="left"/>
        <w:rPr>
          <w:b w:val="0"/>
          <w:bCs w:val="0"/>
        </w:rPr>
      </w:pPr>
      <w:bookmarkStart w:name="十二、董事、监事、高级管理人员、持股5%以上的股东违规买卖公司股票情况" w:id="67"/>
      <w:bookmarkEnd w:id="67"/>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
        <w:rPr>
          <w:rFonts w:ascii="宋体" w:hAnsi="宋体" w:cs="宋体" w:eastAsia="宋体" w:hint="default"/>
          <w:b/>
          <w:bCs/>
          <w:sz w:val="24"/>
          <w:szCs w:val="24"/>
        </w:rPr>
      </w:pPr>
    </w:p>
    <w:p>
      <w:pPr>
        <w:pStyle w:val="Heading2"/>
        <w:spacing w:line="511" w:lineRule="auto" w:before="0"/>
        <w:ind w:right="4331"/>
        <w:jc w:val="left"/>
        <w:rPr>
          <w:rFonts w:ascii="宋体" w:hAnsi="宋体" w:cs="宋体" w:eastAsia="宋体" w:hint="default"/>
          <w:b w:val="0"/>
          <w:bCs w:val="0"/>
          <w:sz w:val="21"/>
          <w:szCs w:val="21"/>
        </w:rPr>
      </w:pPr>
      <w:r>
        <w:rPr>
          <w:rFonts w:ascii="宋体" w:hAnsi="宋体" w:cs="宋体" w:eastAsia="宋体" w:hint="default"/>
          <w:b w:val="0"/>
          <w:bCs w:val="0"/>
          <w:sz w:val="21"/>
          <w:szCs w:val="21"/>
        </w:rPr>
        <w:t>无 </w:t>
      </w:r>
      <w:bookmarkStart w:name="十三、年度报告披露后面临暂停上市和终止上市情况" w:id="68"/>
      <w:bookmarkEnd w:id="68"/>
      <w:r>
        <w:rPr>
          <w:rFonts w:ascii="宋体" w:hAnsi="宋体" w:cs="宋体" w:eastAsia="宋体" w:hint="default"/>
          <w:b w:val="0"/>
          <w:bCs w:val="0"/>
          <w:sz w:val="21"/>
          <w:szCs w:val="21"/>
        </w:rPr>
      </w:r>
      <w:r>
        <w:rPr>
          <w:w w:val="95"/>
        </w:rPr>
        <w:t>十三、年度报告披露后面临暂停上市和终止上市情况 </w:t>
      </w:r>
      <w:r>
        <w:rPr>
          <w:spacing w:val="25"/>
          <w:w w:val="95"/>
        </w:rPr>
        <w:t> </w:t>
      </w:r>
      <w:r>
        <w:rPr>
          <w:rFonts w:ascii="宋体" w:hAnsi="宋体" w:cs="宋体" w:eastAsia="宋体" w:hint="default"/>
          <w:b w:val="0"/>
          <w:bCs w:val="0"/>
          <w:sz w:val="21"/>
          <w:szCs w:val="21"/>
        </w:rPr>
        <w:t>无</w:t>
      </w:r>
    </w:p>
    <w:p>
      <w:pPr>
        <w:pStyle w:val="Heading2"/>
        <w:spacing w:line="504" w:lineRule="auto" w:before="90"/>
        <w:ind w:right="6938"/>
        <w:jc w:val="left"/>
        <w:rPr>
          <w:rFonts w:ascii="宋体" w:hAnsi="宋体" w:cs="宋体" w:eastAsia="宋体" w:hint="default"/>
          <w:b w:val="0"/>
          <w:bCs w:val="0"/>
          <w:sz w:val="21"/>
          <w:szCs w:val="21"/>
        </w:rPr>
      </w:pPr>
      <w:bookmarkStart w:name="十四、其他重大事项的说明" w:id="69"/>
      <w:bookmarkEnd w:id="69"/>
      <w:r>
        <w:rPr>
          <w:b w:val="0"/>
          <w:bCs w:val="0"/>
        </w:rPr>
      </w:r>
      <w:r>
        <w:rPr>
          <w:w w:val="95"/>
        </w:rPr>
        <w:t>十四、其他重大事项的说明</w:t>
      </w:r>
      <w:r>
        <w:rPr>
          <w:spacing w:val="18"/>
          <w:w w:val="95"/>
        </w:rPr>
        <w:t> </w:t>
      </w:r>
      <w:r>
        <w:rPr>
          <w:rFonts w:ascii="宋体" w:hAnsi="宋体" w:cs="宋体" w:eastAsia="宋体" w:hint="default"/>
          <w:b w:val="0"/>
          <w:bCs w:val="0"/>
          <w:sz w:val="21"/>
          <w:szCs w:val="21"/>
        </w:rPr>
        <w:t>无 </w:t>
      </w:r>
      <w:bookmarkStart w:name="十五、控股子公司重要事项" w:id="70"/>
      <w:bookmarkEnd w:id="70"/>
      <w:r>
        <w:rPr>
          <w:rFonts w:ascii="宋体" w:hAnsi="宋体" w:cs="宋体" w:eastAsia="宋体" w:hint="default"/>
          <w:b w:val="0"/>
          <w:bCs w:val="0"/>
          <w:sz w:val="21"/>
          <w:szCs w:val="21"/>
        </w:rPr>
      </w:r>
      <w:r>
        <w:rPr>
          <w:w w:val="95"/>
        </w:rPr>
        <w:t>十五、控股子公司重要事项</w:t>
      </w:r>
      <w:r>
        <w:rPr>
          <w:spacing w:val="18"/>
          <w:w w:val="95"/>
        </w:rPr>
        <w:t> </w:t>
      </w:r>
      <w:r>
        <w:rPr>
          <w:rFonts w:ascii="宋体" w:hAnsi="宋体" w:cs="宋体" w:eastAsia="宋体" w:hint="default"/>
          <w:b w:val="0"/>
          <w:bCs w:val="0"/>
          <w:sz w:val="21"/>
          <w:szCs w:val="21"/>
        </w:rPr>
        <w:t>无</w:t>
      </w:r>
    </w:p>
    <w:p>
      <w:pPr>
        <w:spacing w:after="0" w:line="504" w:lineRule="auto"/>
        <w:jc w:val="left"/>
        <w:rPr>
          <w:rFonts w:ascii="宋体" w:hAnsi="宋体" w:cs="宋体" w:eastAsia="宋体" w:hint="default"/>
          <w:sz w:val="21"/>
          <w:szCs w:val="21"/>
        </w:rPr>
        <w:sectPr>
          <w:headerReference w:type="default" r:id="rId20"/>
          <w:footerReference w:type="default" r:id="rId21"/>
          <w:pgSz w:w="11910" w:h="16840"/>
          <w:pgMar w:header="877" w:footer="979" w:top="1100" w:bottom="1160" w:left="980" w:right="980"/>
          <w:pgNumType w:start="3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0"/>
        <w:jc w:val="left"/>
        <w:rPr>
          <w:b w:val="0"/>
          <w:bCs w:val="0"/>
        </w:rPr>
      </w:pPr>
      <w:bookmarkStart w:name="第六节 股份变动及股东情况" w:id="71"/>
      <w:bookmarkEnd w:id="71"/>
      <w:r>
        <w:rPr>
          <w:b w:val="0"/>
          <w:bCs w:val="0"/>
        </w:rPr>
      </w:r>
      <w:bookmarkStart w:name="_bookmark5" w:id="72"/>
      <w:bookmarkEnd w:id="7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股份变动情况" w:id="73"/>
      <w:bookmarkEnd w:id="7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74"/>
      <w:bookmarkEnd w:id="7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3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845"/>
        <w:gridCol w:w="844"/>
        <w:gridCol w:w="842"/>
        <w:gridCol w:w="730"/>
        <w:gridCol w:w="843"/>
        <w:gridCol w:w="844"/>
        <w:gridCol w:w="1034"/>
        <w:gridCol w:w="815"/>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79" w:right="8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30" w:type="dxa"/>
            <w:vMerge/>
            <w:tcBorders>
              <w:left w:val="single" w:sz="4" w:space="0" w:color="000000"/>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1034"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84,891,900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-1,944,300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-1,944,300</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82,947,600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84,891,900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-1,944,300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-1,944,300</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82,947,600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-1,944,300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-1,944,300</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79,047,600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40.33%</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111,108,100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1,944,300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113,052,400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111,108,100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1,944,300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113,052,400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196,000,000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26"/>
        <w:ind w:left="154" w:right="0"/>
        <w:jc w:val="left"/>
      </w:pPr>
      <w:r>
        <w:rPr/>
        <w:t>股份变动的原因</w:t>
      </w:r>
    </w:p>
    <w:p>
      <w:pPr>
        <w:spacing w:line="240" w:lineRule="auto" w:before="6"/>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right="0"/>
        <w:jc w:val="left"/>
      </w:pPr>
      <w:r>
        <w:rPr/>
        <w:t>公司股东王廉君、李根森所持全部股份在离职半年后解锁，导致本期有限售条件的股份减少。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right="0"/>
        <w:jc w:val="left"/>
      </w:pPr>
      <w:r>
        <w:rPr/>
        <w:t>股份变动的批准情况</w:t>
      </w: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right="0"/>
        <w:jc w:val="left"/>
      </w:pPr>
      <w:r>
        <w:rPr/>
        <w:t>股份变动的过户情况</w:t>
      </w:r>
    </w:p>
    <w:p>
      <w:pPr>
        <w:spacing w:line="240" w:lineRule="auto" w:before="4"/>
        <w:rPr>
          <w:rFonts w:ascii="宋体" w:hAnsi="宋体" w:cs="宋体" w:eastAsia="宋体" w:hint="default"/>
          <w:sz w:val="15"/>
          <w:szCs w:val="15"/>
        </w:rPr>
      </w:pPr>
    </w:p>
    <w:p>
      <w:pPr>
        <w:pStyle w:val="BodyText"/>
        <w:spacing w:line="369"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spacing w:before="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right="0"/>
        <w:jc w:val="left"/>
      </w:pPr>
      <w:r>
        <w:rPr/>
        <w:t>公司认为必要或证券监管机构要求披露的其他内容</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740"/>
        </w:sectPr>
      </w:pPr>
    </w:p>
    <w:p>
      <w:pPr>
        <w:spacing w:line="240" w:lineRule="auto" w:before="9"/>
        <w:rPr>
          <w:rFonts w:ascii="宋体" w:hAnsi="宋体" w:cs="宋体" w:eastAsia="宋体" w:hint="default"/>
          <w:sz w:val="20"/>
          <w:szCs w:val="20"/>
        </w:rPr>
      </w:pPr>
    </w:p>
    <w:p>
      <w:pPr>
        <w:pStyle w:val="Heading3"/>
        <w:spacing w:line="240" w:lineRule="auto" w:before="35"/>
        <w:ind w:left="253" w:right="3173"/>
        <w:jc w:val="left"/>
        <w:rPr>
          <w:b w:val="0"/>
          <w:bCs w:val="0"/>
        </w:rPr>
      </w:pPr>
      <w:bookmarkStart w:name="2、限售股份变动情况" w:id="75"/>
      <w:bookmarkEnd w:id="7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560"/>
        <w:gridCol w:w="1367"/>
        <w:gridCol w:w="1367"/>
        <w:gridCol w:w="1142"/>
        <w:gridCol w:w="1367"/>
        <w:gridCol w:w="1367"/>
        <w:gridCol w:w="157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86" w:right="24"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37,381,400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37,381,400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37,381,400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37,381,400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3,900,000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石河子欣晟股权投 资有限合伙企业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首发承诺</w:t>
            </w:r>
            <w:r>
              <w:rPr>
                <w:rFonts w:ascii="Times New Roman" w:hAnsi="Times New Roman" w:cs="Times New Roman" w:eastAsia="Times New Roman" w:hint="default"/>
                <w:sz w:val="18"/>
                <w:szCs w:val="18"/>
              </w:rPr>
              <w:t>/</w:t>
            </w:r>
            <w:r>
              <w:rPr>
                <w:rFonts w:ascii="宋体" w:hAnsi="宋体" w:cs="宋体" w:eastAsia="宋体" w:hint="default"/>
                <w:sz w:val="18"/>
                <w:szCs w:val="18"/>
              </w:rPr>
              <w:t>离职锁 定</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192,400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李根森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144,300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首发承诺</w:t>
            </w:r>
            <w:r>
              <w:rPr>
                <w:rFonts w:ascii="Times New Roman" w:hAnsi="Times New Roman" w:cs="Times New Roman" w:eastAsia="Times New Roman" w:hint="default"/>
                <w:sz w:val="18"/>
                <w:szCs w:val="18"/>
              </w:rPr>
              <w:t>/</w:t>
            </w:r>
            <w:r>
              <w:rPr>
                <w:rFonts w:ascii="宋体" w:hAnsi="宋体" w:cs="宋体" w:eastAsia="宋体" w:hint="default"/>
                <w:sz w:val="18"/>
                <w:szCs w:val="18"/>
              </w:rPr>
              <w:t>离职锁 定</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192,400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84,891,900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1,944,300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82,947,600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ind w:left="254" w:right="3173"/>
        <w:jc w:val="left"/>
        <w:rPr>
          <w:b w:val="0"/>
          <w:bCs w:val="0"/>
        </w:rPr>
      </w:pPr>
      <w:bookmarkStart w:name="二、证券发行与上市情况" w:id="76"/>
      <w:bookmarkEnd w:id="7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506" w:lineRule="auto"/>
        <w:ind w:left="253" w:right="7449"/>
        <w:jc w:val="left"/>
        <w:rPr>
          <w:rFonts w:ascii="宋体" w:hAnsi="宋体" w:cs="宋体" w:eastAsia="宋体" w:hint="default"/>
          <w:b w:val="0"/>
          <w:bCs w:val="0"/>
        </w:rPr>
      </w:pPr>
      <w:bookmarkStart w:name="1、报告期内证券发行情况" w:id="77"/>
      <w:bookmarkEnd w:id="77"/>
      <w:r>
        <w:rPr>
          <w:b w:val="0"/>
          <w:bCs w:val="0"/>
        </w:rPr>
      </w:r>
      <w:r>
        <w:rPr>
          <w:rFonts w:ascii="Times New Roman" w:hAnsi="Times New Roman" w:cs="Times New Roman" w:eastAsia="Times New Roman" w:hint="default"/>
        </w:rPr>
        <w:t>1</w:t>
      </w:r>
      <w:r>
        <w:rPr/>
        <w:t>、报告期内证券发行情况</w:t>
      </w:r>
      <w:r>
        <w:rPr>
          <w:w w:val="99"/>
        </w:rPr>
        <w:t> </w:t>
      </w:r>
      <w:r>
        <w:rPr>
          <w:rFonts w:ascii="宋体" w:hAnsi="宋体" w:cs="宋体" w:eastAsia="宋体" w:hint="default"/>
          <w:b w:val="0"/>
          <w:bCs w:val="0"/>
        </w:rPr>
        <w:t>无</w:t>
      </w:r>
    </w:p>
    <w:p>
      <w:pPr>
        <w:pStyle w:val="Heading3"/>
        <w:spacing w:line="506" w:lineRule="auto" w:before="103"/>
        <w:ind w:left="254" w:right="3173"/>
        <w:jc w:val="left"/>
        <w:rPr>
          <w:rFonts w:ascii="宋体" w:hAnsi="宋体" w:cs="宋体" w:eastAsia="宋体" w:hint="default"/>
          <w:b w:val="0"/>
          <w:bCs w:val="0"/>
        </w:rPr>
      </w:pPr>
      <w:bookmarkStart w:name="2、公司股份总数及股东结构的变动、公司资产和负债结构的变动情况说明" w:id="78"/>
      <w:bookmarkEnd w:id="78"/>
      <w:r>
        <w:rPr>
          <w:b w:val="0"/>
          <w:bCs w:val="0"/>
        </w:rPr>
      </w:r>
      <w:r>
        <w:rPr>
          <w:rFonts w:ascii="Times New Roman" w:hAnsi="Times New Roman" w:cs="Times New Roman" w:eastAsia="Times New Roman" w:hint="default"/>
          <w:w w:val="95"/>
        </w:rPr>
        <w:t>2</w:t>
      </w:r>
      <w:r>
        <w:rPr>
          <w:w w:val="95"/>
        </w:rPr>
        <w:t>、公司股份总数及股东结构的变动、公司资产和负债结构的变动情况说明  </w:t>
      </w:r>
      <w:r>
        <w:rPr>
          <w:spacing w:val="33"/>
          <w:w w:val="95"/>
        </w:rPr>
        <w:t> </w:t>
      </w:r>
      <w:r>
        <w:rPr>
          <w:spacing w:val="33"/>
          <w:w w:val="95"/>
        </w:rPr>
      </w:r>
      <w:r>
        <w:rPr>
          <w:rFonts w:ascii="宋体" w:hAnsi="宋体" w:cs="宋体" w:eastAsia="宋体" w:hint="default"/>
          <w:b w:val="0"/>
          <w:bCs w:val="0"/>
        </w:rPr>
        <w:t>无</w:t>
      </w:r>
    </w:p>
    <w:p>
      <w:pPr>
        <w:pStyle w:val="Heading2"/>
        <w:spacing w:line="240" w:lineRule="auto" w:before="80"/>
        <w:ind w:left="254" w:right="3173"/>
        <w:jc w:val="left"/>
        <w:rPr>
          <w:b w:val="0"/>
          <w:bCs w:val="0"/>
        </w:rPr>
      </w:pPr>
      <w:bookmarkStart w:name="三、股东和实际控制人情况" w:id="79"/>
      <w:bookmarkEnd w:id="7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3" w:right="3173"/>
        <w:jc w:val="left"/>
        <w:rPr>
          <w:b w:val="0"/>
          <w:bCs w:val="0"/>
        </w:rPr>
      </w:pPr>
      <w:bookmarkStart w:name="1、公司股东数量及持股情况" w:id="80"/>
      <w:bookmarkEnd w:id="8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18"/>
        <w:gridCol w:w="1352"/>
        <w:gridCol w:w="775"/>
        <w:gridCol w:w="922"/>
        <w:gridCol w:w="803"/>
        <w:gridCol w:w="970"/>
        <w:gridCol w:w="993"/>
        <w:gridCol w:w="856"/>
        <w:gridCol w:w="419"/>
        <w:gridCol w:w="1417"/>
      </w:tblGrid>
      <w:tr>
        <w:trPr>
          <w:trHeight w:val="408" w:hRule="exact"/>
        </w:trPr>
        <w:tc>
          <w:tcPr>
            <w:tcW w:w="27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12,766</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83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11,396</w:t>
            </w:r>
          </w:p>
        </w:tc>
      </w:tr>
      <w:tr>
        <w:trPr>
          <w:trHeight w:val="391" w:hRule="exact"/>
        </w:trPr>
        <w:tc>
          <w:tcPr>
            <w:tcW w:w="992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352"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0" w:right="2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4" w:right="10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2693" w:type="dxa"/>
            <w:gridSpan w:val="3"/>
            <w:vMerge/>
            <w:tcBorders>
              <w:left w:val="single" w:sz="4" w:space="0" w:color="000000"/>
              <w:right w:val="single" w:sz="4" w:space="0" w:color="000000"/>
            </w:tcBorders>
            <w:shd w:val="clear" w:color="auto" w:fill="D2D2D2"/>
          </w:tcPr>
          <w:p>
            <w:pPr/>
          </w:p>
        </w:tc>
      </w:tr>
      <w:tr>
        <w:trPr>
          <w:trHeight w:val="140"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5"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269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37,381,400</w:t>
            </w:r>
          </w:p>
        </w:tc>
        <w:tc>
          <w:tcPr>
            <w:tcW w:w="8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37,381,400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7"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29,416,000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37,381,400</w:t>
            </w:r>
          </w:p>
        </w:tc>
        <w:tc>
          <w:tcPr>
            <w:tcW w:w="8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37,381,400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21,876,000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880" w:right="880"/>
        </w:sectPr>
      </w:pPr>
    </w:p>
    <w:p>
      <w:pPr>
        <w:spacing w:line="240" w:lineRule="auto" w:before="10"/>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418"/>
        <w:gridCol w:w="1357"/>
        <w:gridCol w:w="769"/>
        <w:gridCol w:w="916"/>
        <w:gridCol w:w="809"/>
        <w:gridCol w:w="970"/>
        <w:gridCol w:w="700"/>
        <w:gridCol w:w="293"/>
        <w:gridCol w:w="1094"/>
        <w:gridCol w:w="181"/>
        <w:gridCol w:w="1417"/>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深圳市博益投资 发展有限公司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7,742,000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26,000,000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3,900,000</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石河子欣晟股权 投资有限合伙企 业</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施玉庆</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3,746,000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3,746,000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3,746,000</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3,288,806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3,288,806</w:t>
            </w:r>
          </w:p>
        </w:tc>
        <w:tc>
          <w:tcPr>
            <w:tcW w:w="970"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3,288,806</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2,400,000</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林仙琴</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2,377,776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2,377,776</w:t>
            </w:r>
          </w:p>
        </w:tc>
        <w:tc>
          <w:tcPr>
            <w:tcW w:w="970"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2,377,776</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中国民生银行股 份有限公司－华 商领先企业混合 型证券投资基金</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2,007,196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335,459</w:t>
            </w:r>
          </w:p>
        </w:tc>
        <w:tc>
          <w:tcPr>
            <w:tcW w:w="970"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8" w:right="0"/>
              <w:jc w:val="left"/>
              <w:rPr>
                <w:rFonts w:ascii="Times New Roman" w:hAnsi="Times New Roman" w:cs="Times New Roman" w:eastAsia="Times New Roman" w:hint="default"/>
                <w:sz w:val="18"/>
                <w:szCs w:val="18"/>
              </w:rPr>
            </w:pPr>
            <w:r>
              <w:rPr>
                <w:rFonts w:ascii="Times New Roman"/>
                <w:sz w:val="18"/>
              </w:rPr>
              <w:t>2,007,196</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49" w:type="dxa"/>
            <w:gridSpan w:val="9"/>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49" w:type="dxa"/>
            <w:gridSpan w:val="9"/>
            <w:vMerge w:val="restart"/>
            <w:tcBorders>
              <w:top w:val="single" w:sz="4" w:space="0" w:color="000000"/>
              <w:left w:val="single" w:sz="9" w:space="0" w:color="D2D2D2"/>
              <w:right w:val="single" w:sz="4" w:space="0" w:color="000000"/>
            </w:tcBorders>
            <w:shd w:val="clear" w:color="auto" w:fill="CCE8CF"/>
          </w:tcPr>
          <w:p>
            <w:pPr>
              <w:pStyle w:val="TableParagraph"/>
              <w:spacing w:line="309"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柯宗庆和柯宗贵为兄弟，马美容是公司股东柯宗庆、柯宗贵的兄弟的配偶；田泽训、林仙 琴、陈娟娟、潘加波、黄秀玉、黄丽爱、陈海涛、田汉镇、周俊驹、田少武共</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位股东系 一致行动关系。</w:t>
            </w:r>
          </w:p>
        </w:tc>
      </w:tr>
      <w:tr>
        <w:trPr>
          <w:trHeight w:val="705" w:hRule="exact"/>
        </w:trPr>
        <w:tc>
          <w:tcPr>
            <w:tcW w:w="27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149" w:type="dxa"/>
            <w:gridSpan w:val="9"/>
            <w:vMerge/>
            <w:tcBorders>
              <w:left w:val="single" w:sz="9" w:space="0" w:color="D2D2D2"/>
              <w:right w:val="single" w:sz="4" w:space="0" w:color="000000"/>
            </w:tcBorders>
            <w:shd w:val="clear" w:color="auto" w:fill="CCE8CF"/>
          </w:tcPr>
          <w:p>
            <w:pPr/>
          </w:p>
        </w:tc>
      </w:tr>
      <w:tr>
        <w:trPr>
          <w:trHeight w:val="161" w:hRule="exact"/>
        </w:trPr>
        <w:tc>
          <w:tcPr>
            <w:tcW w:w="2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49" w:type="dxa"/>
            <w:gridSpan w:val="9"/>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99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98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86"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75"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59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26,000,000</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施玉庆</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3,746,000</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3,288,806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3,288,806</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林仙琴</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2,377,776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2,377,776</w:t>
            </w:r>
          </w:p>
        </w:tc>
      </w:tr>
      <w:tr>
        <w:trPr>
          <w:trHeight w:val="714"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 领先企业混合型证券投资基金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2,007,196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2,007,196</w:t>
            </w:r>
          </w:p>
        </w:tc>
      </w:tr>
      <w:tr>
        <w:trPr>
          <w:trHeight w:val="1026"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中国建设银行股份有限公司－华商 价值共享灵活配置混合型发起式证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2,003,669</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2,003,669</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陈娟娟</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1,911,400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1,911,400</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潘加波</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1,778,026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1,778,026</w:t>
            </w:r>
          </w:p>
        </w:tc>
      </w:tr>
      <w:tr>
        <w:trPr>
          <w:trHeight w:val="402" w:hRule="exact"/>
        </w:trPr>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黄秀玉</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1,560,917</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1,560,917</w:t>
            </w:r>
          </w:p>
        </w:tc>
      </w:tr>
      <w:tr>
        <w:trPr>
          <w:trHeight w:val="362" w:hRule="exact"/>
        </w:trPr>
        <w:tc>
          <w:tcPr>
            <w:tcW w:w="2775" w:type="dxa"/>
            <w:gridSpan w:val="2"/>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名无限售流通股股东之间，以</w:t>
            </w:r>
          </w:p>
        </w:tc>
        <w:tc>
          <w:tcPr>
            <w:tcW w:w="7149" w:type="dxa"/>
            <w:gridSpan w:val="9"/>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田泽训、林仙琴、陈娟娟、潘加波、黄秀玉、黄丽爱、陈海涛、田汉镇、周俊驹、田少武</w:t>
            </w:r>
          </w:p>
        </w:tc>
      </w:tr>
    </w:tbl>
    <w:p>
      <w:pPr>
        <w:spacing w:after="0" w:line="240" w:lineRule="auto"/>
        <w:jc w:val="left"/>
        <w:rPr>
          <w:rFonts w:ascii="宋体" w:hAnsi="宋体" w:cs="宋体" w:eastAsia="宋体" w:hint="default"/>
          <w:sz w:val="18"/>
          <w:szCs w:val="18"/>
        </w:rPr>
        <w:sectPr>
          <w:pgSz w:w="11910" w:h="16840"/>
          <w:pgMar w:header="877" w:footer="979" w:top="1100" w:bottom="1160" w:left="880" w:right="880"/>
        </w:sectPr>
      </w:pPr>
    </w:p>
    <w:p>
      <w:pPr>
        <w:spacing w:line="240" w:lineRule="auto" w:before="10"/>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775"/>
        <w:gridCol w:w="7149"/>
      </w:tblGrid>
      <w:tr>
        <w:trPr>
          <w:trHeight w:val="986" w:hRule="exact"/>
        </w:trPr>
        <w:tc>
          <w:tcPr>
            <w:tcW w:w="2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p>
          <w:p>
            <w:pPr>
              <w:pStyle w:val="TableParagraph"/>
              <w:spacing w:line="302" w:lineRule="auto" w:before="63"/>
              <w:ind w:left="22"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 动的说明</w:t>
            </w:r>
          </w:p>
        </w:tc>
        <w:tc>
          <w:tcPr>
            <w:tcW w:w="71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位股东系一致行动关系。</w:t>
            </w:r>
          </w:p>
        </w:tc>
      </w:tr>
      <w:tr>
        <w:trPr>
          <w:trHeight w:val="2274" w:hRule="exact"/>
        </w:trPr>
        <w:tc>
          <w:tcPr>
            <w:tcW w:w="2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股东施玉庆通过中国银河证券股份有限公司客户信用交易担保证券账户持有公司股票</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3,746,000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股；股东田泽训通过海通证券股份有限公司客户信用交易担保证券账户持有公司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3,288,806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股；股东林仙琴通过东北证券股份有限公司客户信用交易担保证券账户持有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公司股票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2,377,776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股；股东陈娟娟通过海通证券股份有限公司客户信用交易担保证券账户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持有公司股票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1,911,400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股；股东潘加波通过东北证券股份有限公司客户信用交易担保证券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1,778,026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股；股东黄秀玉通过东北证券股份有限公司客户信用交易担保</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1,560,917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26"/>
        <w:ind w:left="254" w:right="3173"/>
        <w:jc w:val="left"/>
      </w:pPr>
      <w:r>
        <w:rPr/>
        <w:t>公司股东在报告期内是否进行约定购回交易</w:t>
      </w:r>
    </w:p>
    <w:p>
      <w:pPr>
        <w:spacing w:line="240" w:lineRule="auto" w:before="6"/>
        <w:rPr>
          <w:rFonts w:ascii="宋体" w:hAnsi="宋体" w:cs="宋体" w:eastAsia="宋体" w:hint="default"/>
          <w:sz w:val="15"/>
          <w:szCs w:val="15"/>
        </w:rPr>
      </w:pPr>
    </w:p>
    <w:p>
      <w:pPr>
        <w:spacing w:before="0"/>
        <w:ind w:left="254" w:right="3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31" w:lineRule="auto" w:before="155"/>
        <w:ind w:left="253" w:right="0"/>
        <w:jc w:val="left"/>
      </w:pPr>
      <w:r>
        <w:rPr/>
        <w:t>公司股东：深圳市博益投资发展有限公司于</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17 </w:t>
      </w:r>
      <w:r>
        <w:rPr/>
        <w:t>日将其持有的本公司股份</w:t>
      </w:r>
      <w:r>
        <w:rPr>
          <w:rFonts w:ascii="Times New Roman" w:hAnsi="Times New Roman" w:cs="Times New Roman" w:eastAsia="Times New Roman" w:hint="default"/>
        </w:rPr>
        <w:t>774.2</w:t>
      </w:r>
      <w:r>
        <w:rPr>
          <w:rFonts w:ascii="Times New Roman" w:hAnsi="Times New Roman" w:cs="Times New Roman" w:eastAsia="Times New Roman" w:hint="default"/>
          <w:spacing w:val="16"/>
        </w:rPr>
        <w:t> </w:t>
      </w:r>
      <w:r>
        <w:rPr/>
        <w:t>万股办理了约 定购回式证券交易延期购回手续，上述股份现已到期，博益投资已于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日将约定购回式证劵 交易的</w:t>
      </w:r>
      <w:r>
        <w:rPr>
          <w:rFonts w:ascii="Times New Roman" w:hAnsi="Times New Roman" w:cs="Times New Roman" w:eastAsia="Times New Roman" w:hint="default"/>
        </w:rPr>
        <w:t>774.2</w:t>
      </w:r>
      <w:r>
        <w:rPr>
          <w:rFonts w:ascii="Times New Roman" w:hAnsi="Times New Roman" w:cs="Times New Roman" w:eastAsia="Times New Roman" w:hint="default"/>
          <w:spacing w:val="29"/>
        </w:rPr>
        <w:t> </w:t>
      </w:r>
      <w:r>
        <w:rPr/>
        <w:t>万股全部购回，其持股数由</w:t>
      </w:r>
      <w:r>
        <w:rPr>
          <w:rFonts w:ascii="Times New Roman" w:hAnsi="Times New Roman" w:cs="Times New Roman" w:eastAsia="Times New Roman" w:hint="default"/>
        </w:rPr>
        <w:t>1825.8</w:t>
      </w:r>
      <w:r>
        <w:rPr/>
        <w:t>万股升至</w:t>
      </w:r>
      <w:r>
        <w:rPr>
          <w:rFonts w:ascii="Times New Roman" w:hAnsi="Times New Roman" w:cs="Times New Roman" w:eastAsia="Times New Roman" w:hint="default"/>
        </w:rPr>
        <w:t>2600</w:t>
      </w:r>
      <w:r>
        <w:rPr/>
        <w:t>万股，占公司股本的比例为</w:t>
      </w:r>
      <w:r>
        <w:rPr>
          <w:rFonts w:ascii="Times New Roman" w:hAnsi="Times New Roman" w:cs="Times New Roman" w:eastAsia="Times New Roman" w:hint="default"/>
        </w:rPr>
        <w:t>13.27%</w:t>
      </w:r>
      <w:r>
        <w:rPr/>
        <w:t>。截至</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日公司股东无正在进行的约定购回交易。</w:t>
      </w:r>
    </w:p>
    <w:p>
      <w:pPr>
        <w:spacing w:line="240" w:lineRule="auto" w:before="10"/>
        <w:rPr>
          <w:rFonts w:ascii="宋体" w:hAnsi="宋体" w:cs="宋体" w:eastAsia="宋体" w:hint="default"/>
          <w:sz w:val="17"/>
          <w:szCs w:val="17"/>
        </w:rPr>
      </w:pPr>
    </w:p>
    <w:p>
      <w:pPr>
        <w:spacing w:line="506" w:lineRule="auto" w:before="0"/>
        <w:ind w:left="254" w:right="7870" w:firstLine="0"/>
        <w:jc w:val="left"/>
        <w:rPr>
          <w:rFonts w:ascii="宋体" w:hAnsi="宋体" w:cs="宋体" w:eastAsia="宋体" w:hint="default"/>
          <w:sz w:val="21"/>
          <w:szCs w:val="21"/>
        </w:rPr>
      </w:pPr>
      <w:r>
        <w:rPr/>
        <w:pict>
          <v:shape style="position:absolute;margin-left:56.459999pt;margin-top:48.923683pt;width:479.2pt;height:116.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46"/>
                    <w:gridCol w:w="4188"/>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年至今任本公司董事长。柯宗贵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年至今任本公司副董事长兼 总经理。</w:t>
                        </w:r>
                      </w:p>
                    </w:tc>
                  </w:tr>
                  <w:tr>
                    <w:trPr>
                      <w:trHeight w:val="402" w:hRule="exact"/>
                    </w:trPr>
                    <w:tc>
                      <w:tcPr>
                        <w:tcW w:w="333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2、公司控股股东情况" w:id="81"/>
      <w:bookmarkEnd w:id="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254" w:right="3173"/>
        <w:jc w:val="left"/>
      </w:pPr>
      <w:r>
        <w:rPr/>
        <w:t>控股股东报告期内变更</w:t>
      </w:r>
    </w:p>
    <w:p>
      <w:pPr>
        <w:spacing w:before="103"/>
        <w:ind w:left="254" w:right="3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253" w:right="3173"/>
        <w:jc w:val="left"/>
      </w:pPr>
      <w:r>
        <w:rPr/>
        <w:t>公司报告期控股股东未发生变更。</w:t>
      </w:r>
    </w:p>
    <w:p>
      <w:pPr>
        <w:spacing w:line="240" w:lineRule="auto" w:before="10"/>
        <w:rPr>
          <w:rFonts w:ascii="宋体" w:hAnsi="宋体" w:cs="宋体" w:eastAsia="宋体" w:hint="default"/>
          <w:sz w:val="25"/>
          <w:szCs w:val="25"/>
        </w:rPr>
      </w:pPr>
    </w:p>
    <w:p>
      <w:pPr>
        <w:pStyle w:val="Heading3"/>
        <w:spacing w:line="506" w:lineRule="auto"/>
        <w:ind w:left="253" w:right="7660"/>
        <w:jc w:val="left"/>
        <w:rPr>
          <w:rFonts w:ascii="宋体" w:hAnsi="宋体" w:cs="宋体" w:eastAsia="宋体" w:hint="default"/>
          <w:b w:val="0"/>
          <w:bCs w:val="0"/>
        </w:rPr>
      </w:pPr>
      <w:r>
        <w:rPr/>
        <w:pict>
          <v:shape style="position:absolute;margin-left:56.459999pt;margin-top:48.983669pt;width:479.2pt;height:116.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9"/>
                    <w:gridCol w:w="2007"/>
                    <w:gridCol w:w="4133"/>
                  </w:tblGrid>
                  <w:tr>
                    <w:trPr>
                      <w:trHeight w:val="397" w:hRule="exact"/>
                    </w:trPr>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29"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年至今任本公司副董事长 兼总经理。</w:t>
                        </w:r>
                      </w:p>
                    </w:tc>
                  </w:tr>
                  <w:tr>
                    <w:trPr>
                      <w:trHeight w:val="402" w:hRule="exact"/>
                    </w:trPr>
                    <w:tc>
                      <w:tcPr>
                        <w:tcW w:w="3429"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3、公司实际控制人情况" w:id="82"/>
      <w:bookmarkEnd w:id="82"/>
      <w:r>
        <w:rPr>
          <w:b w:val="0"/>
          <w:bCs w:val="0"/>
        </w:rPr>
      </w:r>
      <w:r>
        <w:rPr>
          <w:rFonts w:ascii="Times New Roman" w:hAnsi="Times New Roman" w:cs="Times New Roman" w:eastAsia="Times New Roman" w:hint="default"/>
        </w:rPr>
        <w:t>3</w:t>
      </w:r>
      <w:r>
        <w:rPr/>
        <w:t>、公司实际控制人情况</w:t>
      </w:r>
      <w:r>
        <w:rPr>
          <w:w w:val="99"/>
        </w:rPr>
        <w:t> </w:t>
      </w:r>
      <w:r>
        <w:rPr>
          <w:rFonts w:ascii="宋体" w:hAnsi="宋体" w:cs="宋体" w:eastAsia="宋体" w:hint="default"/>
          <w:b w:val="0"/>
          <w:bCs w:val="0"/>
        </w:rPr>
        <w:t>自然人</w:t>
      </w:r>
    </w:p>
    <w:p>
      <w:pPr>
        <w:spacing w:after="0" w:line="506" w:lineRule="auto"/>
        <w:jc w:val="left"/>
        <w:rPr>
          <w:rFonts w:ascii="宋体" w:hAnsi="宋体" w:cs="宋体" w:eastAsia="宋体" w:hint="default"/>
        </w:rPr>
        <w:sectPr>
          <w:pgSz w:w="11910" w:h="16840"/>
          <w:pgMar w:header="877" w:footer="979" w:top="1100" w:bottom="1160" w:left="880" w:right="88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实际控制人报告期内变更</w:t>
      </w:r>
    </w:p>
    <w:p>
      <w:pPr>
        <w:spacing w:line="240" w:lineRule="auto" w:before="4"/>
        <w:rPr>
          <w:rFonts w:ascii="宋体" w:hAnsi="宋体" w:cs="宋体" w:eastAsia="宋体" w:hint="default"/>
          <w:sz w:val="15"/>
          <w:szCs w:val="15"/>
        </w:rPr>
      </w:pPr>
    </w:p>
    <w:p>
      <w:pPr>
        <w:spacing w:line="388" w:lineRule="auto" w:before="0"/>
        <w:ind w:left="153" w:right="515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公司报告期实际控制人未发生变更。</w:t>
      </w:r>
      <w:r>
        <w:rPr>
          <w:rFonts w:ascii="宋体" w:hAnsi="宋体" w:cs="宋体" w:eastAsia="宋体" w:hint="default"/>
          <w:sz w:val="21"/>
          <w:szCs w:val="21"/>
        </w:rPr>
        <w:t> 公司与实际控制人之间的产权及控制关系的方框图</w:t>
      </w:r>
    </w:p>
    <w:p>
      <w:pPr>
        <w:spacing w:line="240" w:lineRule="auto" w:before="1"/>
        <w:rPr>
          <w:rFonts w:ascii="宋体" w:hAnsi="宋体" w:cs="宋体" w:eastAsia="宋体" w:hint="default"/>
          <w:sz w:val="12"/>
          <w:szCs w:val="12"/>
        </w:rPr>
      </w:pPr>
    </w:p>
    <w:p>
      <w:pPr>
        <w:spacing w:line="2415" w:lineRule="exact"/>
        <w:ind w:left="1356"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593589" cy="15335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2" cstate="print"/>
                    <a:stretch>
                      <a:fillRect/>
                    </a:stretch>
                  </pic:blipFill>
                  <pic:spPr>
                    <a:xfrm>
                      <a:off x="0" y="0"/>
                      <a:ext cx="4593589" cy="153352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7"/>
        <w:rPr>
          <w:rFonts w:ascii="宋体" w:hAnsi="宋体" w:cs="宋体" w:eastAsia="宋体" w:hint="default"/>
          <w:sz w:val="15"/>
          <w:szCs w:val="15"/>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83"/>
      <w:bookmarkEnd w:id="8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5"/>
        <w:gridCol w:w="1592"/>
        <w:gridCol w:w="1385"/>
        <w:gridCol w:w="1789"/>
      </w:tblGrid>
      <w:tr>
        <w:trPr>
          <w:trHeight w:val="710"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95" w:right="10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5" w:right="72"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031" w:hRule="exact"/>
        </w:trPr>
        <w:tc>
          <w:tcPr>
            <w:tcW w:w="2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2" w:right="168"/>
              <w:jc w:val="left"/>
              <w:rPr>
                <w:rFonts w:ascii="宋体" w:hAnsi="宋体" w:cs="宋体" w:eastAsia="宋体" w:hint="default"/>
                <w:sz w:val="18"/>
                <w:szCs w:val="18"/>
              </w:rPr>
            </w:pPr>
            <w:r>
              <w:rPr>
                <w:rFonts w:ascii="宋体" w:hAnsi="宋体" w:cs="宋体" w:eastAsia="宋体" w:hint="default"/>
                <w:sz w:val="18"/>
                <w:szCs w:val="18"/>
              </w:rPr>
              <w:t>深圳市博益投资发展有限 公司</w:t>
            </w:r>
          </w:p>
        </w:tc>
        <w:tc>
          <w:tcPr>
            <w:tcW w:w="15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2000</w:t>
            </w:r>
          </w:p>
        </w:tc>
        <w:tc>
          <w:tcPr>
            <w:tcW w:w="17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44" w:firstLine="90"/>
              <w:jc w:val="left"/>
              <w:rPr>
                <w:rFonts w:ascii="宋体" w:hAnsi="宋体" w:cs="宋体" w:eastAsia="宋体" w:hint="default"/>
                <w:sz w:val="18"/>
                <w:szCs w:val="18"/>
              </w:rPr>
            </w:pPr>
            <w:r>
              <w:rPr>
                <w:rFonts w:ascii="宋体" w:hAnsi="宋体" w:cs="宋体" w:eastAsia="宋体" w:hint="default"/>
                <w:sz w:val="18"/>
                <w:szCs w:val="18"/>
              </w:rPr>
              <w:t>投资兴办实业；投资 信息咨询及其他经济 信息咨询</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前10吊限售条件股东持股数量及限售条件" w:id="84"/>
      <w:bookmarkEnd w:id="84"/>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37,381,400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37,381,400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石河子欣晟股权投资有 限合伙企业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200" w:right="0"/>
        <w:jc w:val="left"/>
        <w:rPr>
          <w:b w:val="0"/>
          <w:bCs w:val="0"/>
        </w:rPr>
      </w:pPr>
      <w:bookmarkStart w:name="第七节 董事、监事、高级管理人员和员工情况" w:id="85"/>
      <w:bookmarkEnd w:id="85"/>
      <w:r>
        <w:rPr>
          <w:b w:val="0"/>
          <w:bCs w:val="0"/>
        </w:rPr>
      </w:r>
      <w:bookmarkStart w:name="_bookmark6" w:id="86"/>
      <w:bookmarkEnd w:id="86"/>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left="673" w:right="0"/>
        <w:jc w:val="left"/>
        <w:rPr>
          <w:b w:val="0"/>
          <w:bCs w:val="0"/>
        </w:rPr>
      </w:pPr>
      <w:bookmarkStart w:name="一、董事、监事和高级管理人员持股变动" w:id="87"/>
      <w:bookmarkEnd w:id="87"/>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3" w:right="0"/>
        <w:jc w:val="left"/>
        <w:rPr>
          <w:b w:val="0"/>
          <w:bCs w:val="0"/>
        </w:rPr>
      </w:pPr>
      <w:bookmarkStart w:name="1、持股情况" w:id="88"/>
      <w:bookmarkEnd w:id="88"/>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709"/>
        <w:gridCol w:w="981"/>
        <w:gridCol w:w="579"/>
        <w:gridCol w:w="708"/>
        <w:gridCol w:w="709"/>
        <w:gridCol w:w="993"/>
        <w:gridCol w:w="851"/>
        <w:gridCol w:w="708"/>
        <w:gridCol w:w="994"/>
        <w:gridCol w:w="708"/>
        <w:gridCol w:w="708"/>
        <w:gridCol w:w="709"/>
        <w:gridCol w:w="709"/>
        <w:gridCol w:w="708"/>
      </w:tblGrid>
      <w:tr>
        <w:trPr>
          <w:trHeight w:val="2274"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0" w:right="77"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hanging="70"/>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7"/>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p>
            <w:pPr>
              <w:pStyle w:val="TableParagraph"/>
              <w:spacing w:line="240" w:lineRule="auto" w:before="20"/>
              <w:ind w:left="8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4" w:hanging="68"/>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7" w:right="78"/>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37,381,400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37,381,400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37,381,400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37,381,400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离任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离任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9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77,355,200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77,355,200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460" w:right="440"/>
        </w:sectPr>
      </w:pPr>
    </w:p>
    <w:p>
      <w:pPr>
        <w:spacing w:line="240" w:lineRule="auto" w:before="10"/>
        <w:rPr>
          <w:rFonts w:ascii="宋体" w:hAnsi="宋体" w:cs="宋体" w:eastAsia="宋体" w:hint="default"/>
          <w:sz w:val="20"/>
          <w:szCs w:val="20"/>
        </w:rPr>
      </w:pPr>
    </w:p>
    <w:p>
      <w:pPr>
        <w:pStyle w:val="Heading3"/>
        <w:spacing w:line="506" w:lineRule="auto" w:before="35"/>
        <w:ind w:left="153" w:right="7771"/>
        <w:jc w:val="left"/>
        <w:rPr>
          <w:rFonts w:ascii="宋体" w:hAnsi="宋体" w:cs="宋体" w:eastAsia="宋体" w:hint="default"/>
          <w:b w:val="0"/>
          <w:bCs w:val="0"/>
        </w:rPr>
      </w:pPr>
      <w:bookmarkStart w:name="2、持有股票期权情况" w:id="89"/>
      <w:bookmarkEnd w:id="89"/>
      <w:r>
        <w:rPr>
          <w:b w:val="0"/>
          <w:bCs w:val="0"/>
        </w:rPr>
      </w:r>
      <w:r>
        <w:rPr>
          <w:rFonts w:ascii="Times New Roman" w:hAnsi="Times New Roman" w:cs="Times New Roman" w:eastAsia="Times New Roman" w:hint="default"/>
        </w:rPr>
        <w:t>2</w:t>
      </w:r>
      <w:r>
        <w:rPr/>
        <w:t>、持有股票期权情况</w:t>
      </w:r>
      <w:r>
        <w:rPr>
          <w:w w:val="99"/>
        </w:rPr>
        <w:t> </w:t>
      </w:r>
      <w:r>
        <w:rPr>
          <w:rFonts w:ascii="宋体" w:hAnsi="宋体" w:cs="宋体" w:eastAsia="宋体" w:hint="default"/>
          <w:b w:val="0"/>
          <w:bCs w:val="0"/>
        </w:rPr>
        <w:t>无</w:t>
      </w:r>
    </w:p>
    <w:p>
      <w:pPr>
        <w:pStyle w:val="Heading2"/>
        <w:spacing w:line="240" w:lineRule="auto" w:before="80"/>
        <w:ind w:left="154" w:right="0"/>
        <w:jc w:val="left"/>
        <w:rPr>
          <w:b w:val="0"/>
          <w:bCs w:val="0"/>
        </w:rPr>
      </w:pPr>
      <w:bookmarkStart w:name="二、任职情况" w:id="90"/>
      <w:bookmarkEnd w:id="90"/>
      <w:r>
        <w:rPr>
          <w:b w:val="0"/>
          <w:bCs w:val="0"/>
        </w:rPr>
      </w:r>
      <w:r>
        <w:rPr/>
        <w:t>二、任职情况</w:t>
      </w:r>
      <w:r>
        <w:rPr>
          <w:b w:val="0"/>
          <w:bCs w:val="0"/>
        </w:rPr>
      </w:r>
    </w:p>
    <w:p>
      <w:pPr>
        <w:spacing w:line="240" w:lineRule="auto" w:before="0"/>
        <w:rPr>
          <w:rFonts w:ascii="宋体" w:hAnsi="宋体" w:cs="宋体" w:eastAsia="宋体" w:hint="default"/>
          <w:b/>
          <w:bCs/>
          <w:sz w:val="29"/>
          <w:szCs w:val="29"/>
        </w:rPr>
      </w:pPr>
    </w:p>
    <w:p>
      <w:pPr>
        <w:pStyle w:val="BodyText"/>
        <w:spacing w:line="240" w:lineRule="auto"/>
        <w:ind w:left="573" w:right="0"/>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97" w:lineRule="auto" w:before="109"/>
        <w:ind w:left="573" w:right="4570" w:firstLine="2"/>
        <w:jc w:val="left"/>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spacing w:val="1"/>
          <w:w w:val="99"/>
        </w:rPr>
        <w:t> </w:t>
      </w:r>
      <w:r>
        <w:rPr/>
        <w:t>公司董事会由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 柯宗庆：详见</w:t>
      </w:r>
      <w:r>
        <w:rPr>
          <w:rFonts w:ascii="Times New Roman" w:hAnsi="Times New Roman" w:cs="Times New Roman" w:eastAsia="Times New Roman" w:hint="default"/>
        </w:rPr>
        <w:t>“</w:t>
      </w:r>
      <w:r>
        <w:rPr/>
        <w:t>第六节</w:t>
      </w:r>
      <w:r>
        <w:rPr>
          <w:spacing w:val="-23"/>
        </w:rPr>
        <w:t> </w:t>
      </w:r>
      <w:r>
        <w:rPr/>
        <w:t>三、</w:t>
      </w:r>
      <w:r>
        <w:rPr>
          <w:rFonts w:ascii="Times New Roman" w:hAnsi="Times New Roman" w:cs="Times New Roman" w:eastAsia="Times New Roman" w:hint="default"/>
        </w:rPr>
        <w:t>2</w:t>
      </w:r>
      <w:r>
        <w:rPr/>
        <w:t>、公司控股股东情况</w:t>
      </w:r>
      <w:r>
        <w:rPr>
          <w:rFonts w:ascii="Times New Roman" w:hAnsi="Times New Roman" w:cs="Times New Roman" w:eastAsia="Times New Roman" w:hint="default"/>
        </w:rPr>
        <w:t>”</w:t>
      </w:r>
      <w:r>
        <w:rPr/>
        <w:t>。 柯宗贵：详见</w:t>
      </w:r>
      <w:r>
        <w:rPr>
          <w:rFonts w:ascii="Times New Roman" w:hAnsi="Times New Roman" w:cs="Times New Roman" w:eastAsia="Times New Roman" w:hint="default"/>
        </w:rPr>
        <w:t>“</w:t>
      </w:r>
      <w:r>
        <w:rPr/>
        <w:t>第六节</w:t>
      </w:r>
      <w:r>
        <w:rPr>
          <w:spacing w:val="-23"/>
        </w:rPr>
        <w:t> </w:t>
      </w:r>
      <w:r>
        <w:rPr/>
        <w:t>三、</w:t>
      </w:r>
      <w:r>
        <w:rPr>
          <w:rFonts w:ascii="Times New Roman" w:hAnsi="Times New Roman" w:cs="Times New Roman" w:eastAsia="Times New Roman" w:hint="default"/>
        </w:rPr>
        <w:t>2</w:t>
      </w:r>
      <w:r>
        <w:rPr/>
        <w:t>、公司控股股东情况</w:t>
      </w:r>
      <w:r>
        <w:rPr>
          <w:rFonts w:ascii="Times New Roman" w:hAnsi="Times New Roman" w:cs="Times New Roman" w:eastAsia="Times New Roman" w:hint="default"/>
        </w:rPr>
        <w:t>”</w:t>
      </w:r>
      <w:r>
        <w:rPr/>
        <w:t>。</w:t>
      </w:r>
    </w:p>
    <w:p>
      <w:pPr>
        <w:pStyle w:val="BodyText"/>
        <w:spacing w:line="297" w:lineRule="auto" w:before="13"/>
        <w:ind w:right="218" w:firstLine="420"/>
        <w:jc w:val="left"/>
      </w:pPr>
      <w:r>
        <w:rPr/>
        <w:t>黄泽华：男，</w:t>
      </w:r>
      <w:r>
        <w:rPr>
          <w:rFonts w:ascii="Times New Roman" w:hAnsi="Times New Roman" w:cs="Times New Roman" w:eastAsia="Times New Roman" w:hint="default"/>
        </w:rPr>
        <w:t>1969</w:t>
      </w:r>
      <w:r>
        <w:rPr/>
        <w:t>年出生，中国国籍，无境外永久居留权。</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 数码技术有限公司营销部副总经理；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月任蓝盾信息安全技术股份有限公司监事会主 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月至今任蓝盾信息安全技术股份有限公司董事、副总经理。</w:t>
      </w:r>
    </w:p>
    <w:p>
      <w:pPr>
        <w:pStyle w:val="BodyText"/>
        <w:spacing w:line="304" w:lineRule="auto" w:before="13"/>
        <w:ind w:right="0" w:firstLine="420"/>
        <w:jc w:val="left"/>
      </w:pPr>
      <w:r>
        <w:rPr>
          <w:spacing w:val="-1"/>
        </w:rPr>
        <w:t>刘天卓：女，</w:t>
      </w:r>
      <w:r>
        <w:rPr>
          <w:rFonts w:ascii="Times New Roman" w:hAnsi="Times New Roman" w:cs="Times New Roman" w:eastAsia="Times New Roman" w:hint="default"/>
          <w:spacing w:val="-1"/>
        </w:rPr>
        <w:t>1963</w:t>
      </w:r>
      <w:r>
        <w:rPr>
          <w:spacing w:val="-1"/>
        </w:rPr>
        <w:t>年出生，中国国籍，无境外永久居留权，</w:t>
      </w:r>
      <w:r>
        <w:rPr>
          <w:rFonts w:ascii="Times New Roman" w:hAnsi="Times New Roman" w:cs="Times New Roman" w:eastAsia="Times New Roman" w:hint="default"/>
          <w:spacing w:val="-1"/>
        </w:rPr>
        <w:t>1984</w:t>
      </w:r>
      <w:r>
        <w:rPr>
          <w:spacing w:val="-1"/>
        </w:rPr>
        <w:t>年毕业于北京大学第二分校计算机软</w:t>
      </w:r>
      <w:r>
        <w:rPr/>
        <w:t> </w:t>
      </w:r>
      <w:r>
        <w:rPr>
          <w:spacing w:val="-1"/>
        </w:rPr>
        <w:t>件专业，获学士学位，高级工程师。毕业至今在中国软件与技术服务股份有限公司任职，先后曾经担任公</w:t>
      </w:r>
      <w:r>
        <w:rPr>
          <w:spacing w:val="-86"/>
        </w:rPr>
        <w:t> </w:t>
      </w:r>
      <w:r>
        <w:rPr>
          <w:spacing w:val="-86"/>
        </w:rPr>
      </w:r>
      <w:r>
        <w:rPr>
          <w:spacing w:val="-1"/>
        </w:rPr>
        <w:t>司副总经理、副总工程师、研究院院长助理等职务。目前是北京爱创科技股份有限公司董事，中国电子学</w:t>
      </w:r>
      <w:r>
        <w:rPr>
          <w:spacing w:val="-84"/>
        </w:rPr>
        <w:t> </w:t>
      </w:r>
      <w:r>
        <w:rPr>
          <w:spacing w:val="-84"/>
        </w:rPr>
      </w:r>
      <w:r>
        <w:rPr/>
        <w:t>会高级会员，中国医药信息学会理事，中国计算机学会高级会员。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月至今任蓝盾信息安全技术股 份有限公司董事。</w:t>
      </w:r>
    </w:p>
    <w:p>
      <w:pPr>
        <w:pStyle w:val="BodyText"/>
        <w:spacing w:line="302" w:lineRule="auto" w:before="28"/>
        <w:ind w:right="150" w:firstLine="420"/>
        <w:jc w:val="both"/>
      </w:pPr>
      <w:r>
        <w:rPr>
          <w:spacing w:val="-1"/>
        </w:rPr>
        <w:t>赵庆伦：男，</w:t>
      </w:r>
      <w:r>
        <w:rPr>
          <w:rFonts w:ascii="Times New Roman" w:hAnsi="Times New Roman" w:cs="Times New Roman" w:eastAsia="Times New Roman" w:hint="default"/>
          <w:spacing w:val="-1"/>
        </w:rPr>
        <w:t>1957</w:t>
      </w:r>
      <w:r>
        <w:rPr>
          <w:spacing w:val="-1"/>
        </w:rPr>
        <w:t>年出生，中国国籍，无境外永久居留权。</w:t>
      </w:r>
      <w:r>
        <w:rPr>
          <w:rFonts w:ascii="Times New Roman" w:hAnsi="Times New Roman" w:cs="Times New Roman" w:eastAsia="Times New Roman" w:hint="default"/>
          <w:spacing w:val="-1"/>
        </w:rPr>
        <w:t>1979</w:t>
      </w:r>
      <w:r>
        <w:rPr>
          <w:spacing w:val="-1"/>
        </w:rPr>
        <w:t>年毕业于中南林学院森林工业系运输</w:t>
      </w:r>
      <w:r>
        <w:rPr/>
        <w:t> </w:t>
      </w:r>
      <w:r>
        <w:rPr>
          <w:spacing w:val="-1"/>
        </w:rPr>
        <w:t>机械专业。获讲师职称。</w:t>
      </w:r>
      <w:r>
        <w:rPr>
          <w:rFonts w:ascii="Times New Roman" w:hAnsi="Times New Roman" w:cs="Times New Roman" w:eastAsia="Times New Roman" w:hint="default"/>
          <w:spacing w:val="-1"/>
        </w:rPr>
        <w:t>1974</w:t>
      </w:r>
      <w:r>
        <w:rPr>
          <w:spacing w:val="-1"/>
        </w:rPr>
        <w:t>年参加工作，</w:t>
      </w:r>
      <w:r>
        <w:rPr>
          <w:rFonts w:ascii="Times New Roman" w:hAnsi="Times New Roman" w:cs="Times New Roman" w:eastAsia="Times New Roman" w:hint="default"/>
          <w:spacing w:val="-1"/>
        </w:rPr>
        <w:t>2004</w:t>
      </w:r>
      <w:r>
        <w:rPr>
          <w:spacing w:val="-1"/>
        </w:rPr>
        <w:t>年退休。曾任职于广东省林业厅下属林场，任副场长；曾</w:t>
      </w:r>
      <w:r>
        <w:rPr>
          <w:spacing w:val="-82"/>
        </w:rPr>
        <w:t> </w:t>
      </w:r>
      <w:r>
        <w:rPr>
          <w:spacing w:val="-82"/>
        </w:rPr>
      </w:r>
      <w:r>
        <w:rPr>
          <w:spacing w:val="-1"/>
        </w:rPr>
        <w:t>任职广东省林业中专学校，任党委副书记、副校长；曾任职广州市文化、广播电视、新闻出版局，任办公</w:t>
      </w:r>
      <w:r>
        <w:rPr>
          <w:spacing w:val="-83"/>
        </w:rPr>
        <w:t> </w:t>
      </w:r>
      <w:r>
        <w:rPr>
          <w:spacing w:val="-83"/>
        </w:rPr>
      </w:r>
      <w:r>
        <w:rPr>
          <w:spacing w:val="-3"/>
        </w:rPr>
        <w:t>室副主任、事业处处长、科技处处长、网络安全处处长</w:t>
      </w:r>
      <w:r>
        <w:rPr>
          <w:rFonts w:ascii="Times New Roman" w:hAnsi="Times New Roman" w:cs="Times New Roman" w:eastAsia="Times New Roman" w:hint="default"/>
          <w:spacing w:val="-3"/>
        </w:rPr>
        <w:t>(</w:t>
      </w:r>
      <w:r>
        <w:rPr>
          <w:spacing w:val="-3"/>
        </w:rPr>
        <w:t>兼局机关党委委员、支部书记、广州市建筑智能化</w:t>
      </w:r>
      <w:r>
        <w:rPr>
          <w:spacing w:val="-60"/>
        </w:rPr>
        <w:t> </w:t>
      </w:r>
      <w:r>
        <w:rPr>
          <w:spacing w:val="-60"/>
        </w:rPr>
      </w:r>
      <w:r>
        <w:rPr/>
        <w:t>专家组成员</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月至今任蓝盾信息安全技术股份有限公司董事。</w:t>
      </w:r>
    </w:p>
    <w:p>
      <w:pPr>
        <w:pStyle w:val="BodyText"/>
        <w:spacing w:line="297" w:lineRule="auto" w:before="9"/>
        <w:ind w:right="233" w:firstLine="420"/>
        <w:jc w:val="both"/>
      </w:pPr>
      <w:r>
        <w:rPr/>
        <w:t>王丹舟：女，</w:t>
      </w:r>
      <w:r>
        <w:rPr>
          <w:rFonts w:ascii="Times New Roman" w:hAnsi="Times New Roman" w:cs="Times New Roman" w:eastAsia="Times New Roman" w:hint="default"/>
        </w:rPr>
        <w:t>1964</w:t>
      </w:r>
      <w:r>
        <w:rPr/>
        <w:t>年出生，中国国籍，无境外永久居留权。西南财经大学财务管理博士。</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 至今在暨南大学会计系工作，副教授。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月至今任中山达华智能科技股份有限公司独立董事，</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w:t>
      </w:r>
      <w:r>
        <w:rPr/>
        <w:t>月至今任深圳太辰光通信股份有限公司独立董事，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月至今任广东百合医疗科技股份有限公司 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月至今任蓝盾信息安全技术股份有限公司独立董事。</w:t>
      </w:r>
    </w:p>
    <w:p>
      <w:pPr>
        <w:pStyle w:val="BodyText"/>
        <w:spacing w:line="302" w:lineRule="auto" w:before="13"/>
        <w:ind w:right="130" w:firstLine="420"/>
        <w:jc w:val="both"/>
      </w:pPr>
      <w:r>
        <w:rPr>
          <w:spacing w:val="-1"/>
        </w:rPr>
        <w:t>徐超汉：男，</w:t>
      </w:r>
      <w:r>
        <w:rPr>
          <w:rFonts w:ascii="Times New Roman" w:hAnsi="Times New Roman" w:cs="Times New Roman" w:eastAsia="Times New Roman" w:hint="default"/>
          <w:spacing w:val="-1"/>
        </w:rPr>
        <w:t>1941</w:t>
      </w:r>
      <w:r>
        <w:rPr>
          <w:spacing w:val="-1"/>
        </w:rPr>
        <w:t>年出生，中国国籍，无境外永久居留权，著名信息安全专家。</w:t>
      </w:r>
      <w:r>
        <w:rPr>
          <w:rFonts w:ascii="Times New Roman" w:hAnsi="Times New Roman" w:cs="Times New Roman" w:eastAsia="Times New Roman" w:hint="default"/>
          <w:spacing w:val="-1"/>
        </w:rPr>
        <w:t>1965</w:t>
      </w:r>
      <w:r>
        <w:rPr>
          <w:spacing w:val="-1"/>
        </w:rPr>
        <w:t>年毕业于上海复</w:t>
      </w:r>
      <w:r>
        <w:rPr/>
        <w:t> 旦大学。</w:t>
      </w:r>
      <w:r>
        <w:rPr>
          <w:rFonts w:ascii="Times New Roman" w:hAnsi="Times New Roman" w:cs="Times New Roman" w:eastAsia="Times New Roman" w:hint="default"/>
        </w:rPr>
        <w:t>1997</w:t>
      </w:r>
      <w:r>
        <w:rPr/>
        <w:t>年至今任暨南大学信息技术应用研究所教授；历任</w:t>
      </w:r>
      <w:r>
        <w:rPr>
          <w:rFonts w:ascii="Times New Roman" w:hAnsi="Times New Roman" w:cs="Times New Roman" w:eastAsia="Times New Roman" w:hint="default"/>
        </w:rPr>
        <w:t>IBM</w:t>
      </w:r>
      <w:r>
        <w:rPr/>
        <w:t>中国用户协会副理事长、广东省计算 机协会副理事长、广州智能化小区评审委员会副组长、软件工程国家工程研究中心网络安全分中心主任；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月至今任蓝盾信息安全技术股份有限公司独立董事。</w:t>
      </w:r>
    </w:p>
    <w:p>
      <w:pPr>
        <w:pStyle w:val="BodyText"/>
        <w:spacing w:line="297" w:lineRule="auto" w:before="9"/>
        <w:ind w:right="151" w:firstLine="420"/>
        <w:jc w:val="both"/>
      </w:pPr>
      <w:r>
        <w:rPr>
          <w:spacing w:val="-1"/>
        </w:rPr>
        <w:t>谭晓燕：女，</w:t>
      </w:r>
      <w:r>
        <w:rPr>
          <w:rFonts w:ascii="Times New Roman" w:hAnsi="Times New Roman" w:cs="Times New Roman" w:eastAsia="Times New Roman" w:hint="default"/>
          <w:spacing w:val="-1"/>
        </w:rPr>
        <w:t>1975</w:t>
      </w:r>
      <w:r>
        <w:rPr>
          <w:spacing w:val="-1"/>
        </w:rPr>
        <w:t>年出生，中国国籍，无境外永久居留权。</w:t>
      </w:r>
      <w:r>
        <w:rPr>
          <w:rFonts w:ascii="Times New Roman" w:hAnsi="Times New Roman" w:cs="Times New Roman" w:eastAsia="Times New Roman" w:hint="default"/>
          <w:spacing w:val="-1"/>
        </w:rPr>
        <w:t>1998</w:t>
      </w:r>
      <w:r>
        <w:rPr>
          <w:spacing w:val="-1"/>
        </w:rPr>
        <w:t>年毕业于暨南大学会计系，获学士学</w:t>
      </w:r>
      <w:r>
        <w:rPr/>
        <w:t> </w:t>
      </w:r>
      <w:r>
        <w:rPr>
          <w:spacing w:val="-1"/>
        </w:rPr>
        <w:t>位；</w:t>
      </w:r>
      <w:r>
        <w:rPr>
          <w:rFonts w:ascii="Times New Roman" w:hAnsi="Times New Roman" w:cs="Times New Roman" w:eastAsia="Times New Roman" w:hint="default"/>
          <w:spacing w:val="-1"/>
        </w:rPr>
        <w:t>2002</w:t>
      </w:r>
      <w:r>
        <w:rPr>
          <w:spacing w:val="-1"/>
        </w:rPr>
        <w:t>年毕业于英国赫尔大学商学院，获工商管理硕士学位。</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月，为澳门科技大学</w:t>
      </w:r>
      <w:r>
        <w:rPr>
          <w:spacing w:val="-81"/>
        </w:rPr>
        <w:t> </w:t>
      </w:r>
      <w:r>
        <w:rPr>
          <w:spacing w:val="-81"/>
        </w:rPr>
      </w:r>
      <w:r>
        <w:rPr>
          <w:spacing w:val="-1"/>
        </w:rPr>
        <w:t>基金会属下医疗机构提供财务管理服务及优化动作建议；</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月，在广东天海威数码技术</w:t>
      </w:r>
      <w:r>
        <w:rPr>
          <w:spacing w:val="-78"/>
        </w:rPr>
        <w:t> </w:t>
      </w:r>
      <w:r>
        <w:rPr>
          <w:spacing w:val="-78"/>
        </w:rPr>
      </w:r>
      <w:r>
        <w:rPr>
          <w:spacing w:val="-1"/>
        </w:rPr>
        <w:t>有限公司任职；</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月任蓝盾信息安全技术股份有限公司董事会秘书；</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月至今任</w:t>
      </w:r>
      <w:r>
        <w:rPr>
          <w:spacing w:val="-79"/>
        </w:rPr>
        <w:t> </w:t>
      </w:r>
      <w:r>
        <w:rPr>
          <w:spacing w:val="-79"/>
        </w:rPr>
      </w:r>
      <w:r>
        <w:rPr/>
        <w:t>蓝盾信息安全技术股份有限公司副总经理，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月至今任公司董事。</w:t>
      </w:r>
    </w:p>
    <w:p>
      <w:pPr>
        <w:pStyle w:val="BodyText"/>
        <w:spacing w:line="297" w:lineRule="auto" w:before="13"/>
        <w:ind w:left="154" w:right="151" w:firstLine="420"/>
        <w:jc w:val="both"/>
      </w:pPr>
      <w:r>
        <w:rPr>
          <w:spacing w:val="-1"/>
        </w:rPr>
        <w:t>另外，公司原独立董事贺小勇先生因个人原因于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日申请辞去其所担任的公司独立董事及</w:t>
      </w:r>
      <w:r>
        <w:rPr/>
        <w:t> </w:t>
      </w:r>
      <w:r>
        <w:rPr>
          <w:spacing w:val="-1"/>
        </w:rPr>
        <w:t>董事会各专门委员会职务。报告期内，根据相关规定，在新的独立董事就任前，贺小勇先生继续履行了相</w:t>
      </w:r>
    </w:p>
    <w:p>
      <w:pPr>
        <w:spacing w:after="0" w:line="297" w:lineRule="auto"/>
        <w:jc w:val="both"/>
        <w:sectPr>
          <w:pgSz w:w="11910" w:h="16840"/>
          <w:pgMar w:header="877" w:footer="979" w:top="1100" w:bottom="1160" w:left="980" w:right="980"/>
        </w:sectPr>
      </w:pPr>
    </w:p>
    <w:p>
      <w:pPr>
        <w:spacing w:line="240" w:lineRule="auto" w:before="1"/>
        <w:rPr>
          <w:rFonts w:ascii="宋体" w:hAnsi="宋体" w:cs="宋体" w:eastAsia="宋体" w:hint="default"/>
          <w:sz w:val="25"/>
          <w:szCs w:val="25"/>
        </w:rPr>
      </w:pPr>
    </w:p>
    <w:p>
      <w:pPr>
        <w:pStyle w:val="BodyText"/>
        <w:spacing w:line="240" w:lineRule="auto" w:before="35"/>
        <w:ind w:left="576" w:right="358" w:hanging="423"/>
        <w:jc w:val="left"/>
      </w:pPr>
      <w:r>
        <w:rPr/>
        <w:t>关独立董事职务。</w:t>
      </w:r>
    </w:p>
    <w:p>
      <w:pPr>
        <w:spacing w:line="240" w:lineRule="auto" w:before="9"/>
        <w:rPr>
          <w:rFonts w:ascii="宋体" w:hAnsi="宋体" w:cs="宋体" w:eastAsia="宋体" w:hint="default"/>
          <w:sz w:val="15"/>
          <w:szCs w:val="15"/>
        </w:rPr>
      </w:pPr>
    </w:p>
    <w:p>
      <w:pPr>
        <w:pStyle w:val="BodyText"/>
        <w:spacing w:line="297" w:lineRule="auto"/>
        <w:ind w:left="573" w:right="358" w:firstLine="2"/>
        <w:jc w:val="left"/>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spacing w:val="1"/>
          <w:w w:val="99"/>
        </w:rPr>
        <w:t> </w:t>
      </w:r>
      <w:r>
        <w:rPr/>
        <w:t>陈文浩：男，</w:t>
      </w:r>
      <w:r>
        <w:rPr>
          <w:rFonts w:ascii="Times New Roman" w:hAnsi="Times New Roman" w:cs="Times New Roman" w:eastAsia="Times New Roman" w:hint="default"/>
        </w:rPr>
        <w:t>1971</w:t>
      </w:r>
      <w:r>
        <w:rPr/>
        <w:t>年出生，中国国籍，无境外永久居留权。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月毕业于广州通信学院；曾任广</w:t>
      </w:r>
    </w:p>
    <w:p>
      <w:pPr>
        <w:pStyle w:val="BodyText"/>
        <w:spacing w:line="297" w:lineRule="auto" w:before="14"/>
        <w:ind w:right="0"/>
        <w:jc w:val="left"/>
      </w:pPr>
      <w:r>
        <w:rPr/>
        <w:t>东水晶球技术发展有限公司工程师、广东天海威数码技术有限公司开发部副总经理；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 </w:t>
      </w:r>
      <w:r>
        <w:rPr>
          <w:spacing w:val="-1"/>
        </w:rPr>
        <w:t>月任蓝盾信息安全技术股份有限公司监事；</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月至今任蓝盾信息安全技术股份有限公司监事会主席。</w:t>
      </w:r>
    </w:p>
    <w:p>
      <w:pPr>
        <w:pStyle w:val="BodyText"/>
        <w:spacing w:line="302" w:lineRule="auto" w:before="13"/>
        <w:ind w:right="0" w:firstLine="420"/>
        <w:jc w:val="left"/>
      </w:pPr>
      <w:r>
        <w:rPr>
          <w:spacing w:val="-1"/>
        </w:rPr>
        <w:t>冯明强：男，</w:t>
      </w:r>
      <w:r>
        <w:rPr>
          <w:rFonts w:ascii="Times New Roman" w:hAnsi="Times New Roman" w:cs="Times New Roman" w:eastAsia="Times New Roman" w:hint="default"/>
          <w:spacing w:val="-1"/>
        </w:rPr>
        <w:t>1971</w:t>
      </w:r>
      <w:r>
        <w:rPr>
          <w:spacing w:val="-1"/>
        </w:rPr>
        <w:t>年出生，中国国籍，无境外永久居留权。</w:t>
      </w:r>
      <w:r>
        <w:rPr>
          <w:rFonts w:ascii="Times New Roman" w:hAnsi="Times New Roman" w:cs="Times New Roman" w:eastAsia="Times New Roman" w:hint="default"/>
          <w:spacing w:val="-1"/>
        </w:rPr>
        <w:t>1992</w:t>
      </w:r>
      <w:r>
        <w:rPr>
          <w:spacing w:val="-1"/>
        </w:rPr>
        <w:t>年毕业于四川技术学院电子信息工程</w:t>
      </w:r>
      <w:r>
        <w:rPr/>
        <w:t> </w:t>
      </w:r>
      <w:r>
        <w:rPr>
          <w:spacing w:val="-1"/>
        </w:rPr>
        <w:t>系，获学士学位。曾任四川成都新兴集团技术部经理、广东水晶球技术发展有限公司技术人员、广东天海</w:t>
      </w:r>
      <w:r>
        <w:rPr>
          <w:spacing w:val="-86"/>
        </w:rPr>
        <w:t> </w:t>
      </w:r>
      <w:r>
        <w:rPr>
          <w:spacing w:val="-86"/>
        </w:rPr>
      </w:r>
      <w:r>
        <w:rPr/>
        <w:t>威数码技术有限公司工程师；</w:t>
      </w:r>
      <w:r>
        <w:rPr>
          <w:rFonts w:ascii="Times New Roman" w:hAnsi="Times New Roman" w:cs="Times New Roman" w:eastAsia="Times New Roman" w:hint="default"/>
        </w:rPr>
        <w:t>2009</w:t>
      </w:r>
      <w:r>
        <w:rPr/>
        <w:t>年至今任蓝盾信息安全技术股份有限公司生产部主管；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月任蓝 盾信息安全技术股份有限公司监事。</w:t>
      </w:r>
    </w:p>
    <w:p>
      <w:pPr>
        <w:pStyle w:val="BodyText"/>
        <w:spacing w:line="297" w:lineRule="auto" w:before="30"/>
        <w:ind w:right="290" w:firstLine="420"/>
        <w:jc w:val="both"/>
      </w:pPr>
      <w:r>
        <w:rPr>
          <w:spacing w:val="-1"/>
        </w:rPr>
        <w:t>詹桂彬：男，</w:t>
      </w:r>
      <w:r>
        <w:rPr>
          <w:rFonts w:ascii="Times New Roman" w:hAnsi="Times New Roman" w:cs="Times New Roman" w:eastAsia="Times New Roman" w:hint="default"/>
          <w:spacing w:val="-1"/>
        </w:rPr>
        <w:t>1977</w:t>
      </w:r>
      <w:r>
        <w:rPr>
          <w:spacing w:val="-1"/>
        </w:rPr>
        <w:t>年出生，中国国籍，无境外永久居留权。曾任广东水晶球技术发展有限公司技术主</w:t>
      </w:r>
      <w:r>
        <w:rPr/>
        <w:t> </w:t>
      </w:r>
      <w:r>
        <w:rPr>
          <w:spacing w:val="-1"/>
        </w:rPr>
        <w:t>管及经理、广东天海威数码技术有限公司项目经理，新产品部经理与采购部经理，</w:t>
      </w:r>
      <w:r>
        <w:rPr>
          <w:rFonts w:ascii="Times New Roman" w:hAnsi="Times New Roman" w:cs="Times New Roman" w:eastAsia="Times New Roman" w:hint="default"/>
          <w:spacing w:val="-1"/>
        </w:rPr>
        <w:t>2009</w:t>
      </w:r>
      <w:r>
        <w:rPr>
          <w:spacing w:val="-1"/>
        </w:rPr>
        <w:t>年至今任蓝盾信息</w:t>
      </w:r>
      <w:r>
        <w:rPr>
          <w:spacing w:val="-81"/>
        </w:rPr>
        <w:t> </w:t>
      </w:r>
      <w:r>
        <w:rPr>
          <w:spacing w:val="-81"/>
        </w:rPr>
      </w:r>
      <w:r>
        <w:rPr/>
        <w:t>安全技术股份有限公司职工代表监事。</w:t>
      </w:r>
    </w:p>
    <w:p>
      <w:pPr>
        <w:pStyle w:val="BodyText"/>
        <w:spacing w:line="297" w:lineRule="auto" w:before="154"/>
        <w:ind w:left="573" w:right="0" w:firstLine="2"/>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spacing w:val="-1"/>
        </w:rPr>
        <w:t>李德桂：男，</w:t>
      </w:r>
      <w:r>
        <w:rPr>
          <w:rFonts w:ascii="Times New Roman" w:hAnsi="Times New Roman" w:cs="Times New Roman" w:eastAsia="Times New Roman" w:hint="default"/>
          <w:spacing w:val="-1"/>
        </w:rPr>
        <w:t>1976</w:t>
      </w:r>
      <w:r>
        <w:rPr>
          <w:spacing w:val="-1"/>
        </w:rPr>
        <w:t>年出生，中国国籍，无境外永久居留权。</w:t>
      </w:r>
      <w:r>
        <w:rPr>
          <w:rFonts w:ascii="Times New Roman" w:hAnsi="Times New Roman" w:cs="Times New Roman" w:eastAsia="Times New Roman" w:hint="default"/>
          <w:spacing w:val="-1"/>
        </w:rPr>
        <w:t>2000</w:t>
      </w:r>
      <w:r>
        <w:rPr>
          <w:spacing w:val="-1"/>
        </w:rPr>
        <w:t>年毕业于中山大学计算机科学系计算</w:t>
      </w:r>
    </w:p>
    <w:p>
      <w:pPr>
        <w:pStyle w:val="BodyText"/>
        <w:spacing w:line="297" w:lineRule="auto" w:before="13"/>
        <w:ind w:right="375"/>
        <w:jc w:val="both"/>
      </w:pPr>
      <w:r>
        <w:rPr/>
        <w:t>机软件专业，获学士学位，高级程序员。</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月，任职深圳市立友科技有限公司高级技 术经理；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月，任北京金泉时代投资管理有限公司交易部经理；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月至今任蓝盾 信息安全技术股份有限公司董事会秘书、副总经理。</w:t>
      </w:r>
    </w:p>
    <w:p>
      <w:pPr>
        <w:pStyle w:val="BodyText"/>
        <w:spacing w:line="302" w:lineRule="auto" w:before="34"/>
        <w:ind w:right="278" w:firstLine="420"/>
        <w:jc w:val="left"/>
      </w:pPr>
      <w:r>
        <w:rPr>
          <w:spacing w:val="-1"/>
        </w:rPr>
        <w:t>韩炜：女，</w:t>
      </w:r>
      <w:r>
        <w:rPr>
          <w:rFonts w:ascii="Times New Roman" w:hAnsi="Times New Roman" w:cs="Times New Roman" w:eastAsia="Times New Roman" w:hint="default"/>
          <w:spacing w:val="-1"/>
        </w:rPr>
        <w:t>1976</w:t>
      </w:r>
      <w:r>
        <w:rPr>
          <w:spacing w:val="-1"/>
        </w:rPr>
        <w:t>年出生，中国国籍，无境外永久居留权。</w:t>
      </w:r>
      <w:r>
        <w:rPr>
          <w:rFonts w:ascii="Times New Roman" w:hAnsi="Times New Roman" w:cs="Times New Roman" w:eastAsia="Times New Roman" w:hint="default"/>
          <w:spacing w:val="-1"/>
        </w:rPr>
        <w:t>2006</w:t>
      </w:r>
      <w:r>
        <w:rPr>
          <w:spacing w:val="-1"/>
        </w:rPr>
        <w:t>年毕业于石家庄陆军学院法律系，获学</w:t>
      </w:r>
      <w:r>
        <w:rPr/>
        <w:t> </w:t>
      </w:r>
      <w:r>
        <w:rPr>
          <w:spacing w:val="-5"/>
        </w:rPr>
        <w:t>士学位，注册信息安全专业人员。曾任职于石家庄市邮政局，河北电信公司，广东电信实业公司，安盟（中</w:t>
      </w:r>
      <w:r>
        <w:rPr/>
        <w:t> </w:t>
      </w:r>
      <w:r>
        <w:rPr>
          <w:spacing w:val="-1"/>
        </w:rPr>
        <w:t>国）信息安全有限公司，广东天海威数码技术有限公司，</w:t>
      </w:r>
      <w:r>
        <w:rPr>
          <w:rFonts w:ascii="Times New Roman" w:hAnsi="Times New Roman" w:cs="Times New Roman" w:eastAsia="Times New Roman" w:hint="default"/>
          <w:spacing w:val="-1"/>
        </w:rPr>
        <w:t>2009</w:t>
      </w:r>
      <w:r>
        <w:rPr>
          <w:spacing w:val="-1"/>
        </w:rPr>
        <w:t>年至今在蓝盾信息安全技术股份有限公司任</w:t>
      </w:r>
      <w:r>
        <w:rPr>
          <w:spacing w:val="-82"/>
        </w:rPr>
        <w:t> </w:t>
      </w:r>
      <w:r>
        <w:rPr>
          <w:spacing w:val="-82"/>
        </w:rPr>
      </w:r>
      <w:r>
        <w:rPr/>
        <w:t>市场总监兼培训中心主任，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月至今任蓝盾信息安全技术股份有限公司副总经理，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 任广东省蓝盾职业培训学院院长。</w:t>
      </w:r>
    </w:p>
    <w:p>
      <w:pPr>
        <w:pStyle w:val="BodyText"/>
        <w:spacing w:line="297" w:lineRule="auto" w:before="70"/>
        <w:ind w:right="269" w:firstLine="420"/>
        <w:jc w:val="both"/>
      </w:pPr>
      <w:r>
        <w:rPr>
          <w:spacing w:val="-1"/>
        </w:rPr>
        <w:t>魏树华：男，</w:t>
      </w:r>
      <w:r>
        <w:rPr>
          <w:rFonts w:ascii="Times New Roman" w:hAnsi="Times New Roman" w:cs="Times New Roman" w:eastAsia="Times New Roman" w:hint="default"/>
          <w:spacing w:val="-1"/>
        </w:rPr>
        <w:t>1972</w:t>
      </w:r>
      <w:r>
        <w:rPr>
          <w:spacing w:val="-1"/>
        </w:rPr>
        <w:t>年出生，中国国籍，无境外永久居留权，高级会计师，中国注册会计师；注册税务</w:t>
      </w:r>
      <w:r>
        <w:rPr/>
        <w:t> 师，</w:t>
      </w:r>
      <w:r>
        <w:rPr>
          <w:rFonts w:ascii="Times New Roman" w:hAnsi="Times New Roman" w:cs="Times New Roman" w:eastAsia="Times New Roman" w:hint="default"/>
        </w:rPr>
        <w:t>2005</w:t>
      </w:r>
      <w:r>
        <w:rPr/>
        <w:t>毕业于暨南大学会计专业，</w:t>
      </w:r>
      <w:r>
        <w:rPr>
          <w:rFonts w:ascii="Times New Roman" w:hAnsi="Times New Roman" w:cs="Times New Roman" w:eastAsia="Times New Roman" w:hint="default"/>
        </w:rPr>
        <w:t>2010</w:t>
      </w:r>
      <w:r>
        <w:rPr/>
        <w:t>年获中山大学</w:t>
      </w:r>
      <w:r>
        <w:rPr>
          <w:rFonts w:ascii="Times New Roman" w:hAnsi="Times New Roman" w:cs="Times New Roman" w:eastAsia="Times New Roman" w:hint="default"/>
        </w:rPr>
        <w:t>MPACC</w:t>
      </w:r>
      <w:r>
        <w:rPr/>
        <w:t>会计硕士学位；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 任广州杰赛科技股份有限公司财务部总经理助理；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月，任广东天海威数码技术有限</w:t>
      </w:r>
      <w:r>
        <w:rPr>
          <w:spacing w:val="-30"/>
        </w:rPr>
        <w:t> </w:t>
      </w:r>
      <w:r>
        <w:rPr>
          <w:spacing w:val="-30"/>
        </w:rPr>
      </w:r>
      <w:r>
        <w:rPr/>
        <w:t>公司财务总监；</w:t>
      </w:r>
      <w:r>
        <w:rPr>
          <w:rFonts w:ascii="Times New Roman" w:hAnsi="Times New Roman" w:cs="Times New Roman" w:eastAsia="Times New Roman" w:hint="default"/>
        </w:rPr>
        <w:t>2009</w:t>
      </w:r>
      <w:r>
        <w:rPr/>
        <w:t>年至今，任蓝盾信息安全技术股份有限公司财务总监。</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5"/>
          <w:szCs w:val="15"/>
        </w:rPr>
      </w:pPr>
    </w:p>
    <w:p>
      <w:pPr>
        <w:pStyle w:val="BodyText"/>
        <w:spacing w:line="240" w:lineRule="auto"/>
        <w:ind w:right="0"/>
        <w:jc w:val="both"/>
      </w:pPr>
      <w:r>
        <w:rPr/>
        <w:t>在股东单位任职情况</w:t>
      </w:r>
    </w:p>
    <w:p>
      <w:pPr>
        <w:spacing w:line="240" w:lineRule="auto" w:before="4"/>
        <w:rPr>
          <w:rFonts w:ascii="宋体" w:hAnsi="宋体" w:cs="宋体" w:eastAsia="宋体" w:hint="default"/>
          <w:sz w:val="15"/>
          <w:szCs w:val="1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right="0"/>
        <w:jc w:val="both"/>
      </w:pPr>
      <w:r>
        <w:rPr/>
        <w:t>在其他单位任职情况</w:t>
      </w:r>
    </w:p>
    <w:p>
      <w:pPr>
        <w:spacing w:line="240" w:lineRule="auto" w:before="4"/>
        <w:rPr>
          <w:rFonts w:ascii="宋体" w:hAnsi="宋体" w:cs="宋体" w:eastAsia="宋体" w:hint="default"/>
          <w:sz w:val="15"/>
          <w:szCs w:val="1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063"/>
        <w:gridCol w:w="1492"/>
        <w:gridCol w:w="1557"/>
        <w:gridCol w:w="1594"/>
      </w:tblGrid>
      <w:tr>
        <w:trPr>
          <w:trHeight w:val="709"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7"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中山达华智能科技股份有限公司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深圳太辰光通信股份有限公司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8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063"/>
        <w:gridCol w:w="1492"/>
        <w:gridCol w:w="1557"/>
        <w:gridCol w:w="1594"/>
      </w:tblGrid>
      <w:tr>
        <w:trPr>
          <w:trHeight w:val="709"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7"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2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北京爱创科技股份有限公司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2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江苏通达动力科技股份有限公司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2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珠海格力电器股份有限公司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ind w:left="154" w:right="358"/>
        <w:jc w:val="left"/>
        <w:rPr>
          <w:b w:val="0"/>
          <w:bCs w:val="0"/>
        </w:rPr>
      </w:pPr>
      <w:bookmarkStart w:name="三、董事、监事、高级管理人员报酬情况" w:id="91"/>
      <w:bookmarkEnd w:id="91"/>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651"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公司薪酬与考核委员会根据董事及高级管理人员岗位的主要范围、 职责、重要性以及其他相关企业相关岗位的薪酬水平制定薪酬计划 或方案；其提出的公司董事的薪酬计划，报经董事会同意后，提交 股东大会审议通过后实施；公司高级管理人员的薪酬分配方案须报 董事会审议批准。</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董事及高级管理人员岗位的主要范围、职责、重要性以及其他相关 企业相关岗位的薪酬水平</w:t>
            </w:r>
          </w:p>
        </w:tc>
      </w:tr>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根据相关决策程序审议通过后的薪酬方案进行支付，并按照税法规 定代扣代缴个人所得税。</w:t>
            </w:r>
          </w:p>
        </w:tc>
      </w:tr>
    </w:tbl>
    <w:p>
      <w:pPr>
        <w:spacing w:line="240" w:lineRule="auto" w:before="2"/>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979" w:top="1100" w:bottom="1160" w:left="980" w:right="840"/>
        </w:sectPr>
      </w:pPr>
    </w:p>
    <w:p>
      <w:pPr>
        <w:pStyle w:val="BodyText"/>
        <w:spacing w:line="240" w:lineRule="auto" w:before="35"/>
        <w:ind w:left="154" w:right="-20"/>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840"/>
          <w:cols w:num="2" w:equalWidth="0">
            <w:col w:w="4775" w:space="3965"/>
            <w:col w:w="135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副董事长、总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8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43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439"/>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300.45</w:t>
            </w:r>
          </w:p>
        </w:tc>
      </w:tr>
    </w:tbl>
    <w:p>
      <w:pPr>
        <w:pStyle w:val="BodyText"/>
        <w:spacing w:line="240" w:lineRule="auto" w:before="26"/>
        <w:ind w:left="154" w:right="0"/>
        <w:jc w:val="left"/>
      </w:pPr>
      <w:r>
        <w:rPr/>
        <w:t>公司董事、监事、高级管理人员报告期内被授予的股权激励情况</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bookmarkStart w:name="四、公司董事、监事、高级管理人员变动情况" w:id="92"/>
      <w:bookmarkEnd w:id="92"/>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550"/>
        <w:gridCol w:w="395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日期</w:t>
            </w:r>
          </w:p>
        </w:tc>
        <w:tc>
          <w:tcPr>
            <w:tcW w:w="3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3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50"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通过董事会推荐、股东大会投票通过</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3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50"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3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50"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通过董事会推荐、股东大会投票通过</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13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50"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spacing w:line="477" w:lineRule="auto" w:before="26"/>
        <w:ind w:left="153" w:right="820" w:firstLine="0"/>
        <w:jc w:val="both"/>
        <w:rPr>
          <w:rFonts w:ascii="宋体" w:hAnsi="宋体" w:cs="宋体" w:eastAsia="宋体" w:hint="default"/>
          <w:sz w:val="24"/>
          <w:szCs w:val="24"/>
        </w:rPr>
      </w:pPr>
      <w:bookmarkStart w:name="五、报告期核心技术团队或关键技术人员变动情况（非董事、监事、高级管理人员）" w:id="93"/>
      <w:bookmarkEnd w:id="93"/>
      <w:r>
        <w:rPr/>
      </w: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pacing w:val="-1"/>
          <w:sz w:val="23"/>
          <w:szCs w:val="23"/>
        </w:rPr>
        <w:t>报告期内，公司核心技术团队或关键人员（非董事、监事、高级管理人员）无重大变化。</w:t>
      </w:r>
      <w:r>
        <w:rPr>
          <w:rFonts w:ascii="宋体" w:hAnsi="宋体" w:cs="宋体" w:eastAsia="宋体" w:hint="default"/>
          <w:spacing w:val="-89"/>
          <w:sz w:val="23"/>
          <w:szCs w:val="23"/>
        </w:rPr>
        <w:t> </w:t>
      </w:r>
      <w:r>
        <w:rPr>
          <w:rFonts w:ascii="宋体" w:hAnsi="宋体" w:cs="宋体" w:eastAsia="宋体" w:hint="default"/>
          <w:spacing w:val="-89"/>
          <w:sz w:val="23"/>
          <w:szCs w:val="23"/>
        </w:rPr>
      </w:r>
      <w:bookmarkStart w:name="六、公司员工情况" w:id="94"/>
      <w:bookmarkEnd w:id="94"/>
      <w:r>
        <w:rPr>
          <w:rFonts w:ascii="宋体" w:hAnsi="宋体" w:cs="宋体" w:eastAsia="宋体" w:hint="default"/>
          <w:spacing w:val="-89"/>
          <w:sz w:val="23"/>
          <w:szCs w:val="23"/>
        </w:rPr>
      </w:r>
      <w:r>
        <w:rPr>
          <w:rFonts w:ascii="宋体" w:hAnsi="宋体" w:cs="宋体" w:eastAsia="宋体" w:hint="default"/>
          <w:b/>
          <w:bCs/>
          <w:sz w:val="24"/>
          <w:szCs w:val="24"/>
        </w:rPr>
        <w:t>六、公司员工情况</w:t>
      </w:r>
      <w:r>
        <w:rPr>
          <w:rFonts w:ascii="宋体" w:hAnsi="宋体" w:cs="宋体" w:eastAsia="宋体" w:hint="default"/>
          <w:sz w:val="24"/>
          <w:szCs w:val="24"/>
        </w:rPr>
      </w:r>
    </w:p>
    <w:p>
      <w:pPr>
        <w:pStyle w:val="BodyText"/>
        <w:spacing w:line="240" w:lineRule="auto" w:before="84"/>
        <w:ind w:right="0"/>
        <w:jc w:val="both"/>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日，公司及全资子公司共有员工</w:t>
      </w:r>
      <w:r>
        <w:rPr>
          <w:rFonts w:ascii="Times New Roman" w:hAnsi="Times New Roman" w:cs="Times New Roman" w:eastAsia="Times New Roman" w:hint="default"/>
        </w:rPr>
        <w:t>598</w:t>
      </w:r>
      <w:r>
        <w:rPr/>
        <w:t>人，员工构成情况如下：</w:t>
      </w:r>
    </w:p>
    <w:p>
      <w:pPr>
        <w:pStyle w:val="BodyText"/>
        <w:spacing w:line="240" w:lineRule="auto" w:before="141"/>
        <w:ind w:right="0"/>
        <w:jc w:val="both"/>
      </w:pPr>
      <w:r>
        <w:rPr>
          <w:rFonts w:ascii="Times New Roman" w:hAnsi="Times New Roman" w:cs="Times New Roman" w:eastAsia="Times New Roman" w:hint="default"/>
        </w:rPr>
        <w:t>1</w:t>
      </w:r>
      <w:r>
        <w:rPr/>
        <w:t>、按专业划分</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709"/>
        <w:gridCol w:w="1709"/>
        <w:gridCol w:w="2565"/>
      </w:tblGrid>
      <w:tr>
        <w:trPr>
          <w:trHeight w:val="52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专业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95" w:right="0"/>
              <w:jc w:val="left"/>
              <w:rPr>
                <w:rFonts w:ascii="宋体" w:hAnsi="宋体" w:cs="宋体" w:eastAsia="宋体" w:hint="default"/>
                <w:sz w:val="18"/>
                <w:szCs w:val="18"/>
              </w:rPr>
            </w:pPr>
            <w:r>
              <w:rPr>
                <w:rFonts w:ascii="宋体" w:hAnsi="宋体" w:cs="宋体" w:eastAsia="宋体" w:hint="default"/>
                <w:sz w:val="18"/>
                <w:szCs w:val="18"/>
              </w:rPr>
              <w:t>人数（人）</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99"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2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3"/>
                <w:sz w:val="18"/>
              </w:rPr>
              <w:t>117</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z w:val="18"/>
              </w:rPr>
              <w:t>19.57%</w:t>
            </w:r>
          </w:p>
        </w:tc>
      </w:tr>
      <w:tr>
        <w:trPr>
          <w:trHeight w:val="521"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3</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0.50%</w:t>
            </w:r>
          </w:p>
        </w:tc>
      </w:tr>
      <w:tr>
        <w:trPr>
          <w:trHeight w:val="52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z w:val="18"/>
              </w:rPr>
              <w:t>191</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z w:val="18"/>
              </w:rPr>
              <w:t>31.94%</w:t>
            </w:r>
          </w:p>
        </w:tc>
      </w:tr>
      <w:tr>
        <w:trPr>
          <w:trHeight w:val="52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z w:val="18"/>
              </w:rPr>
              <w:t>263</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z w:val="18"/>
              </w:rPr>
              <w:t>43.98%</w:t>
            </w:r>
          </w:p>
        </w:tc>
      </w:tr>
      <w:tr>
        <w:trPr>
          <w:trHeight w:val="521"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24</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4.01%</w:t>
            </w:r>
          </w:p>
        </w:tc>
      </w:tr>
      <w:tr>
        <w:trPr>
          <w:trHeight w:val="52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598</w:t>
            </w:r>
          </w:p>
        </w:tc>
        <w:tc>
          <w:tcPr>
            <w:tcW w:w="2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26"/>
          <w:szCs w:val="26"/>
        </w:rPr>
      </w:pPr>
    </w:p>
    <w:p>
      <w:pPr>
        <w:pStyle w:val="BodyText"/>
        <w:spacing w:line="240" w:lineRule="auto" w:before="35"/>
        <w:ind w:left="154" w:right="0"/>
        <w:jc w:val="left"/>
      </w:pPr>
      <w:r>
        <w:rPr>
          <w:rFonts w:ascii="Times New Roman" w:hAnsi="Times New Roman" w:cs="Times New Roman" w:eastAsia="Times New Roman" w:hint="default"/>
        </w:rPr>
        <w:t>2</w:t>
      </w:r>
      <w:r>
        <w:rPr/>
        <w:t>、按教育程度划分</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2180"/>
        <w:gridCol w:w="2163"/>
        <w:gridCol w:w="2164"/>
      </w:tblGrid>
      <w:tr>
        <w:trPr>
          <w:trHeight w:val="520"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学历</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623" w:right="0"/>
              <w:jc w:val="left"/>
              <w:rPr>
                <w:rFonts w:ascii="宋体" w:hAnsi="宋体" w:cs="宋体" w:eastAsia="宋体" w:hint="default"/>
                <w:sz w:val="18"/>
                <w:szCs w:val="18"/>
              </w:rPr>
            </w:pPr>
            <w:r>
              <w:rPr>
                <w:rFonts w:ascii="宋体" w:hAnsi="宋体" w:cs="宋体" w:eastAsia="宋体" w:hint="default"/>
                <w:sz w:val="18"/>
                <w:szCs w:val="18"/>
              </w:rPr>
              <w:t>人数（人）</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8"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20"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22</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3.68%</w:t>
            </w:r>
          </w:p>
        </w:tc>
      </w:tr>
      <w:tr>
        <w:trPr>
          <w:trHeight w:val="521"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right"/>
              <w:rPr>
                <w:rFonts w:ascii="Times New Roman" w:hAnsi="Times New Roman" w:cs="Times New Roman" w:eastAsia="Times New Roman" w:hint="default"/>
                <w:sz w:val="18"/>
                <w:szCs w:val="18"/>
              </w:rPr>
            </w:pPr>
            <w:r>
              <w:rPr>
                <w:rFonts w:ascii="Times New Roman"/>
                <w:sz w:val="18"/>
              </w:rPr>
              <w:t>253</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right"/>
              <w:rPr>
                <w:rFonts w:ascii="Times New Roman" w:hAnsi="Times New Roman" w:cs="Times New Roman" w:eastAsia="Times New Roman" w:hint="default"/>
                <w:sz w:val="18"/>
                <w:szCs w:val="18"/>
              </w:rPr>
            </w:pPr>
            <w:r>
              <w:rPr>
                <w:rFonts w:ascii="Times New Roman"/>
                <w:sz w:val="18"/>
              </w:rPr>
              <w:t>42.31%</w:t>
            </w:r>
          </w:p>
        </w:tc>
      </w:tr>
      <w:tr>
        <w:trPr>
          <w:trHeight w:val="520"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219</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36.62%</w:t>
            </w:r>
          </w:p>
        </w:tc>
      </w:tr>
      <w:tr>
        <w:trPr>
          <w:trHeight w:val="520"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104</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17.39%</w:t>
            </w:r>
          </w:p>
        </w:tc>
      </w:tr>
      <w:tr>
        <w:trPr>
          <w:trHeight w:val="521"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right"/>
              <w:rPr>
                <w:rFonts w:ascii="Times New Roman" w:hAnsi="Times New Roman" w:cs="Times New Roman" w:eastAsia="Times New Roman" w:hint="default"/>
                <w:sz w:val="18"/>
                <w:szCs w:val="18"/>
              </w:rPr>
            </w:pPr>
            <w:r>
              <w:rPr>
                <w:rFonts w:ascii="Times New Roman"/>
                <w:sz w:val="18"/>
              </w:rPr>
              <w:t>598</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19"/>
          <w:szCs w:val="19"/>
        </w:rPr>
      </w:pPr>
    </w:p>
    <w:p>
      <w:pPr>
        <w:pStyle w:val="BodyText"/>
        <w:spacing w:line="240" w:lineRule="auto" w:before="35"/>
        <w:ind w:right="0"/>
        <w:jc w:val="left"/>
      </w:pPr>
      <w:r>
        <w:rPr/>
        <w:t>公司实行全员聘用制，无需承担离退休职工的费用，离退休职工由社保基金统筹解决。</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2423"/>
        <w:jc w:val="center"/>
        <w:rPr>
          <w:b w:val="0"/>
          <w:bCs w:val="0"/>
        </w:rPr>
      </w:pPr>
      <w:bookmarkStart w:name="第八节 公司治理" w:id="95"/>
      <w:bookmarkEnd w:id="95"/>
      <w:r>
        <w:rPr>
          <w:b w:val="0"/>
          <w:bCs w:val="0"/>
        </w:rPr>
      </w:r>
      <w:bookmarkStart w:name="_bookmark7" w:id="96"/>
      <w:bookmarkEnd w:id="96"/>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治理的基本状况" w:id="97"/>
      <w:bookmarkEnd w:id="97"/>
      <w:r>
        <w:rPr>
          <w:b w:val="0"/>
          <w:bCs w:val="0"/>
        </w:rPr>
      </w:r>
      <w:r>
        <w:rPr/>
        <w:t>一、公司治理的基本状况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right="129" w:firstLine="420"/>
        <w:jc w:val="both"/>
      </w:pPr>
      <w:r>
        <w:rPr/>
        <w:t>公司根据《公司法》、《上市公司治理准则》、《上市公司章程指引》、《上市公司股东大会规则》 及其他相关法律、法规的要求，确立了由股东大会、董事会、监事会和经营管理层组成的公司治理结构， </w:t>
      </w:r>
      <w:r>
        <w:rPr>
          <w:spacing w:val="-1"/>
        </w:rPr>
        <w:t>建立健全了股东大会、董事会、监事会、独立董事、董事会秘书等相关制度，并在公司董事会下设立了战</w:t>
      </w:r>
      <w:r>
        <w:rPr>
          <w:spacing w:val="-83"/>
        </w:rPr>
        <w:t> </w:t>
      </w:r>
      <w:r>
        <w:rPr>
          <w:spacing w:val="-83"/>
        </w:rPr>
      </w:r>
      <w:r>
        <w:rPr/>
        <w:t>略、审计、提名、薪酬与考核等专门委员会。</w:t>
      </w:r>
    </w:p>
    <w:p>
      <w:pPr>
        <w:pStyle w:val="BodyText"/>
        <w:spacing w:line="350" w:lineRule="auto" w:before="28"/>
        <w:ind w:right="129" w:firstLine="420"/>
        <w:jc w:val="both"/>
      </w:pPr>
      <w:r>
        <w:rPr/>
        <w:t>报告期内，公司建立了规范的公司治理结构，股东大会、董事会及专门委员会、监事会、独立董事、 </w:t>
      </w:r>
      <w:r>
        <w:rPr>
          <w:spacing w:val="-1"/>
        </w:rPr>
        <w:t>董事会秘书和管理层均严格按照《公司法》、《证券法》、《上市公司治理准则》、《深圳证券交易所创</w:t>
      </w:r>
      <w:r>
        <w:rPr>
          <w:spacing w:val="-85"/>
        </w:rPr>
        <w:t> </w:t>
      </w:r>
      <w:r>
        <w:rPr>
          <w:spacing w:val="-85"/>
        </w:rPr>
      </w:r>
      <w:r>
        <w:rPr>
          <w:spacing w:val="-1"/>
        </w:rPr>
        <w:t>业板股票上市规则》、《深圳证券交易所创业板上市公司规范运作指引》等法律、法规和中国证监会有关</w:t>
      </w:r>
      <w:r>
        <w:rPr>
          <w:spacing w:val="-83"/>
        </w:rPr>
        <w:t> </w:t>
      </w:r>
      <w:r>
        <w:rPr>
          <w:spacing w:val="-83"/>
        </w:rPr>
      </w:r>
      <w:r>
        <w:rPr>
          <w:spacing w:val="-1"/>
        </w:rPr>
        <w:t>法律法规等的要求，履行各自的权利和义务，公司重大生产经营决策、投资决策及财务决策均按照《公司</w:t>
      </w:r>
      <w:r>
        <w:rPr>
          <w:spacing w:val="-86"/>
        </w:rPr>
        <w:t> </w:t>
      </w:r>
      <w:r>
        <w:rPr>
          <w:spacing w:val="-86"/>
        </w:rPr>
      </w:r>
      <w:r>
        <w:rPr/>
        <w:t>章程》及有关内控制度规定的程序和规则进行，截至报告期末，上述机构和人员依法运作，未出现违法、 </w:t>
      </w:r>
      <w:r>
        <w:rPr>
          <w:spacing w:val="-1"/>
        </w:rPr>
        <w:t>违规现象，能够切实履行应尽的职责和义务，公司治理的实际状况符合《上市公司治理准则》和《深圳证</w:t>
      </w:r>
      <w:r>
        <w:rPr>
          <w:spacing w:val="-83"/>
        </w:rPr>
        <w:t> </w:t>
      </w:r>
      <w:r>
        <w:rPr>
          <w:spacing w:val="-83"/>
        </w:rPr>
      </w:r>
      <w:r>
        <w:rPr/>
        <w:t>券交易所创业板上市公司规范运作指引》的要求。</w:t>
      </w:r>
    </w:p>
    <w:p>
      <w:pPr>
        <w:pStyle w:val="BodyText"/>
        <w:spacing w:line="350" w:lineRule="auto" w:before="28"/>
        <w:ind w:right="130" w:firstLine="420"/>
        <w:jc w:val="both"/>
      </w:pPr>
      <w:r>
        <w:rPr/>
        <w:pict>
          <v:shape style="position:absolute;margin-left:56.34pt;margin-top:37.683674pt;width:378.55pt;height:139.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4"/>
                    <w:gridCol w:w="4220"/>
                    <w:gridCol w:w="1194"/>
                    <w:gridCol w:w="1481"/>
                  </w:tblGrid>
                  <w:tr>
                    <w:trPr>
                      <w:trHeight w:val="34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制度名称</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制定</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披露日期</w:t>
                        </w:r>
                      </w:p>
                    </w:tc>
                  </w:tr>
                  <w:tr>
                    <w:trPr>
                      <w:trHeight w:val="34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股东大会网络投票实施细则（</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2014-04-09</w:t>
                        </w:r>
                      </w:p>
                    </w:tc>
                  </w:tr>
                  <w:tr>
                    <w:trPr>
                      <w:trHeight w:val="34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现金分红管理制度（</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2014-04-09</w:t>
                        </w:r>
                      </w:p>
                    </w:tc>
                  </w:tr>
                  <w:tr>
                    <w:trPr>
                      <w:trHeight w:val="34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投资者投诉管理制度（</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2014-04-09</w:t>
                        </w:r>
                      </w:p>
                    </w:tc>
                  </w:tr>
                  <w:tr>
                    <w:trPr>
                      <w:trHeight w:val="34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2014-04-09</w:t>
                        </w:r>
                      </w:p>
                    </w:tc>
                  </w:tr>
                  <w:tr>
                    <w:trPr>
                      <w:trHeight w:val="34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2014-07-28</w:t>
                        </w:r>
                      </w:p>
                    </w:tc>
                  </w:tr>
                  <w:tr>
                    <w:trPr>
                      <w:trHeight w:val="34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股东大会网络投票实施细则（</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2014-07-28</w:t>
                        </w:r>
                      </w:p>
                    </w:tc>
                  </w:tr>
                  <w:tr>
                    <w:trPr>
                      <w:trHeight w:val="34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2014-07-28</w:t>
                        </w:r>
                      </w:p>
                    </w:tc>
                  </w:tr>
                </w:tbl>
                <w:p>
                  <w:pPr/>
                </w:p>
              </w:txbxContent>
            </v:textbox>
            <w10:wrap type="none"/>
          </v:shape>
        </w:pict>
      </w:r>
      <w:r>
        <w:rPr/>
        <w:t>报告期内，公司根据中国证监会或深交所的最新要求，结合公司的实际运作需要，修订了部分制度， 具体如下表：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注：以上制度均已登载于巨潮资讯网（</w:t>
      </w:r>
      <w:hyperlink r:id="rId13">
        <w:r>
          <w:rPr>
            <w:rFonts w:ascii="Times New Roman" w:hAnsi="Times New Roman" w:cs="Times New Roman" w:eastAsia="Times New Roman" w:hint="default"/>
          </w:rPr>
          <w:t>www.cninfo.com.cn</w:t>
        </w:r>
      </w:hyperlink>
      <w:r>
        <w:rPr/>
        <w:t>）。</w:t>
      </w:r>
    </w:p>
    <w:p>
      <w:pPr>
        <w:spacing w:line="240" w:lineRule="auto" w:before="2"/>
        <w:rPr>
          <w:rFonts w:ascii="宋体" w:hAnsi="宋体" w:cs="宋体" w:eastAsia="宋体" w:hint="default"/>
          <w:sz w:val="32"/>
          <w:szCs w:val="32"/>
        </w:rPr>
      </w:pPr>
    </w:p>
    <w:p>
      <w:pPr>
        <w:pStyle w:val="BodyText"/>
        <w:spacing w:line="348" w:lineRule="auto"/>
        <w:ind w:left="573" w:right="0"/>
        <w:jc w:val="left"/>
      </w:pPr>
      <w:r>
        <w:rPr/>
        <w:t>（一）关于股东与股东大会 </w:t>
      </w:r>
      <w:r>
        <w:rPr>
          <w:spacing w:val="-1"/>
        </w:rPr>
        <w:t>公司严格按照《上市公司股东大会规则》、《公司章程》、《股东大会议事规则》等规定和要求，规</w:t>
      </w:r>
    </w:p>
    <w:p>
      <w:pPr>
        <w:pStyle w:val="BodyText"/>
        <w:spacing w:line="240" w:lineRule="auto" w:before="31"/>
        <w:ind w:right="0"/>
        <w:jc w:val="left"/>
      </w:pPr>
      <w:r>
        <w:rPr/>
        <w:t>范地召集、召开股东大会，对公司的相关事项做出了决策，程序规范，决策科学，效果良好。</w:t>
      </w:r>
    </w:p>
    <w:p>
      <w:pPr>
        <w:pStyle w:val="BodyText"/>
        <w:spacing w:line="350" w:lineRule="auto" w:before="124"/>
        <w:ind w:left="573" w:right="0"/>
        <w:jc w:val="left"/>
      </w:pPr>
      <w:r>
        <w:rPr/>
        <w:t>（二）关于公司与控股股东 </w:t>
      </w:r>
      <w:r>
        <w:rPr>
          <w:spacing w:val="-1"/>
        </w:rPr>
        <w:t>公司控股股东严格规范自身行为，没有直接或间接干预公司的决策和经营活动情况。公司在业务、人</w:t>
      </w:r>
    </w:p>
    <w:p>
      <w:pPr>
        <w:pStyle w:val="BodyText"/>
        <w:spacing w:line="348" w:lineRule="auto" w:before="29"/>
        <w:ind w:right="0"/>
        <w:jc w:val="left"/>
      </w:pPr>
      <w:r>
        <w:rPr>
          <w:spacing w:val="-1"/>
        </w:rPr>
        <w:t>员、资产、机构、财务上独立于控股股东，有独立完整的业务和自主经营能力，公司董事会、监事会和内</w:t>
      </w:r>
      <w:r>
        <w:rPr>
          <w:spacing w:val="-83"/>
        </w:rPr>
        <w:t> </w:t>
      </w:r>
      <w:r>
        <w:rPr>
          <w:spacing w:val="-83"/>
        </w:rPr>
      </w:r>
      <w:r>
        <w:rPr/>
        <w:t>部机构独立运作。</w:t>
      </w:r>
    </w:p>
    <w:p>
      <w:pPr>
        <w:pStyle w:val="BodyText"/>
        <w:spacing w:line="240" w:lineRule="auto" w:before="30"/>
        <w:ind w:left="573" w:right="0"/>
        <w:jc w:val="left"/>
      </w:pPr>
      <w:r>
        <w:rPr/>
        <w:t>（三）关于董事和董事会</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43" w:lineRule="auto" w:before="35"/>
        <w:ind w:right="190" w:firstLine="420"/>
        <w:jc w:val="both"/>
      </w:pPr>
      <w:r>
        <w:rPr/>
        <w:t>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 </w:t>
      </w:r>
      <w:r>
        <w:rPr>
          <w:spacing w:val="-1"/>
        </w:rPr>
        <w:t>的要求。各董事能够依据《公司法》、《深圳证券交易所创业板上市公司规范运作指引》、《公司董事会</w:t>
      </w:r>
      <w:r>
        <w:rPr>
          <w:spacing w:val="-85"/>
        </w:rPr>
        <w:t> </w:t>
      </w:r>
      <w:r>
        <w:rPr>
          <w:spacing w:val="-85"/>
        </w:rPr>
      </w:r>
      <w:r>
        <w:rPr>
          <w:spacing w:val="-1"/>
        </w:rPr>
        <w:t>议事规则》等法律法规、规章制度开展工作，出席董事会和股东大会，勤勉尽责地履行职责和义务，同时</w:t>
      </w:r>
      <w:r>
        <w:rPr>
          <w:spacing w:val="-83"/>
        </w:rPr>
        <w:t> </w:t>
      </w:r>
      <w:r>
        <w:rPr>
          <w:spacing w:val="-83"/>
        </w:rPr>
      </w:r>
      <w:r>
        <w:rPr/>
        <w:t>积极参加相关培训，熟悉相关法律法规。</w:t>
      </w:r>
    </w:p>
    <w:p>
      <w:pPr>
        <w:pStyle w:val="BodyText"/>
        <w:spacing w:line="350" w:lineRule="auto" w:before="34"/>
        <w:ind w:left="573" w:right="173"/>
        <w:jc w:val="left"/>
      </w:pPr>
      <w:r>
        <w:rPr/>
        <w:t>（四）关于监事和监事会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名，监事会的人数和构成符合法律、法规的要求。各位监事能</w:t>
      </w:r>
    </w:p>
    <w:p>
      <w:pPr>
        <w:pStyle w:val="BodyText"/>
        <w:spacing w:line="348" w:lineRule="auto" w:before="2"/>
        <w:ind w:right="173"/>
        <w:jc w:val="left"/>
      </w:pPr>
      <w:r>
        <w:rPr>
          <w:spacing w:val="-1"/>
        </w:rPr>
        <w:t>够按照《公司监事会议事规则》的要求，认真履行自己的职责，对公司重大事项、关联交易、财务状况以</w:t>
      </w:r>
      <w:r>
        <w:rPr>
          <w:spacing w:val="-83"/>
        </w:rPr>
        <w:t> </w:t>
      </w:r>
      <w:r>
        <w:rPr>
          <w:spacing w:val="-83"/>
        </w:rPr>
      </w:r>
      <w:r>
        <w:rPr/>
        <w:t>及董事、高级管理人员履行职责的合法合规性进行监督。</w:t>
      </w:r>
    </w:p>
    <w:p>
      <w:pPr>
        <w:pStyle w:val="BodyText"/>
        <w:spacing w:line="348" w:lineRule="auto" w:before="31"/>
        <w:ind w:left="573" w:right="173"/>
        <w:jc w:val="left"/>
      </w:pPr>
      <w:r>
        <w:rPr/>
        <w:t>（五）关于绩效评价与激励约束机制 公司已建立企业绩效评价激励体系，经营者的收入与企业经营业绩挂钩，高级管理人员的聘任公开、</w:t>
      </w:r>
    </w:p>
    <w:p>
      <w:pPr>
        <w:pStyle w:val="BodyText"/>
        <w:spacing w:line="350" w:lineRule="auto" w:before="30"/>
        <w:ind w:right="173"/>
        <w:jc w:val="left"/>
      </w:pPr>
      <w:r>
        <w:rPr>
          <w:spacing w:val="-1"/>
        </w:rPr>
        <w:t>透明，符合法律、法规的规定。公司董事会下设的薪酬和考核委员会负责对公司董事及高级管理人员进行</w:t>
      </w:r>
      <w:r>
        <w:rPr>
          <w:spacing w:val="-83"/>
        </w:rPr>
        <w:t> </w:t>
      </w:r>
      <w:r>
        <w:rPr>
          <w:spacing w:val="-83"/>
        </w:rPr>
      </w:r>
      <w:r>
        <w:rPr/>
        <w:t>绩效考核，董事、监事和高级管理人员的津贴标准由公司股东大会批准。</w:t>
      </w:r>
    </w:p>
    <w:p>
      <w:pPr>
        <w:pStyle w:val="BodyText"/>
        <w:spacing w:line="348" w:lineRule="auto" w:before="28"/>
        <w:ind w:left="573" w:right="98"/>
        <w:jc w:val="left"/>
      </w:pPr>
      <w:r>
        <w:rPr/>
        <w:t>（六）关于信息披露与透明度 </w:t>
      </w:r>
      <w:r>
        <w:rPr>
          <w:spacing w:val="-3"/>
        </w:rPr>
        <w:t>公司严格按照《上市公司信息披露管理办法》《公司投资者关系管理制度》等规章制度的要求，真实、</w:t>
      </w:r>
    </w:p>
    <w:p>
      <w:pPr>
        <w:pStyle w:val="BodyText"/>
        <w:spacing w:line="343" w:lineRule="auto" w:before="31"/>
        <w:ind w:right="210"/>
        <w:jc w:val="both"/>
      </w:pPr>
      <w:r>
        <w:rPr>
          <w:spacing w:val="-1"/>
        </w:rPr>
        <w:t>准确、及时、公平、完整地披露有关信息。公司指定董事会秘书负责信息披露工作，协调公司与投资者的</w:t>
      </w:r>
      <w:r>
        <w:rPr>
          <w:spacing w:val="-83"/>
        </w:rPr>
        <w:t> </w:t>
      </w:r>
      <w:r>
        <w:rPr>
          <w:spacing w:val="-83"/>
        </w:rPr>
      </w:r>
      <w:r>
        <w:rPr>
          <w:spacing w:val="-1"/>
        </w:rPr>
        <w:t>关系，回答投资者咨询，接待投资者来访，向投资者提供公司已披露的资料；并指定《证券时报》、《证</w:t>
      </w:r>
      <w:r>
        <w:rPr>
          <w:spacing w:val="-84"/>
        </w:rPr>
        <w:t> </w:t>
      </w:r>
      <w:r>
        <w:rPr>
          <w:spacing w:val="-84"/>
        </w:rPr>
      </w:r>
      <w:r>
        <w:rPr/>
        <w:t>券日报》、《中国证券报》、《上海证券报》和巨潮资讯网</w:t>
      </w:r>
      <w:r>
        <w:rPr>
          <w:rFonts w:ascii="Times New Roman" w:hAnsi="Times New Roman" w:cs="Times New Roman" w:eastAsia="Times New Roman" w:hint="default"/>
        </w:rPr>
        <w:t>(www.cninfo.com.cn)</w:t>
      </w:r>
      <w:r>
        <w:rPr/>
        <w:t>为公司信息披露的指定报 纸和网站，确保公司所有股东能够以平等的机会获得信息。</w:t>
      </w:r>
    </w:p>
    <w:p>
      <w:pPr>
        <w:pStyle w:val="BodyText"/>
        <w:spacing w:line="384" w:lineRule="auto" w:before="34"/>
        <w:ind w:left="573" w:right="173"/>
        <w:jc w:val="left"/>
      </w:pPr>
      <w:r>
        <w:rPr/>
        <w:t>（七）关于相关利益者 </w:t>
      </w:r>
      <w:r>
        <w:rPr>
          <w:spacing w:val="-1"/>
        </w:rPr>
        <w:t>公司充分尊重和维护相关利益者的合法权益，实现股东、员工、社会等各方利益的协调平衡，共同推</w:t>
      </w:r>
    </w:p>
    <w:p>
      <w:pPr>
        <w:pStyle w:val="BodyText"/>
        <w:spacing w:line="240" w:lineRule="auto"/>
        <w:ind w:right="0"/>
        <w:jc w:val="both"/>
      </w:pPr>
      <w:r>
        <w:rPr/>
        <w:t>动公司持续、健康的发展。</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right="0"/>
        <w:jc w:val="both"/>
      </w:pPr>
      <w:r>
        <w:rPr/>
        <w:t>公司治理与《公司法》和中国证监会相关规定的要求是否存在差异</w:t>
      </w:r>
    </w:p>
    <w:p>
      <w:pPr>
        <w:spacing w:line="240" w:lineRule="auto" w:before="4"/>
        <w:rPr>
          <w:rFonts w:ascii="宋体" w:hAnsi="宋体" w:cs="宋体" w:eastAsia="宋体" w:hint="default"/>
          <w:sz w:val="15"/>
          <w:szCs w:val="1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3"/>
          <w:szCs w:val="23"/>
        </w:rPr>
      </w:pPr>
    </w:p>
    <w:p>
      <w:pPr>
        <w:pStyle w:val="Heading2"/>
        <w:spacing w:line="240" w:lineRule="auto" w:before="0"/>
        <w:ind w:right="0"/>
        <w:jc w:val="both"/>
        <w:rPr>
          <w:b w:val="0"/>
          <w:bCs w:val="0"/>
        </w:rPr>
      </w:pPr>
      <w:bookmarkStart w:name="二、报告期内召开的年度股东大会和临时股东大会的有关情况" w:id="98"/>
      <w:bookmarkEnd w:id="98"/>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报告期年度股东大会情况" w:id="99"/>
      <w:bookmarkEnd w:id="9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5"/>
        <w:ind w:right="173"/>
        <w:jc w:val="left"/>
        <w:rPr>
          <w:b w:val="0"/>
          <w:bCs w:val="0"/>
        </w:rPr>
      </w:pPr>
      <w:bookmarkStart w:name="2、本报告期临时股东大会情况" w:id="100"/>
      <w:bookmarkEnd w:id="100"/>
      <w:r>
        <w:rPr>
          <w:b w:val="0"/>
          <w:bCs w:val="0"/>
        </w:rPr>
      </w:r>
      <w:r>
        <w:rPr>
          <w:rFonts w:ascii="Times New Roman" w:hAnsi="Times New Roman" w:cs="Times New Roman" w:eastAsia="Times New Roman" w:hint="default"/>
        </w:rPr>
        <w:t>2</w:t>
      </w:r>
      <w:r>
        <w:rPr/>
        <w:t>、本报告期临时股东大会情况</w:t>
      </w:r>
      <w:r>
        <w:rPr>
          <w:b w:val="0"/>
          <w:bCs w:val="0"/>
        </w:rPr>
      </w:r>
    </w:p>
    <w:p>
      <w:pPr>
        <w:spacing w:after="0" w:line="240" w:lineRule="auto"/>
        <w:jc w:val="left"/>
        <w:sectPr>
          <w:pgSz w:w="11910" w:h="16840"/>
          <w:pgMar w:header="877" w:footer="979" w:top="1100" w:bottom="1160" w:left="980" w:right="92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81"/>
        <w:gridCol w:w="2403"/>
      </w:tblGrid>
      <w:tr>
        <w:trPr>
          <w:trHeight w:val="7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98"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7"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40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40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40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40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40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三、报告期董事会召开情况" w:id="101"/>
      <w:bookmarkEnd w:id="101"/>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1984"/>
        <w:gridCol w:w="2393"/>
        <w:gridCol w:w="2144"/>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0"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7" w:right="74" w:hanging="810"/>
              <w:jc w:val="left"/>
              <w:rPr>
                <w:rFonts w:ascii="宋体" w:hAnsi="宋体" w:cs="宋体" w:eastAsia="宋体" w:hint="default"/>
                <w:sz w:val="18"/>
                <w:szCs w:val="18"/>
              </w:rPr>
            </w:pPr>
            <w:r>
              <w:rPr>
                <w:rFonts w:ascii="宋体" w:hAnsi="宋体" w:cs="宋体" w:eastAsia="宋体" w:hint="default"/>
                <w:sz w:val="18"/>
                <w:szCs w:val="18"/>
              </w:rPr>
              <w:t>会议决议刊登的信息披露 日期</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第二届董事会第十四次（临时）会议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第二届董事会第十五次（临时）会议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第二届董事会第十六次（临时）会议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第二届董事会第十七次会议（年度董 事会）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第二届董事会第十九次（临时）会议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9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第二届董事会第二十三次（临时）会 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四、年度报告重大差错责任追究制度的建立与执行情况" w:id="102"/>
      <w:bookmarkEnd w:id="102"/>
      <w:r>
        <w:rPr>
          <w:b w:val="0"/>
          <w:bCs w:val="0"/>
        </w:rPr>
      </w:r>
      <w:r>
        <w:rPr/>
        <w:t>四、年度报告重大差错责任追究制度的建立与执行情况</w:t>
      </w:r>
      <w:r>
        <w:rPr>
          <w:b w:val="0"/>
          <w:bCs w:val="0"/>
        </w:rPr>
      </w:r>
    </w:p>
    <w:p>
      <w:pPr>
        <w:spacing w:line="240" w:lineRule="auto" w:before="5"/>
        <w:rPr>
          <w:rFonts w:ascii="宋体" w:hAnsi="宋体" w:cs="宋体" w:eastAsia="宋体" w:hint="default"/>
          <w:b/>
          <w:bCs/>
          <w:sz w:val="31"/>
          <w:szCs w:val="31"/>
        </w:rPr>
      </w:pPr>
    </w:p>
    <w:p>
      <w:pPr>
        <w:pStyle w:val="BodyText"/>
        <w:spacing w:line="348" w:lineRule="auto"/>
        <w:ind w:right="151" w:firstLine="420"/>
        <w:jc w:val="both"/>
      </w:pPr>
      <w:r>
        <w:rPr>
          <w:spacing w:val="-1"/>
        </w:rPr>
        <w:t>公司第一届董事会第十七次会议审议通过了关于制定《蓝盾信息安全技术股份有限公司年度报告信息</w:t>
      </w:r>
      <w:r>
        <w:rPr/>
        <w:t> </w:t>
      </w:r>
      <w:r>
        <w:rPr>
          <w:spacing w:val="-1"/>
        </w:rPr>
        <w:t>披露重大差错责任追究管理制度》的议案。公司年度报告严格按照相关规定编制，报告期未发生重大会计</w:t>
      </w:r>
      <w:r>
        <w:rPr>
          <w:spacing w:val="-83"/>
        </w:rPr>
        <w:t> </w:t>
      </w:r>
      <w:r>
        <w:rPr>
          <w:spacing w:val="-83"/>
        </w:rPr>
      </w:r>
      <w:r>
        <w:rPr/>
        <w:t>差错更正、重大遗漏信息补充以及业绩预告修正等情况。</w:t>
      </w:r>
    </w:p>
    <w:p>
      <w:pPr>
        <w:spacing w:line="240" w:lineRule="auto" w:before="10"/>
        <w:rPr>
          <w:rFonts w:ascii="宋体" w:hAnsi="宋体" w:cs="宋体" w:eastAsia="宋体" w:hint="default"/>
          <w:sz w:val="16"/>
          <w:szCs w:val="16"/>
        </w:rPr>
      </w:pPr>
    </w:p>
    <w:p>
      <w:pPr>
        <w:pStyle w:val="Heading2"/>
        <w:spacing w:line="240" w:lineRule="auto" w:before="0"/>
        <w:ind w:right="0"/>
        <w:jc w:val="left"/>
        <w:rPr>
          <w:b w:val="0"/>
          <w:bCs w:val="0"/>
        </w:rPr>
      </w:pPr>
      <w:bookmarkStart w:name="五、监事会工作情况" w:id="103"/>
      <w:bookmarkEnd w:id="103"/>
      <w:r>
        <w:rPr>
          <w:b w:val="0"/>
          <w:bCs w:val="0"/>
        </w:rPr>
      </w:r>
      <w:r>
        <w:rPr/>
        <w:t>五、监事会工作情况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监事会在报告期内的监督活动是否发现公司存在风险</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0"/>
        <w:jc w:val="left"/>
      </w:pPr>
      <w:r>
        <w:rPr/>
        <w:t>公司监事会对报告期内的监督事项无异议。</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pStyle w:val="Heading1"/>
        <w:spacing w:line="240" w:lineRule="auto" w:before="175"/>
        <w:ind w:right="2423"/>
        <w:jc w:val="center"/>
        <w:rPr>
          <w:b w:val="0"/>
          <w:bCs w:val="0"/>
        </w:rPr>
      </w:pPr>
      <w:bookmarkStart w:name="第九节 财务报告" w:id="104"/>
      <w:bookmarkEnd w:id="104"/>
      <w:r>
        <w:rPr>
          <w:b w:val="0"/>
          <w:bCs w:val="0"/>
        </w:rPr>
      </w:r>
      <w:bookmarkStart w:name="_bookmark8" w:id="105"/>
      <w:bookmarkEnd w:id="105"/>
      <w:r>
        <w:rPr>
          <w:b w:val="0"/>
          <w:bCs w:val="0"/>
        </w:rPr>
      </w:r>
      <w:r>
        <w:rPr/>
        <w:t>第九节</w:t>
      </w:r>
      <w:r>
        <w:rPr>
          <w:spacing w:val="-5"/>
        </w:rPr>
        <w:t> </w:t>
      </w:r>
      <w:r>
        <w:rPr/>
        <w:t>财务报告</w:t>
      </w:r>
      <w:r>
        <w:rPr>
          <w:b w:val="0"/>
          <w:bCs w:val="0"/>
        </w:rPr>
      </w:r>
    </w:p>
    <w:p>
      <w:pPr>
        <w:spacing w:line="240" w:lineRule="auto" w:before="11"/>
        <w:rPr>
          <w:rFonts w:ascii="宋体" w:hAnsi="宋体" w:cs="宋体" w:eastAsia="宋体" w:hint="default"/>
          <w:b/>
          <w:bCs/>
          <w:sz w:val="29"/>
          <w:szCs w:val="29"/>
        </w:rPr>
      </w:pPr>
    </w:p>
    <w:p>
      <w:pPr>
        <w:pStyle w:val="Heading2"/>
        <w:spacing w:line="240" w:lineRule="auto"/>
        <w:ind w:right="0"/>
        <w:jc w:val="left"/>
        <w:rPr>
          <w:b w:val="0"/>
          <w:bCs w:val="0"/>
        </w:rPr>
      </w:pPr>
      <w:bookmarkStart w:name="一、审计报告" w:id="106"/>
      <w:bookmarkEnd w:id="106"/>
      <w:r>
        <w:rPr>
          <w:b w:val="0"/>
          <w:bCs w:val="0"/>
        </w:rPr>
      </w:r>
      <w:r>
        <w:rPr/>
        <w:t>一、审计报告</w:t>
      </w:r>
      <w:r>
        <w:rPr>
          <w:b w:val="0"/>
          <w:bCs w:val="0"/>
        </w:rPr>
      </w:r>
    </w:p>
    <w:p>
      <w:pPr>
        <w:spacing w:line="240" w:lineRule="auto" w:before="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[2015]004690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何凌峰、吴朝辉</w:t>
            </w:r>
          </w:p>
        </w:tc>
      </w:tr>
    </w:tbl>
    <w:p>
      <w:pPr>
        <w:spacing w:line="240" w:lineRule="auto" w:before="6"/>
        <w:rPr>
          <w:rFonts w:ascii="宋体" w:hAnsi="宋体" w:cs="宋体" w:eastAsia="宋体" w:hint="default"/>
          <w:b/>
          <w:bCs/>
          <w:sz w:val="5"/>
          <w:szCs w:val="5"/>
        </w:rPr>
      </w:pPr>
    </w:p>
    <w:p>
      <w:pPr>
        <w:pStyle w:val="BodyText"/>
        <w:spacing w:line="240" w:lineRule="auto" w:before="35"/>
        <w:ind w:left="2423" w:right="2422"/>
        <w:jc w:val="center"/>
      </w:pPr>
      <w:r>
        <w:rPr/>
        <w:t>审计报告正文</w:t>
      </w:r>
    </w:p>
    <w:p>
      <w:pPr>
        <w:pStyle w:val="BodyText"/>
        <w:spacing w:line="348" w:lineRule="auto" w:before="166"/>
        <w:ind w:left="574" w:right="182" w:hanging="420"/>
        <w:jc w:val="left"/>
        <w:rPr>
          <w:rFonts w:ascii="Times New Roman" w:hAnsi="Times New Roman" w:cs="Times New Roman" w:eastAsia="Times New Roman" w:hint="default"/>
        </w:rPr>
      </w:pPr>
      <w:r>
        <w:rPr/>
        <w:t>蓝盾信息安全技术股份有限公司全体股东： 我们审计了后附的蓝盾信息安全技术股份有限公司</w:t>
      </w:r>
      <w:r>
        <w:rPr>
          <w:rFonts w:ascii="Times New Roman" w:hAnsi="Times New Roman" w:cs="Times New Roman" w:eastAsia="Times New Roman" w:hint="default"/>
        </w:rPr>
        <w:t>(</w:t>
      </w:r>
      <w:r>
        <w:rPr/>
        <w:t>以下简称蓝盾股份</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31" w:lineRule="auto" w:before="4"/>
        <w:ind w:left="154" w:right="0"/>
        <w:jc w:val="left"/>
      </w:pPr>
      <w:r>
        <w:rPr>
          <w:spacing w:val="-1"/>
        </w:rPr>
        <w:t>日的合并及母公司资产负债表，</w:t>
      </w:r>
      <w:r>
        <w:rPr>
          <w:rFonts w:ascii="Times New Roman" w:hAnsi="Times New Roman" w:cs="Times New Roman" w:eastAsia="Times New Roman" w:hint="default"/>
          <w:spacing w:val="-1"/>
        </w:rPr>
        <w:t>2014</w:t>
      </w:r>
      <w:r>
        <w:rPr>
          <w:spacing w:val="-1"/>
        </w:rPr>
        <w:t>年度的合并及母公司利润表、合并及母公司现金流量表、合并及母公</w:t>
      </w:r>
      <w:r>
        <w:rPr>
          <w:spacing w:val="-82"/>
        </w:rPr>
        <w:t> </w:t>
      </w:r>
      <w:r>
        <w:rPr>
          <w:spacing w:val="-82"/>
        </w:rPr>
      </w:r>
      <w:r>
        <w:rPr/>
        <w:t>司股东权益变动表，以及财务报表附注。</w:t>
      </w:r>
    </w:p>
    <w:p>
      <w:pPr>
        <w:pStyle w:val="BodyText"/>
        <w:spacing w:line="348" w:lineRule="auto" w:before="45"/>
        <w:ind w:left="574" w:right="217"/>
        <w:jc w:val="left"/>
      </w:pPr>
      <w:r>
        <w:rPr/>
        <w:t>一、管理层对财务报表的责任 编制和公允列报财务报表是蓝盾股份管理层的责任，这种责任包括：（</w:t>
      </w:r>
      <w:r>
        <w:rPr>
          <w:rFonts w:ascii="Times New Roman" w:hAnsi="Times New Roman" w:cs="Times New Roman" w:eastAsia="Times New Roman" w:hint="default"/>
        </w:rPr>
        <w:t>1</w:t>
      </w:r>
      <w:r>
        <w:rPr/>
        <w:t>）按照企业会计准则的规定</w:t>
      </w:r>
    </w:p>
    <w:p>
      <w:pPr>
        <w:pStyle w:val="BodyText"/>
        <w:spacing w:line="331" w:lineRule="auto" w:before="5"/>
        <w:ind w:left="154" w:right="217"/>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 于舞弊或错误导致的重大错报。</w:t>
      </w:r>
    </w:p>
    <w:p>
      <w:pPr>
        <w:pStyle w:val="BodyText"/>
        <w:spacing w:line="350" w:lineRule="auto" w:before="45"/>
        <w:ind w:left="574" w:right="0"/>
        <w:jc w:val="left"/>
      </w:pPr>
      <w:r>
        <w:rPr/>
        <w:t>二、注册会计师的责任 </w:t>
      </w:r>
      <w:r>
        <w:rPr>
          <w:spacing w:val="-1"/>
        </w:rPr>
        <w:t>我们的责任是在执行审计工作的基础上对财务报表发表审计意见。我们按照中国注册会计师审计准则</w:t>
      </w:r>
    </w:p>
    <w:p>
      <w:pPr>
        <w:pStyle w:val="BodyText"/>
        <w:spacing w:line="348" w:lineRule="auto" w:before="28"/>
        <w:ind w:left="154" w:right="0"/>
        <w:jc w:val="left"/>
      </w:pP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350" w:lineRule="auto" w:before="31"/>
        <w:ind w:left="154" w:right="150"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2"/>
        </w:rPr>
        <w:t> </w:t>
      </w:r>
      <w:r>
        <w:rPr>
          <w:spacing w:val="-82"/>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350" w:lineRule="auto" w:before="28"/>
        <w:ind w:left="574" w:right="2002"/>
        <w:jc w:val="left"/>
      </w:pPr>
      <w:r>
        <w:rPr/>
        <w:t>我们相信，我们获取的审计证据是充分、适当的，为发表审计意见提供了基础。 三、审计意见</w:t>
      </w:r>
    </w:p>
    <w:p>
      <w:pPr>
        <w:pStyle w:val="BodyText"/>
        <w:spacing w:line="240" w:lineRule="auto" w:before="67"/>
        <w:ind w:left="574" w:right="0"/>
        <w:jc w:val="left"/>
      </w:pPr>
      <w:r>
        <w:rPr/>
        <w:t>我们认为，蓝盾股份的财务报表在所有重大方面按照企业会计准则的规定编制，公允反映了蓝盾股份</w:t>
      </w:r>
    </w:p>
    <w:p>
      <w:pPr>
        <w:pStyle w:val="BodyText"/>
        <w:spacing w:line="240" w:lineRule="auto" w:before="126"/>
        <w:ind w:left="15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0"/>
        <w:rPr>
          <w:rFonts w:ascii="宋体" w:hAnsi="宋体" w:cs="宋体" w:eastAsia="宋体" w:hint="default"/>
          <w:sz w:val="22"/>
          <w:szCs w:val="22"/>
        </w:rPr>
      </w:pPr>
    </w:p>
    <w:p>
      <w:pPr>
        <w:pStyle w:val="BodyText"/>
        <w:tabs>
          <w:tab w:pos="5449" w:val="left" w:leader="none"/>
        </w:tabs>
        <w:spacing w:line="297" w:lineRule="auto" w:before="188"/>
        <w:ind w:left="1584" w:right="2181" w:hanging="1116"/>
        <w:jc w:val="left"/>
      </w:pPr>
      <w:r>
        <w:rPr>
          <w:spacing w:val="-1"/>
        </w:rPr>
        <w:t>大华会计师事务所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tab/>
      </w:r>
      <w:r>
        <w:rPr/>
        <w:t>中国注册会计师：何凌峰 </w:t>
      </w:r>
      <w:r>
        <w:rPr>
          <w:w w:val="95"/>
        </w:rPr>
        <w:t>中国</w:t>
      </w:r>
      <w:r>
        <w:rPr>
          <w:rFonts w:ascii="Times New Roman" w:hAnsi="Times New Roman" w:cs="Times New Roman" w:eastAsia="Times New Roman" w:hint="default"/>
          <w:w w:val="95"/>
        </w:rPr>
        <w:t>•</w:t>
      </w:r>
      <w:r>
        <w:rPr>
          <w:w w:val="95"/>
        </w:rPr>
        <w:t>北京</w:t>
        <w:tab/>
      </w:r>
      <w:r>
        <w:rPr/>
        <w:t>中国注册会计师：吴朝辉</w:t>
      </w:r>
    </w:p>
    <w:p>
      <w:pPr>
        <w:pStyle w:val="BodyText"/>
        <w:spacing w:line="240" w:lineRule="auto" w:before="46"/>
        <w:ind w:left="0" w:right="745"/>
        <w:jc w:val="right"/>
      </w:pPr>
      <w:r>
        <w:rPr/>
        <w:t>二〇一五年四月二十二日</w:t>
      </w:r>
    </w:p>
    <w:p>
      <w:pPr>
        <w:spacing w:after="0" w:line="240" w:lineRule="auto"/>
        <w:jc w:val="righ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财务报表" w:id="107"/>
      <w:bookmarkEnd w:id="10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08"/>
      <w:bookmarkEnd w:id="10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575" w:space="50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357,652,024.59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408,677,824.12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303,019,792.35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204,929,839.53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61,322,431.14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15,812,663.54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10,472,512.06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13,089,034.12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52,187,984.15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19,840,013.33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22,338.40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784,681,385.87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662,371,713.04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2,140,665.95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334,862,074.06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165,171,233.73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7,619,913.64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114,319,458.69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102,856,773.28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61,606,271.02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5,519,247.60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36,259,896.11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4,140,983.07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5,574,345.75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7,148,608.34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3,867,990.64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65,678,847.82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39,532,972.00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529,967,113.76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426,332,167.94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1,314,648,499.63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1,088,703,880.98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223,213,027.00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37,959,555.58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13,806,725.02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115,042,753.36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81,692,664.01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74,548,785.27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22,697,527.02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8,166,650.39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9,201,296.47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33,474,339.32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16,419,856.25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588,580.86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473,586.65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560,515.62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395,950.87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553,554,207.40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307,587,606.29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42,234,419.72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42,234,419.72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595,788,627.12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403,827,606.29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312,243,231.67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312,243,231.67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21,847,119.83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19,654,958.51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183,138,138.73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152,967,510.19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713,228,490.23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680,865,700.37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5,631,382.28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4,010,574.32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718,859,872.51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684,876,274.69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1,314,648,499.63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1,088,703,880.98</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09"/>
      <w:bookmarkEnd w:id="10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213,154,843.42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316,247,002.65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208,387,631.78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185,823,471.44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33,104,883.30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13,245,584.34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2,338,725.76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9,437,430.88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20,677,237.59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17,599,306.21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477,663,321.85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542,352,795.52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314,408,714.23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150,398,132.45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7,619,913.64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114,319,458.69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83,900,300.68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57,394,531.08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23,166,735.18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3,148,366.47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4,284,529.11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4,974,141.31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2,914,111.30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65,078,847.82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37,725,830.00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645,130,284.15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516,203,327.81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1,122,793,606.00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1,058,556,123.33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173,213,027.00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37,959,555.58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13,806,725.02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68,002,218.19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70,649,116.14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10,386,472.22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15,913,419.56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1,747,151.79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4,523,019.00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30,345,160.74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14,654,461.57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481,247.52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473,586.65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736,394.20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82,978.55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382,871,227.24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283,003,306.49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41,627,948.72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41,627,948.72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424,499,175.96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379,243,306.49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312,243,231.67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312,243,231.67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21,847,119.83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19,654,958.51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168,204,078.54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151,414,626.66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698,294,430.04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679,312,816.84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1,122,793,606.00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1,058,556,123.33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10"/>
      <w:bookmarkEnd w:id="11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524,904,499.06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395,366,353.03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524,904,499.06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395,366,353.03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492,720,978.13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383,918,773.13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306,702,505.37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249,656,361.15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12.240005pt;margin-top:521.320007pt;width:157.7pt;height:19.650pt;mso-position-horizontal-relative:page;mso-position-vertical-relative:page;z-index:-717424"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3,984,501.25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1,725,858.52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32,532,332.62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28,597,482.04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125,666,859.23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90,791,343.47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14,252,365.25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7,074,660.22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9,582,414.41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6,073,067.73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665.95</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32,184,186.88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11,447,579.90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11,275,463.12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27,634,930.50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2,270,339.38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2,866,960.17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2,363,337.31</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41,189,310.62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36,215,550.23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4,265,712.80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4,241,693.17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36,923,597.82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31,973,857.06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35,302,789.86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31,963,282.74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1,620,807.96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10,574.32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36,923,597.82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31,973,857.06</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35,302,789.86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31,963,282.74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1,620,807.96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10,574.32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11"/>
      <w:bookmarkEnd w:id="11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312,561,846.51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352,618,919.03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173,931,505.59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232,508,060.04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2,150,722.88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1,358,471.66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13,250,570.96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19,533,133.61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86,244,972.20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73,529,625.19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13,080,282.24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7,268,745.00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5,020,793.42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5,289,227.03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18,882,999.22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13,131,656.50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8,012,233.71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27,627,080.50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2,196,950.16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2,739,797.18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2,286,542.54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24,698,282.77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38,018,939.82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2,776,669.57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4,827,880.42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33,191,059.40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33,191,059.40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12"/>
      <w:bookmarkEnd w:id="11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548,685,899.87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414,862,126.39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6,082,288.43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3,398,650.70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39,290,445.14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25,327,352.92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594,058,633.44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443,588,130.01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364,229,049.41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264,445,487.52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57,658,416.52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43,348,587.65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26,583,320.41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23,533,006.87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110,042,988.25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62,323,207.98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558,513,774.59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393,650,290.02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35,544,858.85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49,937,839.99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132,537,633.41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140,343,346.41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134,677,633.41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140,343,346.41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-123,977,633.41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-124,943,346.41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223,213,027.00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25,861,263.59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3,424,366.52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249,074,290.59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246,324,366.52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18,473,164.82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18,227,833.33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32,902,979.42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6,804,423.77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224,276,144.24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215,032,257.10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24,798,146.35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31,292,109.42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-63,634,628.21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-43,713,397.00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396,817,393.07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440,530,790.07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333,182,764.86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396,817,393.07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13"/>
      <w:bookmarkEnd w:id="11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325,786,957.41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368,125,230.17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2,635,682.43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3,398,650.70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22,293,225.69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53,049,937.79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350,715,865.53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424,573,818.66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197,449,331.78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243,856,224.17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23,808,718.21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28,012,024.62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14,057,268.11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22,275,594.40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61,659,932.93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77,362,291.42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296,975,251.03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371,506,134.61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53,740,614.50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53,067,684.05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114,871,765.70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125,239,711.62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154,871,765.70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182,239,711.62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-144,171,765.70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-166,839,711.62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173,213,027.00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25,816,725.59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3,346,087.67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199,029,752.59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246,246,087.67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17,185,431.49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18,227,833.33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32,902,979.42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6,727,260.70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222,988,410.91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214,955,094.03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-23,958,658.32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31,290,993.64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-114,389,809.52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-82,481,033.93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304,463,734.67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386,944,768.60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190,073,925.15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304,463,734.67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3"/>
        <w:spacing w:line="240" w:lineRule="auto" w:before="35"/>
        <w:ind w:left="140" w:right="0"/>
        <w:jc w:val="left"/>
        <w:rPr>
          <w:b w:val="0"/>
          <w:bCs w:val="0"/>
        </w:rPr>
      </w:pPr>
      <w:bookmarkStart w:name="7、合并所有者权益变动表" w:id="114"/>
      <w:bookmarkEnd w:id="11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4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387"/>
        <w:gridCol w:w="1288"/>
        <w:gridCol w:w="709"/>
        <w:gridCol w:w="708"/>
        <w:gridCol w:w="426"/>
        <w:gridCol w:w="1274"/>
        <w:gridCol w:w="568"/>
        <w:gridCol w:w="708"/>
        <w:gridCol w:w="568"/>
        <w:gridCol w:w="1134"/>
        <w:gridCol w:w="709"/>
        <w:gridCol w:w="1276"/>
        <w:gridCol w:w="1134"/>
        <w:gridCol w:w="1276"/>
      </w:tblGrid>
      <w:tr>
        <w:trPr>
          <w:trHeight w:val="402" w:hRule="exact"/>
        </w:trPr>
        <w:tc>
          <w:tcPr>
            <w:tcW w:w="2387" w:type="dxa"/>
            <w:vMerge w:val="restart"/>
            <w:tcBorders>
              <w:top w:val="single" w:sz="4" w:space="0" w:color="000000"/>
              <w:left w:val="single" w:sz="4" w:space="0" w:color="000000"/>
              <w:right w:val="single" w:sz="4" w:space="0" w:color="000000"/>
            </w:tcBorders>
            <w:shd w:val="clear" w:color="auto" w:fill="D2D2D2"/>
          </w:tcPr>
          <w:p>
            <w:pPr/>
          </w:p>
        </w:tc>
        <w:tc>
          <w:tcPr>
            <w:tcW w:w="1177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936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68"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2"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7"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3" w:hRule="exact"/>
        </w:trPr>
        <w:tc>
          <w:tcPr>
            <w:tcW w:w="2387"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568"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56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19,654,958.51</w:t>
            </w:r>
          </w:p>
        </w:tc>
        <w:tc>
          <w:tcPr>
            <w:tcW w:w="709"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152,967,510.19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4,010,574.32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684,876,274.69</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19,654,958.51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152,967,510.19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4,010,574.32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684,876,274.69</w:t>
            </w: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30,170,628.54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1,620,807.96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33,983,597.82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35,302,789.86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1,620,807.96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36,923,597.82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67" w:footer="979" w:top="1060" w:bottom="1160" w:left="1300" w:right="1100"/>
          <w:pgNumType w:start="67"/>
        </w:sectPr>
      </w:pPr>
    </w:p>
    <w:p>
      <w:pPr>
        <w:spacing w:line="240" w:lineRule="auto" w:before="4"/>
        <w:rPr>
          <w:rFonts w:ascii="Times New Roman" w:hAnsi="Times New Roman" w:cs="Times New Roman" w:eastAsia="Times New Roman" w:hint="default"/>
          <w:sz w:val="3"/>
          <w:szCs w:val="3"/>
        </w:rPr>
      </w:pPr>
      <w:r>
        <w:rPr/>
        <w:pict>
          <v:group style="position:absolute;margin-left:192.800003pt;margin-top:257.649994pt;width:62.1pt;height:40.9pt;mso-position-horizontal-relative:page;mso-position-vertical-relative:page;z-index:-717376" coordorigin="3856,5153" coordsize="1242,818">
            <v:group style="position:absolute;left:3867;top:5164;width:2;height:393" coordorigin="3867,5164" coordsize="2,393">
              <v:shape style="position:absolute;left:3867;top:5164;width:2;height:393" coordorigin="3867,5164" coordsize="0,393" path="m3867,5164l3867,5557e" filled="false" stroked="true" strokeweight="1.140pt" strokecolor="#ffffff">
                <v:path arrowok="t"/>
              </v:shape>
            </v:group>
            <v:group style="position:absolute;left:3879;top:5164;width:1220;height:393" coordorigin="3879,5164" coordsize="1220,393">
              <v:shape style="position:absolute;left:3879;top:5164;width:1220;height:393" coordorigin="3879,5164" coordsize="1220,393" path="m3879,5557l5098,5557,5098,5164,3879,5164,3879,5557xe" filled="true" fillcolor="#ffffff" stroked="false">
                <v:path arrowok="t"/>
                <v:fill type="solid"/>
              </v:shape>
            </v:group>
            <v:group style="position:absolute;left:3867;top:5566;width:2;height:393" coordorigin="3867,5566" coordsize="2,393">
              <v:shape style="position:absolute;left:3867;top:5566;width:2;height:393" coordorigin="3867,5566" coordsize="0,393" path="m3867,5566l3867,5959e" filled="false" stroked="true" strokeweight="1.140pt" strokecolor="#ffffff">
                <v:path arrowok="t"/>
              </v:shape>
            </v:group>
            <v:group style="position:absolute;left:3879;top:5566;width:1220;height:393" coordorigin="3879,5566" coordsize="1220,393">
              <v:shape style="position:absolute;left:3879;top:5566;width:1220;height:393" coordorigin="3879,5566" coordsize="1220,393" path="m3879,5959l5098,5959,5098,5566,3879,5566,3879,595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387"/>
        <w:gridCol w:w="1288"/>
        <w:gridCol w:w="709"/>
        <w:gridCol w:w="708"/>
        <w:gridCol w:w="426"/>
        <w:gridCol w:w="1274"/>
        <w:gridCol w:w="568"/>
        <w:gridCol w:w="708"/>
        <w:gridCol w:w="568"/>
        <w:gridCol w:w="1134"/>
        <w:gridCol w:w="709"/>
        <w:gridCol w:w="1276"/>
        <w:gridCol w:w="1134"/>
        <w:gridCol w:w="1276"/>
      </w:tblGrid>
      <w:tr>
        <w:trPr>
          <w:trHeight w:val="416" w:hRule="exact"/>
        </w:trPr>
        <w:tc>
          <w:tcPr>
            <w:tcW w:w="2387" w:type="dxa"/>
            <w:vMerge w:val="restart"/>
            <w:tcBorders>
              <w:top w:val="single" w:sz="15" w:space="0" w:color="000000"/>
              <w:left w:val="single" w:sz="4" w:space="0" w:color="000000"/>
              <w:right w:val="single" w:sz="4" w:space="0" w:color="000000"/>
            </w:tcBorders>
            <w:shd w:val="clear" w:color="auto" w:fill="D2D2D2"/>
          </w:tcPr>
          <w:p>
            <w:pPr/>
          </w:p>
        </w:tc>
        <w:tc>
          <w:tcPr>
            <w:tcW w:w="11778"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936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68"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1"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2"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8" w:hRule="exact"/>
        </w:trPr>
        <w:tc>
          <w:tcPr>
            <w:tcW w:w="2387"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568"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709" w:type="dxa"/>
            <w:tcBorders>
              <w:top w:val="single" w:sz="18"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-5,132,161.32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312,243,231.67</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21,847,119.83</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183,138,138.73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5,631,382.28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718,859,872.51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40" w:right="11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57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387"/>
        <w:gridCol w:w="1288"/>
        <w:gridCol w:w="709"/>
        <w:gridCol w:w="708"/>
        <w:gridCol w:w="426"/>
        <w:gridCol w:w="1274"/>
        <w:gridCol w:w="568"/>
        <w:gridCol w:w="708"/>
        <w:gridCol w:w="568"/>
        <w:gridCol w:w="1134"/>
        <w:gridCol w:w="851"/>
        <w:gridCol w:w="1276"/>
        <w:gridCol w:w="1134"/>
        <w:gridCol w:w="1276"/>
      </w:tblGrid>
      <w:tr>
        <w:trPr>
          <w:trHeight w:val="402" w:hRule="exact"/>
        </w:trPr>
        <w:tc>
          <w:tcPr>
            <w:tcW w:w="2387" w:type="dxa"/>
            <w:vMerge w:val="restart"/>
            <w:tcBorders>
              <w:top w:val="single" w:sz="4" w:space="0" w:color="000000"/>
              <w:left w:val="single" w:sz="4" w:space="0" w:color="000000"/>
              <w:right w:val="single" w:sz="4" w:space="0" w:color="000000"/>
            </w:tcBorders>
            <w:shd w:val="clear" w:color="auto" w:fill="D2D2D2"/>
          </w:tcPr>
          <w:p>
            <w:pPr/>
          </w:p>
        </w:tc>
        <w:tc>
          <w:tcPr>
            <w:tcW w:w="1192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8"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95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4"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510"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0"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3"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8" w:hRule="exact"/>
        </w:trPr>
        <w:tc>
          <w:tcPr>
            <w:tcW w:w="2387"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410,243,231.67</w:t>
            </w:r>
          </w:p>
        </w:tc>
        <w:tc>
          <w:tcPr>
            <w:tcW w:w="568"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56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16,335,852.57</w:t>
            </w:r>
          </w:p>
        </w:tc>
        <w:tc>
          <w:tcPr>
            <w:tcW w:w="851"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130,203,333.39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656,782,417.63</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410,243,231.67</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16,335,852.57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130,203,333.39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656,782,417.63</w:t>
            </w: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22,764,176.80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2,010,574.32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28,093,857.06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31,963,282.74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31,973,857.06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-9,199,105.94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960"/>
        </w:sectPr>
      </w:pPr>
    </w:p>
    <w:p>
      <w:pPr>
        <w:spacing w:line="240" w:lineRule="auto" w:before="4"/>
        <w:rPr>
          <w:rFonts w:ascii="Times New Roman" w:hAnsi="Times New Roman" w:cs="Times New Roman" w:eastAsia="Times New Roman" w:hint="default"/>
          <w:sz w:val="3"/>
          <w:szCs w:val="3"/>
        </w:rPr>
      </w:pPr>
      <w:r>
        <w:rPr/>
        <w:pict>
          <v:group style="position:absolute;margin-left:192.800003pt;margin-top:217.430008pt;width:62.1pt;height:40.9pt;mso-position-horizontal-relative:page;mso-position-vertical-relative:page;z-index:-717328" coordorigin="3856,4349" coordsize="1242,818">
            <v:group style="position:absolute;left:3867;top:4360;width:2;height:393" coordorigin="3867,4360" coordsize="2,393">
              <v:shape style="position:absolute;left:3867;top:4360;width:2;height:393" coordorigin="3867,4360" coordsize="0,393" path="m3867,4360l3867,4752e" filled="false" stroked="true" strokeweight="1.140pt" strokecolor="#ffffff">
                <v:path arrowok="t"/>
              </v:shape>
            </v:group>
            <v:group style="position:absolute;left:3879;top:4360;width:1220;height:393" coordorigin="3879,4360" coordsize="1220,393">
              <v:shape style="position:absolute;left:3879;top:4360;width:1220;height:393" coordorigin="3879,4360" coordsize="1220,393" path="m3879,4752l5098,4752,5098,4360,3879,4360,3879,4752xe" filled="true" fillcolor="#ffffff" stroked="false">
                <v:path arrowok="t"/>
                <v:fill type="solid"/>
              </v:shape>
            </v:group>
            <v:group style="position:absolute;left:3867;top:4762;width:2;height:393" coordorigin="3867,4762" coordsize="2,393">
              <v:shape style="position:absolute;left:3867;top:4762;width:2;height:393" coordorigin="3867,4762" coordsize="0,393" path="m3867,4762l3867,5155e" filled="false" stroked="true" strokeweight="1.140pt" strokecolor="#ffffff">
                <v:path arrowok="t"/>
              </v:shape>
            </v:group>
            <v:group style="position:absolute;left:3879;top:4762;width:1220;height:393" coordorigin="3879,4762" coordsize="1220,393">
              <v:shape style="position:absolute;left:3879;top:4762;width:1220;height:393" coordorigin="3879,4762" coordsize="1220,393" path="m3879,5155l5098,5155,5098,4762,3879,4762,3879,515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387"/>
        <w:gridCol w:w="150"/>
        <w:gridCol w:w="1138"/>
        <w:gridCol w:w="709"/>
        <w:gridCol w:w="708"/>
        <w:gridCol w:w="426"/>
        <w:gridCol w:w="1274"/>
        <w:gridCol w:w="568"/>
        <w:gridCol w:w="708"/>
        <w:gridCol w:w="568"/>
        <w:gridCol w:w="1134"/>
        <w:gridCol w:w="851"/>
        <w:gridCol w:w="1276"/>
        <w:gridCol w:w="1134"/>
        <w:gridCol w:w="1276"/>
      </w:tblGrid>
      <w:tr>
        <w:trPr>
          <w:trHeight w:val="416" w:hRule="exact"/>
        </w:trPr>
        <w:tc>
          <w:tcPr>
            <w:tcW w:w="2387" w:type="dxa"/>
            <w:vMerge w:val="restart"/>
            <w:tcBorders>
              <w:top w:val="single" w:sz="15" w:space="0" w:color="000000"/>
              <w:left w:val="single" w:sz="4" w:space="0" w:color="000000"/>
              <w:right w:val="single" w:sz="4" w:space="0" w:color="000000"/>
            </w:tcBorders>
            <w:shd w:val="clear" w:color="auto" w:fill="D2D2D2"/>
          </w:tcPr>
          <w:p>
            <w:pPr/>
          </w:p>
        </w:tc>
        <w:tc>
          <w:tcPr>
            <w:tcW w:w="11920" w:type="dxa"/>
            <w:gridSpan w:val="14"/>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9"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9510" w:type="dxa"/>
            <w:gridSpan w:val="1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510" w:type="dxa"/>
            <w:gridSpan w:val="1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1"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2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22"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2"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2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8" w:hRule="exact"/>
        </w:trPr>
        <w:tc>
          <w:tcPr>
            <w:tcW w:w="2387" w:type="dxa"/>
            <w:vMerge/>
            <w:tcBorders>
              <w:left w:val="single" w:sz="4" w:space="0" w:color="000000"/>
              <w:right w:val="single" w:sz="4" w:space="0" w:color="000000"/>
            </w:tcBorders>
            <w:shd w:val="clear" w:color="auto" w:fill="D2D2D2"/>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2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568"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18"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-5,880,000.00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10" w:right="0"/>
              <w:jc w:val="left"/>
              <w:rPr>
                <w:rFonts w:ascii="Times New Roman" w:hAnsi="Times New Roman" w:cs="Times New Roman" w:eastAsia="Times New Roman" w:hint="default"/>
                <w:sz w:val="18"/>
                <w:szCs w:val="18"/>
              </w:rPr>
            </w:pPr>
            <w:r>
              <w:rPr>
                <w:rFonts w:ascii="Times New Roman"/>
                <w:sz w:val="18"/>
              </w:rPr>
              <w:t>98,000,000.00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5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7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98,000,000.00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120" w:right="0"/>
              <w:jc w:val="left"/>
              <w:rPr>
                <w:rFonts w:ascii="Times New Roman" w:hAnsi="Times New Roman" w:cs="Times New Roman" w:eastAsia="Times New Roman" w:hint="default"/>
                <w:sz w:val="18"/>
                <w:szCs w:val="18"/>
              </w:rPr>
            </w:pPr>
            <w:r>
              <w:rPr>
                <w:rFonts w:ascii="Times New Roman"/>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5" w:right="0"/>
              <w:jc w:val="left"/>
              <w:rPr>
                <w:rFonts w:ascii="Times New Roman" w:hAnsi="Times New Roman" w:cs="Times New Roman" w:eastAsia="Times New Roman" w:hint="default"/>
                <w:sz w:val="18"/>
                <w:szCs w:val="18"/>
              </w:rPr>
            </w:pPr>
            <w:r>
              <w:rPr>
                <w:rFonts w:ascii="Times New Roman"/>
                <w:sz w:val="18"/>
              </w:rPr>
              <w:t>19,654,958.51</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152,967,510.19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6" w:right="0"/>
              <w:jc w:val="left"/>
              <w:rPr>
                <w:rFonts w:ascii="Times New Roman" w:hAnsi="Times New Roman" w:cs="Times New Roman" w:eastAsia="Times New Roman" w:hint="default"/>
                <w:sz w:val="18"/>
                <w:szCs w:val="18"/>
              </w:rPr>
            </w:pPr>
            <w:r>
              <w:rPr>
                <w:rFonts w:ascii="Times New Roman"/>
                <w:sz w:val="18"/>
              </w:rPr>
              <w:t>4,010,574.32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684,876,274.69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40" w:right="960"/>
        </w:sectPr>
      </w:pPr>
    </w:p>
    <w:p>
      <w:pPr>
        <w:spacing w:line="240" w:lineRule="auto" w:before="4"/>
        <w:rPr>
          <w:rFonts w:ascii="Times New Roman" w:hAnsi="Times New Roman" w:cs="Times New Roman" w:eastAsia="Times New Roman" w:hint="default"/>
          <w:sz w:val="3"/>
          <w:szCs w:val="3"/>
        </w:rPr>
      </w:pPr>
      <w:r>
        <w:rPr/>
        <w:pict>
          <v:group style="position:absolute;margin-left:242.360001pt;margin-top:283.330017pt;width:62.2pt;height:20.8pt;mso-position-horizontal-relative:page;mso-position-vertical-relative:page;z-index:-717280" coordorigin="4847,5667" coordsize="1244,416">
            <v:group style="position:absolute;left:4859;top:5678;width:2;height:393" coordorigin="4859,5678" coordsize="2,393">
              <v:shape style="position:absolute;left:4859;top:5678;width:2;height:393" coordorigin="4859,5678" coordsize="0,393" path="m4859,5678l4859,6070e" filled="false" stroked="true" strokeweight="1.140pt" strokecolor="#ffffff">
                <v:path arrowok="t"/>
              </v:shape>
            </v:group>
            <v:group style="position:absolute;left:4870;top:5678;width:1221;height:393" coordorigin="4870,5678" coordsize="1221,393">
              <v:shape style="position:absolute;left:4870;top:5678;width:1221;height:393" coordorigin="4870,5678" coordsize="1221,393" path="m4870,6070l6090,6070,6090,5678,4870,5678,4870,6070xe" filled="true" fillcolor="#ffffff" stroked="false">
                <v:path arrowok="t"/>
                <v:fill type="solid"/>
              </v:shape>
            </v:group>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8、母公司所有者权益变动表" w:id="115"/>
      <w:bookmarkEnd w:id="11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2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380"/>
        <w:gridCol w:w="1287"/>
        <w:gridCol w:w="709"/>
        <w:gridCol w:w="709"/>
        <w:gridCol w:w="425"/>
        <w:gridCol w:w="1277"/>
        <w:gridCol w:w="708"/>
        <w:gridCol w:w="851"/>
        <w:gridCol w:w="709"/>
        <w:gridCol w:w="1134"/>
        <w:gridCol w:w="1274"/>
        <w:gridCol w:w="1419"/>
      </w:tblGrid>
      <w:tr>
        <w:trPr>
          <w:trHeight w:val="397" w:hRule="exact"/>
        </w:trPr>
        <w:tc>
          <w:tcPr>
            <w:tcW w:w="3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3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7" w:right="23" w:hanging="236"/>
              <w:jc w:val="left"/>
              <w:rPr>
                <w:rFonts w:ascii="宋体" w:hAnsi="宋体" w:cs="宋体" w:eastAsia="宋体" w:hint="default"/>
                <w:sz w:val="18"/>
                <w:szCs w:val="18"/>
              </w:rPr>
            </w:pPr>
            <w:r>
              <w:rPr>
                <w:rFonts w:ascii="宋体" w:hAnsi="宋体" w:cs="宋体" w:eastAsia="宋体" w:hint="default"/>
                <w:spacing w:val="-18"/>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3380" w:type="dxa"/>
            <w:vMerge/>
            <w:tcBorders>
              <w:left w:val="single" w:sz="4" w:space="0" w:color="000000"/>
              <w:bottom w:val="nil" w:sz="6" w:space="0" w:color="auto"/>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vMerge/>
            <w:tcBorders>
              <w:left w:val="single" w:sz="4" w:space="0" w:color="000000"/>
              <w:bottom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3380" w:type="dxa"/>
            <w:vMerge w:val="restart"/>
            <w:tcBorders>
              <w:top w:val="nil" w:sz="6" w:space="0" w:color="auto"/>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380"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312,243,231.67</w:t>
            </w:r>
          </w:p>
        </w:tc>
        <w:tc>
          <w:tcPr>
            <w:tcW w:w="708" w:type="dxa"/>
            <w:tcBorders>
              <w:top w:val="single" w:sz="22" w:space="0" w:color="D2D2D2"/>
              <w:left w:val="single" w:sz="4" w:space="0" w:color="000000"/>
              <w:bottom w:val="single" w:sz="4" w:space="0" w:color="000000"/>
              <w:right w:val="single" w:sz="4" w:space="0" w:color="000000"/>
            </w:tcBorders>
          </w:tcPr>
          <w:p>
            <w:pPr/>
          </w:p>
        </w:tc>
        <w:tc>
          <w:tcPr>
            <w:tcW w:w="851" w:type="dxa"/>
            <w:tcBorders>
              <w:top w:val="single" w:sz="22" w:space="0" w:color="D2D2D2"/>
              <w:left w:val="single" w:sz="4" w:space="0" w:color="000000"/>
              <w:bottom w:val="single" w:sz="4" w:space="0" w:color="000000"/>
              <w:right w:val="single" w:sz="4" w:space="0" w:color="000000"/>
            </w:tcBorders>
          </w:tcPr>
          <w:p>
            <w:pPr/>
          </w:p>
        </w:tc>
        <w:tc>
          <w:tcPr>
            <w:tcW w:w="709"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19,654,958.51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151,414,626.66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679,312,816.84</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312,243,231.67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19,654,958.51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151,414,626.66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679,312,816.84</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号填列</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16,789,451.88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18,981,613.20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21,921,613.20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-5,132,161.32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80"/>
        <w:gridCol w:w="1287"/>
        <w:gridCol w:w="709"/>
        <w:gridCol w:w="709"/>
        <w:gridCol w:w="425"/>
        <w:gridCol w:w="1277"/>
        <w:gridCol w:w="708"/>
        <w:gridCol w:w="851"/>
        <w:gridCol w:w="709"/>
        <w:gridCol w:w="1134"/>
        <w:gridCol w:w="1274"/>
        <w:gridCol w:w="1419"/>
      </w:tblGrid>
      <w:tr>
        <w:trPr>
          <w:trHeight w:val="412" w:hRule="exact"/>
        </w:trPr>
        <w:tc>
          <w:tcPr>
            <w:tcW w:w="338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503"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3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57" w:right="23" w:hanging="236"/>
              <w:jc w:val="left"/>
              <w:rPr>
                <w:rFonts w:ascii="宋体" w:hAnsi="宋体" w:cs="宋体" w:eastAsia="宋体" w:hint="default"/>
                <w:sz w:val="18"/>
                <w:szCs w:val="18"/>
              </w:rPr>
            </w:pPr>
            <w:r>
              <w:rPr>
                <w:rFonts w:ascii="宋体" w:hAnsi="宋体" w:cs="宋体" w:eastAsia="宋体" w:hint="default"/>
                <w:spacing w:val="-18"/>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3380" w:type="dxa"/>
            <w:vMerge/>
            <w:tcBorders>
              <w:left w:val="single" w:sz="4" w:space="0" w:color="000000"/>
              <w:bottom w:val="nil" w:sz="6" w:space="0" w:color="auto"/>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3" w:type="dxa"/>
            <w:gridSpan w:val="3"/>
            <w:vMerge/>
            <w:tcBorders>
              <w:left w:val="single" w:sz="4" w:space="0" w:color="000000"/>
              <w:bottom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3380" w:type="dxa"/>
            <w:vMerge w:val="restart"/>
            <w:tcBorders>
              <w:top w:val="nil" w:sz="6" w:space="0" w:color="auto"/>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380"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851" w:type="dxa"/>
            <w:tcBorders>
              <w:top w:val="single" w:sz="22" w:space="0" w:color="D2D2D2"/>
              <w:left w:val="single" w:sz="4" w:space="0" w:color="000000"/>
              <w:bottom w:val="single" w:sz="4" w:space="0" w:color="000000"/>
              <w:right w:val="single" w:sz="4" w:space="0" w:color="000000"/>
            </w:tcBorders>
          </w:tcPr>
          <w:p>
            <w:pPr/>
          </w:p>
        </w:tc>
        <w:tc>
          <w:tcPr>
            <w:tcW w:w="709"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196,000,000.00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312,243,231.67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21,847,119.83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168,204,078.54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698,294,430.04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40" w:right="1320"/>
        </w:sectPr>
      </w:pPr>
    </w:p>
    <w:p>
      <w:pPr>
        <w:spacing w:line="240" w:lineRule="auto" w:before="4"/>
        <w:rPr>
          <w:rFonts w:ascii="Times New Roman" w:hAnsi="Times New Roman" w:cs="Times New Roman" w:eastAsia="Times New Roman" w:hint="default"/>
          <w:sz w:val="3"/>
          <w:szCs w:val="3"/>
        </w:rPr>
      </w:pPr>
      <w:r>
        <w:rPr/>
        <w:pict>
          <v:group style="position:absolute;margin-left:249.440002pt;margin-top:252.640015pt;width:62.2pt;height:20.85pt;mso-position-horizontal-relative:page;mso-position-vertical-relative:page;z-index:-717232" coordorigin="4989,5053" coordsize="1244,417">
            <v:group style="position:absolute;left:5001;top:5065;width:2;height:393" coordorigin="5001,5065" coordsize="2,393">
              <v:shape style="position:absolute;left:5001;top:5065;width:2;height:393" coordorigin="5001,5065" coordsize="0,393" path="m5001,5065l5001,5457e" filled="false" stroked="true" strokeweight="1.2pt" strokecolor="#ffffff">
                <v:path arrowok="t"/>
              </v:shape>
            </v:group>
            <v:group style="position:absolute;left:5013;top:5065;width:1220;height:393" coordorigin="5013,5065" coordsize="1220,393">
              <v:shape style="position:absolute;left:5013;top:5065;width:1220;height:393" coordorigin="5013,5065" coordsize="1220,393" path="m5013,5457l6232,5457,6232,5065,5013,5065,5013,5457xe" filled="true" fillcolor="#ffffff" stroked="false">
                <v:path arrowok="t"/>
                <v:fill type="solid"/>
              </v:shape>
            </v:group>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57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521"/>
        <w:gridCol w:w="149"/>
        <w:gridCol w:w="1139"/>
        <w:gridCol w:w="708"/>
        <w:gridCol w:w="709"/>
        <w:gridCol w:w="425"/>
        <w:gridCol w:w="1276"/>
        <w:gridCol w:w="851"/>
        <w:gridCol w:w="1134"/>
        <w:gridCol w:w="708"/>
        <w:gridCol w:w="1134"/>
        <w:gridCol w:w="1277"/>
        <w:gridCol w:w="1276"/>
      </w:tblGrid>
      <w:tr>
        <w:trPr>
          <w:trHeight w:val="402" w:hRule="exact"/>
        </w:trPr>
        <w:tc>
          <w:tcPr>
            <w:tcW w:w="35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5" w:hRule="exact"/>
        </w:trPr>
        <w:tc>
          <w:tcPr>
            <w:tcW w:w="35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3521" w:type="dxa"/>
            <w:vMerge/>
            <w:tcBorders>
              <w:left w:val="single" w:sz="4" w:space="0" w:color="000000"/>
              <w:bottom w:val="nil" w:sz="6" w:space="0" w:color="auto"/>
              <w:right w:val="single" w:sz="4" w:space="0" w:color="000000"/>
            </w:tcBorders>
            <w:shd w:val="clear" w:color="auto" w:fill="D2D2D2"/>
          </w:tcPr>
          <w:p>
            <w:pPr/>
          </w:p>
        </w:tc>
        <w:tc>
          <w:tcPr>
            <w:tcW w:w="12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2D2D2"/>
          </w:tcPr>
          <w:p>
            <w:pPr/>
          </w:p>
        </w:tc>
      </w:tr>
      <w:tr>
        <w:trPr>
          <w:trHeight w:val="200" w:hRule="exact"/>
        </w:trPr>
        <w:tc>
          <w:tcPr>
            <w:tcW w:w="3521" w:type="dxa"/>
            <w:vMerge w:val="restart"/>
            <w:tcBorders>
              <w:top w:val="nil" w:sz="6" w:space="0" w:color="auto"/>
              <w:left w:val="single" w:sz="4" w:space="0" w:color="000000"/>
              <w:right w:val="single" w:sz="4" w:space="0" w:color="000000"/>
            </w:tcBorders>
            <w:shd w:val="clear" w:color="auto" w:fill="D2D2D2"/>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6" w:hRule="exact"/>
        </w:trPr>
        <w:tc>
          <w:tcPr>
            <w:tcW w:w="3521" w:type="dxa"/>
            <w:vMerge/>
            <w:tcBorders>
              <w:left w:val="single" w:sz="4" w:space="0" w:color="000000"/>
              <w:bottom w:val="single" w:sz="4" w:space="0" w:color="000000"/>
              <w:right w:val="single" w:sz="4" w:space="0" w:color="000000"/>
            </w:tcBorders>
            <w:shd w:val="clear" w:color="auto" w:fill="D2D2D2"/>
          </w:tcPr>
          <w:p>
            <w:pPr/>
          </w:p>
        </w:tc>
        <w:tc>
          <w:tcPr>
            <w:tcW w:w="12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410,243,231.67</w:t>
            </w:r>
          </w:p>
        </w:tc>
        <w:tc>
          <w:tcPr>
            <w:tcW w:w="851"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16,335,852.57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127,422,673.20</w:t>
            </w:r>
          </w:p>
        </w:tc>
        <w:tc>
          <w:tcPr>
            <w:tcW w:w="12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652,001,757.44</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410,243,231.67</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16,335,852.57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127,422,673.20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652,001,757.44</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23,991,953.46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27,311,059.40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33,191,059.40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-9,199,105.94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96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21"/>
        <w:gridCol w:w="1288"/>
        <w:gridCol w:w="708"/>
        <w:gridCol w:w="709"/>
        <w:gridCol w:w="425"/>
        <w:gridCol w:w="1276"/>
        <w:gridCol w:w="851"/>
        <w:gridCol w:w="1134"/>
        <w:gridCol w:w="708"/>
        <w:gridCol w:w="1134"/>
        <w:gridCol w:w="1277"/>
        <w:gridCol w:w="1276"/>
      </w:tblGrid>
      <w:tr>
        <w:trPr>
          <w:trHeight w:val="416" w:hRule="exact"/>
        </w:trPr>
        <w:tc>
          <w:tcPr>
            <w:tcW w:w="3521"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786" w:type="dxa"/>
            <w:gridSpan w:val="11"/>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7" w:hRule="exact"/>
        </w:trPr>
        <w:tc>
          <w:tcPr>
            <w:tcW w:w="35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3521"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2D2D2"/>
          </w:tcPr>
          <w:p>
            <w:pPr/>
          </w:p>
        </w:tc>
      </w:tr>
      <w:tr>
        <w:trPr>
          <w:trHeight w:val="200" w:hRule="exact"/>
        </w:trPr>
        <w:tc>
          <w:tcPr>
            <w:tcW w:w="3521"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6" w:hRule="exact"/>
        </w:trPr>
        <w:tc>
          <w:tcPr>
            <w:tcW w:w="3521"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22" w:space="0" w:color="D2D2D2"/>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196,000,000.00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312,243,231.67</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19,654,958.51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151,414,626.66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679,312,816.84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4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ind w:right="173"/>
        <w:jc w:val="left"/>
        <w:rPr>
          <w:b w:val="0"/>
          <w:bCs w:val="0"/>
        </w:rPr>
      </w:pPr>
      <w:bookmarkStart w:name="三、公司基本情况" w:id="116"/>
      <w:bookmarkEnd w:id="116"/>
      <w:r>
        <w:rPr>
          <w:b w:val="0"/>
          <w:bCs w:val="0"/>
        </w:rPr>
      </w:r>
      <w:r>
        <w:rPr/>
        <w:t>三、公司基本情况</w:t>
      </w:r>
      <w:r>
        <w:rPr>
          <w:b w:val="0"/>
          <w:bCs w:val="0"/>
        </w:rPr>
      </w:r>
    </w:p>
    <w:p>
      <w:pPr>
        <w:spacing w:line="240" w:lineRule="auto" w:before="7"/>
        <w:rPr>
          <w:rFonts w:ascii="宋体" w:hAnsi="宋体" w:cs="宋体" w:eastAsia="宋体" w:hint="default"/>
          <w:b/>
          <w:bCs/>
          <w:sz w:val="31"/>
          <w:szCs w:val="31"/>
        </w:rPr>
      </w:pPr>
    </w:p>
    <w:p>
      <w:pPr>
        <w:pStyle w:val="BodyText"/>
        <w:spacing w:line="384" w:lineRule="auto"/>
        <w:ind w:left="573" w:right="5423"/>
        <w:jc w:val="left"/>
      </w:pPr>
      <w:r>
        <w:rPr/>
        <w:t>公司名称：蓝盾信息安全技术股份有限公司 成立时间：</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w:t>
      </w:r>
    </w:p>
    <w:p>
      <w:pPr>
        <w:pStyle w:val="BodyText"/>
        <w:spacing w:line="362" w:lineRule="auto" w:before="10"/>
        <w:ind w:left="573" w:right="4898"/>
        <w:jc w:val="left"/>
      </w:pPr>
      <w:r>
        <w:rPr/>
        <w:t>注册地址：</w:t>
      </w:r>
      <w:r>
        <w:rPr>
          <w:spacing w:val="-22"/>
        </w:rPr>
        <w:t> </w:t>
      </w:r>
      <w:r>
        <w:rPr/>
        <w:t>广州市天河区天慧路</w:t>
      </w:r>
      <w:r>
        <w:rPr>
          <w:rFonts w:ascii="Times New Roman" w:hAnsi="Times New Roman" w:cs="Times New Roman" w:eastAsia="Times New Roman" w:hint="default"/>
        </w:rPr>
        <w:t>16</w:t>
      </w:r>
      <w:r>
        <w:rPr/>
        <w:t>号 总部地址：广州市天河区科韵路</w:t>
      </w:r>
      <w:r>
        <w:rPr>
          <w:rFonts w:ascii="Times New Roman" w:hAnsi="Times New Roman" w:cs="Times New Roman" w:eastAsia="Times New Roman" w:hint="default"/>
        </w:rPr>
        <w:t>16</w:t>
      </w:r>
      <w:r>
        <w:rPr/>
        <w:t>号自编</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2101 </w:t>
      </w:r>
      <w:r>
        <w:rPr/>
        <w:t>注册资本：人民币</w:t>
      </w:r>
      <w:r>
        <w:rPr>
          <w:rFonts w:ascii="Times New Roman" w:hAnsi="Times New Roman" w:cs="Times New Roman" w:eastAsia="Times New Roman" w:hint="default"/>
        </w:rPr>
        <w:t>19,600</w:t>
      </w:r>
      <w:r>
        <w:rPr/>
        <w:t>万元</w:t>
      </w:r>
    </w:p>
    <w:p>
      <w:pPr>
        <w:pStyle w:val="BodyText"/>
        <w:spacing w:line="240" w:lineRule="auto" w:before="31"/>
        <w:ind w:left="574" w:right="173"/>
        <w:jc w:val="left"/>
        <w:rPr>
          <w:rFonts w:ascii="Times New Roman" w:hAnsi="Times New Roman" w:cs="Times New Roman" w:eastAsia="Times New Roman" w:hint="default"/>
        </w:rPr>
      </w:pPr>
      <w:r>
        <w:rPr/>
        <w:t>注册号：</w:t>
      </w:r>
      <w:r>
        <w:rPr>
          <w:spacing w:val="-21"/>
        </w:rPr>
        <w:t> </w:t>
      </w:r>
      <w:r>
        <w:rPr>
          <w:rFonts w:ascii="Times New Roman" w:hAnsi="Times New Roman" w:cs="Times New Roman" w:eastAsia="Times New Roman" w:hint="default"/>
        </w:rPr>
        <w:t>440000000030094</w:t>
      </w:r>
    </w:p>
    <w:p>
      <w:pPr>
        <w:pStyle w:val="BodyText"/>
        <w:spacing w:line="384" w:lineRule="auto" w:before="149"/>
        <w:ind w:left="573" w:right="7439"/>
        <w:jc w:val="left"/>
      </w:pPr>
      <w:r>
        <w:rPr/>
        <w:t>法定代表人：</w:t>
      </w:r>
      <w:r>
        <w:rPr>
          <w:spacing w:val="-21"/>
        </w:rPr>
        <w:t> </w:t>
      </w:r>
      <w:r>
        <w:rPr/>
        <w:t>柯宗贵</w:t>
      </w:r>
      <w:r>
        <w:rPr/>
        <w:t> 业务性质：</w:t>
      </w:r>
      <w:r>
        <w:rPr>
          <w:spacing w:val="-21"/>
        </w:rPr>
        <w:t> </w:t>
      </w:r>
      <w:r>
        <w:rPr/>
        <w:t>信息技术</w:t>
      </w:r>
    </w:p>
    <w:p>
      <w:pPr>
        <w:pStyle w:val="BodyText"/>
        <w:spacing w:line="350" w:lineRule="auto" w:before="39"/>
        <w:ind w:right="104" w:firstLine="420"/>
        <w:jc w:val="left"/>
      </w:pPr>
      <w:r>
        <w:rPr/>
        <w:t>经营范围：计算机软、硬件开发，计算机信息系统集成、布线，承接网络工程建设项目，信息技术、 </w:t>
      </w:r>
      <w:r>
        <w:rPr>
          <w:spacing w:val="-3"/>
        </w:rPr>
        <w:t>数码技术开发、服务，计算机网络技术服务，网络安全信息咨询；销售：计算机及其配套设备，文化用品，</w:t>
      </w:r>
      <w:r>
        <w:rPr>
          <w:spacing w:val="-94"/>
        </w:rPr>
        <w:t> </w:t>
      </w:r>
      <w:r>
        <w:rPr>
          <w:spacing w:val="-94"/>
        </w:rPr>
      </w:r>
      <w:r>
        <w:rPr/>
        <w:t>电子产品、广播电视设备（不含卫星电视广播地面接收设备、发射设施）；信息服务业务（仅限广东省内</w:t>
      </w:r>
      <w:r>
        <w:rPr/>
        <w:t> 互联网信息服务，不含新闻、出版、教育、医疗保健、药品、医疗器械、电子公告以及其他按法律、法规 规定需要前置审批或专项审批的服务项目，按有效许可证经营）；第二类增值电信业务中的信息服务业务</w:t>
      </w:r>
    </w:p>
    <w:p>
      <w:pPr>
        <w:pStyle w:val="BodyText"/>
        <w:spacing w:line="384" w:lineRule="auto" w:before="29"/>
        <w:ind w:left="573" w:right="3008" w:hanging="420"/>
        <w:jc w:val="left"/>
      </w:pPr>
      <w:r>
        <w:rPr/>
        <w:t>（不含固定网电话信息服务和互联网信息服务，按有效许可证经营） 财务报告批准报出日：经本公司全体董事于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w:t>
      </w:r>
    </w:p>
    <w:p>
      <w:pPr>
        <w:spacing w:line="240" w:lineRule="auto" w:before="8"/>
        <w:rPr>
          <w:rFonts w:ascii="宋体" w:hAnsi="宋体" w:cs="宋体" w:eastAsia="宋体" w:hint="default"/>
          <w:sz w:val="27"/>
          <w:szCs w:val="27"/>
        </w:rPr>
      </w:pPr>
    </w:p>
    <w:p>
      <w:pPr>
        <w:pStyle w:val="BodyText"/>
        <w:spacing w:line="240" w:lineRule="auto"/>
        <w:ind w:right="173"/>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097"/>
        <w:gridCol w:w="3296"/>
      </w:tblGrid>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r>
        <w:trPr>
          <w:trHeight w:val="426"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60%</w:t>
            </w:r>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6"/>
          <w:szCs w:val="6"/>
        </w:rPr>
      </w:pPr>
    </w:p>
    <w:p>
      <w:pPr>
        <w:pStyle w:val="BodyText"/>
        <w:spacing w:line="331" w:lineRule="auto" w:before="35"/>
        <w:ind w:right="210" w:firstLine="420"/>
        <w:jc w:val="both"/>
      </w:pPr>
      <w:r>
        <w:rPr>
          <w:spacing w:val="-1"/>
        </w:rPr>
        <w:t>与上期相比本期新增合并单位</w:t>
      </w:r>
      <w:r>
        <w:rPr>
          <w:rFonts w:ascii="Times New Roman" w:hAnsi="Times New Roman" w:cs="Times New Roman" w:eastAsia="Times New Roman" w:hint="default"/>
          <w:spacing w:val="-1"/>
        </w:rPr>
        <w:t>3</w:t>
      </w:r>
      <w:r>
        <w:rPr>
          <w:spacing w:val="-1"/>
        </w:rPr>
        <w:t>家，为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月公司投资设立的全资子公司广东蓝盾移动互联网信息</w:t>
      </w:r>
      <w:r>
        <w:rPr/>
        <w:t> 科技有限公司，</w:t>
      </w:r>
      <w:r>
        <w:rPr>
          <w:spacing w:val="-2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月投资设立的全资子公司广州市奔特信息科技有限公司，以及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月投资设 立的全资子公司广东蓝盾投资管理有限公司。本公司自有限公司设立之日起将其纳入合并报表范围。</w:t>
      </w:r>
    </w:p>
    <w:p>
      <w:pPr>
        <w:pStyle w:val="BodyText"/>
        <w:spacing w:line="240" w:lineRule="auto" w:before="86"/>
        <w:ind w:left="573" w:right="0"/>
        <w:jc w:val="left"/>
      </w:pPr>
      <w:r>
        <w:rPr>
          <w:spacing w:val="-2"/>
        </w:rPr>
        <w:t>本期合并财务报表范围及其变化情况详见本附注</w:t>
      </w:r>
      <w:r>
        <w:rPr>
          <w:rFonts w:ascii="Times New Roman" w:hAnsi="Times New Roman" w:cs="Times New Roman" w:eastAsia="Times New Roman" w:hint="default"/>
          <w:spacing w:val="-2"/>
        </w:rPr>
        <w:t>“</w:t>
      </w:r>
      <w:r>
        <w:rPr>
          <w:spacing w:val="-2"/>
        </w:rPr>
        <w:t>八、合并范围的变更</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九、在其他主体中的权益</w:t>
      </w:r>
      <w:r>
        <w:rPr>
          <w:rFonts w:ascii="Times New Roman" w:hAnsi="Times New Roman" w:cs="Times New Roman" w:eastAsia="Times New Roman" w:hint="default"/>
          <w:spacing w:val="-2"/>
        </w:rPr>
        <w:t>”</w:t>
      </w:r>
      <w:r>
        <w:rPr>
          <w:spacing w:val="-2"/>
        </w:rPr>
        <w:t>。</w:t>
      </w:r>
    </w:p>
    <w:p>
      <w:pPr>
        <w:spacing w:after="0" w:line="240" w:lineRule="auto"/>
        <w:jc w:val="left"/>
        <w:sectPr>
          <w:headerReference w:type="default" r:id="rId25"/>
          <w:footerReference w:type="default" r:id="rId26"/>
          <w:pgSz w:w="11910" w:h="16840"/>
          <w:pgMar w:header="877" w:footer="979" w:top="1100" w:bottom="1160" w:left="980" w:right="920"/>
          <w:pgNumType w:start="75"/>
        </w:sect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四、财务报表的编制基础" w:id="117"/>
      <w:bookmarkEnd w:id="117"/>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18"/>
      <w:bookmarkEnd w:id="11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right="150" w:firstLine="420"/>
        <w:jc w:val="both"/>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w:t>
      </w:r>
      <w:r>
        <w:rPr>
          <w:spacing w:val="-3"/>
        </w:rPr>
        <w:t>则》和各项具体会计准则、企业会计准则应用指南、企业会计准</w:t>
      </w:r>
      <w:r>
        <w:rPr>
          <w:spacing w:val="-7"/>
        </w:rPr>
        <w:t> </w:t>
      </w:r>
      <w:r>
        <w:rPr/>
        <w:t>则解释及其他相关规定</w:t>
      </w:r>
      <w:r>
        <w:rPr>
          <w:rFonts w:ascii="Times New Roman" w:hAnsi="Times New Roman" w:cs="Times New Roman" w:eastAsia="Times New Roman" w:hint="default"/>
        </w:rPr>
        <w:t>(</w:t>
      </w:r>
      <w:r>
        <w:rPr/>
        <w:t>下合称</w:t>
      </w:r>
      <w:r>
        <w:rPr>
          <w:rFonts w:ascii="Times New Roman" w:hAnsi="Times New Roman" w:cs="Times New Roman" w:eastAsia="Times New Roman" w:hint="default"/>
        </w:rPr>
        <w:t>“</w:t>
      </w:r>
      <w:r>
        <w:rPr/>
        <w:t>企业会计</w:t>
      </w:r>
      <w:r>
        <w:rPr>
          <w:spacing w:val="-103"/>
        </w:rPr>
        <w:t> </w:t>
      </w:r>
      <w:r>
        <w:rPr>
          <w:spacing w:val="-103"/>
        </w:rPr>
      </w:r>
      <w:r>
        <w:rPr/>
        <w:t>准则</w:t>
      </w:r>
      <w:r>
        <w:rPr>
          <w:rFonts w:ascii="Times New Roman" w:hAnsi="Times New Roman" w:cs="Times New Roman" w:eastAsia="Times New Roman" w:hint="default"/>
        </w:rPr>
        <w:t>”)</w:t>
      </w:r>
      <w:r>
        <w:rPr/>
        <w:t>，以及中国证券监督管理委员会《公开发行证券的公司信息披露编报规则第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财务报告的 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9"/>
        <w:rPr>
          <w:rFonts w:ascii="宋体" w:hAnsi="宋体" w:cs="宋体" w:eastAsia="宋体" w:hint="default"/>
          <w:sz w:val="17"/>
          <w:szCs w:val="17"/>
        </w:rPr>
      </w:pPr>
    </w:p>
    <w:p>
      <w:pPr>
        <w:pStyle w:val="BodyText"/>
        <w:spacing w:line="580" w:lineRule="auto"/>
        <w:ind w:right="2213"/>
        <w:jc w:val="left"/>
      </w:pPr>
      <w:bookmarkStart w:name="2、持续经营" w:id="119"/>
      <w:bookmarkEnd w:id="119"/>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公司自本报告期末起</w:t>
      </w:r>
      <w:r>
        <w:rPr>
          <w:rFonts w:ascii="Times New Roman" w:hAnsi="Times New Roman" w:cs="Times New Roman" w:eastAsia="Times New Roman" w:hint="default"/>
        </w:rPr>
        <w:t>12</w:t>
      </w:r>
      <w:r>
        <w:rPr/>
        <w:t>个月具备持续经营能力，无影响持续经营能力的重大事项。</w:t>
      </w:r>
    </w:p>
    <w:p>
      <w:pPr>
        <w:pStyle w:val="Heading2"/>
        <w:spacing w:line="281" w:lineRule="exact" w:before="0"/>
        <w:ind w:right="0"/>
        <w:jc w:val="left"/>
        <w:rPr>
          <w:b w:val="0"/>
          <w:bCs w:val="0"/>
        </w:rPr>
      </w:pPr>
      <w:bookmarkStart w:name="五、重要会计政策及会计估计" w:id="120"/>
      <w:bookmarkEnd w:id="120"/>
      <w:r>
        <w:rPr>
          <w:b w:val="0"/>
          <w:bCs w:val="0"/>
        </w:rPr>
      </w:r>
      <w:r>
        <w:rPr/>
        <w:t>五、重要会计政策及会计估计</w:t>
      </w:r>
      <w:r>
        <w:rPr>
          <w:b w:val="0"/>
          <w:bCs w:val="0"/>
        </w:rPr>
      </w:r>
    </w:p>
    <w:p>
      <w:pPr>
        <w:spacing w:line="240" w:lineRule="auto" w:before="5"/>
        <w:rPr>
          <w:rFonts w:ascii="宋体" w:hAnsi="宋体" w:cs="宋体" w:eastAsia="宋体" w:hint="default"/>
          <w:b/>
          <w:bCs/>
          <w:sz w:val="31"/>
          <w:szCs w:val="31"/>
        </w:rPr>
      </w:pPr>
    </w:p>
    <w:p>
      <w:pPr>
        <w:pStyle w:val="BodyText"/>
        <w:spacing w:line="367" w:lineRule="auto"/>
        <w:ind w:right="0"/>
        <w:jc w:val="left"/>
      </w:pPr>
      <w:r>
        <w:rPr/>
        <w:t>具体会计政策和会计估计提示： </w:t>
      </w:r>
      <w:r>
        <w:rPr>
          <w:spacing w:val="-1"/>
        </w:rPr>
        <w:t>公司下列重要会计政策、会计估计根据企业会计准则制定。未提及的业务按企业会计准则中相关会计政策</w:t>
      </w:r>
      <w:r>
        <w:rPr>
          <w:spacing w:val="-81"/>
        </w:rPr>
        <w:t> </w:t>
      </w:r>
      <w:r>
        <w:rPr>
          <w:spacing w:val="-81"/>
        </w:rPr>
      </w:r>
      <w:r>
        <w:rPr/>
        <w:t>执行。</w:t>
      </w:r>
    </w:p>
    <w:p>
      <w:pPr>
        <w:spacing w:line="240" w:lineRule="auto" w:before="2"/>
        <w:rPr>
          <w:rFonts w:ascii="宋体" w:hAnsi="宋体" w:cs="宋体" w:eastAsia="宋体" w:hint="default"/>
          <w:sz w:val="17"/>
          <w:szCs w:val="17"/>
        </w:rPr>
      </w:pPr>
    </w:p>
    <w:p>
      <w:pPr>
        <w:pStyle w:val="Heading3"/>
        <w:spacing w:line="240" w:lineRule="auto"/>
        <w:ind w:left="153" w:right="0"/>
        <w:jc w:val="left"/>
        <w:rPr>
          <w:b w:val="0"/>
          <w:bCs w:val="0"/>
        </w:rPr>
      </w:pPr>
      <w:bookmarkStart w:name="1、遵循企业会计准则的声明" w:id="121"/>
      <w:bookmarkEnd w:id="12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right="151" w:firstLine="420"/>
        <w:jc w:val="both"/>
      </w:pPr>
      <w:r>
        <w:rPr>
          <w:spacing w:val="-1"/>
        </w:rPr>
        <w:t>公司所编制的财务报表符合企业会计准则的要求，真实、完整地反映了报告期公司的财务状况、经营</w:t>
      </w:r>
      <w:r>
        <w:rPr/>
        <w:t> 成果、现金流量等有关信息。</w:t>
      </w:r>
    </w:p>
    <w:p>
      <w:pPr>
        <w:spacing w:line="240" w:lineRule="auto" w:before="3"/>
        <w:rPr>
          <w:rFonts w:ascii="宋体" w:hAnsi="宋体" w:cs="宋体" w:eastAsia="宋体" w:hint="default"/>
          <w:sz w:val="18"/>
          <w:szCs w:val="18"/>
        </w:rPr>
      </w:pPr>
    </w:p>
    <w:p>
      <w:pPr>
        <w:pStyle w:val="Heading3"/>
        <w:spacing w:line="240" w:lineRule="auto"/>
        <w:ind w:left="153" w:right="0"/>
        <w:jc w:val="left"/>
        <w:rPr>
          <w:b w:val="0"/>
          <w:bCs w:val="0"/>
        </w:rPr>
      </w:pPr>
      <w:bookmarkStart w:name="2、会计期间" w:id="122"/>
      <w:bookmarkEnd w:id="12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营业周期" w:id="123"/>
      <w:bookmarkEnd w:id="12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574" w:right="0"/>
        <w:jc w:val="left"/>
      </w:pPr>
      <w:r>
        <w:rPr/>
        <w:t>本公司营业周期为</w:t>
      </w:r>
      <w:r>
        <w:rPr>
          <w:rFonts w:ascii="Times New Roman" w:hAnsi="Times New Roman" w:cs="Times New Roman" w:eastAsia="Times New Roman" w:hint="default"/>
        </w:rPr>
        <w:t>12</w:t>
      </w:r>
      <w:r>
        <w:rPr/>
        <w:t>个月。</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4、记账本位币" w:id="124"/>
      <w:bookmarkEnd w:id="12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采用人民币为记账本位币。</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同一控制下和非同一控制下企业合并的会计处理方法" w:id="125"/>
      <w:bookmarkEnd w:id="12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1"/>
          <w:szCs w:val="31"/>
        </w:rPr>
      </w:pPr>
    </w:p>
    <w:p>
      <w:pPr>
        <w:pStyle w:val="Heading3"/>
        <w:spacing w:line="331" w:lineRule="auto"/>
        <w:ind w:right="155" w:firstLine="422"/>
        <w:jc w:val="both"/>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2"/>
        </w:rPr>
        <w:t>分步实现企业合并过程中的各项交易的条款、条件以及经济影响符合以下一种或多种情况，将多次</w:t>
      </w:r>
      <w:r>
        <w:rPr>
          <w:w w:val="99"/>
        </w:rPr>
        <w:t> </w:t>
      </w:r>
      <w:r>
        <w:rPr/>
        <w:t>交易事项作为一揽子交易进行会计处理：</w:t>
      </w:r>
      <w:r>
        <w:rPr>
          <w:b w:val="0"/>
          <w:bCs w:val="0"/>
        </w:rPr>
      </w:r>
    </w:p>
    <w:p>
      <w:pPr>
        <w:spacing w:after="0" w:line="331" w:lineRule="auto"/>
        <w:jc w:val="both"/>
        <w:sectPr>
          <w:pgSz w:w="11910" w:h="16840"/>
          <w:pgMar w:header="877" w:footer="979" w:top="1100" w:bottom="1160" w:left="980" w:right="980"/>
        </w:sectPr>
      </w:pPr>
    </w:p>
    <w:p>
      <w:pPr>
        <w:spacing w:line="240" w:lineRule="auto" w:before="7"/>
        <w:rPr>
          <w:rFonts w:ascii="宋体" w:hAnsi="宋体" w:cs="宋体" w:eastAsia="宋体" w:hint="default"/>
          <w:b/>
          <w:bCs/>
          <w:sz w:val="27"/>
          <w:szCs w:val="27"/>
        </w:rPr>
      </w:pPr>
    </w:p>
    <w:p>
      <w:pPr>
        <w:pStyle w:val="BodyText"/>
        <w:spacing w:line="240" w:lineRule="auto" w:before="35"/>
        <w:ind w:left="573"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9"/>
        <w:ind w:left="573"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110"/>
        <w:ind w:left="573"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9"/>
        <w:ind w:left="573"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3"/>
        <w:spacing w:line="240" w:lineRule="auto" w:before="109"/>
        <w:ind w:left="576"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同一控制下的企业合并</w:t>
      </w:r>
      <w:r>
        <w:rPr>
          <w:b w:val="0"/>
          <w:bCs w:val="0"/>
        </w:rPr>
      </w:r>
    </w:p>
    <w:p>
      <w:pPr>
        <w:pStyle w:val="BodyText"/>
        <w:spacing w:line="328" w:lineRule="auto" w:before="110"/>
        <w:ind w:left="573" w:right="0"/>
        <w:jc w:val="left"/>
      </w:pPr>
      <w:r>
        <w:rPr>
          <w:rFonts w:ascii="Times New Roman" w:hAnsi="Times New Roman" w:cs="Times New Roman" w:eastAsia="Times New Roman" w:hint="default"/>
        </w:rPr>
        <w:t>1</w:t>
      </w:r>
      <w:r>
        <w:rPr/>
        <w:t>）个别财务报表 </w:t>
      </w:r>
      <w:r>
        <w:rPr>
          <w:spacing w:val="-1"/>
        </w:rPr>
        <w:t>公司以支付现金、转让非现金资产、承担债务方式或以发行权益性证券作为合并对价的，在合并日按</w:t>
      </w:r>
    </w:p>
    <w:p>
      <w:pPr>
        <w:pStyle w:val="BodyText"/>
        <w:spacing w:line="350" w:lineRule="auto" w:before="47"/>
        <w:ind w:right="0"/>
        <w:jc w:val="left"/>
      </w:pPr>
      <w:r>
        <w:rPr/>
        <w:t>照被合并方所有者权益在最终控制方合并财务报表中的账面价值的份额作为长期股权投资的初始投资成 </w:t>
      </w:r>
      <w:r>
        <w:rPr>
          <w:spacing w:val="-1"/>
        </w:rPr>
        <w:t>本。长期股权投资初始投资成本与支付合并对价之间的差额，调整资本公积；资本公积不足冲减的，调整</w:t>
      </w:r>
      <w:r>
        <w:rPr>
          <w:spacing w:val="-86"/>
        </w:rPr>
        <w:t> </w:t>
      </w:r>
      <w:r>
        <w:rPr>
          <w:spacing w:val="-86"/>
        </w:rPr>
      </w:r>
      <w:r>
        <w:rPr>
          <w:spacing w:val="-1"/>
        </w:rPr>
        <w:t>留存收益。如果存在或有对价并需要确认预计负债或资产，该预计负债或资产金额与后续或有对价结算金</w:t>
      </w:r>
      <w:r>
        <w:rPr>
          <w:spacing w:val="-81"/>
        </w:rPr>
        <w:t> </w:t>
      </w:r>
      <w:r>
        <w:rPr>
          <w:spacing w:val="-81"/>
        </w:rPr>
      </w:r>
      <w:r>
        <w:rPr/>
        <w:t>额的差额，调整资本公积（资本溢价或股本溢价），资本公积不足的，调整留存收益。</w:t>
      </w:r>
    </w:p>
    <w:p>
      <w:pPr>
        <w:pStyle w:val="BodyText"/>
        <w:spacing w:line="350" w:lineRule="auto" w:before="29"/>
        <w:ind w:right="130"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pStyle w:val="BodyText"/>
        <w:spacing w:line="350" w:lineRule="auto" w:before="28"/>
        <w:ind w:right="151" w:firstLine="420"/>
        <w:jc w:val="both"/>
      </w:pPr>
      <w:r>
        <w:rPr>
          <w:spacing w:val="-1"/>
        </w:rPr>
        <w:t>合并发生的各项直接相关费用，包括为进行合并而支付的审计费用、评估费用、法律服务费用等，于</w:t>
      </w:r>
      <w:r>
        <w:rPr/>
        <w:t> </w:t>
      </w:r>
      <w:r>
        <w:rPr>
          <w:spacing w:val="-1"/>
        </w:rPr>
        <w:t>发生时计入当期损益；与发行权益性工具作为合并对价直接相关的交易费用，冲减资本公积，资本公积不</w:t>
      </w:r>
      <w:r>
        <w:rPr>
          <w:spacing w:val="-83"/>
        </w:rPr>
        <w:t> </w:t>
      </w:r>
      <w:r>
        <w:rPr>
          <w:spacing w:val="-83"/>
        </w:rPr>
      </w:r>
      <w:r>
        <w:rPr>
          <w:spacing w:val="-1"/>
        </w:rPr>
        <w:t>足冲减的，依次冲减盈余公积和未分配利润；与发行债务性工具作为合并对价直接相关的交易费用，作为</w:t>
      </w:r>
      <w:r>
        <w:rPr>
          <w:spacing w:val="-83"/>
        </w:rPr>
        <w:t> </w:t>
      </w:r>
      <w:r>
        <w:rPr>
          <w:spacing w:val="-83"/>
        </w:rPr>
      </w:r>
      <w:r>
        <w:rPr/>
        <w:t>计入债务性工具的初始确认金额。</w:t>
      </w:r>
    </w:p>
    <w:p>
      <w:pPr>
        <w:pStyle w:val="BodyText"/>
        <w:spacing w:line="348" w:lineRule="auto" w:before="29"/>
        <w:ind w:left="154" w:right="152" w:firstLine="420"/>
        <w:jc w:val="both"/>
      </w:pPr>
      <w:r>
        <w:rPr>
          <w:spacing w:val="-1"/>
        </w:rPr>
        <w:t>被合并方存在合并财务报表，则以合并日被合并方合并财务报表中归属于母公司的所有者权益为基础</w:t>
      </w:r>
      <w:r>
        <w:rPr/>
        <w:t> 确定长期股权投资的初始投资成本。</w:t>
      </w:r>
    </w:p>
    <w:p>
      <w:pPr>
        <w:pStyle w:val="BodyText"/>
        <w:spacing w:line="331" w:lineRule="auto" w:before="30"/>
        <w:ind w:left="574" w:right="0"/>
        <w:jc w:val="left"/>
      </w:pPr>
      <w:r>
        <w:rPr>
          <w:rFonts w:ascii="Times New Roman" w:hAnsi="Times New Roman" w:cs="Times New Roman" w:eastAsia="Times New Roman" w:hint="default"/>
        </w:rPr>
        <w:t>2</w:t>
      </w:r>
      <w:r>
        <w:rPr/>
        <w:t>）合并财务报表 </w:t>
      </w:r>
      <w:r>
        <w:rPr>
          <w:spacing w:val="-1"/>
        </w:rPr>
        <w:t>合并方在企业合并中取得的资产和负债，按照合并日在被合并方所有者权益在最终控制方合并财务报</w:t>
      </w:r>
    </w:p>
    <w:p>
      <w:pPr>
        <w:pStyle w:val="BodyText"/>
        <w:spacing w:line="348" w:lineRule="auto" w:before="45"/>
        <w:ind w:left="574" w:right="0" w:hanging="420"/>
        <w:jc w:val="left"/>
      </w:pPr>
      <w:r>
        <w:rPr/>
        <w:t>表中的账面价值计量。 </w:t>
      </w:r>
      <w:r>
        <w:rPr>
          <w:spacing w:val="-1"/>
        </w:rPr>
        <w:t>对于通过多次交易最终实现企业合并的，属于一揽子交易的，将各项交易作为一项取得控制权的交易</w:t>
      </w:r>
    </w:p>
    <w:p>
      <w:pPr>
        <w:pStyle w:val="BodyText"/>
        <w:spacing w:line="348" w:lineRule="auto" w:before="31"/>
        <w:ind w:left="154" w:right="151"/>
        <w:jc w:val="both"/>
      </w:pPr>
      <w:r>
        <w:rPr>
          <w:spacing w:val="-1"/>
        </w:rPr>
        <w:t>进行会计处理；不属于一揽子交易的，合并方在达到合并之前持有的长期股权投资，在取得日与合并方与</w:t>
      </w:r>
      <w:r>
        <w:rPr>
          <w:spacing w:val="-83"/>
        </w:rPr>
        <w:t> </w:t>
      </w:r>
      <w:r>
        <w:rPr>
          <w:spacing w:val="-83"/>
        </w:rPr>
      </w:r>
      <w:r>
        <w:rPr>
          <w:spacing w:val="-1"/>
        </w:rPr>
        <w:t>被合并方同处于同一方最终控制之日孰晚日与合并日之间已确认有关损益、其他综合收益和其他所有者权</w:t>
      </w:r>
      <w:r>
        <w:rPr>
          <w:spacing w:val="-81"/>
        </w:rPr>
        <w:t> </w:t>
      </w:r>
      <w:r>
        <w:rPr>
          <w:spacing w:val="-81"/>
        </w:rPr>
      </w:r>
      <w:r>
        <w:rPr/>
        <w:t>益变动，分别冲减比较报表期间的期初留存收益或当期损益。</w:t>
      </w:r>
    </w:p>
    <w:p>
      <w:pPr>
        <w:pStyle w:val="BodyText"/>
        <w:spacing w:line="348" w:lineRule="auto" w:before="31"/>
        <w:ind w:left="154" w:right="151" w:firstLine="420"/>
        <w:jc w:val="both"/>
      </w:pPr>
      <w:r>
        <w:rPr>
          <w:spacing w:val="-1"/>
        </w:rPr>
        <w:t>被合并各方采用的会计政策与公司不一致的，公司在合并日按照公司会计政策进行调整，在此基础上</w:t>
      </w:r>
      <w:r>
        <w:rPr/>
        <w:t> 按照企业会计准则规定确认。</w:t>
      </w:r>
    </w:p>
    <w:p>
      <w:pPr>
        <w:spacing w:after="0" w:line="348" w:lineRule="auto"/>
        <w:jc w:val="both"/>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spacing w:line="328" w:lineRule="auto" w:before="35"/>
        <w:ind w:left="573" w:right="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对于非同一控制下的企业合并，合并成本为公司在购买日为取得对被购买方的控制权而付出的资产、</w:t>
      </w:r>
    </w:p>
    <w:p>
      <w:pPr>
        <w:pStyle w:val="BodyText"/>
        <w:spacing w:line="348" w:lineRule="auto" w:before="48"/>
        <w:ind w:right="190"/>
        <w:jc w:val="both"/>
      </w:pPr>
      <w:r>
        <w:rPr>
          <w:spacing w:val="-1"/>
        </w:rPr>
        <w:t>发生或承担的负债以及发行的权益性工具或债务性工具的公允价值。在合并合同中对可能影响合并成本的</w:t>
      </w:r>
      <w:r>
        <w:rPr>
          <w:spacing w:val="-81"/>
        </w:rPr>
        <w:t> </w:t>
      </w:r>
      <w:r>
        <w:rPr>
          <w:spacing w:val="-81"/>
        </w:rPr>
      </w:r>
      <w:r>
        <w:rPr/>
        <w:t>未来事项作出约定的，购买日如果估计未来事项很可能发生并且对合并成本的影响金额能够可靠计量的， 也计入合并成本。</w:t>
      </w:r>
    </w:p>
    <w:p>
      <w:pPr>
        <w:pStyle w:val="BodyText"/>
        <w:spacing w:line="348" w:lineRule="auto" w:before="31"/>
        <w:ind w:right="211" w:firstLine="420"/>
        <w:jc w:val="both"/>
      </w:pPr>
      <w:r>
        <w:rPr>
          <w:spacing w:val="-1"/>
        </w:rPr>
        <w:t>公司为进行企业合并发生的审计、法律服务、评估咨询等中介费用以及其他相关管理费用，于发生时</w:t>
      </w:r>
      <w:r>
        <w:rPr/>
        <w:t> </w:t>
      </w:r>
      <w:r>
        <w:rPr>
          <w:spacing w:val="-1"/>
        </w:rPr>
        <w:t>计入当期损益；公司作为合并对价发行的权益性工具或债务性工具的交易费用，计入权益性工具或债务性</w:t>
      </w:r>
      <w:r>
        <w:rPr>
          <w:spacing w:val="-81"/>
        </w:rPr>
        <w:t> </w:t>
      </w:r>
      <w:r>
        <w:rPr>
          <w:spacing w:val="-81"/>
        </w:rPr>
      </w:r>
      <w:r>
        <w:rPr/>
        <w:t>工具的初始确认金额。</w:t>
      </w:r>
    </w:p>
    <w:p>
      <w:pPr>
        <w:pStyle w:val="BodyText"/>
        <w:spacing w:line="348" w:lineRule="auto" w:before="31"/>
        <w:ind w:right="211" w:firstLine="420"/>
        <w:jc w:val="both"/>
      </w:pPr>
      <w:r>
        <w:rPr>
          <w:spacing w:val="-1"/>
        </w:rPr>
        <w:t>公司对合并成本大于合并中取得的被购买方可辨认净资产公允价值份额的差额，确认为商誉。公司对</w:t>
      </w:r>
      <w:r>
        <w:rPr/>
        <w:t> </w:t>
      </w:r>
      <w:r>
        <w:rPr>
          <w:spacing w:val="-1"/>
        </w:rPr>
        <w:t>合并成本小于合并中取得的被购买方可辨认净资产公允价值份额的，经复核后合并成本仍小于合并中取得</w:t>
      </w:r>
      <w:r>
        <w:rPr>
          <w:spacing w:val="-81"/>
        </w:rPr>
        <w:t> </w:t>
      </w:r>
      <w:r>
        <w:rPr>
          <w:spacing w:val="-81"/>
        </w:rPr>
      </w:r>
      <w:r>
        <w:rPr/>
        <w:t>的被购买方可辨认净资产公允价值份额的差额，计入当期损益。</w:t>
      </w:r>
    </w:p>
    <w:p>
      <w:pPr>
        <w:pStyle w:val="BodyText"/>
        <w:spacing w:line="348" w:lineRule="auto" w:before="31"/>
        <w:ind w:right="104" w:firstLine="420"/>
        <w:jc w:val="left"/>
      </w:pPr>
      <w:r>
        <w:rPr/>
        <w:t>通过多次交换交易分步实现的非同一控制下企业合并，属于一揽子交易的，将各项交易作为一项取得 </w:t>
      </w:r>
      <w:r>
        <w:rPr>
          <w:spacing w:val="-3"/>
        </w:rPr>
        <w:t>控制权的交易进行会计处理；不属于一揽子交易的，区分个别财务报表和合并财务报表进行相关会计处理：</w:t>
      </w:r>
    </w:p>
    <w:p>
      <w:pPr>
        <w:pStyle w:val="BodyText"/>
        <w:spacing w:line="331" w:lineRule="auto" w:before="30"/>
        <w:ind w:left="154" w:right="295" w:firstLine="420"/>
        <w:jc w:val="both"/>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 方的股权投资的账面价值与购买日新增投资成本之和，作为该项投资的初始投资成本；</w:t>
      </w:r>
    </w:p>
    <w:p>
      <w:pPr>
        <w:pStyle w:val="BodyText"/>
        <w:spacing w:line="350" w:lineRule="auto" w:before="45"/>
        <w:ind w:left="154" w:right="211" w:firstLine="420"/>
        <w:jc w:val="both"/>
      </w:pPr>
      <w:r>
        <w:rPr>
          <w:spacing w:val="-1"/>
        </w:rPr>
        <w:t>合并日之前持有的股权投资采用金融工具确认和计量准则核算的，以该股权投资在合并日的公允价值</w:t>
      </w:r>
      <w:r>
        <w:rPr/>
        <w:t> </w:t>
      </w:r>
      <w:r>
        <w:rPr>
          <w:spacing w:val="-1"/>
        </w:rPr>
        <w:t>加上新增投资成本之和，作为合并日的初始投资成本。原持有股权的公允价值与账面价值之间的差额以及</w:t>
      </w:r>
      <w:r>
        <w:rPr>
          <w:spacing w:val="-81"/>
        </w:rPr>
        <w:t> </w:t>
      </w:r>
      <w:r>
        <w:rPr>
          <w:spacing w:val="-81"/>
        </w:rPr>
      </w:r>
      <w:r>
        <w:rPr/>
        <w:t>原计入其他综合收益的累计公允价值变动应全部转入合并日当期的投资收益。</w:t>
      </w:r>
    </w:p>
    <w:p>
      <w:pPr>
        <w:pStyle w:val="BodyText"/>
        <w:spacing w:line="340" w:lineRule="auto" w:before="28"/>
        <w:ind w:left="154" w:right="173" w:firstLine="420"/>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 </w:t>
      </w:r>
      <w:r>
        <w:rPr>
          <w:spacing w:val="-1"/>
        </w:rPr>
        <w:t>进行重新计量，公允价值与其账面价值的差额计入当期投资收益；购买日之前持有的被购买方的股权涉及</w:t>
      </w:r>
      <w:r>
        <w:rPr>
          <w:spacing w:val="-81"/>
        </w:rPr>
        <w:t> </w:t>
      </w:r>
      <w:r>
        <w:rPr>
          <w:spacing w:val="-81"/>
        </w:rPr>
      </w:r>
      <w:r>
        <w:rPr/>
        <w:t>权益法核算下的其他综合收益等的，与其相关的其他综合收益等转为购买日所属当期投资收益。</w:t>
      </w:r>
    </w:p>
    <w:p>
      <w:pPr>
        <w:spacing w:line="240" w:lineRule="auto" w:before="12"/>
        <w:rPr>
          <w:rFonts w:ascii="宋体" w:hAnsi="宋体" w:cs="宋体" w:eastAsia="宋体" w:hint="default"/>
          <w:sz w:val="18"/>
          <w:szCs w:val="18"/>
        </w:rPr>
      </w:pPr>
    </w:p>
    <w:p>
      <w:pPr>
        <w:pStyle w:val="Heading3"/>
        <w:spacing w:line="240" w:lineRule="auto"/>
        <w:ind w:right="173"/>
        <w:jc w:val="left"/>
        <w:rPr>
          <w:b w:val="0"/>
          <w:bCs w:val="0"/>
        </w:rPr>
      </w:pPr>
      <w:bookmarkStart w:name="6、合并财务报表的编制方法" w:id="126"/>
      <w:bookmarkEnd w:id="12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left="154" w:right="211" w:firstLine="420"/>
        <w:jc w:val="both"/>
      </w:pPr>
      <w:r>
        <w:rPr>
          <w:spacing w:val="-1"/>
        </w:rPr>
        <w:t>公司合并财务报表的合并范围以控制为基础确定，所有子公司（包括母公司所控制的单独主体）均纳</w:t>
      </w:r>
      <w:r>
        <w:rPr/>
        <w:t> 入合并财务报表。</w:t>
      </w:r>
    </w:p>
    <w:p>
      <w:pPr>
        <w:pStyle w:val="BodyText"/>
        <w:spacing w:line="348" w:lineRule="auto" w:before="31"/>
        <w:ind w:left="154" w:right="211" w:firstLine="420"/>
        <w:jc w:val="both"/>
      </w:pPr>
      <w:r>
        <w:rPr>
          <w:spacing w:val="-1"/>
        </w:rPr>
        <w:t>所有纳入合并财务报表合并范围的子公司所采用的会计政策、会计期间与公司一致，如子公司采用的</w:t>
      </w:r>
      <w:r>
        <w:rPr/>
        <w:t> </w:t>
      </w:r>
      <w:r>
        <w:rPr>
          <w:spacing w:val="-1"/>
        </w:rPr>
        <w:t>会计政策、会计期间与公司不一致的，在编制合并财务报表时，按公司的会计政策、会计期间进行必要的</w:t>
      </w:r>
      <w:r>
        <w:rPr>
          <w:spacing w:val="-86"/>
        </w:rPr>
        <w:t> </w:t>
      </w:r>
      <w:r>
        <w:rPr>
          <w:spacing w:val="-86"/>
        </w:rPr>
      </w:r>
      <w:r>
        <w:rPr/>
        <w:t>调整。</w:t>
      </w:r>
    </w:p>
    <w:p>
      <w:pPr>
        <w:pStyle w:val="BodyText"/>
        <w:spacing w:line="348" w:lineRule="auto" w:before="31"/>
        <w:ind w:left="573" w:right="173"/>
        <w:jc w:val="left"/>
      </w:pPr>
      <w:r>
        <w:rPr/>
        <w:t>合并财务报表以公司及子公司的财务报表为基础，根据其他有关资料由公司编制。 </w:t>
      </w:r>
      <w:r>
        <w:rPr>
          <w:spacing w:val="-1"/>
        </w:rPr>
        <w:t>合并财务报表时抵销公司与各子公司、各子公司相互之间发生的内部交易对合并资产负债表、合并利</w:t>
      </w:r>
    </w:p>
    <w:p>
      <w:pPr>
        <w:pStyle w:val="BodyText"/>
        <w:spacing w:line="350" w:lineRule="auto" w:before="30"/>
        <w:ind w:left="574" w:right="173" w:hanging="420"/>
        <w:jc w:val="left"/>
      </w:pPr>
      <w:r>
        <w:rPr/>
        <w:t>润表、合并现金流量表、合并股东权益变动表的影响。 </w:t>
      </w:r>
      <w:r>
        <w:rPr>
          <w:spacing w:val="-1"/>
        </w:rPr>
        <w:t>子公司少数股东分担的当期亏损超过了少数股东在该子公司期初所有者权益中所享有的份额的，其余</w:t>
      </w:r>
    </w:p>
    <w:p>
      <w:pPr>
        <w:pStyle w:val="BodyText"/>
        <w:spacing w:line="348" w:lineRule="auto" w:before="28"/>
        <w:ind w:left="574" w:right="173" w:hanging="420"/>
        <w:jc w:val="left"/>
      </w:pPr>
      <w:r>
        <w:rPr/>
        <w:t>额仍应当冲减少数股东权益。 </w:t>
      </w:r>
      <w:r>
        <w:rPr>
          <w:spacing w:val="-1"/>
        </w:rPr>
        <w:t>在报告期内，若因同一控制下企业合并增加子公司以及业务的，则调整合并资产负债表的期初数；将</w:t>
      </w:r>
    </w:p>
    <w:p>
      <w:pPr>
        <w:spacing w:after="0" w:line="348" w:lineRule="auto"/>
        <w:jc w:val="left"/>
        <w:sectPr>
          <w:pgSz w:w="11910" w:h="16840"/>
          <w:pgMar w:header="877" w:footer="979" w:top="1100" w:bottom="1160" w:left="980" w:right="920"/>
        </w:sectPr>
      </w:pPr>
    </w:p>
    <w:p>
      <w:pPr>
        <w:spacing w:line="240" w:lineRule="auto" w:before="7"/>
        <w:rPr>
          <w:rFonts w:ascii="宋体" w:hAnsi="宋体" w:cs="宋体" w:eastAsia="宋体" w:hint="default"/>
          <w:sz w:val="27"/>
          <w:szCs w:val="27"/>
        </w:rPr>
      </w:pPr>
    </w:p>
    <w:p>
      <w:pPr>
        <w:pStyle w:val="BodyText"/>
        <w:spacing w:line="348" w:lineRule="auto" w:before="35"/>
        <w:ind w:right="211"/>
        <w:jc w:val="both"/>
      </w:pPr>
      <w:r>
        <w:rPr>
          <w:spacing w:val="-1"/>
        </w:rPr>
        <w:t>子公司以及业务合并当期期初至报告期末的收入、费用、利润纳入合并利润表；将子公司以及业务合并当</w:t>
      </w:r>
      <w:r>
        <w:rPr>
          <w:spacing w:val="-83"/>
        </w:rPr>
        <w:t> </w:t>
      </w:r>
      <w:r>
        <w:rPr>
          <w:spacing w:val="-83"/>
        </w:rPr>
      </w:r>
      <w:r>
        <w:rPr/>
        <w:t>期期初至报告期末的现金流量纳入合并现金流量表。</w:t>
      </w:r>
    </w:p>
    <w:p>
      <w:pPr>
        <w:pStyle w:val="BodyText"/>
        <w:spacing w:line="348" w:lineRule="auto" w:before="31"/>
        <w:ind w:right="190" w:firstLine="420"/>
        <w:jc w:val="both"/>
      </w:pPr>
      <w:r>
        <w:rPr/>
        <w:t>在报告期内，若因非同一控制下企业合并增加子公司以及业务的，则不调整合并资产负债表期初数； </w:t>
      </w:r>
      <w:r>
        <w:rPr>
          <w:spacing w:val="-1"/>
        </w:rPr>
        <w:t>将子公司以及业务自购买日至报告期末的收入、费用、利润纳入合并利润表；该子公司以及业务自购买日</w:t>
      </w:r>
      <w:r>
        <w:rPr>
          <w:spacing w:val="-82"/>
        </w:rPr>
        <w:t> </w:t>
      </w:r>
      <w:r>
        <w:rPr>
          <w:spacing w:val="-82"/>
        </w:rPr>
      </w:r>
      <w:r>
        <w:rPr/>
        <w:t>至报告期末的现金流量纳入合并现金流量表。</w:t>
      </w:r>
    </w:p>
    <w:p>
      <w:pPr>
        <w:pStyle w:val="BodyText"/>
        <w:spacing w:line="348" w:lineRule="auto" w:before="31"/>
        <w:ind w:right="213" w:firstLine="420"/>
        <w:jc w:val="both"/>
      </w:pPr>
      <w:r>
        <w:rPr>
          <w:spacing w:val="-1"/>
        </w:rPr>
        <w:t>在报告期内，公司处置子公司以及业务，则该子公司以及业务期初至处置日的收入、费用、利润纳入</w:t>
      </w:r>
      <w:r>
        <w:rPr/>
        <w:t> 合并利润表；该子公司以及业务期初至处置日的现金流量纳入合并现金流量表。</w:t>
      </w:r>
    </w:p>
    <w:p>
      <w:pPr>
        <w:pStyle w:val="BodyText"/>
        <w:spacing w:line="350" w:lineRule="auto" w:before="30"/>
        <w:ind w:right="107" w:firstLine="420"/>
        <w:jc w:val="both"/>
      </w:pPr>
      <w:r>
        <w:rPr/>
        <w:t>公司因处置部分股权投资或其他原因丧失了对原有子公司控制权的，在合并财务报表中，对于剩余股 权，按照其在丧失控制权日的公允价值进行重新计量。处置股权取得的对价与剩余股权公允价值之和，减 去按原持股比例计算应享有原有子公司自购买日开始持续计算的净资产的份额之间的差额，计入丧失控制 </w:t>
      </w:r>
      <w:r>
        <w:rPr>
          <w:spacing w:val="-3"/>
        </w:rPr>
        <w:t>权当期的投资收益。与原有子公司股权投资相关的其他综合收益，应当在丧失控制权时转为当期投资收益。</w:t>
      </w:r>
    </w:p>
    <w:p>
      <w:pPr>
        <w:spacing w:line="240" w:lineRule="auto" w:before="5"/>
        <w:rPr>
          <w:rFonts w:ascii="宋体" w:hAnsi="宋体" w:cs="宋体" w:eastAsia="宋体" w:hint="default"/>
          <w:sz w:val="18"/>
          <w:szCs w:val="18"/>
        </w:rPr>
      </w:pPr>
    </w:p>
    <w:p>
      <w:pPr>
        <w:pStyle w:val="Heading3"/>
        <w:spacing w:line="506" w:lineRule="auto"/>
        <w:ind w:left="573" w:right="5933" w:hanging="420"/>
        <w:jc w:val="left"/>
        <w:rPr>
          <w:rFonts w:ascii="宋体" w:hAnsi="宋体" w:cs="宋体" w:eastAsia="宋体" w:hint="default"/>
          <w:b w:val="0"/>
          <w:bCs w:val="0"/>
        </w:rPr>
      </w:pPr>
      <w:bookmarkStart w:name="7、合营安排分类及共同经营会计处理方法" w:id="127"/>
      <w:bookmarkEnd w:id="127"/>
      <w:r>
        <w:rPr>
          <w:b w:val="0"/>
          <w:bCs w:val="0"/>
        </w:rPr>
      </w:r>
      <w:r>
        <w:rPr>
          <w:rFonts w:ascii="Times New Roman" w:hAnsi="Times New Roman" w:cs="Times New Roman" w:eastAsia="Times New Roman" w:hint="default"/>
        </w:rPr>
        <w:t>7</w:t>
      </w:r>
      <w:r>
        <w:rPr/>
        <w:t>、合营安排分类及共同经营会计处理方法</w:t>
      </w:r>
      <w:r>
        <w:rPr>
          <w:w w:val="99"/>
        </w:rPr>
        <w:t> </w:t>
      </w:r>
      <w:r>
        <w:rPr>
          <w:rFonts w:ascii="宋体" w:hAnsi="宋体" w:cs="宋体" w:eastAsia="宋体" w:hint="default"/>
          <w:b w:val="0"/>
          <w:bCs w:val="0"/>
        </w:rPr>
        <w:t>无。</w:t>
      </w:r>
    </w:p>
    <w:p>
      <w:pPr>
        <w:pStyle w:val="Heading3"/>
        <w:spacing w:line="240" w:lineRule="auto" w:before="103"/>
        <w:ind w:left="153" w:right="0"/>
        <w:jc w:val="both"/>
        <w:rPr>
          <w:b w:val="0"/>
          <w:bCs w:val="0"/>
        </w:rPr>
      </w:pPr>
      <w:bookmarkStart w:name="8、现金及现金等价物的确定标准" w:id="128"/>
      <w:bookmarkEnd w:id="12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210" w:firstLine="420"/>
        <w:jc w:val="both"/>
      </w:pPr>
      <w:r>
        <w:rPr>
          <w:spacing w:val="-1"/>
        </w:rPr>
        <w:t>在编制现金流量表时，将本公司库存现金以及可以随时用于支付的存款确认为现金。将同时具备期限</w:t>
      </w:r>
      <w:r>
        <w:rPr/>
        <w:t> </w:t>
      </w:r>
      <w:r>
        <w:rPr>
          <w:spacing w:val="-1"/>
        </w:rPr>
        <w:t>短（一般从购买日起，三个月内到期）、流动性强、易于转换为已知金额的现金、价值变动风险很小四个</w:t>
      </w:r>
      <w:r>
        <w:rPr>
          <w:spacing w:val="-83"/>
        </w:rPr>
        <w:t> </w:t>
      </w:r>
      <w:r>
        <w:rPr>
          <w:spacing w:val="-83"/>
        </w:rPr>
      </w:r>
      <w:r>
        <w:rPr/>
        <w:t>条件的投资，确定为现金等价物。</w:t>
      </w:r>
    </w:p>
    <w:p>
      <w:pPr>
        <w:spacing w:line="240" w:lineRule="auto" w:before="6"/>
        <w:rPr>
          <w:rFonts w:ascii="宋体" w:hAnsi="宋体" w:cs="宋体" w:eastAsia="宋体" w:hint="default"/>
          <w:sz w:val="18"/>
          <w:szCs w:val="18"/>
        </w:rPr>
      </w:pPr>
    </w:p>
    <w:p>
      <w:pPr>
        <w:pStyle w:val="Heading3"/>
        <w:spacing w:line="240" w:lineRule="auto"/>
        <w:ind w:left="153" w:right="0"/>
        <w:jc w:val="both"/>
        <w:rPr>
          <w:b w:val="0"/>
          <w:bCs w:val="0"/>
        </w:rPr>
      </w:pPr>
      <w:bookmarkStart w:name="9、外币业务和外币报表折算" w:id="129"/>
      <w:bookmarkEnd w:id="12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1"/>
          <w:szCs w:val="31"/>
        </w:rPr>
      </w:pPr>
    </w:p>
    <w:p>
      <w:pPr>
        <w:pStyle w:val="BodyText"/>
        <w:spacing w:line="340" w:lineRule="auto"/>
        <w:ind w:left="573" w:right="173"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pStyle w:val="BodyText"/>
        <w:spacing w:line="350" w:lineRule="auto" w:before="36"/>
        <w:ind w:right="21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BodyText"/>
        <w:spacing w:line="350" w:lineRule="auto" w:before="28"/>
        <w:ind w:right="211"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331" w:lineRule="auto" w:before="28"/>
        <w:ind w:left="573" w:right="2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28" w:lineRule="auto" w:before="21"/>
        <w:ind w:right="306"/>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汇率折算。按照上述折算产生的外币财务报表折算差额计入其他综合收益。</w:t>
      </w:r>
    </w:p>
    <w:p>
      <w:pPr>
        <w:spacing w:after="0" w:line="328" w:lineRule="auto"/>
        <w:jc w:val="both"/>
        <w:sectPr>
          <w:pgSz w:w="11910" w:h="16840"/>
          <w:pgMar w:header="877" w:footer="979" w:top="1100" w:bottom="1160" w:left="980" w:right="920"/>
        </w:sectPr>
      </w:pPr>
    </w:p>
    <w:p>
      <w:pPr>
        <w:spacing w:line="240" w:lineRule="auto" w:before="7"/>
        <w:rPr>
          <w:rFonts w:ascii="宋体" w:hAnsi="宋体" w:cs="宋体" w:eastAsia="宋体" w:hint="default"/>
          <w:sz w:val="27"/>
          <w:szCs w:val="27"/>
        </w:rPr>
      </w:pPr>
    </w:p>
    <w:p>
      <w:pPr>
        <w:pStyle w:val="BodyText"/>
        <w:spacing w:line="350" w:lineRule="auto" w:before="35"/>
        <w:ind w:right="151" w:firstLine="420"/>
        <w:jc w:val="both"/>
      </w:pPr>
      <w:r>
        <w:rPr>
          <w:spacing w:val="-1"/>
        </w:rPr>
        <w:t>处置境外经营时，将资产负债表中其他综合收益项目中列示的、与该境外经营相关的外币财务报表折</w:t>
      </w:r>
      <w:r>
        <w:rPr/>
        <w:t> </w:t>
      </w: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240" w:lineRule="auto" w:before="4"/>
        <w:rPr>
          <w:rFonts w:ascii="宋体" w:hAnsi="宋体" w:cs="宋体" w:eastAsia="宋体" w:hint="default"/>
          <w:sz w:val="18"/>
          <w:szCs w:val="18"/>
        </w:rPr>
      </w:pPr>
    </w:p>
    <w:p>
      <w:pPr>
        <w:pStyle w:val="Heading3"/>
        <w:spacing w:line="240" w:lineRule="auto"/>
        <w:ind w:left="153" w:right="0"/>
        <w:jc w:val="left"/>
        <w:rPr>
          <w:b w:val="0"/>
          <w:bCs w:val="0"/>
        </w:rPr>
      </w:pPr>
      <w:bookmarkStart w:name="10、金融工具" w:id="130"/>
      <w:bookmarkEnd w:id="13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574" w:right="0"/>
        <w:jc w:val="left"/>
      </w:pPr>
      <w:r>
        <w:rPr/>
        <w:t>金融工具包括金融资产、金融负债和权益工具。</w:t>
      </w:r>
    </w:p>
    <w:p>
      <w:pPr>
        <w:pStyle w:val="BodyText"/>
        <w:spacing w:line="331" w:lineRule="auto" w:before="124"/>
        <w:ind w:left="574" w:right="0"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金融工具的分类</w:t>
      </w:r>
      <w:r>
        <w:rPr>
          <w:rFonts w:ascii="宋体" w:hAnsi="宋体" w:cs="宋体" w:eastAsia="宋体" w:hint="default"/>
          <w:b/>
          <w:bCs/>
          <w:w w:val="99"/>
        </w:rPr>
        <w:t> </w:t>
      </w:r>
      <w:r>
        <w:rPr>
          <w:spacing w:val="-1"/>
        </w:rPr>
        <w:t>管理层根据所发行金融工具的合同条款及其所反映的经济实质而非仅以法律形式，结合取得持有金融</w:t>
      </w:r>
    </w:p>
    <w:p>
      <w:pPr>
        <w:pStyle w:val="BodyText"/>
        <w:spacing w:line="348" w:lineRule="auto" w:before="45"/>
        <w:ind w:left="154" w:right="0"/>
        <w:jc w:val="left"/>
      </w:pPr>
      <w:r>
        <w:rPr>
          <w:spacing w:val="-1"/>
        </w:rPr>
        <w:t>资产和承担金融负债的目的，将金融资产和金融负债分为不同类别：以公允价值计量且其变动计入当期损</w:t>
      </w:r>
      <w:r>
        <w:rPr>
          <w:spacing w:val="-81"/>
        </w:rPr>
        <w:t> </w:t>
      </w:r>
      <w:r>
        <w:rPr>
          <w:spacing w:val="-81"/>
        </w:rPr>
      </w:r>
      <w:r>
        <w:rPr/>
        <w:t>益的金融资产（或金融负债）；持有至到期投资；应收款项；可供出售金融资产；其他金融负债等。</w:t>
      </w:r>
    </w:p>
    <w:p>
      <w:pPr>
        <w:pStyle w:val="Heading3"/>
        <w:spacing w:line="240" w:lineRule="auto" w:before="31"/>
        <w:ind w:left="576"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金融工具的确认依据和计量方法</w:t>
      </w:r>
      <w:r>
        <w:rPr>
          <w:b w:val="0"/>
          <w:bCs w:val="0"/>
        </w:rPr>
      </w:r>
    </w:p>
    <w:p>
      <w:pPr>
        <w:pStyle w:val="BodyText"/>
        <w:spacing w:line="328" w:lineRule="auto" w:before="109"/>
        <w:ind w:left="57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BodyText"/>
        <w:spacing w:line="348" w:lineRule="auto" w:before="48"/>
        <w:ind w:left="573" w:right="2423"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31" w:lineRule="auto" w:before="5"/>
        <w:ind w:left="154" w:right="235" w:firstLine="420"/>
        <w:jc w:val="both"/>
      </w:pPr>
      <w:r>
        <w:rPr>
          <w:rFonts w:ascii="Times New Roman" w:hAnsi="Times New Roman" w:cs="Times New Roman" w:eastAsia="Times New Roman" w:hint="default"/>
        </w:rPr>
        <w:t>2</w:t>
      </w:r>
      <w:r>
        <w:rPr/>
        <w:t>）属于进行集中管理的可辨认金融工具组合的一部分，且有客观证据表明公司近期采用短期获利方 式对该组合进行管理；</w:t>
      </w:r>
    </w:p>
    <w:p>
      <w:pPr>
        <w:pStyle w:val="BodyText"/>
        <w:spacing w:line="340" w:lineRule="auto" w:before="45"/>
        <w:ind w:left="154" w:right="217" w:firstLine="420"/>
        <w:jc w:val="left"/>
      </w:pPr>
      <w:r>
        <w:rPr>
          <w:rFonts w:ascii="Times New Roman" w:hAnsi="Times New Roman" w:cs="Times New Roman" w:eastAsia="Times New Roman" w:hint="default"/>
        </w:rPr>
        <w:t>3</w:t>
      </w:r>
      <w:r>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BodyText"/>
        <w:spacing w:line="350" w:lineRule="auto" w:before="36"/>
        <w:ind w:left="154" w:right="150" w:firstLine="420"/>
        <w:jc w:val="both"/>
      </w:pPr>
      <w:r>
        <w:rPr>
          <w:spacing w:val="-1"/>
        </w:rPr>
        <w:t>只有符合以下条件之一，金融资产或金融负债才可在初始计量时指定为以公允价值计量且其变动计入</w:t>
      </w:r>
      <w:r>
        <w:rPr/>
        <w:t> 损益的金融资产或金融负债：</w:t>
      </w:r>
    </w:p>
    <w:p>
      <w:pPr>
        <w:pStyle w:val="BodyText"/>
        <w:spacing w:line="328" w:lineRule="auto" w:before="28"/>
        <w:ind w:left="154" w:right="235" w:firstLine="42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BodyText"/>
        <w:spacing w:line="328" w:lineRule="auto" w:before="48"/>
        <w:ind w:left="154" w:right="235"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BodyText"/>
        <w:spacing w:line="331" w:lineRule="auto" w:before="47"/>
        <w:ind w:right="235" w:firstLine="42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BodyText"/>
        <w:spacing w:line="328" w:lineRule="auto" w:before="45"/>
        <w:ind w:right="235" w:firstLine="420"/>
        <w:jc w:val="both"/>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BodyText"/>
        <w:spacing w:line="348" w:lineRule="auto" w:before="48"/>
        <w:ind w:left="154" w:right="151" w:firstLine="420"/>
        <w:jc w:val="both"/>
      </w:pPr>
      <w:r>
        <w:rPr>
          <w:spacing w:val="-1"/>
        </w:rPr>
        <w:t>公司对以公允价值计量且其变动计入当期损益的金融资产或金融负债，在取得时以公允价值（扣除已</w:t>
      </w:r>
      <w:r>
        <w:rPr/>
        <w:t> </w:t>
      </w:r>
      <w:r>
        <w:rPr>
          <w:spacing w:val="-1"/>
        </w:rPr>
        <w:t>宣告但尚未发放的现金股利或已到付息期但尚未领取的债券利息）作为初始确认金额，相关的交易费用计</w:t>
      </w:r>
      <w:r>
        <w:rPr>
          <w:spacing w:val="-81"/>
        </w:rPr>
        <w:t> </w:t>
      </w:r>
      <w:r>
        <w:rPr>
          <w:spacing w:val="-81"/>
        </w:rPr>
      </w:r>
      <w:r>
        <w:rPr>
          <w:spacing w:val="-1"/>
        </w:rPr>
        <w:t>入当期损益。持有期间将取得的利息或现金股利确认为投资收益，期末将公允价值变动计入当期损益。处</w:t>
      </w:r>
    </w:p>
    <w:p>
      <w:pPr>
        <w:spacing w:after="0" w:line="348" w:lineRule="auto"/>
        <w:jc w:val="both"/>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置时，其公允价值与初始入账金额之间的差额确认为投资收益，同时调整公允价值变动损益。</w:t>
      </w:r>
    </w:p>
    <w:p>
      <w:pPr>
        <w:pStyle w:val="BodyText"/>
        <w:spacing w:line="331" w:lineRule="auto" w:before="124"/>
        <w:ind w:left="573" w:right="0"/>
        <w:jc w:val="left"/>
      </w:pPr>
      <w:r>
        <w:rPr/>
        <w:t>（</w:t>
      </w:r>
      <w:r>
        <w:rPr>
          <w:rFonts w:ascii="Times New Roman" w:hAnsi="Times New Roman" w:cs="Times New Roman" w:eastAsia="Times New Roman" w:hint="default"/>
        </w:rPr>
        <w:t>2</w:t>
      </w:r>
      <w:r>
        <w:rPr/>
        <w:t>）应收款项 </w:t>
      </w:r>
      <w:r>
        <w:rPr>
          <w:spacing w:val="-1"/>
        </w:rPr>
        <w:t>公司对外销售商品或提供劳务形成的应收债权，以及公司持有的其他企业的不包括在活跃市场上有报</w:t>
      </w:r>
    </w:p>
    <w:p>
      <w:pPr>
        <w:pStyle w:val="BodyText"/>
        <w:spacing w:line="348" w:lineRule="auto" w:before="45"/>
        <w:ind w:left="154" w:right="153"/>
        <w:jc w:val="both"/>
      </w:pPr>
      <w:r>
        <w:rPr>
          <w:spacing w:val="-1"/>
        </w:rPr>
        <w:t>价的债务工具的债权，包括应收账款、其他应收款、应收票据、预付账款等，以向购货方应收的合同或协</w:t>
      </w:r>
      <w:r>
        <w:rPr>
          <w:spacing w:val="-83"/>
        </w:rPr>
        <w:t> </w:t>
      </w:r>
      <w:r>
        <w:rPr>
          <w:spacing w:val="-83"/>
        </w:rPr>
      </w:r>
      <w:r>
        <w:rPr/>
        <w:t>议价款作为初始确认金额；具有融资性质的，按其现值进行初始确认。</w:t>
      </w:r>
    </w:p>
    <w:p>
      <w:pPr>
        <w:pStyle w:val="BodyText"/>
        <w:spacing w:line="240" w:lineRule="auto" w:before="31"/>
        <w:ind w:left="573" w:right="0"/>
        <w:jc w:val="left"/>
      </w:pPr>
      <w:r>
        <w:rPr/>
        <w:t>收回或处置时，将取得的价款与该应收款项账面价值之间的差额计入当期损益。</w:t>
      </w:r>
    </w:p>
    <w:p>
      <w:pPr>
        <w:pStyle w:val="BodyText"/>
        <w:spacing w:line="328" w:lineRule="auto" w:before="124"/>
        <w:ind w:left="573" w:right="0"/>
        <w:jc w:val="left"/>
      </w:pPr>
      <w:r>
        <w:rPr/>
        <w:t>（</w:t>
      </w:r>
      <w:r>
        <w:rPr>
          <w:rFonts w:ascii="Times New Roman" w:hAnsi="Times New Roman" w:cs="Times New Roman" w:eastAsia="Times New Roman" w:hint="default"/>
        </w:rPr>
        <w:t>3</w:t>
      </w:r>
      <w:r>
        <w:rPr/>
        <w:t>）可供出售金融资产 </w:t>
      </w:r>
      <w:r>
        <w:rPr>
          <w:spacing w:val="-1"/>
        </w:rPr>
        <w:t>可供出售金融资产，是指初始确认时即指定为可供出售的非衍生金融资产，以及除其他金融资产类别</w:t>
      </w:r>
    </w:p>
    <w:p>
      <w:pPr>
        <w:pStyle w:val="BodyText"/>
        <w:spacing w:line="348" w:lineRule="auto" w:before="48"/>
        <w:ind w:left="573" w:right="0" w:hanging="420"/>
        <w:jc w:val="left"/>
      </w:pPr>
      <w:r>
        <w:rPr/>
        <w:t>以外的金融资产。 </w:t>
      </w:r>
      <w:r>
        <w:rPr>
          <w:spacing w:val="-1"/>
        </w:rPr>
        <w:t>公司对可供出售金融资产，在取得时按公允价值（扣除已宣告但尚未发放的现金股利或已到付息期但</w:t>
      </w:r>
    </w:p>
    <w:p>
      <w:pPr>
        <w:pStyle w:val="BodyText"/>
        <w:spacing w:line="350" w:lineRule="auto" w:before="30"/>
        <w:ind w:right="150"/>
        <w:jc w:val="both"/>
      </w:pPr>
      <w:r>
        <w:rPr>
          <w:spacing w:val="-1"/>
        </w:rPr>
        <w:t>尚未领取的债券利息）和相关交易费用之和作为初始确认金额。持有期间将取得的利息或现金股利确认为</w:t>
      </w:r>
      <w:r>
        <w:rPr>
          <w:spacing w:val="-80"/>
        </w:rPr>
        <w:t> </w:t>
      </w:r>
      <w:r>
        <w:rPr>
          <w:spacing w:val="-80"/>
        </w:rPr>
      </w:r>
      <w:r>
        <w:rPr>
          <w:spacing w:val="-1"/>
        </w:rPr>
        <w:t>投资收益。可供出售金融资产的公允价值变动形成的利得或损失，除减值损失和外币货币性金融资产形成</w:t>
      </w:r>
      <w:r>
        <w:rPr>
          <w:spacing w:val="-81"/>
        </w:rPr>
        <w:t> </w:t>
      </w:r>
      <w:r>
        <w:rPr>
          <w:spacing w:val="-81"/>
        </w:rPr>
      </w:r>
      <w:r>
        <w:rPr>
          <w:spacing w:val="-1"/>
        </w:rPr>
        <w:t>的汇兑差额外，直接计入其他综合收益。处置可供出售金融资产时，将取得的价款与该金融资产账面价值</w:t>
      </w:r>
      <w:r>
        <w:rPr>
          <w:spacing w:val="-83"/>
        </w:rPr>
        <w:t> </w:t>
      </w:r>
      <w:r>
        <w:rPr>
          <w:spacing w:val="-83"/>
        </w:rPr>
      </w:r>
      <w:r>
        <w:rPr>
          <w:spacing w:val="-1"/>
        </w:rPr>
        <w:t>之间的差额，计入投资损益；同时，将原直接计入其他综合收益的公允价值变动累计额对应处置部分的金</w:t>
      </w:r>
      <w:r>
        <w:rPr>
          <w:spacing w:val="-83"/>
        </w:rPr>
        <w:t> </w:t>
      </w:r>
      <w:r>
        <w:rPr>
          <w:spacing w:val="-83"/>
        </w:rPr>
      </w:r>
      <w:r>
        <w:rPr/>
        <w:t>额转出，计入投资损益。</w:t>
      </w:r>
    </w:p>
    <w:p>
      <w:pPr>
        <w:pStyle w:val="BodyText"/>
        <w:spacing w:line="348" w:lineRule="auto" w:before="28"/>
        <w:ind w:right="0" w:firstLine="420"/>
        <w:jc w:val="left"/>
      </w:pPr>
      <w:r>
        <w:rPr>
          <w:spacing w:val="-1"/>
        </w:rPr>
        <w:t>公司对在活跃市场中没有报价且其公允价值不能可靠计量的权益工具投资，以及与该权益工具挂钩并</w:t>
      </w:r>
      <w:r>
        <w:rPr/>
        <w:t> 须通过交付该权益工具结算的衍生金融资产，按照成本计量。</w:t>
      </w:r>
    </w:p>
    <w:p>
      <w:pPr>
        <w:spacing w:line="338" w:lineRule="auto" w:before="32"/>
        <w:ind w:left="573" w:right="15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4"/>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348" w:lineRule="auto" w:before="14"/>
        <w:ind w:right="0" w:firstLine="420"/>
        <w:jc w:val="left"/>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350" w:lineRule="auto" w:before="30"/>
        <w:ind w:right="15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28"/>
        <w:ind w:left="573" w:right="0"/>
        <w:jc w:val="left"/>
      </w:pPr>
      <w:r>
        <w:rPr/>
        <w:t>（</w:t>
      </w:r>
      <w:r>
        <w:rPr>
          <w:rFonts w:ascii="Times New Roman" w:hAnsi="Times New Roman" w:cs="Times New Roman" w:eastAsia="Times New Roman" w:hint="default"/>
        </w:rPr>
        <w:t>1</w:t>
      </w:r>
      <w:r>
        <w:rPr/>
        <w:t>）所转移金融资产的账面价值；</w:t>
      </w:r>
    </w:p>
    <w:p>
      <w:pPr>
        <w:pStyle w:val="BodyText"/>
        <w:spacing w:line="328" w:lineRule="auto" w:before="110"/>
        <w:ind w:left="154" w:right="217"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350" w:lineRule="auto" w:before="47"/>
        <w:ind w:left="154"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28"/>
        <w:ind w:left="573" w:right="0"/>
        <w:jc w:val="left"/>
      </w:pPr>
      <w:r>
        <w:rPr/>
        <w:t>（</w:t>
      </w:r>
      <w:r>
        <w:rPr>
          <w:rFonts w:ascii="Times New Roman" w:hAnsi="Times New Roman" w:cs="Times New Roman" w:eastAsia="Times New Roman" w:hint="default"/>
        </w:rPr>
        <w:t>1</w:t>
      </w:r>
      <w:r>
        <w:rPr/>
        <w:t>）终止确认部分的账面价值；</w:t>
      </w:r>
    </w:p>
    <w:p>
      <w:pPr>
        <w:pStyle w:val="BodyText"/>
        <w:spacing w:line="331" w:lineRule="auto" w:before="109"/>
        <w:ind w:right="218"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45"/>
        <w:ind w:left="573" w:right="0"/>
        <w:jc w:val="left"/>
      </w:pPr>
      <w:r>
        <w:rPr/>
        <w:t>金融资产转移不满足终止确认条件的，继续确认该金融资产，所收到的对价确认为一项金融负债。</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spacing w:line="328" w:lineRule="auto" w:before="35"/>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金融负债的的现时义务全部或部分已经解除的，则终止确认该金融负债或其一部分；公司若与债权人</w:t>
      </w:r>
    </w:p>
    <w:p>
      <w:pPr>
        <w:pStyle w:val="BodyText"/>
        <w:spacing w:line="350" w:lineRule="auto" w:before="48"/>
        <w:ind w:right="15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350" w:lineRule="auto" w:before="28"/>
        <w:ind w:right="0"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348" w:lineRule="auto" w:before="28"/>
        <w:ind w:right="0" w:firstLine="420"/>
        <w:jc w:val="left"/>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348" w:lineRule="auto" w:before="31"/>
        <w:ind w:right="151" w:firstLine="420"/>
        <w:jc w:val="both"/>
      </w:pPr>
      <w:r>
        <w:rPr>
          <w:spacing w:val="-1"/>
        </w:rPr>
        <w:t>公司若回购部分金融负债的，在回购日按照继续确认部分与终止确认部分的相对公允价值，将该金融</w:t>
      </w:r>
      <w:r>
        <w:rPr/>
        <w:t> </w:t>
      </w:r>
      <w:r>
        <w:rPr>
          <w:spacing w:val="-1"/>
        </w:rPr>
        <w:t>负债整体的账面价值进行分配。分配给终止确认部分的账面价值与支付的对价（包括转出的非现金资产或</w:t>
      </w:r>
      <w:r>
        <w:rPr>
          <w:spacing w:val="-81"/>
        </w:rPr>
        <w:t> </w:t>
      </w:r>
      <w:r>
        <w:rPr>
          <w:spacing w:val="-81"/>
        </w:rPr>
      </w:r>
      <w:r>
        <w:rPr/>
        <w:t>承担的新金融负债）之间的差额，计入当期损益。</w:t>
      </w:r>
    </w:p>
    <w:p>
      <w:pPr>
        <w:spacing w:line="328" w:lineRule="auto" w:before="31"/>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公司采用公允价值计量的金融资产和金融负债存在活跃市场的金融资产或金融负债，以活跃市场的报</w:t>
      </w:r>
    </w:p>
    <w:p>
      <w:pPr>
        <w:pStyle w:val="BodyText"/>
        <w:spacing w:line="350" w:lineRule="auto" w:before="47"/>
        <w:ind w:right="151"/>
        <w:jc w:val="both"/>
      </w:pPr>
      <w:r>
        <w:rPr>
          <w:spacing w:val="-1"/>
        </w:rPr>
        <w:t>价确定其公允价值；不存在活跃市场的金融资产或金融负债，采用估值技术（包括参考熟悉情况并自愿交</w:t>
      </w:r>
      <w:r>
        <w:rPr>
          <w:spacing w:val="-83"/>
        </w:rPr>
        <w:t> </w:t>
      </w:r>
      <w:r>
        <w:rPr>
          <w:spacing w:val="-83"/>
        </w:rPr>
      </w:r>
      <w:r>
        <w:rPr>
          <w:spacing w:val="-1"/>
        </w:rPr>
        <w:t>易的各方最近进行的市场交易中使用的价格、参照实质上相同的其他金融工具的当前公允价值、现金流量</w:t>
      </w:r>
      <w:r>
        <w:rPr>
          <w:spacing w:val="-81"/>
        </w:rPr>
        <w:t> </w:t>
      </w:r>
      <w:r>
        <w:rPr>
          <w:spacing w:val="-81"/>
        </w:rPr>
      </w:r>
      <w:r>
        <w:rPr>
          <w:spacing w:val="-1"/>
        </w:rPr>
        <w:t>折现法和期权定价模型等）确定其公允价值；初始取得或衍生的金融资产或承担的金融负债，以市场交易</w:t>
      </w:r>
      <w:r>
        <w:rPr>
          <w:spacing w:val="-83"/>
        </w:rPr>
        <w:t> </w:t>
      </w:r>
      <w:r>
        <w:rPr>
          <w:spacing w:val="-83"/>
        </w:rPr>
      </w:r>
      <w:r>
        <w:rPr/>
        <w:t>价格作为确定其公允价值的基础。</w:t>
      </w:r>
    </w:p>
    <w:p>
      <w:pPr>
        <w:spacing w:line="328" w:lineRule="auto" w:before="29"/>
        <w:ind w:left="573" w:right="32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z w:val="21"/>
          <w:szCs w:val="21"/>
        </w:rPr>
        <w:t>资产负债表日对以公允价值计量且其变动计入当期损益的金融资产以外的金融资产的账面价值进行</w:t>
      </w:r>
    </w:p>
    <w:p>
      <w:pPr>
        <w:pStyle w:val="BodyText"/>
        <w:spacing w:line="350" w:lineRule="auto" w:before="47"/>
        <w:ind w:left="573" w:right="3683" w:hanging="420"/>
        <w:jc w:val="left"/>
      </w:pPr>
      <w:r>
        <w:rPr/>
        <w:t>检查，如有客观证据表明该金融资产发生减值的，计提减值准备。 金融资产发生减值的客观证据，包括但不限于：</w:t>
      </w:r>
    </w:p>
    <w:p>
      <w:pPr>
        <w:pStyle w:val="BodyText"/>
        <w:spacing w:line="240" w:lineRule="auto" w:before="28"/>
        <w:ind w:left="573"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09"/>
        <w:ind w:left="573"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10"/>
        <w:ind w:left="573"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09"/>
        <w:ind w:left="573"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09"/>
        <w:ind w:left="573"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43" w:lineRule="auto" w:before="110"/>
        <w:ind w:left="154" w:right="112" w:firstLine="420"/>
        <w:jc w:val="left"/>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 </w:t>
      </w:r>
      <w:r>
        <w:rPr>
          <w:spacing w:val="-1"/>
        </w:rPr>
        <w:t>体评价后发现，该组金融资产自初始确认以来的预计未来现金流量确已减少且可计量，如该组金融资产的</w:t>
      </w:r>
      <w:r>
        <w:rPr>
          <w:spacing w:val="-81"/>
        </w:rPr>
        <w:t> </w:t>
      </w:r>
      <w:r>
        <w:rPr>
          <w:spacing w:val="-81"/>
        </w:rPr>
      </w:r>
      <w:r>
        <w:rPr/>
        <w:t>债务人支付能力逐步恶化，或债务人所在国家或地区失业率提高、担保物在其所在地区的价格明显下降、 所处行业不景气等；</w:t>
      </w:r>
    </w:p>
    <w:p>
      <w:pPr>
        <w:pStyle w:val="BodyText"/>
        <w:spacing w:line="331" w:lineRule="auto" w:before="34"/>
        <w:ind w:left="154" w:right="217" w:firstLine="420"/>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 资人可能无法收回投资成本；</w:t>
      </w:r>
    </w:p>
    <w:p>
      <w:pPr>
        <w:pStyle w:val="BodyText"/>
        <w:spacing w:line="328" w:lineRule="auto" w:before="46"/>
        <w:ind w:left="574" w:right="3997"/>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spacing w:after="0" w:line="328"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28" w:lineRule="auto" w:before="35"/>
        <w:ind w:left="573" w:right="173"/>
        <w:jc w:val="left"/>
      </w:pPr>
      <w:r>
        <w:rPr/>
        <w:t>（</w:t>
      </w:r>
      <w:r>
        <w:rPr>
          <w:rFonts w:ascii="Times New Roman" w:hAnsi="Times New Roman" w:cs="Times New Roman" w:eastAsia="Times New Roman" w:hint="default"/>
        </w:rPr>
        <w:t>1</w:t>
      </w:r>
      <w:r>
        <w:rPr/>
        <w:t>）可供出售金融资产的减值准备 </w:t>
      </w:r>
      <w:r>
        <w:rPr>
          <w:spacing w:val="-1"/>
        </w:rPr>
        <w:t>公司于资产负债表日对各项可供出售金融资产采用个别认定的方式评估减值损失，其中：表明可供出</w:t>
      </w:r>
    </w:p>
    <w:p>
      <w:pPr>
        <w:pStyle w:val="BodyText"/>
        <w:spacing w:line="340" w:lineRule="auto" w:before="48"/>
        <w:ind w:right="101"/>
        <w:jc w:val="left"/>
      </w:pPr>
      <w:r>
        <w:rPr/>
        <w:t>售权益工具投资发生减值的客观证据包括权益工具投资的公允价值发生严重或非暂时性下跌，具体量化标 准为：公司于资产负债表日对各项可供出售权益工具投资单独进行检查，若该权益工具投资于资产负债表 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 </w:t>
      </w:r>
      <w:r>
        <w:rPr>
          <w:spacing w:val="-1"/>
        </w:rPr>
        <w:t>生减值；若该权益工具投资于资产负债表日的公允价值低于其成本超过</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）但尚未达到</w:t>
      </w:r>
      <w:r>
        <w:rPr>
          <w:rFonts w:ascii="Times New Roman" w:hAnsi="Times New Roman" w:cs="Times New Roman" w:eastAsia="Times New Roman" w:hint="default"/>
          <w:spacing w:val="-1"/>
        </w:rPr>
        <w:t>50%</w:t>
      </w:r>
      <w:r>
        <w:rPr>
          <w:spacing w:val="-1"/>
        </w:rPr>
        <w:t>的，</w:t>
      </w:r>
      <w:r>
        <w:rPr>
          <w:spacing w:val="-83"/>
        </w:rPr>
        <w:t> </w:t>
      </w:r>
      <w:r>
        <w:rPr/>
        <w:t>公司会综合考虑其他相关因素诸如价格波动率等，判断该权益工具投资是否发生减值。</w:t>
      </w:r>
    </w:p>
    <w:p>
      <w:pPr>
        <w:pStyle w:val="BodyText"/>
        <w:spacing w:line="350" w:lineRule="auto" w:before="36"/>
        <w:ind w:right="173" w:firstLine="420"/>
        <w:jc w:val="left"/>
      </w:pPr>
      <w:r>
        <w:rPr>
          <w:spacing w:val="-1"/>
        </w:rPr>
        <w:t>可供出售金融资产发生减值时，即使该金融资产没有终止确认，公司将原直接计入其他综合收益的因</w:t>
      </w:r>
      <w:r>
        <w:rPr/>
        <w:t> </w:t>
      </w:r>
      <w:r>
        <w:rPr>
          <w:spacing w:val="-1"/>
        </w:rPr>
        <w:t>公允价值下降形成的累计损失从其他综合收益转出，计入当期损益。该转出的累计损失，等于可供出售金</w:t>
      </w:r>
      <w:r>
        <w:rPr>
          <w:spacing w:val="-83"/>
        </w:rPr>
        <w:t> </w:t>
      </w:r>
      <w:r>
        <w:rPr>
          <w:spacing w:val="-83"/>
        </w:rPr>
      </w:r>
      <w:r>
        <w:rPr/>
        <w:t>融资产的初始取得成本扣除已收回本金和已摊余金额、当前公允价值和原已计入损益的减值损失后的余 额。</w:t>
      </w:r>
    </w:p>
    <w:p>
      <w:pPr>
        <w:pStyle w:val="BodyText"/>
        <w:spacing w:line="350" w:lineRule="auto" w:before="29"/>
        <w:ind w:left="154" w:right="21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BodyText"/>
        <w:spacing w:line="331" w:lineRule="auto" w:before="28"/>
        <w:ind w:left="574" w:right="173"/>
        <w:jc w:val="left"/>
      </w:pPr>
      <w:r>
        <w:rPr/>
        <w:t>（</w:t>
      </w:r>
      <w:r>
        <w:rPr>
          <w:rFonts w:ascii="Times New Roman" w:hAnsi="Times New Roman" w:cs="Times New Roman" w:eastAsia="Times New Roman" w:hint="default"/>
        </w:rPr>
        <w:t>2</w:t>
      </w:r>
      <w:r>
        <w:rPr/>
        <w:t>）持有至到期投资的减值准备 </w:t>
      </w:r>
      <w:r>
        <w:rPr>
          <w:spacing w:val="-1"/>
        </w:rPr>
        <w:t>对于持有至到期投资，有客观证据表明其发生了减值的，根据其账面价值与预计未来现金流量现值之</w:t>
      </w:r>
    </w:p>
    <w:p>
      <w:pPr>
        <w:pStyle w:val="BodyText"/>
        <w:spacing w:line="348" w:lineRule="auto" w:before="45"/>
        <w:ind w:left="154" w:right="173"/>
        <w:jc w:val="left"/>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328" w:lineRule="auto" w:before="31"/>
        <w:ind w:left="574" w:right="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BodyText"/>
        <w:spacing w:line="240" w:lineRule="auto" w:before="47"/>
        <w:ind w:left="154" w:right="173"/>
        <w:jc w:val="left"/>
      </w:pPr>
      <w:r>
        <w:rPr/>
        <w:t>抵销后的净额在资产负债表内列示：</w:t>
      </w:r>
    </w:p>
    <w:p>
      <w:pPr>
        <w:pStyle w:val="BodyText"/>
        <w:spacing w:line="240" w:lineRule="auto" w:before="126"/>
        <w:ind w:left="574" w:right="173"/>
        <w:jc w:val="left"/>
      </w:pPr>
      <w:r>
        <w:rPr/>
        <w:t>（</w:t>
      </w:r>
      <w:r>
        <w:rPr>
          <w:rFonts w:ascii="Times New Roman" w:hAnsi="Times New Roman" w:cs="Times New Roman" w:eastAsia="Times New Roman" w:hint="default"/>
        </w:rPr>
        <w:t>1</w:t>
      </w:r>
      <w:r>
        <w:rPr/>
        <w:t>）公司具有抵销已确认金额的法定权利，且该种法定权利是当前可执行的；</w:t>
      </w:r>
    </w:p>
    <w:p>
      <w:pPr>
        <w:pStyle w:val="BodyText"/>
        <w:spacing w:line="240" w:lineRule="auto" w:before="109"/>
        <w:ind w:left="574" w:right="173"/>
        <w:jc w:val="left"/>
      </w:pPr>
      <w:r>
        <w:rPr/>
        <w:t>（</w:t>
      </w:r>
      <w:r>
        <w:rPr>
          <w:rFonts w:ascii="Times New Roman" w:hAnsi="Times New Roman" w:cs="Times New Roman" w:eastAsia="Times New Roman" w:hint="default"/>
        </w:rPr>
        <w:t>2</w:t>
      </w:r>
      <w:r>
        <w:rPr/>
        <w:t>）公司计划以净额结算，或同时变现该金融资产和清偿该金融负债。</w:t>
      </w:r>
    </w:p>
    <w:p>
      <w:pPr>
        <w:spacing w:line="240" w:lineRule="auto" w:before="6"/>
        <w:rPr>
          <w:rFonts w:ascii="宋体" w:hAnsi="宋体" w:cs="宋体" w:eastAsia="宋体" w:hint="default"/>
          <w:sz w:val="24"/>
          <w:szCs w:val="24"/>
        </w:rPr>
      </w:pPr>
    </w:p>
    <w:p>
      <w:pPr>
        <w:pStyle w:val="Heading3"/>
        <w:spacing w:line="240" w:lineRule="auto"/>
        <w:ind w:right="173"/>
        <w:jc w:val="left"/>
        <w:rPr>
          <w:b w:val="0"/>
          <w:bCs w:val="0"/>
        </w:rPr>
      </w:pPr>
      <w:bookmarkStart w:name="11、应收款项" w:id="131"/>
      <w:bookmarkEnd w:id="13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73"/>
        <w:jc w:val="left"/>
        <w:rPr>
          <w:b w:val="0"/>
          <w:bCs w:val="0"/>
        </w:rPr>
      </w:pPr>
      <w:bookmarkStart w:name="（1）单项金额重大并单独计提坏账准备的应收款项" w:id="132"/>
      <w:bookmarkEnd w:id="13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单项金额重大的应收款项是指单项金额超过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的应收账款和单项金额超过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元的其他应收款。</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920"/>
        </w:sectPr>
      </w:pPr>
    </w:p>
    <w:p>
      <w:pPr>
        <w:spacing w:line="240" w:lineRule="auto" w:before="10"/>
        <w:rPr>
          <w:rFonts w:ascii="宋体" w:hAnsi="宋体" w:cs="宋体" w:eastAsia="宋体" w:hint="default"/>
          <w:b/>
          <w:bCs/>
          <w:sz w:val="20"/>
          <w:szCs w:val="20"/>
        </w:rPr>
      </w:pPr>
    </w:p>
    <w:p>
      <w:pPr>
        <w:pStyle w:val="Heading3"/>
        <w:spacing w:line="240" w:lineRule="auto" w:before="35"/>
        <w:ind w:left="153" w:right="0"/>
        <w:jc w:val="left"/>
        <w:rPr>
          <w:b w:val="0"/>
          <w:bCs w:val="0"/>
        </w:rPr>
      </w:pPr>
      <w:bookmarkStart w:name="（2）按信用风险特征组合计提坏账准备的应收款项" w:id="133"/>
      <w:bookmarkEnd w:id="13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2"/>
        <w:rPr>
          <w:rFonts w:ascii="宋体" w:hAnsi="宋体" w:cs="宋体" w:eastAsia="宋体" w:hint="default"/>
          <w:b/>
          <w:bCs/>
          <w:sz w:val="6"/>
          <w:szCs w:val="6"/>
        </w:rPr>
      </w:pPr>
    </w:p>
    <w:p>
      <w:pPr>
        <w:pStyle w:val="BodyText"/>
        <w:spacing w:line="240" w:lineRule="auto" w:before="35"/>
        <w:ind w:left="154" w:right="0"/>
        <w:jc w:val="left"/>
      </w:pPr>
      <w:r>
        <w:rPr/>
        <w:t>组合中，采用账龄分析法计提坏账准备的：</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26"/>
        <w:ind w:left="154" w:right="0"/>
        <w:jc w:val="left"/>
      </w:pPr>
      <w:r>
        <w:rPr/>
        <w:t>组合中，采用余额百分比法计提坏账准备的：</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组合中，采用其他方法计提坏账准备的：</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34"/>
      <w:bookmarkEnd w:id="13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客户公司财务状况恶化、涉及诉讼且金额不属于重大的应收 款项。</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值的差额计提坏账准备，计入当期损益。对应收票据、预付 款项、应收利息、长期应收款等其他应收款项，根据其未来 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35"/>
      <w:bookmarkEnd w:id="135"/>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4" w:right="0"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存货的分类</w:t>
      </w:r>
      <w:r>
        <w:rPr>
          <w:rFonts w:ascii="宋体" w:hAnsi="宋体" w:cs="宋体" w:eastAsia="宋体" w:hint="default"/>
          <w:b/>
          <w:bCs/>
          <w:w w:val="99"/>
        </w:rPr>
        <w:t> </w:t>
      </w:r>
      <w:r>
        <w:rPr>
          <w:spacing w:val="-1"/>
        </w:rPr>
        <w:t>存货是指公司在日常活动中持有以备出售的产成品或商品、处在生产过程中的在产品、在生产过程或</w:t>
      </w:r>
    </w:p>
    <w:p>
      <w:pPr>
        <w:pStyle w:val="BodyText"/>
        <w:spacing w:line="240" w:lineRule="auto" w:before="48"/>
        <w:ind w:left="154" w:right="0"/>
        <w:jc w:val="left"/>
      </w:pPr>
      <w:r>
        <w:rPr/>
        <w:t>提供劳务过程中耗用的材料和物料等。主要包括原材料、在产品、库存商品、发出商品等。</w:t>
      </w:r>
    </w:p>
    <w:p>
      <w:pPr>
        <w:pStyle w:val="BodyText"/>
        <w:spacing w:line="328" w:lineRule="auto" w:before="124"/>
        <w:ind w:left="574" w:right="0" w:firstLine="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8"/>
        </w:rPr>
        <w:t> </w:t>
      </w:r>
      <w:r>
        <w:rPr>
          <w:rFonts w:ascii="宋体" w:hAnsi="宋体" w:cs="宋体" w:eastAsia="宋体" w:hint="default"/>
          <w:b/>
          <w:bCs/>
        </w:rPr>
        <w:t>存货的计价方法</w:t>
      </w:r>
      <w:r>
        <w:rPr>
          <w:rFonts w:ascii="宋体" w:hAnsi="宋体" w:cs="宋体" w:eastAsia="宋体" w:hint="default"/>
          <w:b/>
          <w:bCs/>
          <w:w w:val="99"/>
        </w:rPr>
        <w:t> </w:t>
      </w:r>
      <w:r>
        <w:rPr>
          <w:spacing w:val="-1"/>
        </w:rPr>
        <w:t>存货在取得时，按成本进行初始计量，包括采购成本、加工成本和其他成本。存货发出时按月末一次</w:t>
      </w:r>
    </w:p>
    <w:p>
      <w:pPr>
        <w:pStyle w:val="BodyText"/>
        <w:spacing w:line="240" w:lineRule="auto" w:before="48"/>
        <w:ind w:left="154" w:right="0"/>
        <w:jc w:val="left"/>
      </w:pPr>
      <w:r>
        <w:rPr/>
        <w:t>加权平均法计价。</w:t>
      </w:r>
    </w:p>
    <w:p>
      <w:pPr>
        <w:spacing w:line="328" w:lineRule="auto" w:before="124"/>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期末对存货进行全面清查后，按存货的成本与可变现净值孰低提取或调整存货跌价准备。产成品、库</w:t>
      </w:r>
    </w:p>
    <w:p>
      <w:pPr>
        <w:spacing w:after="0" w:line="328"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50" w:lineRule="auto" w:before="35"/>
        <w:ind w:right="191"/>
        <w:jc w:val="both"/>
      </w:pPr>
      <w:r>
        <w:rPr>
          <w:spacing w:val="-1"/>
        </w:rPr>
        <w:t>存商品和用于出售的材料等直接用于出售的商品存货，在正常生产经营过程中，以该存货的估计售价减去</w:t>
      </w:r>
      <w:r>
        <w:rPr>
          <w:spacing w:val="-81"/>
        </w:rPr>
        <w:t> </w:t>
      </w:r>
      <w:r>
        <w:rPr>
          <w:spacing w:val="-81"/>
        </w:rPr>
      </w:r>
      <w:r>
        <w:rPr>
          <w:spacing w:val="-1"/>
        </w:rPr>
        <w:t>估计的销售费用和相关税费后的金额，确定其可变现净值；需要经过加工的材料存货，在正常生产经营过</w:t>
      </w:r>
      <w:r>
        <w:rPr>
          <w:spacing w:val="-83"/>
        </w:rPr>
        <w:t> </w:t>
      </w:r>
      <w:r>
        <w:rPr>
          <w:spacing w:val="-83"/>
        </w:rPr>
      </w:r>
      <w:r>
        <w:rPr>
          <w:spacing w:val="-1"/>
        </w:rPr>
        <w:t>程中，以所生产的产成品的估计售价减去至完工时估计将要发生的成本、估计的销售费用和相关税费后的</w:t>
      </w:r>
      <w:r>
        <w:rPr>
          <w:spacing w:val="-81"/>
        </w:rPr>
        <w:t> </w:t>
      </w:r>
      <w:r>
        <w:rPr>
          <w:spacing w:val="-81"/>
        </w:rPr>
      </w:r>
      <w:r>
        <w:rPr>
          <w:spacing w:val="-1"/>
        </w:rPr>
        <w:t>金额，确定其可变现净值；为执行销售合同或者劳务合同而持有的存货，其可变现净值以合同价格为基础</w:t>
      </w:r>
      <w:r>
        <w:rPr>
          <w:spacing w:val="-83"/>
        </w:rPr>
        <w:t> </w:t>
      </w:r>
      <w:r>
        <w:rPr>
          <w:spacing w:val="-83"/>
        </w:rPr>
      </w:r>
      <w:r>
        <w:rPr>
          <w:spacing w:val="-1"/>
        </w:rPr>
        <w:t>计算，若持有存货的数量多于销售合同订购数量的，超出部分的存货的可变现净值以一般销售价格为基础</w:t>
      </w:r>
      <w:r>
        <w:rPr>
          <w:spacing w:val="-81"/>
        </w:rPr>
        <w:t> </w:t>
      </w:r>
      <w:r>
        <w:rPr>
          <w:spacing w:val="-81"/>
        </w:rPr>
      </w:r>
      <w:r>
        <w:rPr/>
        <w:t>计算。</w:t>
      </w:r>
    </w:p>
    <w:p>
      <w:pPr>
        <w:pStyle w:val="BodyText"/>
        <w:spacing w:line="350" w:lineRule="auto" w:before="28"/>
        <w:ind w:right="19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348" w:lineRule="auto" w:before="28"/>
        <w:ind w:right="85" w:firstLine="420"/>
        <w:jc w:val="left"/>
      </w:pPr>
      <w:r>
        <w:rPr>
          <w:spacing w:val="-1"/>
        </w:rPr>
        <w:t>以前减记存货价值的影响因素已经消失的，减记的金额予以恢复，并在原已计提的存货跌价准备金额</w:t>
      </w:r>
      <w:r>
        <w:rPr/>
        <w:t> 内转回，转回的金额计入当期损益。</w:t>
      </w:r>
    </w:p>
    <w:p>
      <w:pPr>
        <w:pStyle w:val="BodyText"/>
        <w:spacing w:line="328" w:lineRule="auto" w:before="31"/>
        <w:ind w:left="573" w:right="100" w:firstLine="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8"/>
        </w:rPr>
        <w:t> </w:t>
      </w:r>
      <w:r>
        <w:rPr>
          <w:rFonts w:ascii="宋体" w:hAnsi="宋体" w:cs="宋体" w:eastAsia="宋体" w:hint="default"/>
          <w:b/>
          <w:bCs/>
        </w:rPr>
        <w:t>存货的盘存制度</w:t>
      </w:r>
      <w:r>
        <w:rPr>
          <w:rFonts w:ascii="宋体" w:hAnsi="宋体" w:cs="宋体" w:eastAsia="宋体" w:hint="default"/>
          <w:b/>
          <w:bCs/>
          <w:w w:val="99"/>
        </w:rPr>
        <w:t> </w:t>
      </w:r>
      <w:r>
        <w:rPr/>
        <w:t>采用永续盘存制，并且定期对存货进行盘点</w:t>
      </w:r>
      <w:r>
        <w:rPr>
          <w:rFonts w:ascii="Times New Roman" w:hAnsi="Times New Roman" w:cs="Times New Roman" w:eastAsia="Times New Roman" w:hint="default"/>
        </w:rPr>
        <w:t>,</w:t>
      </w:r>
      <w:r>
        <w:rPr/>
        <w:t>盘点结果如与账面记录不符，根据管理权限报经批准后，</w:t>
      </w:r>
    </w:p>
    <w:p>
      <w:pPr>
        <w:pStyle w:val="BodyText"/>
        <w:spacing w:line="240" w:lineRule="auto" w:before="23"/>
        <w:ind w:right="0"/>
        <w:jc w:val="both"/>
      </w:pPr>
      <w:r>
        <w:rPr/>
        <w:t>在年终结账前处理完毕，计入当期损益。</w:t>
      </w:r>
    </w:p>
    <w:p>
      <w:pPr>
        <w:pStyle w:val="Heading3"/>
        <w:spacing w:line="240" w:lineRule="auto" w:before="126"/>
        <w:ind w:left="576" w:right="85"/>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35"/>
        </w:rPr>
        <w:t> </w:t>
      </w:r>
      <w:r>
        <w:rPr/>
        <w:t>低值易耗品和包装物的摊销方法</w:t>
      </w:r>
      <w:r>
        <w:rPr>
          <w:b w:val="0"/>
          <w:bCs w:val="0"/>
        </w:rPr>
      </w:r>
    </w:p>
    <w:p>
      <w:pPr>
        <w:pStyle w:val="BodyText"/>
        <w:spacing w:line="240" w:lineRule="auto" w:before="109"/>
        <w:ind w:left="573" w:right="85"/>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9"/>
        <w:ind w:left="573" w:right="85"/>
        <w:jc w:val="left"/>
      </w:pPr>
      <w:r>
        <w:rPr/>
        <w:t>（</w:t>
      </w:r>
      <w:r>
        <w:rPr>
          <w:rFonts w:ascii="Times New Roman" w:hAnsi="Times New Roman" w:cs="Times New Roman" w:eastAsia="Times New Roman" w:hint="default"/>
        </w:rPr>
        <w:t>2</w:t>
      </w:r>
      <w:r>
        <w:rPr/>
        <w:t>）包装物采用一次转销法。</w:t>
      </w:r>
    </w:p>
    <w:p>
      <w:pPr>
        <w:spacing w:line="240" w:lineRule="auto" w:before="8"/>
        <w:rPr>
          <w:rFonts w:ascii="宋体" w:hAnsi="宋体" w:cs="宋体" w:eastAsia="宋体" w:hint="default"/>
          <w:sz w:val="24"/>
          <w:szCs w:val="24"/>
        </w:rPr>
      </w:pPr>
    </w:p>
    <w:p>
      <w:pPr>
        <w:pStyle w:val="Heading3"/>
        <w:spacing w:line="240" w:lineRule="auto"/>
        <w:ind w:left="153" w:right="0"/>
        <w:jc w:val="both"/>
        <w:rPr>
          <w:b w:val="0"/>
          <w:bCs w:val="0"/>
        </w:rPr>
      </w:pPr>
      <w:bookmarkStart w:name="13、长期股权投资" w:id="136"/>
      <w:bookmarkEnd w:id="136"/>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6"/>
        <w:rPr>
          <w:rFonts w:ascii="宋体" w:hAnsi="宋体" w:cs="宋体" w:eastAsia="宋体" w:hint="default"/>
          <w:b/>
          <w:bCs/>
          <w:sz w:val="31"/>
          <w:szCs w:val="31"/>
        </w:rPr>
      </w:pPr>
    </w:p>
    <w:p>
      <w:pPr>
        <w:pStyle w:val="Heading3"/>
        <w:spacing w:line="240" w:lineRule="auto"/>
        <w:ind w:left="576" w:right="85"/>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投资成本的确定</w:t>
      </w:r>
      <w:r>
        <w:rPr>
          <w:b w:val="0"/>
          <w:bCs w:val="0"/>
        </w:rPr>
      </w:r>
    </w:p>
    <w:p>
      <w:pPr>
        <w:pStyle w:val="BodyText"/>
        <w:spacing w:line="328" w:lineRule="auto" w:before="109"/>
        <w:ind w:left="154" w:right="85" w:firstLine="420"/>
        <w:jc w:val="left"/>
      </w:pPr>
      <w:r>
        <w:rPr/>
        <w:t>（</w:t>
      </w:r>
      <w:r>
        <w:rPr>
          <w:rFonts w:ascii="Times New Roman" w:hAnsi="Times New Roman" w:cs="Times New Roman" w:eastAsia="Times New Roman" w:hint="default"/>
        </w:rPr>
        <w:t>1</w:t>
      </w:r>
      <w:r>
        <w:rPr/>
        <w:t>）企业合并形成的长期股权投资，具体会计政策详见本附注二／（五）同一控制下和非同一控制 下企业合并的会计处理方法</w:t>
      </w:r>
    </w:p>
    <w:p>
      <w:pPr>
        <w:pStyle w:val="BodyText"/>
        <w:spacing w:line="328" w:lineRule="auto" w:before="48"/>
        <w:ind w:left="574" w:right="85"/>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350" w:lineRule="auto" w:before="47"/>
        <w:ind w:left="573" w:right="85"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BodyText"/>
        <w:spacing w:line="348" w:lineRule="auto" w:before="28"/>
        <w:ind w:left="573" w:right="85"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BodyText"/>
        <w:spacing w:line="348" w:lineRule="auto" w:before="31"/>
        <w:ind w:right="190"/>
        <w:jc w:val="both"/>
      </w:pPr>
      <w:r>
        <w:rPr>
          <w:spacing w:val="-1"/>
        </w:rPr>
        <w:t>性资产交换换入的长期股权投资以换出资产的公允价值为基础确定其初始投资成本，除非有确凿证据表明</w:t>
      </w:r>
      <w:r>
        <w:rPr>
          <w:spacing w:val="-80"/>
        </w:rPr>
        <w:t> </w:t>
      </w:r>
      <w:r>
        <w:rPr>
          <w:spacing w:val="-80"/>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before="32"/>
        <w:ind w:left="574" w:right="85"/>
        <w:jc w:val="left"/>
      </w:pPr>
      <w:r>
        <w:rPr/>
        <w:t>通过债务重组取得的长期股权投资，其初始投资成本按照公允价值为基础确定。</w:t>
      </w:r>
    </w:p>
    <w:p>
      <w:pPr>
        <w:pStyle w:val="Heading3"/>
        <w:spacing w:line="240" w:lineRule="auto" w:before="124"/>
        <w:ind w:left="576" w:right="85"/>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后续计量及损益确认</w:t>
      </w:r>
      <w:r>
        <w:rPr>
          <w:b w:val="0"/>
          <w:bCs w:val="0"/>
        </w:rPr>
      </w:r>
    </w:p>
    <w:p>
      <w:pPr>
        <w:pStyle w:val="BodyText"/>
        <w:spacing w:line="240" w:lineRule="auto" w:before="109"/>
        <w:ind w:left="574" w:right="85"/>
        <w:jc w:val="left"/>
      </w:pPr>
      <w:r>
        <w:rPr/>
        <w:t>（</w:t>
      </w:r>
      <w:r>
        <w:rPr>
          <w:rFonts w:ascii="Times New Roman" w:hAnsi="Times New Roman" w:cs="Times New Roman" w:eastAsia="Times New Roman" w:hint="default"/>
        </w:rPr>
        <w:t>1</w:t>
      </w:r>
      <w:r>
        <w:rPr/>
        <w:t>）成本法</w:t>
      </w:r>
    </w:p>
    <w:p>
      <w:pPr>
        <w:spacing w:after="0" w:line="240" w:lineRule="auto"/>
        <w:jc w:val="left"/>
        <w:sectPr>
          <w:pgSz w:w="11910" w:h="16840"/>
          <w:pgMar w:header="877" w:footer="979" w:top="1100" w:bottom="1160" w:left="980" w:right="940"/>
        </w:sectPr>
      </w:pPr>
    </w:p>
    <w:p>
      <w:pPr>
        <w:spacing w:line="240" w:lineRule="auto" w:before="7"/>
        <w:rPr>
          <w:rFonts w:ascii="宋体" w:hAnsi="宋体" w:cs="宋体" w:eastAsia="宋体" w:hint="default"/>
          <w:sz w:val="27"/>
          <w:szCs w:val="27"/>
        </w:rPr>
      </w:pPr>
    </w:p>
    <w:p>
      <w:pPr>
        <w:pStyle w:val="BodyText"/>
        <w:spacing w:line="348" w:lineRule="auto" w:before="35"/>
        <w:ind w:right="151" w:firstLine="420"/>
        <w:jc w:val="both"/>
      </w:pPr>
      <w:r>
        <w:rPr>
          <w:spacing w:val="-1"/>
        </w:rPr>
        <w:t>公司能够对被投资单位实施控制的长期股权投资采用成本法核算，并按照初始投资成本计价，追加或</w:t>
      </w:r>
      <w:r>
        <w:rPr/>
        <w:t> 收回投资调整长期股权投资的成本。</w:t>
      </w:r>
    </w:p>
    <w:p>
      <w:pPr>
        <w:pStyle w:val="BodyText"/>
        <w:spacing w:line="350" w:lineRule="auto" w:before="31"/>
        <w:ind w:right="152" w:firstLine="420"/>
        <w:jc w:val="both"/>
      </w:pPr>
      <w:r>
        <w:rPr>
          <w:spacing w:val="-1"/>
        </w:rPr>
        <w:t>除取得投资时实际支付的价款或对价中包含的已宣告但尚未发放的现金股利或利润外，公司按照享有</w:t>
      </w:r>
      <w:r>
        <w:rPr/>
        <w:t> 被投资单位宣告分派的现金股利或利润确认为当期投资收益。</w:t>
      </w:r>
    </w:p>
    <w:p>
      <w:pPr>
        <w:pStyle w:val="BodyText"/>
        <w:spacing w:line="331" w:lineRule="auto" w:before="28"/>
        <w:ind w:left="573" w:right="0"/>
        <w:jc w:val="left"/>
      </w:pPr>
      <w:r>
        <w:rPr/>
        <w:t>（</w:t>
      </w:r>
      <w:r>
        <w:rPr>
          <w:rFonts w:ascii="Times New Roman" w:hAnsi="Times New Roman" w:cs="Times New Roman" w:eastAsia="Times New Roman" w:hint="default"/>
        </w:rPr>
        <w:t>2</w:t>
      </w:r>
      <w:r>
        <w:rPr/>
        <w:t>）权益法 </w:t>
      </w:r>
      <w:r>
        <w:rPr>
          <w:spacing w:val="-1"/>
        </w:rPr>
        <w:t>公司对联营企业和合营企业的长期股权投资采用权益法核算；对于其中一部分通过风险投资机构、共</w:t>
      </w:r>
    </w:p>
    <w:p>
      <w:pPr>
        <w:pStyle w:val="BodyText"/>
        <w:spacing w:line="348" w:lineRule="auto" w:before="45"/>
        <w:ind w:right="151"/>
        <w:jc w:val="both"/>
      </w:pPr>
      <w:r>
        <w:rPr>
          <w:spacing w:val="-1"/>
        </w:rPr>
        <w:t>同基金、信托公司或包括投连险基金在内的类似主体间接持有的联营企业的权益性投资，采用公允价值计</w:t>
      </w:r>
      <w:r>
        <w:rPr>
          <w:spacing w:val="-81"/>
        </w:rPr>
        <w:t> </w:t>
      </w:r>
      <w:r>
        <w:rPr>
          <w:spacing w:val="-81"/>
        </w:rPr>
      </w:r>
      <w:r>
        <w:rPr/>
        <w:t>量且其变动计入损益。</w:t>
      </w:r>
    </w:p>
    <w:p>
      <w:pPr>
        <w:pStyle w:val="BodyText"/>
        <w:spacing w:line="348" w:lineRule="auto" w:before="31"/>
        <w:ind w:right="152"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BodyText"/>
        <w:spacing w:line="350" w:lineRule="auto" w:before="31"/>
        <w:ind w:right="129" w:firstLine="420"/>
        <w:jc w:val="both"/>
      </w:pPr>
      <w:r>
        <w:rPr/>
        <w:t>公司取得长期股权投资后，按照应享有或应分担的被投资单位实现的净损益和其他综合收益的份额， </w:t>
      </w:r>
      <w:r>
        <w:rPr>
          <w:spacing w:val="-1"/>
        </w:rPr>
        <w:t>分别确认投资收益和其他综合收益，同时调整长期股权投资的账面价值；并按照被投资单位宣告分派的利</w:t>
      </w:r>
      <w:r>
        <w:rPr>
          <w:spacing w:val="-81"/>
        </w:rPr>
        <w:t> </w:t>
      </w:r>
      <w:r>
        <w:rPr>
          <w:spacing w:val="-81"/>
        </w:rPr>
      </w:r>
      <w:r>
        <w:rPr>
          <w:spacing w:val="-1"/>
        </w:rPr>
        <w:t>润或现金股利计算应享有的部分，相应减少长期股权投资的账面价值；对于被投资单位除净损益、其他综</w:t>
      </w:r>
      <w:r>
        <w:rPr>
          <w:spacing w:val="-83"/>
        </w:rPr>
        <w:t> </w:t>
      </w:r>
      <w:r>
        <w:rPr>
          <w:spacing w:val="-83"/>
        </w:rPr>
      </w:r>
      <w:r>
        <w:rPr/>
        <w:t>合收益和利润分配以外所有者权益的其他变动，调整长期股权投资的账面价值并计入所有者权益。</w:t>
      </w:r>
    </w:p>
    <w:p>
      <w:pPr>
        <w:pStyle w:val="BodyText"/>
        <w:spacing w:line="350" w:lineRule="auto" w:before="28"/>
        <w:ind w:right="151" w:firstLine="420"/>
        <w:jc w:val="both"/>
      </w:pPr>
      <w:r>
        <w:rPr>
          <w:spacing w:val="-1"/>
        </w:rPr>
        <w:t>公司在确认应享有被投资单位净损益的份额时，以取得投资时被投资单位各项可辨认资产等的公允价</w:t>
      </w:r>
      <w:r>
        <w:rPr/>
        <w:t> </w:t>
      </w:r>
      <w:r>
        <w:rPr>
          <w:spacing w:val="-1"/>
        </w:rPr>
        <w:t>值为基础，对被投资单位的净利润进行调整后确认。公司与联营企业、合营企业之间发生的未实现内部交</w:t>
      </w:r>
      <w:r>
        <w:rPr>
          <w:spacing w:val="-83"/>
        </w:rPr>
        <w:t> </w:t>
      </w:r>
      <w:r>
        <w:rPr>
          <w:spacing w:val="-83"/>
        </w:rPr>
      </w:r>
      <w:r>
        <w:rPr/>
        <w:t>易损益按照应享有的比例计算归属于公司的部分予以抵销，在此基础上确认投资损益。</w:t>
      </w:r>
    </w:p>
    <w:p>
      <w:pPr>
        <w:pStyle w:val="BodyText"/>
        <w:spacing w:line="350" w:lineRule="auto" w:before="28"/>
        <w:ind w:right="151" w:firstLine="420"/>
        <w:jc w:val="both"/>
      </w:pPr>
      <w:r>
        <w:rPr>
          <w:spacing w:val="-1"/>
        </w:rPr>
        <w:t>公司确认应分担被投资单位发生的亏损时，按照以下顺序进行处理：首先，冲减长期股权投资的账面</w:t>
      </w:r>
      <w:r>
        <w:rPr/>
        <w:t> </w:t>
      </w:r>
      <w:r>
        <w:rPr>
          <w:spacing w:val="-1"/>
        </w:rPr>
        <w:t>价值。其次，长期股权投资的账面价值不足以冲减的，以其他实质上构成对被投资单位净投资的长期权益</w:t>
      </w:r>
      <w:r>
        <w:rPr>
          <w:spacing w:val="-83"/>
        </w:rPr>
        <w:t> </w:t>
      </w:r>
      <w:r>
        <w:rPr>
          <w:spacing w:val="-83"/>
        </w:rPr>
      </w:r>
      <w:r>
        <w:rPr>
          <w:spacing w:val="-1"/>
        </w:rPr>
        <w:t>账面价值为限继续确认投资损失，冲减长期应收项目等的账面价值。最后，经过上述处理，按照投资合同</w:t>
      </w:r>
      <w:r>
        <w:rPr>
          <w:spacing w:val="-86"/>
        </w:rPr>
        <w:t> </w:t>
      </w:r>
      <w:r>
        <w:rPr>
          <w:spacing w:val="-86"/>
        </w:rPr>
      </w:r>
      <w:r>
        <w:rPr/>
        <w:t>或协议约定企业仍承担额外义务的，按预计承担的义务确认预计负债，计入当期投资损失。</w:t>
      </w:r>
    </w:p>
    <w:p>
      <w:pPr>
        <w:pStyle w:val="BodyText"/>
        <w:spacing w:line="350" w:lineRule="auto" w:before="28"/>
        <w:ind w:right="15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28"/>
        <w:ind w:left="576"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长期股权投资核算方法的转换</w:t>
      </w:r>
      <w:r>
        <w:rPr>
          <w:b w:val="0"/>
          <w:bCs w:val="0"/>
        </w:rPr>
      </w:r>
    </w:p>
    <w:p>
      <w:pPr>
        <w:pStyle w:val="BodyText"/>
        <w:spacing w:line="328" w:lineRule="auto" w:before="110"/>
        <w:ind w:left="573" w:right="0"/>
        <w:jc w:val="left"/>
      </w:pPr>
      <w:r>
        <w:rPr/>
        <w:t>（</w:t>
      </w:r>
      <w:r>
        <w:rPr>
          <w:rFonts w:ascii="Times New Roman" w:hAnsi="Times New Roman" w:cs="Times New Roman" w:eastAsia="Times New Roman" w:hint="default"/>
        </w:rPr>
        <w:t>1</w:t>
      </w:r>
      <w:r>
        <w:rPr/>
        <w:t>）公允价值计量转权益法核算 </w:t>
      </w:r>
      <w:r>
        <w:rPr>
          <w:spacing w:val="-1"/>
        </w:rPr>
        <w:t>公司原持有的对被投资单位不具有控制、共同控制或重大影响的按金融工具确认和计量准则进行会计</w:t>
      </w:r>
    </w:p>
    <w:p>
      <w:pPr>
        <w:pStyle w:val="BodyText"/>
        <w:spacing w:line="340" w:lineRule="auto" w:before="47"/>
        <w:ind w:right="130"/>
        <w:jc w:val="both"/>
      </w:pPr>
      <w:r>
        <w:rPr/>
        <w:t>处理的权益性投资，因追加投资等原因能够对被投资单位施加重大影响或实施共同控制但不构成控制的， </w:t>
      </w:r>
      <w:r>
        <w:rPr>
          <w:spacing w:val="-1"/>
        </w:rPr>
        <w:t>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金融工具确认和计量》确定的原持有的股权投资的公允价值加上新增投资</w:t>
      </w:r>
      <w:r>
        <w:rPr>
          <w:spacing w:val="-83"/>
        </w:rPr>
        <w:t> </w:t>
      </w:r>
      <w:r>
        <w:rPr>
          <w:spacing w:val="-83"/>
        </w:rPr>
      </w:r>
      <w:r>
        <w:rPr/>
        <w:t>成本之和，作为改按权益法核算的初始投资成本。</w:t>
      </w:r>
    </w:p>
    <w:p>
      <w:pPr>
        <w:pStyle w:val="BodyText"/>
        <w:spacing w:line="350" w:lineRule="auto" w:before="37"/>
        <w:ind w:left="154" w:right="151" w:firstLine="420"/>
        <w:jc w:val="both"/>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BodyText"/>
        <w:spacing w:line="240" w:lineRule="auto" w:before="28"/>
        <w:ind w:left="573" w:right="0"/>
        <w:jc w:val="left"/>
      </w:pPr>
      <w:r>
        <w:rPr/>
        <w:t>按权益法核算的初始投资成本小于按照追加投资后全新的持股比例计算确定的应享有被投资单位在</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48" w:lineRule="auto" w:before="35"/>
        <w:ind w:right="151"/>
        <w:jc w:val="both"/>
      </w:pP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BodyText"/>
        <w:spacing w:line="331" w:lineRule="auto" w:before="31"/>
        <w:ind w:left="574" w:right="0"/>
        <w:jc w:val="left"/>
      </w:pPr>
      <w:r>
        <w:rPr/>
        <w:t>（</w:t>
      </w:r>
      <w:r>
        <w:rPr>
          <w:rFonts w:ascii="Times New Roman" w:hAnsi="Times New Roman" w:cs="Times New Roman" w:eastAsia="Times New Roman" w:hint="default"/>
        </w:rPr>
        <w:t>2</w:t>
      </w:r>
      <w:r>
        <w:rPr/>
        <w:t>）公允价值计量或权益法核算转成本法核算 </w:t>
      </w:r>
      <w:r>
        <w:rPr>
          <w:spacing w:val="-1"/>
        </w:rPr>
        <w:t>公司原持有的对被投资单位不具有控制、共同控制或重大影响的按金融工具确认和计量准则进行会计</w:t>
      </w:r>
    </w:p>
    <w:p>
      <w:pPr>
        <w:pStyle w:val="BodyText"/>
        <w:spacing w:line="350" w:lineRule="auto" w:before="45"/>
        <w:ind w:left="154" w:right="151"/>
        <w:jc w:val="both"/>
      </w:pPr>
      <w:r>
        <w:rPr>
          <w:spacing w:val="-1"/>
        </w:rPr>
        <w:t>处理的权益性投资，或原持有对联营企业、合营企业的长期股权投资，因追加投资等原因能够对非同一控</w:t>
      </w:r>
      <w:r>
        <w:rPr>
          <w:spacing w:val="-83"/>
        </w:rPr>
        <w:t> </w:t>
      </w:r>
      <w:r>
        <w:rPr>
          <w:spacing w:val="-83"/>
        </w:rPr>
      </w:r>
      <w:r>
        <w:rPr>
          <w:spacing w:val="-1"/>
        </w:rPr>
        <w:t>制下的被投资单位实施控制的，在编制个别财务报表时，按照原持有的股权投资账面价值加上新增投资成</w:t>
      </w:r>
      <w:r>
        <w:rPr>
          <w:spacing w:val="-81"/>
        </w:rPr>
        <w:t> </w:t>
      </w:r>
      <w:r>
        <w:rPr>
          <w:spacing w:val="-81"/>
        </w:rPr>
      </w:r>
      <w:r>
        <w:rPr/>
        <w:t>本之和，作为改按成本法核算的初始投资成本。</w:t>
      </w:r>
    </w:p>
    <w:p>
      <w:pPr>
        <w:pStyle w:val="BodyText"/>
        <w:spacing w:line="350" w:lineRule="auto" w:before="28"/>
        <w:ind w:left="154" w:right="0" w:firstLine="420"/>
        <w:jc w:val="left"/>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BodyText"/>
        <w:spacing w:line="328" w:lineRule="auto" w:before="28"/>
        <w:ind w:right="0" w:firstLine="420"/>
        <w:jc w:val="left"/>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BodyText"/>
        <w:spacing w:line="328" w:lineRule="auto" w:before="48"/>
        <w:ind w:left="573" w:right="0"/>
        <w:jc w:val="left"/>
      </w:pPr>
      <w:r>
        <w:rPr/>
        <w:t>（</w:t>
      </w:r>
      <w:r>
        <w:rPr>
          <w:rFonts w:ascii="Times New Roman" w:hAnsi="Times New Roman" w:cs="Times New Roman" w:eastAsia="Times New Roman" w:hint="default"/>
        </w:rPr>
        <w:t>3</w:t>
      </w:r>
      <w:r>
        <w:rPr/>
        <w:t>）权益法核算转公允价值计量 </w:t>
      </w:r>
      <w:r>
        <w:rPr>
          <w:spacing w:val="-1"/>
        </w:rPr>
        <w:t>公司因处置部分股权投资等原因丧失了对被投资单位的共同控制或重大影响的，处置后的剩余股权改</w:t>
      </w:r>
    </w:p>
    <w:p>
      <w:pPr>
        <w:pStyle w:val="BodyText"/>
        <w:spacing w:line="331" w:lineRule="auto" w:before="47"/>
        <w:ind w:left="154" w:right="151"/>
        <w:jc w:val="both"/>
      </w:pPr>
      <w:r>
        <w:rPr>
          <w:spacing w:val="-1"/>
        </w:rPr>
        <w:t>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金融工具确认和计量》核算，其在丧失共同控制或重大影响之日的公允价值</w:t>
      </w:r>
      <w:r>
        <w:rPr>
          <w:spacing w:val="-83"/>
        </w:rPr>
        <w:t> </w:t>
      </w:r>
      <w:r>
        <w:rPr>
          <w:spacing w:val="-83"/>
        </w:rPr>
      </w:r>
      <w:r>
        <w:rPr/>
        <w:t>与账面价值之间的差额计入当期损益。</w:t>
      </w:r>
    </w:p>
    <w:p>
      <w:pPr>
        <w:pStyle w:val="BodyText"/>
        <w:spacing w:line="348" w:lineRule="auto" w:before="45"/>
        <w:ind w:left="154" w:right="0" w:firstLine="420"/>
        <w:jc w:val="left"/>
      </w:pPr>
      <w:r>
        <w:rPr>
          <w:spacing w:val="-1"/>
        </w:rPr>
        <w:t>原股权投资因采用权益法核算而确认的其他综合收益，在终止采用权益法核算时采用与被投资单位直</w:t>
      </w:r>
      <w:r>
        <w:rPr/>
        <w:t> 接处置相关资产或负债相同的基础进行会计处理。</w:t>
      </w:r>
    </w:p>
    <w:p>
      <w:pPr>
        <w:pStyle w:val="BodyText"/>
        <w:spacing w:line="328" w:lineRule="auto" w:before="32"/>
        <w:ind w:left="574" w:right="0"/>
        <w:jc w:val="left"/>
      </w:pPr>
      <w:r>
        <w:rPr/>
        <w:t>（</w:t>
      </w:r>
      <w:r>
        <w:rPr>
          <w:rFonts w:ascii="Times New Roman" w:hAnsi="Times New Roman" w:cs="Times New Roman" w:eastAsia="Times New Roman" w:hint="default"/>
        </w:rPr>
        <w:t>4</w:t>
      </w:r>
      <w:r>
        <w:rPr/>
        <w:t>）成本法转权益法 </w:t>
      </w:r>
      <w:r>
        <w:rPr>
          <w:spacing w:val="-1"/>
        </w:rPr>
        <w:t>公司因处置部分权益性投资等原因丧失了对被投资单位的控制的，在编制个别财务报表时，处置后的</w:t>
      </w:r>
    </w:p>
    <w:p>
      <w:pPr>
        <w:pStyle w:val="BodyText"/>
        <w:spacing w:line="350" w:lineRule="auto" w:before="47"/>
        <w:ind w:left="154" w:right="150"/>
        <w:jc w:val="both"/>
      </w:pPr>
      <w:r>
        <w:rPr>
          <w:spacing w:val="-1"/>
        </w:rPr>
        <w:t>剩余股权能够对被投资单位实施共同控制或施加重大影响的，改按权益法核算，并对该剩余股权视同自取</w:t>
      </w:r>
      <w:r>
        <w:rPr>
          <w:spacing w:val="-80"/>
        </w:rPr>
        <w:t> </w:t>
      </w:r>
      <w:r>
        <w:rPr>
          <w:spacing w:val="-80"/>
        </w:rPr>
      </w:r>
      <w:r>
        <w:rPr/>
        <w:t>得时即采用权益法核算进行调整。</w:t>
      </w:r>
    </w:p>
    <w:p>
      <w:pPr>
        <w:pStyle w:val="BodyText"/>
        <w:spacing w:line="328" w:lineRule="auto" w:before="28"/>
        <w:ind w:left="574" w:right="0"/>
        <w:jc w:val="left"/>
      </w:pPr>
      <w:r>
        <w:rPr/>
        <w:t>（</w:t>
      </w:r>
      <w:r>
        <w:rPr>
          <w:rFonts w:ascii="Times New Roman" w:hAnsi="Times New Roman" w:cs="Times New Roman" w:eastAsia="Times New Roman" w:hint="default"/>
        </w:rPr>
        <w:t>5</w:t>
      </w:r>
      <w:r>
        <w:rPr/>
        <w:t>）成本法转公允价值计量 </w:t>
      </w:r>
      <w:r>
        <w:rPr>
          <w:spacing w:val="-1"/>
        </w:rPr>
        <w:t>公司因处置部分权益性投资等原因丧失了对被投资单位的控制的，在编制个别财务报表时，处置后的</w:t>
      </w:r>
    </w:p>
    <w:p>
      <w:pPr>
        <w:pStyle w:val="BodyText"/>
        <w:spacing w:line="328" w:lineRule="auto" w:before="48"/>
        <w:ind w:right="130"/>
        <w:jc w:val="both"/>
      </w:pPr>
      <w:r>
        <w:rPr>
          <w:spacing w:val="-1"/>
        </w:rPr>
        <w:t>剩余股权不能对被投资单位实施共同控制或施加重大影响的，改按《企业会计准则第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w:t>
      </w:r>
      <w:r>
        <w:rPr>
          <w:spacing w:val="-81"/>
        </w:rPr>
        <w:t> </w:t>
      </w:r>
      <w:r>
        <w:rPr/>
        <w:t>认和计量》的有关规定进行会计处理，其在丧失控制之日的公允价值与账面价值间的差额计入当期损益。</w:t>
      </w:r>
    </w:p>
    <w:p>
      <w:pPr>
        <w:spacing w:line="331" w:lineRule="auto" w:before="4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BodyText"/>
        <w:spacing w:line="348" w:lineRule="auto" w:before="45"/>
        <w:ind w:left="154" w:right="151"/>
        <w:jc w:val="both"/>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BodyText"/>
        <w:spacing w:line="348" w:lineRule="auto" w:before="31"/>
        <w:ind w:left="154" w:right="0" w:firstLine="420"/>
        <w:jc w:val="left"/>
      </w:pPr>
      <w:r>
        <w:rPr>
          <w:spacing w:val="-1"/>
        </w:rPr>
        <w:t>处置对子公司股权投资的各项交易的条款、条件以及经济影响符合以下一种或多种情况，将多次交易</w:t>
      </w:r>
      <w:r>
        <w:rPr/>
        <w:t> 事项作为一揽子交易进行会计处理：</w:t>
      </w:r>
    </w:p>
    <w:p>
      <w:pPr>
        <w:pStyle w:val="BodyText"/>
        <w:spacing w:line="240" w:lineRule="auto" w:before="30"/>
        <w:ind w:left="57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0"/>
        <w:ind w:left="57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9"/>
        <w:ind w:left="574" w:right="0"/>
        <w:jc w:val="left"/>
      </w:pPr>
      <w:r>
        <w:rPr/>
        <w:t>（</w:t>
      </w:r>
      <w:r>
        <w:rPr>
          <w:rFonts w:ascii="Times New Roman" w:hAnsi="Times New Roman" w:cs="Times New Roman" w:eastAsia="Times New Roman" w:hint="default"/>
        </w:rPr>
        <w:t>3</w:t>
      </w:r>
      <w:r>
        <w:rPr/>
        <w:t>）一项交易的发生取决于其他至少一项交易的发生；</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28" w:lineRule="auto" w:before="35"/>
        <w:ind w:left="573" w:right="173"/>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BodyText"/>
        <w:spacing w:line="240" w:lineRule="auto" w:before="48"/>
        <w:ind w:right="173"/>
        <w:jc w:val="left"/>
      </w:pPr>
      <w:r>
        <w:rPr/>
        <w:t>报表和合并财务报表进行相关会计处理：</w:t>
      </w:r>
    </w:p>
    <w:p>
      <w:pPr>
        <w:pStyle w:val="BodyText"/>
        <w:spacing w:line="340" w:lineRule="auto" w:before="125"/>
        <w:ind w:right="173"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BodyText"/>
        <w:spacing w:line="345" w:lineRule="auto" w:before="37"/>
        <w:ind w:left="154" w:right="172"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资相应对享有子公司自购买日或合并日开始持续计算的净资产份额之间的差额，调整资本公积（股本溢 </w:t>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BodyText"/>
        <w:spacing w:line="348" w:lineRule="auto" w:before="33"/>
        <w:ind w:right="173" w:firstLine="420"/>
        <w:jc w:val="left"/>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BodyText"/>
        <w:spacing w:line="331" w:lineRule="auto" w:before="30"/>
        <w:ind w:right="278" w:firstLine="42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BodyText"/>
        <w:spacing w:line="328" w:lineRule="auto" w:before="45"/>
        <w:ind w:right="278" w:firstLine="42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328" w:lineRule="auto" w:before="48"/>
        <w:ind w:left="574" w:right="3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z w:val="21"/>
          <w:szCs w:val="21"/>
        </w:rPr>
        <w:t>如果公司按照相关约定与其他参与方集体控制某项安排，并且对该安排回报具有重大影响的活动决</w:t>
      </w:r>
    </w:p>
    <w:p>
      <w:pPr>
        <w:pStyle w:val="BodyText"/>
        <w:spacing w:line="350" w:lineRule="auto" w:before="47"/>
        <w:ind w:left="154" w:right="173"/>
        <w:jc w:val="left"/>
      </w:pPr>
      <w:r>
        <w:rPr>
          <w:spacing w:val="-1"/>
        </w:rPr>
        <w:t>策，需要经过分享控制权的参与方一致同意时才存在，则视为公司与其他参与方共同控制某项安排，该安</w:t>
      </w:r>
      <w:r>
        <w:rPr>
          <w:spacing w:val="-83"/>
        </w:rPr>
        <w:t> </w:t>
      </w:r>
      <w:r>
        <w:rPr>
          <w:spacing w:val="-83"/>
        </w:rPr>
      </w:r>
      <w:r>
        <w:rPr/>
        <w:t>排即属于合营安排。</w:t>
      </w:r>
    </w:p>
    <w:p>
      <w:pPr>
        <w:pStyle w:val="BodyText"/>
        <w:spacing w:line="350" w:lineRule="auto" w:before="28"/>
        <w:ind w:left="154" w:right="190" w:firstLine="420"/>
        <w:jc w:val="both"/>
      </w:pPr>
      <w:r>
        <w:rPr>
          <w:spacing w:val="-1"/>
        </w:rPr>
        <w:t>合营安排通过单独主体达成的，根据相关约定判断公司对该单独主体的净资产享有权利时，将该单独</w:t>
      </w:r>
      <w:r>
        <w:rPr/>
        <w:t> 主体作为合营企业，采用权益法核算。若根据相关约定判断公司并非对该单独主体的净资产享有权利时， </w:t>
      </w:r>
      <w:r>
        <w:rPr>
          <w:spacing w:val="-1"/>
        </w:rPr>
        <w:t>该单独主体作为共同经营，公司确认与共同经营利益份额相关的项目，并按照相关企业会计准则的规定进</w:t>
      </w:r>
      <w:r>
        <w:rPr>
          <w:spacing w:val="-81"/>
        </w:rPr>
        <w:t> </w:t>
      </w:r>
      <w:r>
        <w:rPr>
          <w:spacing w:val="-81"/>
        </w:rPr>
      </w:r>
      <w:r>
        <w:rPr/>
        <w:t>行会计处理。</w:t>
      </w:r>
    </w:p>
    <w:p>
      <w:pPr>
        <w:pStyle w:val="BodyText"/>
        <w:spacing w:line="343" w:lineRule="auto" w:before="28"/>
        <w:ind w:right="108" w:firstLine="420"/>
        <w:jc w:val="both"/>
      </w:pPr>
      <w:r>
        <w:rPr/>
        <w:t>重大影响，是指投资方对被投资单位的财务和经营政策有参与决策的权力，但并不能够控制或者与其 他方一起共同控制这些政策的制定。公司通过以下一种或多种情形，并综合考虑所有事实和情况后，判断 对被投资单位具有重大影响。（</w:t>
      </w:r>
      <w:r>
        <w:rPr>
          <w:rFonts w:ascii="Times New Roman" w:hAnsi="Times New Roman" w:cs="Times New Roman" w:eastAsia="Times New Roman" w:hint="default"/>
        </w:rPr>
        <w:t>1</w:t>
      </w:r>
      <w:r>
        <w:rPr/>
        <w:t>）在被投资单位的董事会或类似权力机构中派有代表；（</w:t>
      </w:r>
      <w:r>
        <w:rPr>
          <w:rFonts w:ascii="Times New Roman" w:hAnsi="Times New Roman" w:cs="Times New Roman" w:eastAsia="Times New Roman" w:hint="default"/>
        </w:rPr>
        <w:t>2</w:t>
      </w:r>
      <w:r>
        <w:rPr/>
        <w:t>）参与被投资 </w:t>
      </w:r>
      <w:r>
        <w:rPr>
          <w:spacing w:val="-3"/>
        </w:rPr>
        <w:t>单位财务和经营政策制定过程；（</w:t>
      </w:r>
      <w:r>
        <w:rPr>
          <w:rFonts w:ascii="Times New Roman" w:hAnsi="Times New Roman" w:cs="Times New Roman" w:eastAsia="Times New Roman" w:hint="default"/>
          <w:spacing w:val="-3"/>
        </w:rPr>
        <w:t>3</w:t>
      </w:r>
      <w:r>
        <w:rPr>
          <w:spacing w:val="-3"/>
        </w:rPr>
        <w:t>）与被投资单位之间发生重要交易；（</w:t>
      </w:r>
      <w:r>
        <w:rPr>
          <w:rFonts w:ascii="Times New Roman" w:hAnsi="Times New Roman" w:cs="Times New Roman" w:eastAsia="Times New Roman" w:hint="default"/>
          <w:spacing w:val="-3"/>
        </w:rPr>
        <w:t>4</w:t>
      </w:r>
      <w:r>
        <w:rPr>
          <w:spacing w:val="-3"/>
        </w:rPr>
        <w:t>）向被投资单位派出管理人员；</w:t>
      </w:r>
    </w:p>
    <w:p>
      <w:pPr>
        <w:pStyle w:val="BodyText"/>
        <w:spacing w:line="240" w:lineRule="auto" w:before="10"/>
        <w:ind w:right="173"/>
        <w:jc w:val="left"/>
      </w:pPr>
      <w:r>
        <w:rPr/>
        <w:t>（</w:t>
      </w:r>
      <w:r>
        <w:rPr>
          <w:rFonts w:ascii="Times New Roman" w:hAnsi="Times New Roman" w:cs="Times New Roman" w:eastAsia="Times New Roman" w:hint="default"/>
        </w:rPr>
        <w:t>5</w:t>
      </w:r>
      <w:r>
        <w:rPr/>
        <w:t>）向被投资单位提供关键技术资料。</w:t>
      </w:r>
    </w:p>
    <w:p>
      <w:pPr>
        <w:spacing w:after="0" w:line="240" w:lineRule="auto"/>
        <w:jc w:val="left"/>
        <w:sectPr>
          <w:pgSz w:w="11910" w:h="16840"/>
          <w:pgMar w:header="877" w:footer="979" w:top="1100" w:bottom="1160" w:left="980" w:right="920"/>
        </w:sectPr>
      </w:pPr>
    </w:p>
    <w:p>
      <w:pPr>
        <w:spacing w:line="240" w:lineRule="auto" w:before="10"/>
        <w:rPr>
          <w:rFonts w:ascii="宋体" w:hAnsi="宋体" w:cs="宋体" w:eastAsia="宋体" w:hint="default"/>
          <w:sz w:val="20"/>
          <w:szCs w:val="20"/>
        </w:rPr>
      </w:pPr>
    </w:p>
    <w:p>
      <w:pPr>
        <w:spacing w:line="506" w:lineRule="auto" w:before="35"/>
        <w:ind w:left="153" w:right="6413" w:firstLine="0"/>
        <w:jc w:val="left"/>
        <w:rPr>
          <w:rFonts w:ascii="宋体" w:hAnsi="宋体" w:cs="宋体" w:eastAsia="宋体" w:hint="default"/>
          <w:sz w:val="21"/>
          <w:szCs w:val="21"/>
        </w:rPr>
      </w:pPr>
      <w:bookmarkStart w:name="14、投资性房地产" w:id="137"/>
      <w:bookmarkEnd w:id="137"/>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投资性房地产计量模式：成本法计量</w:t>
      </w:r>
    </w:p>
    <w:p>
      <w:pPr>
        <w:spacing w:line="240" w:lineRule="auto" w:before="1"/>
        <w:rPr>
          <w:rFonts w:ascii="宋体" w:hAnsi="宋体" w:cs="宋体" w:eastAsia="宋体" w:hint="default"/>
          <w:sz w:val="15"/>
          <w:szCs w:val="15"/>
        </w:rPr>
      </w:pPr>
    </w:p>
    <w:p>
      <w:pPr>
        <w:pStyle w:val="BodyText"/>
        <w:spacing w:line="240" w:lineRule="auto"/>
        <w:ind w:right="0"/>
        <w:jc w:val="left"/>
      </w:pPr>
      <w:r>
        <w:rPr/>
        <w:t>折旧或摊销方法：</w:t>
      </w:r>
    </w:p>
    <w:p>
      <w:pPr>
        <w:pStyle w:val="BodyText"/>
        <w:spacing w:line="240" w:lineRule="auto" w:before="75"/>
        <w:ind w:left="1613" w:right="0"/>
        <w:jc w:val="left"/>
      </w:pPr>
      <w:r>
        <w:rPr/>
        <w:t>投资性房地产的预计使用寿命、净残值率及年折旧（摊销）率列示如下：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685"/>
        <w:gridCol w:w="2224"/>
        <w:gridCol w:w="2428"/>
        <w:gridCol w:w="2004"/>
      </w:tblGrid>
      <w:tr>
        <w:trPr>
          <w:trHeight w:val="352"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50"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w:t>
            </w:r>
          </w:p>
        </w:tc>
      </w:tr>
      <w:tr>
        <w:trPr>
          <w:trHeight w:val="367"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固定资产" w:id="138"/>
      <w:bookmarkEnd w:id="138"/>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39"/>
      <w:bookmarkEnd w:id="13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1"/>
          <w:szCs w:val="31"/>
        </w:rPr>
      </w:pPr>
    </w:p>
    <w:p>
      <w:pPr>
        <w:pStyle w:val="BodyText"/>
        <w:spacing w:line="338" w:lineRule="auto"/>
        <w:ind w:right="129" w:firstLine="420"/>
        <w:jc w:val="both"/>
      </w:pPr>
      <w:r>
        <w:rPr>
          <w:spacing w:val="-1"/>
        </w:rPr>
        <w:t>固定资产指为生产商品、提供劳务、出租或经营管理而持有，并且使用寿命超过一个会计年度的有形</w:t>
      </w:r>
      <w:r>
        <w:rPr/>
        <w:t> </w:t>
      </w:r>
      <w:r>
        <w:rPr>
          <w:spacing w:val="-5"/>
        </w:rPr>
        <w:t>资产。固定资产在同时满足下列条件时予以确认：（</w:t>
      </w:r>
      <w:r>
        <w:rPr>
          <w:rFonts w:ascii="Times New Roman" w:hAnsi="Times New Roman" w:cs="Times New Roman" w:eastAsia="Times New Roman" w:hint="default"/>
          <w:spacing w:val="-5"/>
        </w:rPr>
        <w:t>1</w:t>
      </w:r>
      <w:r>
        <w:rPr>
          <w:spacing w:val="-5"/>
        </w:rPr>
        <w:t>）该固定资产包含的经济利益很可能流入企业；（</w:t>
      </w:r>
      <w:r>
        <w:rPr>
          <w:rFonts w:ascii="Times New Roman" w:hAnsi="Times New Roman" w:cs="Times New Roman" w:eastAsia="Times New Roman" w:hint="default"/>
          <w:spacing w:val="-5"/>
        </w:rPr>
        <w:t>2</w:t>
      </w:r>
      <w:r>
        <w:rPr>
          <w:spacing w:val="-5"/>
        </w:rPr>
        <w:t>）</w:t>
      </w:r>
      <w:r>
        <w:rPr>
          <w:spacing w:val="-78"/>
        </w:rPr>
        <w:t> </w:t>
      </w:r>
      <w:r>
        <w:rPr/>
        <w:t>该固定资产的成本能够可靠计量。</w:t>
      </w:r>
    </w:p>
    <w:p>
      <w:pPr>
        <w:spacing w:line="240" w:lineRule="auto" w:before="1"/>
        <w:rPr>
          <w:rFonts w:ascii="宋体" w:hAnsi="宋体" w:cs="宋体" w:eastAsia="宋体" w:hint="default"/>
          <w:sz w:val="19"/>
          <w:szCs w:val="19"/>
        </w:rPr>
      </w:pPr>
    </w:p>
    <w:p>
      <w:pPr>
        <w:pStyle w:val="Heading3"/>
        <w:spacing w:line="240" w:lineRule="auto"/>
        <w:ind w:left="153" w:right="0"/>
        <w:jc w:val="left"/>
        <w:rPr>
          <w:b w:val="0"/>
          <w:bCs w:val="0"/>
        </w:rPr>
      </w:pPr>
      <w:bookmarkStart w:name="（2）折旧方法" w:id="140"/>
      <w:bookmarkEnd w:id="14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39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9.5-19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6、在建工程" w:id="141"/>
      <w:bookmarkEnd w:id="141"/>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574" w:right="0"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在建工程的类别</w:t>
      </w:r>
      <w:r>
        <w:rPr>
          <w:rFonts w:ascii="宋体" w:hAnsi="宋体" w:cs="宋体" w:eastAsia="宋体" w:hint="default"/>
          <w:b/>
          <w:bCs/>
          <w:w w:val="99"/>
        </w:rPr>
        <w:t> </w:t>
      </w:r>
      <w:r>
        <w:rPr>
          <w:spacing w:val="-1"/>
        </w:rPr>
        <w:t>公司自行建造的在建工程按实际成本计价，实际成本由建造该项资产达到预定可使用状态前所发生的</w:t>
      </w:r>
    </w:p>
    <w:p>
      <w:pPr>
        <w:pStyle w:val="BodyText"/>
        <w:spacing w:line="348" w:lineRule="auto" w:before="45"/>
        <w:ind w:left="154" w:right="153"/>
        <w:jc w:val="both"/>
      </w:pPr>
      <w:r>
        <w:rPr>
          <w:spacing w:val="-1"/>
        </w:rPr>
        <w:t>必要支出构成，包括工程用物资成本、人工成本、交纳的相关税费、应予资本化的借款费用以及应分摊的</w:t>
      </w:r>
      <w:r>
        <w:rPr>
          <w:spacing w:val="-86"/>
        </w:rPr>
        <w:t> </w:t>
      </w:r>
      <w:r>
        <w:rPr>
          <w:spacing w:val="-86"/>
        </w:rPr>
      </w:r>
      <w:r>
        <w:rPr/>
        <w:t>间接费用等。公司的在建工程以项目分类核算。</w:t>
      </w:r>
    </w:p>
    <w:p>
      <w:pPr>
        <w:spacing w:line="328" w:lineRule="auto" w:before="31"/>
        <w:ind w:left="573" w:right="11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BodyText"/>
        <w:spacing w:line="350" w:lineRule="auto" w:before="47"/>
        <w:ind w:right="151"/>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起，根据工程预算、造价或者工程实际成本等，按估计的价值转入固定资产，并按公司固定资产折旧政策</w:t>
      </w:r>
      <w:r>
        <w:rPr>
          <w:spacing w:val="-86"/>
        </w:rPr>
        <w:t> </w:t>
      </w:r>
      <w:r>
        <w:rPr>
          <w:spacing w:val="-86"/>
        </w:rPr>
      </w:r>
      <w:r>
        <w:rPr>
          <w:spacing w:val="-1"/>
        </w:rPr>
        <w:t>计提固定资产的折旧，待办理竣工决算后，再按实际成本调整原来的暂估价值，但不调整原已计提的折旧</w:t>
      </w:r>
    </w:p>
    <w:p>
      <w:pPr>
        <w:spacing w:after="0" w:line="350" w:lineRule="auto"/>
        <w:jc w:val="both"/>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额。</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17、借款费用" w:id="142"/>
      <w:bookmarkEnd w:id="142"/>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6"/>
        <w:rPr>
          <w:rFonts w:ascii="宋体" w:hAnsi="宋体" w:cs="宋体" w:eastAsia="宋体" w:hint="default"/>
          <w:b/>
          <w:bCs/>
          <w:sz w:val="31"/>
          <w:szCs w:val="31"/>
        </w:rPr>
      </w:pPr>
    </w:p>
    <w:p>
      <w:pPr>
        <w:spacing w:line="331" w:lineRule="auto" w:before="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公司发生的借款费用，可直接归属于符合资本化条件的资产的购建或者生产的，在符合资本化条件的</w:t>
      </w:r>
    </w:p>
    <w:p>
      <w:pPr>
        <w:pStyle w:val="BodyText"/>
        <w:spacing w:line="348" w:lineRule="auto" w:before="45"/>
        <w:ind w:left="154" w:right="0"/>
        <w:jc w:val="left"/>
      </w:pPr>
      <w:r>
        <w:rPr>
          <w:spacing w:val="-1"/>
        </w:rPr>
        <w:t>情况下开始资本化，计入相关资产成本；其他借款费用，在发生时根据其发生额确认为费用，计入当期损</w:t>
      </w:r>
      <w:r>
        <w:rPr>
          <w:spacing w:val="-86"/>
        </w:rPr>
        <w:t> </w:t>
      </w:r>
      <w:r>
        <w:rPr>
          <w:spacing w:val="-86"/>
        </w:rPr>
      </w:r>
      <w:r>
        <w:rPr/>
        <w:t>益。</w:t>
      </w:r>
    </w:p>
    <w:p>
      <w:pPr>
        <w:pStyle w:val="BodyText"/>
        <w:spacing w:line="348" w:lineRule="auto" w:before="31"/>
        <w:ind w:left="154" w:right="0"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before="30"/>
        <w:ind w:left="574" w:right="0"/>
        <w:jc w:val="left"/>
      </w:pPr>
      <w:r>
        <w:rPr/>
        <w:t>借款费用同时满足下列条件时开始资本化：</w:t>
      </w:r>
    </w:p>
    <w:p>
      <w:pPr>
        <w:pStyle w:val="BodyText"/>
        <w:spacing w:line="328" w:lineRule="auto" w:before="126"/>
        <w:ind w:left="154" w:right="21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47"/>
        <w:ind w:left="57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10"/>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28" w:lineRule="auto" w:before="109"/>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48"/>
        <w:ind w:left="154" w:right="0"/>
        <w:jc w:val="both"/>
      </w:pPr>
      <w:r>
        <w:rPr/>
        <w:t>包括在内。</w:t>
      </w:r>
    </w:p>
    <w:p>
      <w:pPr>
        <w:pStyle w:val="BodyText"/>
        <w:spacing w:line="348" w:lineRule="auto" w:before="125"/>
        <w:ind w:left="57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31"/>
        <w:ind w:right="0"/>
        <w:jc w:val="both"/>
      </w:pPr>
      <w:r>
        <w:rPr/>
        <w:t>止资本化。</w:t>
      </w:r>
    </w:p>
    <w:p>
      <w:pPr>
        <w:pStyle w:val="BodyText"/>
        <w:spacing w:line="348" w:lineRule="auto" w:before="124"/>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328" w:lineRule="auto" w:before="31"/>
        <w:ind w:left="574" w:right="217" w:firstLine="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8"/>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350" w:lineRule="auto" w:before="23"/>
        <w:ind w:right="15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331"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348" w:lineRule="auto" w:before="45"/>
        <w:ind w:left="154" w:right="112"/>
        <w:jc w:val="left"/>
      </w:pPr>
      <w:r>
        <w:rPr/>
        <w:t>投资收益）及其辅助费用在所购建或者生产的符合资本化条件的资产达到预定可使用或者可销售状态前， 予以资本化。</w:t>
      </w:r>
    </w:p>
    <w:p>
      <w:pPr>
        <w:pStyle w:val="BodyText"/>
        <w:spacing w:line="348" w:lineRule="auto" w:before="32"/>
        <w:ind w:left="154" w:right="0" w:firstLine="420"/>
        <w:jc w:val="left"/>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BodyText"/>
        <w:spacing w:line="240" w:lineRule="auto" w:before="30"/>
        <w:ind w:left="573" w:right="0"/>
        <w:jc w:val="left"/>
      </w:pPr>
      <w:r>
        <w:rPr/>
        <w:t>借款存在折价或者溢价的，按照实际利率法确定每一会计期间应摊销的折价或者溢价金额，调整每期</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利息金额。</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8、无形资产" w:id="143"/>
      <w:bookmarkEnd w:id="143"/>
      <w:r>
        <w:rPr>
          <w:b w:val="0"/>
          <w:bCs w:val="0"/>
        </w:rPr>
      </w:r>
      <w:r>
        <w:rPr>
          <w:rFonts w:ascii="Times New Roman" w:hAnsi="Times New Roman" w:cs="Times New Roman" w:eastAsia="Times New Roman" w:hint="default"/>
        </w:rPr>
        <w:t>18</w:t>
      </w:r>
      <w:r>
        <w:rPr/>
        <w:t>、无形资产</w:t>
      </w:r>
      <w:r>
        <w:rPr>
          <w:b w:val="0"/>
          <w:bCs w:val="0"/>
        </w:rPr>
      </w:r>
    </w:p>
    <w:p>
      <w:pPr>
        <w:spacing w:line="702" w:lineRule="exact" w:before="6"/>
        <w:ind w:left="574" w:right="0" w:hanging="420"/>
        <w:jc w:val="left"/>
        <w:rPr>
          <w:rFonts w:ascii="宋体" w:hAnsi="宋体" w:cs="宋体" w:eastAsia="宋体" w:hint="default"/>
          <w:sz w:val="21"/>
          <w:szCs w:val="21"/>
        </w:rPr>
      </w:pPr>
      <w:bookmarkStart w:name="（1）计价方法、使用寿命、减值测试" w:id="144"/>
      <w:bookmarkEnd w:id="1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无形资产是指公司拥有或者控制的没有实物形态的可辨认非货币性资产，包括土地使用权、软件、商</w:t>
      </w:r>
    </w:p>
    <w:p>
      <w:pPr>
        <w:pStyle w:val="BodyText"/>
        <w:spacing w:line="240" w:lineRule="auto" w:before="15"/>
        <w:ind w:left="154" w:right="0"/>
        <w:jc w:val="left"/>
      </w:pPr>
      <w:r>
        <w:rPr/>
        <w:t>标权、专利技术等。</w:t>
      </w:r>
    </w:p>
    <w:p>
      <w:pPr>
        <w:spacing w:line="328" w:lineRule="auto" w:before="12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348" w:lineRule="auto" w:before="48"/>
        <w:ind w:left="154"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350" w:lineRule="auto" w:before="30"/>
        <w:ind w:left="154" w:right="15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350" w:lineRule="auto" w:before="28"/>
        <w:ind w:right="15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50" w:lineRule="auto" w:before="28"/>
        <w:ind w:right="152"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350" w:lineRule="auto" w:before="28"/>
        <w:ind w:right="15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328" w:lineRule="auto" w:before="28"/>
        <w:ind w:left="574" w:right="32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公司在取得无形资产时分析判断其使用寿命，划分为使用寿命有限和使用寿命不确定的无形资产。</w:t>
      </w:r>
    </w:p>
    <w:p>
      <w:pPr>
        <w:pStyle w:val="BodyText"/>
        <w:spacing w:line="328" w:lineRule="auto" w:before="48"/>
        <w:ind w:left="573" w:right="0"/>
        <w:jc w:val="left"/>
      </w:pPr>
      <w:r>
        <w:rPr/>
        <w:t>（</w:t>
      </w:r>
      <w:r>
        <w:rPr>
          <w:rFonts w:ascii="Times New Roman" w:hAnsi="Times New Roman" w:cs="Times New Roman" w:eastAsia="Times New Roman" w:hint="default"/>
        </w:rPr>
        <w:t>1</w:t>
      </w:r>
      <w:r>
        <w:rPr/>
        <w:t>）使用寿命有限的无形资产 </w:t>
      </w:r>
      <w:r>
        <w:rPr>
          <w:spacing w:val="-1"/>
        </w:rPr>
        <w:t>对于使用寿命有限的无形资产，在为企业带来经济利益的期限内按直线法摊销。使用寿命有限的无形</w:t>
      </w:r>
    </w:p>
    <w:p>
      <w:pPr>
        <w:pStyle w:val="BodyText"/>
        <w:spacing w:line="240" w:lineRule="auto" w:before="47"/>
        <w:ind w:right="0"/>
        <w:jc w:val="left"/>
      </w:pPr>
      <w:r>
        <w:rPr/>
        <w:t>资产预计寿命及依据如下：</w:t>
      </w:r>
    </w:p>
    <w:p>
      <w:pPr>
        <w:spacing w:line="240" w:lineRule="auto" w:before="1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06"/>
        <w:gridCol w:w="1872"/>
        <w:gridCol w:w="3743"/>
      </w:tblGrid>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软件及软件著作权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专有技术</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bl>
    <w:p>
      <w:pPr>
        <w:spacing w:line="240" w:lineRule="auto" w:before="3"/>
        <w:rPr>
          <w:rFonts w:ascii="宋体" w:hAnsi="宋体" w:cs="宋体" w:eastAsia="宋体" w:hint="default"/>
          <w:sz w:val="12"/>
          <w:szCs w:val="12"/>
        </w:rPr>
      </w:pPr>
    </w:p>
    <w:p>
      <w:pPr>
        <w:pStyle w:val="BodyText"/>
        <w:spacing w:line="350" w:lineRule="auto" w:before="35"/>
        <w:ind w:left="154" w:right="112" w:firstLine="420"/>
        <w:jc w:val="left"/>
      </w:pPr>
      <w:r>
        <w:rPr/>
        <w:t>每期末，对使用寿命有限的无形资产的使用寿命及摊销方法进行复核，如与原先估计数存在差异的， 进行相应的调整。</w:t>
      </w:r>
    </w:p>
    <w:p>
      <w:pPr>
        <w:pStyle w:val="BodyText"/>
        <w:spacing w:line="240" w:lineRule="auto" w:before="29"/>
        <w:ind w:left="573" w:right="0"/>
        <w:jc w:val="left"/>
      </w:pPr>
      <w:r>
        <w:rPr/>
        <w:t>经复核，本期期末无形资产的使用寿命及摊销方法与以前估计未有不同。</w:t>
      </w:r>
    </w:p>
    <w:p>
      <w:pPr>
        <w:pStyle w:val="BodyText"/>
        <w:spacing w:line="240" w:lineRule="auto" w:before="124"/>
        <w:ind w:left="573" w:right="0"/>
        <w:jc w:val="left"/>
      </w:pPr>
      <w:r>
        <w:rPr/>
        <w:t>（</w:t>
      </w:r>
      <w:r>
        <w:rPr>
          <w:rFonts w:ascii="Times New Roman" w:hAnsi="Times New Roman" w:cs="Times New Roman" w:eastAsia="Times New Roman" w:hint="default"/>
        </w:rPr>
        <w:t>2</w:t>
      </w:r>
      <w:r>
        <w:rPr/>
        <w:t>）使用寿命不确定的无形资产</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48" w:lineRule="auto" w:before="35"/>
        <w:ind w:right="151" w:firstLine="420"/>
        <w:jc w:val="both"/>
      </w:pPr>
      <w:r>
        <w:rPr>
          <w:spacing w:val="-1"/>
        </w:rPr>
        <w:t>对于使用寿命不确定的无形资产，在持有期间内不摊销，每期末对无形资产的寿命进行复核。如果期</w:t>
      </w:r>
      <w:r>
        <w:rPr/>
        <w:t> 末重新复核后仍为不确定的，在每个会计期间继续进行减值测试。</w:t>
      </w:r>
    </w:p>
    <w:p>
      <w:pPr>
        <w:spacing w:line="240" w:lineRule="auto" w:before="7"/>
        <w:rPr>
          <w:rFonts w:ascii="宋体" w:hAnsi="宋体" w:cs="宋体" w:eastAsia="宋体" w:hint="default"/>
          <w:sz w:val="18"/>
          <w:szCs w:val="18"/>
        </w:rPr>
      </w:pPr>
    </w:p>
    <w:p>
      <w:pPr>
        <w:pStyle w:val="Heading3"/>
        <w:spacing w:line="240" w:lineRule="auto"/>
        <w:ind w:left="153" w:right="0"/>
        <w:jc w:val="left"/>
        <w:rPr>
          <w:b w:val="0"/>
          <w:bCs w:val="0"/>
        </w:rPr>
      </w:pPr>
      <w:bookmarkStart w:name="（2）内部研究开发支出会计政策" w:id="145"/>
      <w:bookmarkEnd w:id="14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1"/>
          <w:szCs w:val="31"/>
        </w:rPr>
      </w:pPr>
    </w:p>
    <w:p>
      <w:pPr>
        <w:spacing w:line="328"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1"/>
          <w:sz w:val="21"/>
          <w:szCs w:val="21"/>
        </w:rPr>
        <w:t>研究阶段：为研发项目而进行的前期市场调研和项目可行性论证的阶段，公司以《研发项目立项申请</w:t>
      </w:r>
    </w:p>
    <w:p>
      <w:pPr>
        <w:pStyle w:val="BodyText"/>
        <w:spacing w:line="350" w:lineRule="auto" w:before="47"/>
        <w:ind w:left="573" w:right="0" w:hanging="420"/>
        <w:jc w:val="left"/>
      </w:pPr>
      <w:r>
        <w:rPr/>
        <w:t>书》上项目立项申请审核通过时间作为研发项目进入研究阶段的标准。 </w:t>
      </w:r>
      <w:r>
        <w:rPr>
          <w:spacing w:val="-1"/>
        </w:rPr>
        <w:t>开发阶段：研发项目经审批正式确认立项后即进入开发阶段，开发阶段以《项目立项报告》上的立项</w:t>
      </w:r>
    </w:p>
    <w:p>
      <w:pPr>
        <w:pStyle w:val="BodyText"/>
        <w:spacing w:line="348" w:lineRule="auto" w:before="28"/>
        <w:ind w:left="574" w:right="3682" w:hanging="420"/>
        <w:jc w:val="left"/>
      </w:pPr>
      <w:r>
        <w:rPr/>
        <w:t>时间作为进入开发阶段的标准。 内部研究开发项目研究阶段的支出，在发生时计入当期损益。</w:t>
      </w:r>
    </w:p>
    <w:p>
      <w:pPr>
        <w:pStyle w:val="Heading3"/>
        <w:spacing w:line="328" w:lineRule="auto" w:before="31"/>
        <w:ind w:left="153" w:right="156" w:firstLine="422"/>
        <w:jc w:val="both"/>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2"/>
          <w:w w:val="99"/>
        </w:rPr>
        <w:t>开发阶段支出符合资本化的具体标准内部研究开发项目开发阶段的支出，同时满足下列条件时确认</w:t>
      </w:r>
      <w:r>
        <w:rPr>
          <w:w w:val="99"/>
        </w:rPr>
        <w:t> </w:t>
      </w:r>
      <w:r>
        <w:rPr/>
        <w:t>为无形资产：</w:t>
      </w:r>
      <w:r>
        <w:rPr>
          <w:b w:val="0"/>
          <w:bCs w:val="0"/>
        </w:rPr>
      </w:r>
    </w:p>
    <w:p>
      <w:pPr>
        <w:pStyle w:val="BodyText"/>
        <w:spacing w:line="240" w:lineRule="auto" w:before="47"/>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0"/>
        <w:ind w:left="57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28" w:lineRule="auto" w:before="109"/>
        <w:ind w:right="235"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331" w:lineRule="auto" w:before="48"/>
        <w:ind w:right="235"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31" w:lineRule="auto" w:before="45"/>
        <w:ind w:left="574" w:right="136"/>
        <w:jc w:val="left"/>
      </w:pPr>
      <w:r>
        <w:rPr/>
        <w:t>（</w:t>
      </w:r>
      <w:r>
        <w:rPr>
          <w:rFonts w:ascii="Times New Roman" w:hAnsi="Times New Roman" w:cs="Times New Roman" w:eastAsia="Times New Roman" w:hint="default"/>
        </w:rPr>
        <w:t>5</w:t>
      </w:r>
      <w:r>
        <w:rPr/>
        <w:t>）归属于该无形资产开发阶段的支出能够可靠地计量。 开发项目在通过前期市场调研和项目可行性论证并报经公司批准</w:t>
      </w:r>
      <w:r>
        <w:rPr>
          <w:rFonts w:ascii="Times New Roman" w:hAnsi="Times New Roman" w:cs="Times New Roman" w:eastAsia="Times New Roman" w:hint="default"/>
        </w:rPr>
        <w:t>“</w:t>
      </w:r>
      <w:r>
        <w:rPr/>
        <w:t>项目立项</w:t>
      </w:r>
      <w:r>
        <w:rPr>
          <w:rFonts w:ascii="Times New Roman" w:hAnsi="Times New Roman" w:cs="Times New Roman" w:eastAsia="Times New Roman" w:hint="default"/>
        </w:rPr>
        <w:t>”</w:t>
      </w:r>
      <w:r>
        <w:rPr/>
        <w:t>后即进入开发阶段，开发</w:t>
      </w:r>
    </w:p>
    <w:p>
      <w:pPr>
        <w:pStyle w:val="BodyText"/>
        <w:spacing w:line="348" w:lineRule="auto" w:before="20"/>
        <w:ind w:left="154" w:right="130"/>
        <w:jc w:val="both"/>
      </w:pPr>
      <w:r>
        <w:rPr/>
        <w:t>阶段以《项目立项报告》上的立项时间作为项目资本化的时点，整个开发阶段分为项目立项、项目开发、 项目验收、项目发布四个阶段。在项目完成验收之后确认为无形资产。</w:t>
      </w:r>
    </w:p>
    <w:p>
      <w:pPr>
        <w:pStyle w:val="BodyText"/>
        <w:spacing w:line="348" w:lineRule="auto" w:before="31"/>
        <w:ind w:left="154" w:right="151" w:firstLine="420"/>
        <w:jc w:val="both"/>
      </w:pPr>
      <w:r>
        <w:rPr>
          <w:spacing w:val="-1"/>
        </w:rPr>
        <w:t>不满足上述条件的开发阶段的支出，于发生时计入当期损益。以前期间已计入损益的开发支出不在以</w:t>
      </w:r>
      <w:r>
        <w:rPr/>
        <w:t> </w:t>
      </w: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pStyle w:val="BodyText"/>
        <w:spacing w:line="592" w:lineRule="exact" w:before="14"/>
        <w:ind w:left="574" w:right="0" w:hanging="420"/>
        <w:jc w:val="left"/>
      </w:pPr>
      <w:bookmarkStart w:name="19、长期资产减值" w:id="146"/>
      <w:bookmarkEnd w:id="146"/>
      <w:r>
        <w:rPr/>
      </w: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w w:val="99"/>
        </w:rPr>
        <w:t> </w:t>
      </w:r>
      <w:r>
        <w:rPr>
          <w:spacing w:val="-1"/>
        </w:rPr>
        <w:t>资产减值，是指资产的可收回金额低于其账面价值。企业应当在资产负债表日判断资产是否存在可能</w:t>
      </w:r>
    </w:p>
    <w:p>
      <w:pPr>
        <w:pStyle w:val="BodyText"/>
        <w:spacing w:line="357" w:lineRule="auto" w:before="44"/>
        <w:ind w:left="154" w:right="151"/>
        <w:jc w:val="both"/>
      </w:pPr>
      <w:r>
        <w:rPr>
          <w:spacing w:val="-1"/>
        </w:rPr>
        <w:t>发生减值的迹象。当资产存在减值迹象时，估计其可收回金额，资产的可收回金额低于其账面价值的，将</w:t>
      </w:r>
      <w:r>
        <w:rPr>
          <w:spacing w:val="-85"/>
        </w:rPr>
        <w:t> </w:t>
      </w:r>
      <w:r>
        <w:rPr>
          <w:spacing w:val="-85"/>
        </w:rPr>
      </w:r>
      <w:r>
        <w:rPr>
          <w:spacing w:val="-1"/>
        </w:rPr>
        <w:t>资产的账面价值减记至可收回金额，减记的金额确认为资产减值损失，计入当期损益，同时计提相应的资</w:t>
      </w:r>
      <w:r>
        <w:rPr>
          <w:spacing w:val="-83"/>
        </w:rPr>
        <w:t> </w:t>
      </w:r>
      <w:r>
        <w:rPr>
          <w:spacing w:val="-83"/>
        </w:rPr>
      </w:r>
      <w:r>
        <w:rPr>
          <w:spacing w:val="-1"/>
        </w:rPr>
        <w:t>产减值准备。商誉和使用寿命不确定的无形资产，无论是否存在减值迹象，每年都应当进行减值测试。商</w:t>
      </w:r>
      <w:r>
        <w:rPr>
          <w:spacing w:val="-85"/>
        </w:rPr>
        <w:t> </w:t>
      </w:r>
      <w:r>
        <w:rPr>
          <w:spacing w:val="-85"/>
        </w:rPr>
      </w:r>
      <w:r>
        <w:rPr>
          <w:spacing w:val="-1"/>
        </w:rPr>
        <w:t>誉结合与其相关的资产组或者资产组组合进行减值测试。长期股权投资、投资性房地产（不含以公允价值</w:t>
      </w:r>
      <w:r>
        <w:rPr>
          <w:spacing w:val="-83"/>
        </w:rPr>
        <w:t> </w:t>
      </w:r>
      <w:r>
        <w:rPr>
          <w:spacing w:val="-83"/>
        </w:rPr>
      </w:r>
      <w:r>
        <w:rPr>
          <w:spacing w:val="-3"/>
        </w:rPr>
        <w:t>模式计量的投资性房地产）、固定资产、在建工程、无形资产等资产减值准备的计提依据、确定方法：</w:t>
      </w:r>
    </w:p>
    <w:p>
      <w:pPr>
        <w:pStyle w:val="BodyText"/>
        <w:spacing w:line="240" w:lineRule="auto" w:before="30"/>
        <w:ind w:left="574" w:right="0"/>
        <w:jc w:val="left"/>
      </w:pPr>
      <w:r>
        <w:rPr/>
        <w:t>（</w:t>
      </w:r>
      <w:r>
        <w:rPr>
          <w:rFonts w:ascii="Arial" w:hAnsi="Arial" w:cs="Arial" w:eastAsia="Arial" w:hint="default"/>
        </w:rPr>
        <w:t>1</w:t>
      </w:r>
      <w:r>
        <w:rPr/>
        <w:t>）公司在资产负债表日判断长期股权投资、投资性房地产（不含以公允价值模式计量的投资性房</w:t>
      </w:r>
    </w:p>
    <w:p>
      <w:pPr>
        <w:spacing w:after="0" w:line="240" w:lineRule="auto"/>
        <w:jc w:val="left"/>
        <w:sectPr>
          <w:pgSz w:w="11910" w:h="16840"/>
          <w:pgMar w:header="877" w:footer="979" w:top="1100" w:bottom="1160" w:left="980" w:right="980"/>
        </w:sectPr>
      </w:pPr>
    </w:p>
    <w:p>
      <w:pPr>
        <w:spacing w:line="240" w:lineRule="auto" w:before="2"/>
        <w:rPr>
          <w:rFonts w:ascii="宋体" w:hAnsi="宋体" w:cs="宋体" w:eastAsia="宋体" w:hint="default"/>
          <w:sz w:val="19"/>
          <w:szCs w:val="19"/>
        </w:rPr>
      </w:pPr>
    </w:p>
    <w:p>
      <w:pPr>
        <w:pStyle w:val="BodyText"/>
        <w:spacing w:line="355" w:lineRule="auto" w:before="35"/>
        <w:ind w:right="159"/>
        <w:jc w:val="left"/>
      </w:pPr>
      <w:r>
        <w:rPr>
          <w:spacing w:val="-1"/>
        </w:rPr>
        <w:t>地产）、固定资产、在建工程、无形资产等资产是否存在可能发生减值的迹象。存在下列迹象的，表明资</w:t>
      </w:r>
      <w:r>
        <w:rPr>
          <w:spacing w:val="-94"/>
        </w:rPr>
        <w:t> </w:t>
      </w:r>
      <w:r>
        <w:rPr>
          <w:spacing w:val="-94"/>
        </w:rPr>
      </w:r>
      <w:r>
        <w:rPr/>
        <w:t>产可能发生了减值：</w:t>
      </w:r>
    </w:p>
    <w:p>
      <w:pPr>
        <w:pStyle w:val="BodyText"/>
        <w:spacing w:line="240" w:lineRule="auto" w:before="33"/>
        <w:ind w:left="573" w:right="0"/>
        <w:jc w:val="left"/>
      </w:pPr>
      <w:r>
        <w:rPr/>
        <w:t>①资产的市价当期大幅下跌，其跌幅明显高于因时间的推移或者正常使用而预计的下跌。</w:t>
      </w:r>
    </w:p>
    <w:p>
      <w:pPr>
        <w:pStyle w:val="BodyText"/>
        <w:spacing w:line="357" w:lineRule="auto" w:before="133"/>
        <w:ind w:right="157" w:firstLine="420"/>
        <w:jc w:val="both"/>
      </w:pPr>
      <w:r>
        <w:rPr>
          <w:spacing w:val="3"/>
        </w:rPr>
        <w:t>②企业经营所处的经济、技术或者法律等环境以及资产所处的市场在当期或者将在近期发生重大变</w:t>
      </w:r>
      <w:r>
        <w:rPr/>
        <w:t> 化，从而对企业产生不利影响。</w:t>
      </w:r>
    </w:p>
    <w:p>
      <w:pPr>
        <w:pStyle w:val="BodyText"/>
        <w:spacing w:line="357" w:lineRule="auto" w:before="30"/>
        <w:ind w:right="151" w:firstLine="420"/>
        <w:jc w:val="both"/>
      </w:pPr>
      <w:r>
        <w:rPr>
          <w:spacing w:val="-1"/>
        </w:rPr>
        <w:t>③市场利率或者其他市场投资报酬率在当期已经提高，从而影响企业计算资产预计未来现金流量现值</w:t>
      </w:r>
      <w:r>
        <w:rPr/>
        <w:t> 的折现率导致资产可收回金额大幅度降低。</w:t>
      </w:r>
    </w:p>
    <w:p>
      <w:pPr>
        <w:pStyle w:val="BodyText"/>
        <w:spacing w:line="240" w:lineRule="auto" w:before="30"/>
        <w:ind w:left="573" w:right="0"/>
        <w:jc w:val="left"/>
      </w:pPr>
      <w:r>
        <w:rPr/>
        <w:t>④有证据表明资产已经陈旧过时或者其实体已经损坏。</w:t>
      </w:r>
    </w:p>
    <w:p>
      <w:pPr>
        <w:pStyle w:val="BodyText"/>
        <w:spacing w:line="240" w:lineRule="auto" w:before="133"/>
        <w:ind w:left="573" w:right="0"/>
        <w:jc w:val="left"/>
      </w:pPr>
      <w:r>
        <w:rPr/>
        <w:t>⑤资产已经或者将被闲置、终止使用或者计划提前处置。</w:t>
      </w:r>
    </w:p>
    <w:p>
      <w:pPr>
        <w:pStyle w:val="BodyText"/>
        <w:spacing w:line="355" w:lineRule="auto" w:before="134"/>
        <w:ind w:right="151" w:firstLine="420"/>
        <w:jc w:val="both"/>
      </w:pPr>
      <w:r>
        <w:rPr>
          <w:spacing w:val="-1"/>
        </w:rPr>
        <w:t>⑥企业内部报告的证据表明资产的经济绩效已经低于或者将低于预期，如资产所创造的净现金流量或</w:t>
      </w:r>
      <w:r>
        <w:rPr/>
        <w:t> 者实现的营业利润（或者亏损）远远低于（或者高于）预计金额等。</w:t>
      </w:r>
    </w:p>
    <w:p>
      <w:pPr>
        <w:pStyle w:val="BodyText"/>
        <w:spacing w:line="240" w:lineRule="auto" w:before="33"/>
        <w:ind w:left="573" w:right="0"/>
        <w:jc w:val="left"/>
      </w:pPr>
      <w:r>
        <w:rPr/>
        <w:t>⑦其他表明资产可能已经发生减值的迹象。</w:t>
      </w:r>
    </w:p>
    <w:p>
      <w:pPr>
        <w:pStyle w:val="BodyText"/>
        <w:spacing w:line="350" w:lineRule="auto" w:before="133"/>
        <w:ind w:right="151" w:firstLine="420"/>
        <w:jc w:val="both"/>
      </w:pPr>
      <w:r>
        <w:rPr/>
        <w:t>（</w:t>
      </w:r>
      <w:r>
        <w:rPr>
          <w:rFonts w:ascii="Arial" w:hAnsi="Arial" w:cs="Arial" w:eastAsia="Arial" w:hint="default"/>
        </w:rPr>
        <w:t>2</w:t>
      </w:r>
      <w:r>
        <w:rPr/>
        <w:t>）资产存在减值迹象的，估计其可收回金额。可收回金额应当根据资产的公允价值减去处置费用 </w:t>
      </w:r>
      <w:r>
        <w:rPr>
          <w:spacing w:val="-1"/>
        </w:rPr>
        <w:t>后的净额与资产预计未来现金流量的现值两者之间较高者确定。资产的公允价值减去处置费用后的净额与</w:t>
      </w:r>
      <w:r>
        <w:rPr>
          <w:spacing w:val="-81"/>
        </w:rPr>
        <w:t> </w:t>
      </w:r>
      <w:r>
        <w:rPr>
          <w:spacing w:val="-81"/>
        </w:rPr>
      </w:r>
      <w:r>
        <w:rPr>
          <w:spacing w:val="-1"/>
        </w:rPr>
        <w:t>资产预计未来现金流量的现值，只要有一项超过了资产的账面价值，就表明资产没有发生减值，不需再估</w:t>
      </w:r>
      <w:r>
        <w:rPr>
          <w:spacing w:val="-83"/>
        </w:rPr>
        <w:t> </w:t>
      </w:r>
      <w:r>
        <w:rPr>
          <w:spacing w:val="-83"/>
        </w:rPr>
      </w:r>
      <w:r>
        <w:rPr/>
        <w:t>计另一项金额。</w:t>
      </w:r>
    </w:p>
    <w:p>
      <w:pPr>
        <w:pStyle w:val="BodyText"/>
        <w:spacing w:line="357" w:lineRule="auto" w:before="37"/>
        <w:ind w:right="130" w:firstLine="420"/>
        <w:jc w:val="both"/>
      </w:pPr>
      <w:r>
        <w:rPr>
          <w:spacing w:val="-1"/>
        </w:rPr>
        <w:t>资产的公允价值减去处置费用后的净额，根据公平交易中销售协议价格减去可直接归属于该资产处置</w:t>
      </w:r>
      <w:r>
        <w:rPr/>
        <w:t> </w:t>
      </w:r>
      <w:r>
        <w:rPr>
          <w:spacing w:val="-1"/>
        </w:rPr>
        <w:t>费用的金额确定。不存在销售协议但存在资产活跃市场的，按照该资产的市场价格减去处置费用后的金额</w:t>
      </w:r>
      <w:r>
        <w:rPr>
          <w:spacing w:val="-81"/>
        </w:rPr>
        <w:t> </w:t>
      </w:r>
      <w:r>
        <w:rPr>
          <w:spacing w:val="-81"/>
        </w:rPr>
      </w:r>
      <w:r>
        <w:rPr/>
        <w:t>确定。资产的市场价格通常应当根据资产的买方出价确定。在不存在销售协议和资产活跃市场的情况下， </w:t>
      </w:r>
      <w:r>
        <w:rPr>
          <w:spacing w:val="-1"/>
        </w:rPr>
        <w:t>当以可获取的最佳信息为基础，估计资产的公允价值减去处置费用后的净额，该净额可以参考同行业类似</w:t>
      </w:r>
      <w:r>
        <w:rPr>
          <w:spacing w:val="-81"/>
        </w:rPr>
        <w:t> </w:t>
      </w:r>
      <w:r>
        <w:rPr>
          <w:spacing w:val="-81"/>
        </w:rPr>
      </w:r>
      <w:r>
        <w:rPr>
          <w:spacing w:val="-1"/>
        </w:rPr>
        <w:t>资产的最近交易价格或者结果进行估计。按照上述规定仍然无法可靠估计资产的公允价值减去处置费用后</w:t>
      </w:r>
      <w:r>
        <w:rPr>
          <w:spacing w:val="-81"/>
        </w:rPr>
        <w:t> </w:t>
      </w:r>
      <w:r>
        <w:rPr>
          <w:spacing w:val="-81"/>
        </w:rPr>
      </w:r>
      <w:r>
        <w:rPr/>
        <w:t>的净额的，以该资产预计未来现金流量的现值作为其可收回金额。</w:t>
      </w:r>
    </w:p>
    <w:p>
      <w:pPr>
        <w:pStyle w:val="BodyText"/>
        <w:spacing w:line="357" w:lineRule="auto" w:before="30"/>
        <w:ind w:right="151" w:firstLine="420"/>
        <w:jc w:val="both"/>
      </w:pPr>
      <w:r>
        <w:rPr>
          <w:spacing w:val="3"/>
        </w:rPr>
        <w:t>资产预计未来现金流量的现值，按照资产在持续使用过程中和最终处置时所产生的预计未来现金流</w:t>
      </w:r>
      <w:r>
        <w:rPr/>
        <w:t> </w:t>
      </w:r>
      <w:r>
        <w:rPr>
          <w:spacing w:val="-1"/>
        </w:rPr>
        <w:t>量，选择恰当的折现率对其进行折现后的金额加以确定。预计资产未来现金流量的现值，应当综合考虑资</w:t>
      </w:r>
      <w:r>
        <w:rPr>
          <w:spacing w:val="-83"/>
        </w:rPr>
        <w:t> </w:t>
      </w:r>
      <w:r>
        <w:rPr>
          <w:spacing w:val="-83"/>
        </w:rPr>
      </w:r>
      <w:r>
        <w:rPr/>
        <w:t>产的预计未来现金流量、使用寿命和折现率等因素。</w:t>
      </w:r>
    </w:p>
    <w:p>
      <w:pPr>
        <w:pStyle w:val="BodyText"/>
        <w:spacing w:line="352" w:lineRule="auto" w:before="31"/>
        <w:ind w:right="130" w:firstLine="420"/>
        <w:jc w:val="both"/>
      </w:pPr>
      <w:r>
        <w:rPr/>
        <w:t>（</w:t>
      </w:r>
      <w:r>
        <w:rPr>
          <w:rFonts w:ascii="Arial" w:hAnsi="Arial" w:cs="Arial" w:eastAsia="Arial" w:hint="default"/>
        </w:rPr>
        <w:t>3</w:t>
      </w:r>
      <w:r>
        <w:rPr/>
        <w:t>）可收回金额的计量结果表明，资产的可收回金额低于其账面价值的，将资产的账面价值减记至 </w:t>
      </w:r>
      <w:r>
        <w:rPr>
          <w:spacing w:val="-1"/>
        </w:rPr>
        <w:t>可收回金额，减记的金额确认为资产减值损失，计入当期损益，同时计提相应的资产减值准备。资产减值</w:t>
      </w:r>
      <w:r>
        <w:rPr>
          <w:spacing w:val="-86"/>
        </w:rPr>
        <w:t> </w:t>
      </w:r>
      <w:r>
        <w:rPr>
          <w:spacing w:val="-86"/>
        </w:rPr>
      </w:r>
      <w:r>
        <w:rPr/>
        <w:t>损失确认后，减值资产的折旧或者摊销费用应当在未来期间作相应调整，以使该资产在剩余使用寿命内， </w:t>
      </w:r>
      <w:r>
        <w:rPr>
          <w:spacing w:val="-1"/>
        </w:rPr>
        <w:t>系统地分摊调整后的资产账面价值（扣除预计净残值）。资产减值损失一经确认，在以后会计期间不得转</w:t>
      </w:r>
      <w:r>
        <w:rPr>
          <w:spacing w:val="-94"/>
        </w:rPr>
        <w:t> </w:t>
      </w:r>
      <w:r>
        <w:rPr>
          <w:spacing w:val="-94"/>
        </w:rPr>
      </w:r>
      <w:r>
        <w:rPr/>
        <w:t>回。</w:t>
      </w:r>
    </w:p>
    <w:p>
      <w:pPr>
        <w:pStyle w:val="BodyText"/>
        <w:spacing w:line="350" w:lineRule="auto" w:before="35"/>
        <w:ind w:left="154" w:right="151" w:firstLine="420"/>
        <w:jc w:val="both"/>
      </w:pPr>
      <w:r>
        <w:rPr/>
        <w:t>（</w:t>
      </w:r>
      <w:r>
        <w:rPr>
          <w:rFonts w:ascii="Arial" w:hAnsi="Arial" w:cs="Arial" w:eastAsia="Arial" w:hint="default"/>
        </w:rPr>
        <w:t>4</w:t>
      </w:r>
      <w:r>
        <w:rPr/>
        <w:t>）表明一项资产可能发生减值的，一般以单项资产为基础估计其可收回金额。难以对单项资产的 </w:t>
      </w:r>
      <w:r>
        <w:rPr>
          <w:spacing w:val="-1"/>
        </w:rPr>
        <w:t>可收回金额进行估计的，以该资产所属的资产组为基础确定资产组的可收回金额。在认定资产组时，以资</w:t>
      </w:r>
      <w:r>
        <w:rPr>
          <w:spacing w:val="-83"/>
        </w:rPr>
        <w:t> </w:t>
      </w:r>
      <w:r>
        <w:rPr>
          <w:spacing w:val="-83"/>
        </w:rPr>
      </w:r>
      <w:r>
        <w:rPr>
          <w:spacing w:val="-1"/>
        </w:rPr>
        <w:t>产组产生的主要现金流入是否独立于其他资产或者资产组的现金流入为依据。同时，在认定资产组时，考</w:t>
      </w:r>
      <w:r>
        <w:rPr>
          <w:spacing w:val="-83"/>
        </w:rPr>
        <w:t> </w:t>
      </w:r>
      <w:r>
        <w:rPr>
          <w:spacing w:val="-83"/>
        </w:rPr>
      </w:r>
      <w:r>
        <w:rPr/>
        <w:t>虑管理层管理生产经营活动的方式和对资产的持续使用或者处置的决策方式等。</w:t>
      </w:r>
    </w:p>
    <w:p>
      <w:pPr>
        <w:spacing w:after="0" w:line="350" w:lineRule="auto"/>
        <w:jc w:val="both"/>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both"/>
        <w:rPr>
          <w:b w:val="0"/>
          <w:bCs w:val="0"/>
        </w:rPr>
      </w:pPr>
      <w:bookmarkStart w:name="20、长期待摊费用" w:id="147"/>
      <w:bookmarkEnd w:id="147"/>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573" w:right="218"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摊销方法</w:t>
      </w:r>
      <w:r>
        <w:rPr>
          <w:rFonts w:ascii="宋体" w:hAnsi="宋体" w:cs="宋体" w:eastAsia="宋体" w:hint="default"/>
          <w:b/>
          <w:bCs/>
          <w:w w:val="99"/>
        </w:rPr>
        <w:t> </w:t>
      </w:r>
      <w:r>
        <w:rPr/>
        <w:t>长期待摊费用，是指公司已经发生但应由本期和以后各期负担的分摊期限在</w:t>
      </w:r>
      <w:r>
        <w:rPr>
          <w:rFonts w:ascii="Times New Roman" w:hAnsi="Times New Roman" w:cs="Times New Roman" w:eastAsia="Times New Roman" w:hint="default"/>
        </w:rPr>
        <w:t>1</w:t>
      </w:r>
      <w:r>
        <w:rPr/>
        <w:t>年以上的各项费用。长</w:t>
      </w:r>
    </w:p>
    <w:p>
      <w:pPr>
        <w:pStyle w:val="BodyText"/>
        <w:spacing w:line="348" w:lineRule="auto" w:before="24"/>
        <w:ind w:right="151"/>
        <w:jc w:val="both"/>
      </w:pPr>
      <w:r>
        <w:rPr>
          <w:spacing w:val="-1"/>
        </w:rPr>
        <w:t>期待摊费用按发生时的实际成本计价，并在受益期限内平均摊销。如果长期待摊费用项目不能使以后会计</w:t>
      </w:r>
      <w:r>
        <w:rPr>
          <w:spacing w:val="-81"/>
        </w:rPr>
        <w:t> </w:t>
      </w:r>
      <w:r>
        <w:rPr>
          <w:spacing w:val="-81"/>
        </w:rPr>
      </w:r>
      <w:r>
        <w:rPr/>
        <w:t>期间受益的，则将尚未摊销的该项目的摊余价值全部转入当期损益。</w:t>
      </w:r>
    </w:p>
    <w:p>
      <w:pPr>
        <w:pStyle w:val="Heading3"/>
        <w:spacing w:line="240" w:lineRule="auto" w:before="30"/>
        <w:ind w:left="576"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摊销年限</w:t>
      </w:r>
      <w:r>
        <w:rPr>
          <w:b w:val="0"/>
          <w:bCs w:val="0"/>
        </w:rPr>
      </w:r>
    </w:p>
    <w:p>
      <w:pPr>
        <w:pStyle w:val="BodyText"/>
        <w:spacing w:line="240" w:lineRule="auto" w:before="110"/>
        <w:ind w:left="573" w:right="0"/>
        <w:jc w:val="left"/>
      </w:pPr>
      <w:r>
        <w:rPr/>
        <w:t>（</w:t>
      </w:r>
      <w:r>
        <w:rPr>
          <w:rFonts w:ascii="Times New Roman" w:hAnsi="Times New Roman" w:cs="Times New Roman" w:eastAsia="Times New Roman" w:hint="default"/>
        </w:rPr>
        <w:t>1</w:t>
      </w:r>
      <w:r>
        <w:rPr/>
        <w:t>）房屋装修费按</w:t>
      </w:r>
      <w:r>
        <w:rPr>
          <w:rFonts w:ascii="Times New Roman" w:hAnsi="Times New Roman" w:cs="Times New Roman" w:eastAsia="Times New Roman" w:hint="default"/>
        </w:rPr>
        <w:t>5</w:t>
      </w:r>
      <w:r>
        <w:rPr/>
        <w:t>年平均摊销。</w:t>
      </w:r>
    </w:p>
    <w:p>
      <w:pPr>
        <w:pStyle w:val="BodyText"/>
        <w:spacing w:line="240" w:lineRule="auto" w:before="109"/>
        <w:ind w:left="573" w:right="0"/>
        <w:jc w:val="left"/>
      </w:pPr>
      <w:r>
        <w:rPr/>
        <w:t>（</w:t>
      </w:r>
      <w:r>
        <w:rPr>
          <w:rFonts w:ascii="Times New Roman" w:hAnsi="Times New Roman" w:cs="Times New Roman" w:eastAsia="Times New Roman" w:hint="default"/>
        </w:rPr>
        <w:t>2</w:t>
      </w:r>
      <w:r>
        <w:rPr/>
        <w:t>）预付经营租入固定资产的租金，按租赁合同规定的期限平均摊销。</w:t>
      </w:r>
    </w:p>
    <w:p>
      <w:pPr>
        <w:pStyle w:val="BodyText"/>
        <w:spacing w:line="331" w:lineRule="auto" w:before="109"/>
        <w:ind w:left="154" w:right="235" w:firstLine="420"/>
        <w:jc w:val="both"/>
      </w:pPr>
      <w:r>
        <w:rPr/>
        <w:t>（</w:t>
      </w:r>
      <w:r>
        <w:rPr>
          <w:rFonts w:ascii="Times New Roman" w:hAnsi="Times New Roman" w:cs="Times New Roman" w:eastAsia="Times New Roman" w:hint="default"/>
        </w:rPr>
        <w:t>3</w:t>
      </w:r>
      <w:r>
        <w:rPr/>
        <w:t>）经营租赁方式租入的固定资产改良支出，按剩余租赁期与租赁资产尚可使用年限两者中较短的 期限平均摊销。</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bookmarkStart w:name="21、职工薪酬" w:id="148"/>
      <w:bookmarkEnd w:id="148"/>
      <w:r>
        <w:rPr>
          <w:b w:val="0"/>
          <w:bCs w:val="0"/>
        </w:rPr>
      </w:r>
      <w:r>
        <w:rPr>
          <w:rFonts w:ascii="Times New Roman" w:hAnsi="Times New Roman" w:cs="Times New Roman" w:eastAsia="Times New Roman" w:hint="default"/>
        </w:rPr>
        <w:t>21</w:t>
      </w:r>
      <w:r>
        <w:rPr/>
        <w:t>、职工薪酬</w:t>
      </w:r>
      <w:r>
        <w:rPr>
          <w:b w:val="0"/>
          <w:bCs w:val="0"/>
        </w:rPr>
      </w:r>
    </w:p>
    <w:p>
      <w:pPr>
        <w:spacing w:line="702" w:lineRule="exact" w:before="6"/>
        <w:ind w:left="574" w:right="322" w:hanging="420"/>
        <w:jc w:val="left"/>
        <w:rPr>
          <w:rFonts w:ascii="宋体" w:hAnsi="宋体" w:cs="宋体" w:eastAsia="宋体" w:hint="default"/>
          <w:sz w:val="21"/>
          <w:szCs w:val="21"/>
        </w:rPr>
      </w:pPr>
      <w:bookmarkStart w:name="（1）短期薪酬的会计处理方法" w:id="149"/>
      <w:bookmarkEnd w:id="1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短期薪酬是指公司在职工提供相关服务的年度报告期间结束后十二个月内需要全部予以支付的职工</w:t>
      </w:r>
    </w:p>
    <w:p>
      <w:pPr>
        <w:pStyle w:val="BodyText"/>
        <w:spacing w:line="348" w:lineRule="auto" w:before="15"/>
        <w:ind w:left="154" w:right="153"/>
        <w:jc w:val="both"/>
      </w:pPr>
      <w:r>
        <w:rPr>
          <w:spacing w:val="-1"/>
        </w:rPr>
        <w:t>薪酬，离职后福利和辞退福利除外。公司在职工提供服务的会计期间，将应付的短期薪酬确认为负债，并</w:t>
      </w:r>
      <w:r>
        <w:rPr>
          <w:spacing w:val="-85"/>
        </w:rPr>
        <w:t> </w:t>
      </w:r>
      <w:r>
        <w:rPr>
          <w:spacing w:val="-85"/>
        </w:rPr>
      </w:r>
      <w:r>
        <w:rPr/>
        <w:t>根据职工提供服务的受益对象计入相关资产成本和费用。</w:t>
      </w:r>
    </w:p>
    <w:p>
      <w:pPr>
        <w:spacing w:line="240" w:lineRule="auto" w:before="6"/>
        <w:rPr>
          <w:rFonts w:ascii="宋体" w:hAnsi="宋体" w:cs="宋体" w:eastAsia="宋体" w:hint="default"/>
          <w:sz w:val="18"/>
          <w:szCs w:val="18"/>
        </w:rPr>
      </w:pPr>
    </w:p>
    <w:p>
      <w:pPr>
        <w:pStyle w:val="Heading3"/>
        <w:spacing w:line="240" w:lineRule="auto"/>
        <w:ind w:left="153" w:right="0"/>
        <w:jc w:val="both"/>
        <w:rPr>
          <w:b w:val="0"/>
          <w:bCs w:val="0"/>
        </w:rPr>
      </w:pPr>
      <w:bookmarkStart w:name="（2）离职后福利的会计处理方法" w:id="150"/>
      <w:bookmarkEnd w:id="15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right="152" w:firstLine="420"/>
        <w:jc w:val="both"/>
      </w:pPr>
      <w:r>
        <w:rPr>
          <w:spacing w:val="-1"/>
        </w:rPr>
        <w:t>离职后福利是指公司为获得职工提供的服务而在职工退休或与企业解除劳动关系后，提供的各种形式</w:t>
      </w:r>
      <w:r>
        <w:rPr/>
        <w:t> 的报酬和福利，短期薪酬和辞退福利除外。离职后福利计划分类为设定提存计划和设定受益计划。</w:t>
      </w:r>
    </w:p>
    <w:p>
      <w:pPr>
        <w:pStyle w:val="BodyText"/>
        <w:spacing w:line="350" w:lineRule="auto" w:before="28"/>
        <w:ind w:right="151" w:firstLine="420"/>
        <w:jc w:val="both"/>
      </w:pPr>
      <w:r>
        <w:rPr>
          <w:spacing w:val="-1"/>
        </w:rPr>
        <w:t>离职后福利设定提存计划主要为参加由各地劳动及社会保障机构组织实施的社会基本养老保险、失业</w:t>
      </w:r>
      <w:r>
        <w:rPr/>
        <w:t> </w:t>
      </w:r>
      <w:r>
        <w:rPr>
          <w:spacing w:val="-1"/>
        </w:rPr>
        <w:t>保险等；在职工为公司提供服务的会计期间，将根据设定提存计划计算的应缴存金额确认为负债，并计入</w:t>
      </w:r>
      <w:r>
        <w:rPr>
          <w:spacing w:val="-83"/>
        </w:rPr>
        <w:t> </w:t>
      </w:r>
      <w:r>
        <w:rPr>
          <w:spacing w:val="-83"/>
        </w:rPr>
      </w:r>
      <w:r>
        <w:rPr/>
        <w:t>当期损益或相关资产成本。</w:t>
      </w:r>
    </w:p>
    <w:p>
      <w:pPr>
        <w:pStyle w:val="BodyText"/>
        <w:spacing w:line="348" w:lineRule="auto" w:before="28"/>
        <w:ind w:left="573" w:right="0"/>
        <w:jc w:val="left"/>
      </w:pPr>
      <w:r>
        <w:rPr/>
        <w:t>公司按照国家规定的标准定期缴付上述款项后，不再有其他的支付义务。 </w:t>
      </w:r>
      <w:r>
        <w:rPr>
          <w:spacing w:val="-1"/>
        </w:rPr>
        <w:t>离职后福利设定受益计划主要为离退休人员支付的明确标准的统筹外福利、为去世员工遗属支付的生</w:t>
      </w:r>
    </w:p>
    <w:p>
      <w:pPr>
        <w:pStyle w:val="BodyText"/>
        <w:spacing w:line="350" w:lineRule="auto" w:before="31"/>
        <w:ind w:right="150"/>
        <w:jc w:val="both"/>
      </w:pPr>
      <w:r>
        <w:rPr>
          <w:spacing w:val="-1"/>
        </w:rPr>
        <w:t>活费等。对于设定受益计划中承担的义务，在资产负债表日使用预期累计福利单位法进行精算，将设定受</w:t>
      </w:r>
      <w:r>
        <w:rPr>
          <w:spacing w:val="-83"/>
        </w:rPr>
        <w:t> </w:t>
      </w:r>
      <w:r>
        <w:rPr>
          <w:spacing w:val="-83"/>
        </w:rPr>
      </w:r>
      <w:r>
        <w:rPr>
          <w:spacing w:val="-1"/>
        </w:rPr>
        <w:t>益计划产生的福利义务归属于职工提供服务的期间，并计入当期损益或相关资产成本，其中：除非其他会</w:t>
      </w:r>
      <w:r>
        <w:rPr>
          <w:spacing w:val="-83"/>
        </w:rPr>
        <w:t> </w:t>
      </w:r>
      <w:r>
        <w:rPr>
          <w:spacing w:val="-83"/>
        </w:rPr>
      </w:r>
      <w:r>
        <w:rPr>
          <w:spacing w:val="-1"/>
        </w:rPr>
        <w:t>计准则要求或允许职工福利成本计入资产成本，设定设益计划服务成本和设定设益计划净负债或净资产的</w:t>
      </w:r>
      <w:r>
        <w:rPr>
          <w:spacing w:val="-81"/>
        </w:rPr>
        <w:t> </w:t>
      </w:r>
      <w:r>
        <w:rPr>
          <w:spacing w:val="-81"/>
        </w:rPr>
      </w:r>
      <w:r>
        <w:rPr>
          <w:spacing w:val="-1"/>
        </w:rPr>
        <w:t>利息净额在发生当期计入当期损益；重新计量设定受益计划净负债或净资产所产生的变动在发生当期计入</w:t>
      </w:r>
      <w:r>
        <w:rPr>
          <w:spacing w:val="-81"/>
        </w:rPr>
        <w:t> </w:t>
      </w:r>
      <w:r>
        <w:rPr>
          <w:spacing w:val="-81"/>
        </w:rPr>
      </w:r>
      <w:r>
        <w:rPr/>
        <w:t>其他综合收益，且在后续会计期间不允许转回至损益。</w:t>
      </w:r>
    </w:p>
    <w:p>
      <w:pPr>
        <w:spacing w:after="0" w:line="350" w:lineRule="auto"/>
        <w:jc w:val="both"/>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both"/>
        <w:rPr>
          <w:b w:val="0"/>
          <w:bCs w:val="0"/>
        </w:rPr>
      </w:pPr>
      <w:bookmarkStart w:name="（3）辞退福利的会计处理方法" w:id="151"/>
      <w:bookmarkEnd w:id="15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right="0" w:firstLine="420"/>
        <w:jc w:val="left"/>
      </w:pPr>
      <w:r>
        <w:rPr>
          <w:spacing w:val="-1"/>
        </w:rPr>
        <w:t>辞退福利是指公司在职工劳动合同到期之前解除与职工的劳动关系，或者为鼓励职工自愿接受裁减而</w:t>
      </w:r>
      <w:r>
        <w:rPr/>
        <w:t> 给予职工的补偿，在发生当期计入当期损益。</w:t>
      </w:r>
    </w:p>
    <w:p>
      <w:pPr>
        <w:spacing w:line="240" w:lineRule="auto" w:before="8"/>
        <w:rPr>
          <w:rFonts w:ascii="宋体" w:hAnsi="宋体" w:cs="宋体" w:eastAsia="宋体" w:hint="default"/>
          <w:sz w:val="18"/>
          <w:szCs w:val="18"/>
        </w:rPr>
      </w:pPr>
    </w:p>
    <w:p>
      <w:pPr>
        <w:pStyle w:val="Heading3"/>
        <w:spacing w:line="240" w:lineRule="auto"/>
        <w:ind w:left="153" w:right="0"/>
        <w:jc w:val="both"/>
        <w:rPr>
          <w:b w:val="0"/>
          <w:bCs w:val="0"/>
        </w:rPr>
      </w:pPr>
      <w:bookmarkStart w:name="（4）其他长期职工福利的会计处理方法" w:id="152"/>
      <w:bookmarkEnd w:id="15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left="573" w:right="0"/>
        <w:jc w:val="left"/>
      </w:pPr>
      <w:r>
        <w:rPr/>
        <w:t>其他长期职工福利是指除短期薪酬、离职后福利、辞退福利之外的其他所有职工福利。 </w:t>
      </w:r>
      <w:r>
        <w:rPr>
          <w:spacing w:val="-1"/>
        </w:rPr>
        <w:t>对符合设定提存计划条件的其他长期职工福利，在职工为公司提供服务的会计期间，将应缴存金额确</w:t>
      </w:r>
    </w:p>
    <w:p>
      <w:pPr>
        <w:pStyle w:val="BodyText"/>
        <w:spacing w:line="350" w:lineRule="auto" w:before="30"/>
        <w:ind w:right="151"/>
        <w:jc w:val="both"/>
      </w:pPr>
      <w:r>
        <w:rPr>
          <w:spacing w:val="-1"/>
        </w:rPr>
        <w:t>认为负债，并计入当期损益或相关资产成本；除上述情形外的其他长期职工福利，在资产负债表日使用预</w:t>
      </w:r>
      <w:r>
        <w:rPr>
          <w:spacing w:val="-83"/>
        </w:rPr>
        <w:t> </w:t>
      </w:r>
      <w:r>
        <w:rPr>
          <w:spacing w:val="-83"/>
        </w:rPr>
      </w:r>
      <w:r>
        <w:rPr>
          <w:spacing w:val="-1"/>
        </w:rPr>
        <w:t>期累计福利单位法进行精算，将设定受益计划产生的福利义务归属于职工提供服务的期间，并计入当期损</w:t>
      </w:r>
      <w:r>
        <w:rPr>
          <w:spacing w:val="-81"/>
        </w:rPr>
        <w:t> </w:t>
      </w:r>
      <w:r>
        <w:rPr>
          <w:spacing w:val="-81"/>
        </w:rPr>
      </w:r>
      <w:r>
        <w:rPr/>
        <w:t>益或相关资产成本。</w:t>
      </w:r>
    </w:p>
    <w:p>
      <w:pPr>
        <w:spacing w:line="240" w:lineRule="auto" w:before="4"/>
        <w:rPr>
          <w:rFonts w:ascii="宋体" w:hAnsi="宋体" w:cs="宋体" w:eastAsia="宋体" w:hint="default"/>
          <w:sz w:val="18"/>
          <w:szCs w:val="18"/>
        </w:rPr>
      </w:pPr>
    </w:p>
    <w:p>
      <w:pPr>
        <w:pStyle w:val="Heading3"/>
        <w:spacing w:line="240" w:lineRule="auto"/>
        <w:ind w:left="153" w:right="0"/>
        <w:jc w:val="both"/>
        <w:rPr>
          <w:b w:val="0"/>
          <w:bCs w:val="0"/>
        </w:rPr>
      </w:pPr>
      <w:bookmarkStart w:name="22、预计负债" w:id="153"/>
      <w:bookmarkEnd w:id="153"/>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31"/>
          <w:szCs w:val="31"/>
        </w:rPr>
      </w:pPr>
    </w:p>
    <w:p>
      <w:pPr>
        <w:pStyle w:val="BodyText"/>
        <w:spacing w:line="345" w:lineRule="auto"/>
        <w:ind w:left="573" w:right="3053"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与或有事项相关的义务同时满足下列条件时，公司确认为预计负债： 该义务是公司承担的现时义务； 履行该义务很可能导致经济利益流出公司； 该义务的金额能够可靠地计量。</w:t>
      </w:r>
    </w:p>
    <w:p>
      <w:pPr>
        <w:spacing w:line="331" w:lineRule="auto" w:before="32"/>
        <w:ind w:left="574" w:right="242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公司预计负债按履行相关现时义务所需的支出的最佳估计数进行初始计量。</w:t>
      </w:r>
    </w:p>
    <w:p>
      <w:pPr>
        <w:pStyle w:val="BodyText"/>
        <w:spacing w:line="348" w:lineRule="auto" w:before="45"/>
        <w:ind w:right="0" w:firstLine="420"/>
        <w:jc w:val="left"/>
      </w:pPr>
      <w:r>
        <w:rPr>
          <w:spacing w:val="-1"/>
        </w:rPr>
        <w:t>公司在确定最佳估计数时，综合考虑与或有事项有关的风险、不确定性和货币时间价值等因素。对于</w:t>
      </w:r>
      <w:r>
        <w:rPr/>
        <w:t> 货币时间价值影响重大的，通过对相关未来现金流出进行折现后确定最佳估计数。</w:t>
      </w:r>
    </w:p>
    <w:p>
      <w:pPr>
        <w:pStyle w:val="BodyText"/>
        <w:spacing w:line="348" w:lineRule="auto" w:before="31"/>
        <w:ind w:left="573" w:right="0"/>
        <w:jc w:val="left"/>
      </w:pPr>
      <w:r>
        <w:rPr/>
        <w:t>最佳估计数分别以下情况处理： </w:t>
      </w:r>
      <w:r>
        <w:rPr>
          <w:spacing w:val="-1"/>
        </w:rPr>
        <w:t>所需支出存在一个连续范围（或区间），且该范围内各种结果发生的可能性相同的，则最佳估计数按</w:t>
      </w:r>
    </w:p>
    <w:p>
      <w:pPr>
        <w:pStyle w:val="BodyText"/>
        <w:spacing w:line="350" w:lineRule="auto" w:before="30"/>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348" w:lineRule="auto" w:before="28"/>
        <w:ind w:left="154"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348" w:lineRule="auto" w:before="31"/>
        <w:ind w:right="0" w:firstLine="420"/>
        <w:jc w:val="left"/>
      </w:pPr>
      <w:r>
        <w:rPr>
          <w:spacing w:val="-1"/>
        </w:rPr>
        <w:t>公司清偿预计负债所需支出全部或部分预期由第三方补偿的，补偿金额在基本确定能够收到时，作为</w:t>
      </w:r>
      <w:r>
        <w:rPr/>
        <w:t> 资产单独确认，确认的补偿金额不超过预计负债的账面价值。</w:t>
      </w:r>
    </w:p>
    <w:p>
      <w:pPr>
        <w:spacing w:line="240" w:lineRule="auto" w:before="6"/>
        <w:rPr>
          <w:rFonts w:ascii="宋体" w:hAnsi="宋体" w:cs="宋体" w:eastAsia="宋体" w:hint="default"/>
          <w:sz w:val="18"/>
          <w:szCs w:val="18"/>
        </w:rPr>
      </w:pPr>
    </w:p>
    <w:p>
      <w:pPr>
        <w:pStyle w:val="Heading3"/>
        <w:spacing w:line="240" w:lineRule="auto"/>
        <w:ind w:left="153" w:right="0"/>
        <w:jc w:val="both"/>
        <w:rPr>
          <w:b w:val="0"/>
          <w:bCs w:val="0"/>
        </w:rPr>
      </w:pPr>
      <w:bookmarkStart w:name="23、收入" w:id="154"/>
      <w:bookmarkEnd w:id="154"/>
      <w:r>
        <w:rPr>
          <w:b w:val="0"/>
          <w:bCs w:val="0"/>
        </w:rPr>
      </w:r>
      <w:r>
        <w:rPr>
          <w:rFonts w:ascii="Times New Roman" w:hAnsi="Times New Roman" w:cs="Times New Roman" w:eastAsia="Times New Roman" w:hint="default"/>
        </w:rPr>
        <w:t>23</w:t>
      </w:r>
      <w:r>
        <w:rPr/>
        <w:t>、收入</w:t>
      </w:r>
      <w:r>
        <w:rPr>
          <w:b w:val="0"/>
          <w:bCs w:val="0"/>
        </w:rPr>
      </w:r>
    </w:p>
    <w:p>
      <w:pPr>
        <w:spacing w:line="240" w:lineRule="auto" w:before="6"/>
        <w:rPr>
          <w:rFonts w:ascii="宋体" w:hAnsi="宋体" w:cs="宋体" w:eastAsia="宋体" w:hint="default"/>
          <w:b/>
          <w:bCs/>
          <w:sz w:val="31"/>
          <w:szCs w:val="31"/>
        </w:rPr>
      </w:pPr>
    </w:p>
    <w:p>
      <w:pPr>
        <w:spacing w:line="331"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spacing w:after="0" w:line="331"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48" w:lineRule="auto" w:before="35"/>
        <w:ind w:right="104"/>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350" w:lineRule="auto" w:before="31"/>
        <w:ind w:right="173" w:firstLine="420"/>
        <w:jc w:val="left"/>
      </w:pPr>
      <w:r>
        <w:rPr>
          <w:spacing w:val="-1"/>
        </w:rPr>
        <w:t>合同或协议价款的收取采用递延方式，实质上具有融资性质的，按照应收的合同或协议价款的公允价</w:t>
      </w:r>
      <w:r>
        <w:rPr/>
        <w:t> 值确定销售商品收入金额。</w:t>
      </w:r>
    </w:p>
    <w:p>
      <w:pPr>
        <w:spacing w:line="331" w:lineRule="auto" w:before="28"/>
        <w:ind w:left="573" w:right="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45"/>
        <w:ind w:right="0"/>
        <w:jc w:val="both"/>
      </w:pPr>
      <w:r>
        <w:rPr/>
        <w:t>使用权收入金额：</w:t>
      </w:r>
    </w:p>
    <w:p>
      <w:pPr>
        <w:pStyle w:val="BodyText"/>
        <w:spacing w:line="240" w:lineRule="auto" w:before="124"/>
        <w:ind w:left="573" w:right="17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0"/>
        <w:ind w:left="573" w:right="17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28" w:lineRule="auto" w:before="109"/>
        <w:ind w:left="573" w:right="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348" w:lineRule="auto" w:before="48"/>
        <w:ind w:left="573" w:right="3533" w:hanging="420"/>
        <w:jc w:val="left"/>
      </w:pPr>
      <w:r>
        <w:rPr/>
        <w:t>务交易的完工进度，依据已经发生的成本占估计总成本的比例确定。 提供劳务交易的结果能够可靠估计，是指同时满足下列条件：</w:t>
      </w:r>
    </w:p>
    <w:p>
      <w:pPr>
        <w:pStyle w:val="BodyText"/>
        <w:spacing w:line="240" w:lineRule="auto" w:before="30"/>
        <w:ind w:left="573" w:right="17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0"/>
        <w:ind w:left="573" w:right="17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9"/>
        <w:ind w:left="573" w:right="173"/>
        <w:jc w:val="left"/>
      </w:pPr>
      <w:r>
        <w:rPr/>
        <w:t>（</w:t>
      </w:r>
      <w:r>
        <w:rPr>
          <w:rFonts w:ascii="Times New Roman" w:hAnsi="Times New Roman" w:cs="Times New Roman" w:eastAsia="Times New Roman" w:hint="default"/>
        </w:rPr>
        <w:t>3</w:t>
      </w:r>
      <w:r>
        <w:rPr/>
        <w:t>）交易的完工进度能够可靠地确定；</w:t>
      </w:r>
    </w:p>
    <w:p>
      <w:pPr>
        <w:pStyle w:val="BodyText"/>
        <w:spacing w:line="331" w:lineRule="auto" w:before="109"/>
        <w:ind w:left="573" w:right="173"/>
        <w:jc w:val="left"/>
      </w:pPr>
      <w:r>
        <w:rPr/>
        <w:t>（</w:t>
      </w:r>
      <w:r>
        <w:rPr>
          <w:rFonts w:ascii="Times New Roman" w:hAnsi="Times New Roman" w:cs="Times New Roman" w:eastAsia="Times New Roman" w:hint="default"/>
        </w:rPr>
        <w:t>4</w:t>
      </w:r>
      <w:r>
        <w:rPr/>
        <w:t>）交易中已发生和将发生的成本能够可靠地计量。 </w:t>
      </w:r>
      <w:r>
        <w:rPr>
          <w:spacing w:val="-1"/>
        </w:rPr>
        <w:t>按照已收或应收的合同或协议价款确定提供劳务收入总额，但已收或应收的合同或协议价款不公允的</w:t>
      </w:r>
    </w:p>
    <w:p>
      <w:pPr>
        <w:pStyle w:val="BodyText"/>
        <w:spacing w:line="350" w:lineRule="auto" w:before="45"/>
        <w:ind w:right="21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before="28"/>
        <w:ind w:left="573" w:right="173"/>
        <w:jc w:val="left"/>
      </w:pPr>
      <w:r>
        <w:rPr/>
        <w:t>在资产负债表日提供劳务交易结果不能够可靠估计的，分别下列情况处理：</w:t>
      </w:r>
    </w:p>
    <w:p>
      <w:pPr>
        <w:pStyle w:val="BodyText"/>
        <w:spacing w:line="331" w:lineRule="auto" w:before="124"/>
        <w:ind w:right="278"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 并按相同金额结转劳务成本。</w:t>
      </w:r>
    </w:p>
    <w:p>
      <w:pPr>
        <w:pStyle w:val="BodyText"/>
        <w:spacing w:line="328" w:lineRule="auto" w:before="45"/>
        <w:ind w:right="278"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pStyle w:val="BodyText"/>
        <w:spacing w:line="350" w:lineRule="auto" w:before="48"/>
        <w:ind w:right="211" w:firstLine="420"/>
        <w:jc w:val="both"/>
      </w:pPr>
      <w:r>
        <w:rPr>
          <w:spacing w:val="-1"/>
        </w:rPr>
        <w:t>公司与其他企业签订的合同或协议包括销售商品和提供劳务时，销售商品部分和提供劳务部分能够区</w:t>
      </w:r>
      <w:r>
        <w:rPr/>
        <w:t> </w:t>
      </w:r>
      <w:r>
        <w:rPr>
          <w:spacing w:val="-1"/>
        </w:rPr>
        <w:t>分且能够单独计量的，将销售商品的部分作为销售商品处理，将提供劳务的部分作为提供劳务处理。销售</w:t>
      </w:r>
      <w:r>
        <w:rPr>
          <w:spacing w:val="-83"/>
        </w:rPr>
        <w:t> </w:t>
      </w:r>
      <w:r>
        <w:rPr>
          <w:spacing w:val="-83"/>
        </w:rPr>
      </w:r>
      <w:r>
        <w:rPr>
          <w:spacing w:val="-1"/>
        </w:rPr>
        <w:t>商品部分和提供劳务部分不能够区分，或虽能区分但不能够单独计量的，将销售商品部分和提供劳务部分</w:t>
      </w:r>
      <w:r>
        <w:rPr>
          <w:spacing w:val="-81"/>
        </w:rPr>
        <w:t> </w:t>
      </w:r>
      <w:r>
        <w:rPr>
          <w:spacing w:val="-81"/>
        </w:rPr>
      </w:r>
      <w:r>
        <w:rPr/>
        <w:t>全部作为销售商品处理。</w:t>
      </w:r>
    </w:p>
    <w:p>
      <w:pPr>
        <w:pStyle w:val="BodyText"/>
        <w:spacing w:line="331" w:lineRule="auto" w:before="28"/>
        <w:ind w:left="573" w:right="1013" w:firstLine="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8"/>
        </w:rPr>
        <w:t> </w:t>
      </w:r>
      <w:r>
        <w:rPr>
          <w:rFonts w:ascii="宋体" w:hAnsi="宋体" w:cs="宋体" w:eastAsia="宋体" w:hint="default"/>
          <w:b/>
          <w:bCs/>
        </w:rPr>
        <w:t>具体确认方法</w:t>
      </w:r>
      <w:r>
        <w:rPr>
          <w:rFonts w:ascii="宋体" w:hAnsi="宋体" w:cs="宋体" w:eastAsia="宋体" w:hint="default"/>
          <w:b/>
          <w:bCs/>
          <w:w w:val="99"/>
        </w:rPr>
        <w:t> </w:t>
      </w:r>
      <w:r>
        <w:rPr/>
        <w:t>公司业务主要包括安全产品销售、安全集成和安全服务等，各类业务确认的具体方法如下：</w:t>
      </w:r>
    </w:p>
    <w:p>
      <w:pPr>
        <w:pStyle w:val="BodyText"/>
        <w:spacing w:line="328" w:lineRule="auto" w:before="46"/>
        <w:ind w:right="173" w:firstLine="420"/>
        <w:jc w:val="left"/>
      </w:pPr>
      <w:r>
        <w:rPr/>
        <w:t>（</w:t>
      </w:r>
      <w:r>
        <w:rPr>
          <w:rFonts w:ascii="Times New Roman" w:hAnsi="Times New Roman" w:cs="Times New Roman" w:eastAsia="Times New Roman" w:hint="default"/>
        </w:rPr>
        <w:t>1</w:t>
      </w:r>
      <w:r>
        <w:rPr/>
        <w:t>）安全产品：安全产品销售分为单纯安全产品销售以及通过集成业务销售安全产品两种方式。单 </w:t>
      </w:r>
      <w:r>
        <w:rPr>
          <w:spacing w:val="-1"/>
        </w:rPr>
        <w:t>纯自有产品销售，一般不需安装或只需简单安装，在完成产品交付时确认收入；通过集成业务销售的安全</w:t>
      </w:r>
    </w:p>
    <w:p>
      <w:pPr>
        <w:spacing w:after="0" w:line="328" w:lineRule="auto"/>
        <w:jc w:val="left"/>
        <w:sectPr>
          <w:pgSz w:w="11910" w:h="16840"/>
          <w:pgMar w:header="877" w:footer="979" w:top="1100" w:bottom="1160" w:left="980" w:right="92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产品则按照安全集成的收入确认方式确认收入。</w:t>
      </w:r>
    </w:p>
    <w:p>
      <w:pPr>
        <w:pStyle w:val="BodyText"/>
        <w:spacing w:line="343" w:lineRule="auto" w:before="124"/>
        <w:ind w:right="0" w:firstLine="420"/>
        <w:jc w:val="left"/>
      </w:pPr>
      <w:r>
        <w:rPr/>
        <w:t>（</w:t>
      </w:r>
      <w:r>
        <w:rPr>
          <w:rFonts w:ascii="Times New Roman" w:hAnsi="Times New Roman" w:cs="Times New Roman" w:eastAsia="Times New Roman" w:hint="default"/>
        </w:rPr>
        <w:t>2</w:t>
      </w:r>
      <w:r>
        <w:rPr/>
        <w:t>）安全集成：安全集成业务的收入确认方式依据双方签署的验收报告，验收一般可分为初验和终 </w:t>
      </w:r>
      <w:r>
        <w:rPr>
          <w:spacing w:val="-1"/>
        </w:rPr>
        <w:t>验，初验报告是指客户对安全集成业务实施内容、进度、质量以及是否达到合同效果予以确认；而终验报</w:t>
      </w:r>
      <w:r>
        <w:rPr>
          <w:spacing w:val="-85"/>
        </w:rPr>
        <w:t> </w:t>
      </w:r>
      <w:r>
        <w:rPr>
          <w:spacing w:val="-85"/>
        </w:rPr>
      </w:r>
      <w:r>
        <w:rPr>
          <w:spacing w:val="-1"/>
        </w:rPr>
        <w:t>告是对业务整体服务核查后形成的总结报告。鉴于终验只是对初验结果的进一步确认，安全集成业务验收</w:t>
      </w:r>
      <w:r>
        <w:rPr>
          <w:spacing w:val="-81"/>
        </w:rPr>
        <w:t> </w:t>
      </w:r>
      <w:r>
        <w:rPr>
          <w:spacing w:val="-81"/>
        </w:rPr>
      </w:r>
      <w:r>
        <w:rPr/>
        <w:t>分初验和终验的，取得初验报告时确认收入；不分初验和终验的，取得验收报告时确认收入。</w:t>
      </w:r>
    </w:p>
    <w:p>
      <w:pPr>
        <w:pStyle w:val="BodyText"/>
        <w:spacing w:line="338" w:lineRule="auto" w:before="35"/>
        <w:ind w:right="0" w:firstLine="420"/>
        <w:jc w:val="left"/>
      </w:pPr>
      <w:r>
        <w:rPr/>
        <w:t>（</w:t>
      </w:r>
      <w:r>
        <w:rPr>
          <w:rFonts w:ascii="Times New Roman" w:hAnsi="Times New Roman" w:cs="Times New Roman" w:eastAsia="Times New Roman" w:hint="default"/>
        </w:rPr>
        <w:t>3</w:t>
      </w:r>
      <w:r>
        <w:rPr/>
        <w:t>）安全服务：对于在资产负债表日服务已完成，经服务接受方验收合格后确认收入；在资产负债 </w:t>
      </w:r>
      <w:r>
        <w:rPr>
          <w:spacing w:val="-1"/>
        </w:rPr>
        <w:t>表日未完成的，公司在资产负债表日按完工百分比法确认收入，完工百分比按已发生成本占预计总成本的</w:t>
      </w:r>
      <w:r>
        <w:rPr>
          <w:spacing w:val="-81"/>
        </w:rPr>
        <w:t> </w:t>
      </w:r>
      <w:r>
        <w:rPr>
          <w:spacing w:val="-81"/>
        </w:rPr>
      </w:r>
      <w:r>
        <w:rPr/>
        <w:t>比例确定。</w:t>
      </w:r>
    </w:p>
    <w:p>
      <w:pPr>
        <w:spacing w:line="240" w:lineRule="auto" w:before="2"/>
        <w:rPr>
          <w:rFonts w:ascii="宋体" w:hAnsi="宋体" w:cs="宋体" w:eastAsia="宋体" w:hint="default"/>
          <w:sz w:val="19"/>
          <w:szCs w:val="19"/>
        </w:rPr>
      </w:pPr>
    </w:p>
    <w:p>
      <w:pPr>
        <w:pStyle w:val="Heading3"/>
        <w:spacing w:line="240" w:lineRule="auto"/>
        <w:ind w:left="153" w:right="0"/>
        <w:jc w:val="left"/>
        <w:rPr>
          <w:b w:val="0"/>
          <w:bCs w:val="0"/>
        </w:rPr>
      </w:pPr>
      <w:bookmarkStart w:name="24、政府补助" w:id="155"/>
      <w:bookmarkEnd w:id="155"/>
      <w:r>
        <w:rPr>
          <w:b w:val="0"/>
          <w:bCs w:val="0"/>
        </w:rPr>
      </w:r>
      <w:r>
        <w:rPr>
          <w:rFonts w:ascii="Times New Roman" w:hAnsi="Times New Roman" w:cs="Times New Roman" w:eastAsia="Times New Roman" w:hint="default"/>
        </w:rPr>
        <w:t>24</w:t>
      </w:r>
      <w:r>
        <w:rPr/>
        <w:t>、政府补助</w:t>
      </w:r>
      <w:r>
        <w:rPr>
          <w:b w:val="0"/>
          <w:bCs w:val="0"/>
        </w:rPr>
      </w:r>
    </w:p>
    <w:p>
      <w:pPr>
        <w:spacing w:line="702" w:lineRule="exact" w:before="6"/>
        <w:ind w:left="574" w:right="0" w:hanging="420"/>
        <w:jc w:val="left"/>
        <w:rPr>
          <w:rFonts w:ascii="宋体" w:hAnsi="宋体" w:cs="宋体" w:eastAsia="宋体" w:hint="default"/>
          <w:sz w:val="21"/>
          <w:szCs w:val="21"/>
        </w:rPr>
      </w:pPr>
      <w:bookmarkStart w:name="（1）与资产相关的政府补助判断依据及会计处理方法" w:id="156"/>
      <w:bookmarkEnd w:id="1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政府补助为货币性资产的，按照收到或应收的金额计量。政府补助为非货币性资产的，按照公允价值</w:t>
      </w:r>
    </w:p>
    <w:p>
      <w:pPr>
        <w:pStyle w:val="BodyText"/>
        <w:spacing w:line="328" w:lineRule="auto" w:before="14"/>
        <w:ind w:right="235"/>
        <w:jc w:val="both"/>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 直接计入当期损益。</w:t>
      </w:r>
    </w:p>
    <w:p>
      <w:pPr>
        <w:pStyle w:val="BodyText"/>
        <w:spacing w:line="240" w:lineRule="auto" w:before="48"/>
        <w:ind w:left="573" w:right="0"/>
        <w:jc w:val="left"/>
      </w:pPr>
      <w:r>
        <w:rPr/>
        <w:t>与资产相关的政府补助，确认为递延收益，按照所建造或购买的资产使用年限分期计入营业外收入。</w:t>
      </w:r>
    </w:p>
    <w:p>
      <w:pPr>
        <w:spacing w:line="702" w:lineRule="exact" w:before="19"/>
        <w:ind w:left="573" w:right="0" w:hanging="420"/>
        <w:jc w:val="left"/>
        <w:rPr>
          <w:rFonts w:ascii="宋体" w:hAnsi="宋体" w:cs="宋体" w:eastAsia="宋体" w:hint="default"/>
          <w:sz w:val="21"/>
          <w:szCs w:val="21"/>
        </w:rPr>
      </w:pPr>
      <w:bookmarkStart w:name="（2）与收益相关的政府补助判断依据及会计处理方法" w:id="157"/>
      <w:bookmarkEnd w:id="1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与收益相关的政府补助，用于补偿企业以后期间的相关费用或损失的，确认为递延收益，在确认相关</w:t>
      </w:r>
    </w:p>
    <w:p>
      <w:pPr>
        <w:pStyle w:val="BodyText"/>
        <w:spacing w:line="348" w:lineRule="auto" w:before="15"/>
        <w:ind w:right="151"/>
        <w:jc w:val="both"/>
      </w:pPr>
      <w:r>
        <w:rPr>
          <w:spacing w:val="-1"/>
        </w:rPr>
        <w:t>费用的期间计入当期营业外收入；用于补偿企业已发生的相关费用或损失的，取得时直接计入当期营业外</w:t>
      </w:r>
      <w:r>
        <w:rPr>
          <w:spacing w:val="-81"/>
        </w:rPr>
        <w:t> </w:t>
      </w:r>
      <w:r>
        <w:rPr>
          <w:spacing w:val="-81"/>
        </w:rPr>
      </w:r>
      <w:r>
        <w:rPr/>
        <w:t>收入。</w:t>
      </w:r>
    </w:p>
    <w:p>
      <w:pPr>
        <w:pStyle w:val="BodyText"/>
        <w:spacing w:line="350" w:lineRule="auto" w:before="30"/>
        <w:ind w:right="0" w:firstLine="420"/>
        <w:jc w:val="left"/>
      </w:pPr>
      <w:r>
        <w:rPr>
          <w:spacing w:val="-1"/>
        </w:rPr>
        <w:t>已确认的政府补助需要返还时，存在相关递延收益余额的，冲减相关递延收益账面余额，超出部分计</w:t>
      </w:r>
      <w:r>
        <w:rPr/>
        <w:t> 入当期损益；不存在相关递延收益的，直接计入当期损益。</w:t>
      </w:r>
    </w:p>
    <w:p>
      <w:pPr>
        <w:spacing w:line="240" w:lineRule="auto" w:before="4"/>
        <w:rPr>
          <w:rFonts w:ascii="宋体" w:hAnsi="宋体" w:cs="宋体" w:eastAsia="宋体" w:hint="default"/>
          <w:sz w:val="18"/>
          <w:szCs w:val="18"/>
        </w:rPr>
      </w:pPr>
    </w:p>
    <w:p>
      <w:pPr>
        <w:pStyle w:val="Heading3"/>
        <w:spacing w:line="240" w:lineRule="auto"/>
        <w:ind w:left="153" w:right="0"/>
        <w:jc w:val="left"/>
        <w:rPr>
          <w:b w:val="0"/>
          <w:bCs w:val="0"/>
        </w:rPr>
      </w:pPr>
      <w:bookmarkStart w:name="25、递延所得税资产/递延所得税负债" w:id="158"/>
      <w:bookmarkEnd w:id="158"/>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1"/>
          <w:szCs w:val="31"/>
        </w:rPr>
      </w:pPr>
    </w:p>
    <w:p>
      <w:pPr>
        <w:pStyle w:val="BodyText"/>
        <w:spacing w:line="340" w:lineRule="auto"/>
        <w:ind w:left="154" w:right="151" w:firstLine="42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 </w:t>
      </w:r>
      <w:r>
        <w:rPr>
          <w:spacing w:val="-1"/>
        </w:rPr>
        <w:t>确认。于资产负债表日，递延所得税资产和递延所得税负债，按照预期收回该资产或清偿该负债期间的适</w:t>
      </w:r>
      <w:r>
        <w:rPr>
          <w:spacing w:val="-83"/>
        </w:rPr>
        <w:t> </w:t>
      </w:r>
      <w:r>
        <w:rPr>
          <w:spacing w:val="-83"/>
        </w:rPr>
      </w:r>
      <w:r>
        <w:rPr/>
        <w:t>用税率计量。</w:t>
      </w:r>
    </w:p>
    <w:p>
      <w:pPr>
        <w:spacing w:line="328" w:lineRule="auto" w:before="36"/>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公司以很可能取得用来抵扣可抵扣暂时性差异、能够结转以后年度的可抵扣亏损和税款抵减的应纳税</w:t>
      </w:r>
    </w:p>
    <w:p>
      <w:pPr>
        <w:pStyle w:val="BodyText"/>
        <w:spacing w:line="340" w:lineRule="auto" w:before="48"/>
        <w:ind w:left="154" w:right="151"/>
        <w:jc w:val="both"/>
      </w:pPr>
      <w:r>
        <w:rPr>
          <w:spacing w:val="-1"/>
        </w:rPr>
        <w:t>所得额为限，确认由可抵扣暂时性差异产生的递延所得税资产。但是，同时具有下列特征的交易中因资产</w:t>
      </w:r>
      <w:r>
        <w:rPr>
          <w:spacing w:val="-83"/>
        </w:rPr>
        <w:t> </w:t>
      </w:r>
      <w:r>
        <w:rPr>
          <w:spacing w:val="-83"/>
        </w:rPr>
      </w:r>
      <w:r>
        <w:rPr>
          <w:spacing w:val="-1"/>
        </w:rPr>
        <w:t>或负债的初始确认所产生的递延所得税资产不予确认：（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）交易发生时既不</w:t>
      </w:r>
      <w:r>
        <w:rPr>
          <w:spacing w:val="-85"/>
        </w:rPr>
        <w:t> </w:t>
      </w:r>
      <w:r>
        <w:rPr>
          <w:spacing w:val="-85"/>
        </w:rPr>
      </w:r>
      <w:r>
        <w:rPr/>
        <w:t>影响会计利润也不影响应纳税所得额或可抵扣亏损。</w:t>
      </w:r>
    </w:p>
    <w:p>
      <w:pPr>
        <w:pStyle w:val="BodyText"/>
        <w:spacing w:line="240" w:lineRule="auto" w:before="37"/>
        <w:ind w:left="574" w:right="0"/>
        <w:jc w:val="left"/>
      </w:pPr>
      <w:r>
        <w:rPr/>
        <w:t>对于与联营企业投资相关的可抵扣暂时性差异，同时满足下列条件的，确认相应的递延所得税资产：</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40" w:lineRule="auto" w:before="35"/>
        <w:ind w:left="573" w:right="113" w:hanging="420"/>
        <w:jc w:val="left"/>
      </w:pPr>
      <w:r>
        <w:rPr/>
        <w:t>暂时性差异在可预见的未来很可能转回，且未来很可能获得用来抵扣可抵扣暂时性差异的应纳税所得额。 </w:t>
      </w: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8"/>
        </w:rPr>
        <w:t> </w:t>
      </w:r>
      <w:r>
        <w:rPr>
          <w:rFonts w:ascii="宋体" w:hAnsi="宋体" w:cs="宋体" w:eastAsia="宋体" w:hint="default"/>
          <w:b/>
          <w:bCs/>
        </w:rPr>
        <w:t>确认递延所得税负债的依据</w:t>
      </w:r>
      <w:r>
        <w:rPr>
          <w:rFonts w:ascii="宋体" w:hAnsi="宋体" w:cs="宋体" w:eastAsia="宋体" w:hint="default"/>
          <w:b/>
          <w:bCs/>
          <w:w w:val="99"/>
        </w:rPr>
        <w:t> </w:t>
      </w:r>
      <w:r>
        <w:rPr/>
        <w:t>公司将当期与以前期间应交未交的应纳税暂时性差异确认为递延所得税负债。但不包括：</w:t>
      </w:r>
    </w:p>
    <w:p>
      <w:pPr>
        <w:pStyle w:val="BodyText"/>
        <w:spacing w:line="240" w:lineRule="auto" w:before="37"/>
        <w:ind w:left="573"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31" w:lineRule="auto" w:before="109"/>
        <w:ind w:right="218" w:firstLine="42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 得额（或可抵扣亏损）所形成的暂时性差异；</w:t>
      </w:r>
    </w:p>
    <w:p>
      <w:pPr>
        <w:pStyle w:val="BodyText"/>
        <w:spacing w:line="328" w:lineRule="auto" w:before="45"/>
        <w:ind w:left="154" w:right="217" w:firstLine="42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 且该暂时性差异在可预见的未来很可能不会转回。</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6、其他重要的会计政策和会计估计" w:id="159"/>
      <w:bookmarkEnd w:id="159"/>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6"/>
        <w:rPr>
          <w:rFonts w:ascii="宋体" w:hAnsi="宋体" w:cs="宋体" w:eastAsia="宋体" w:hint="default"/>
          <w:b/>
          <w:bCs/>
          <w:sz w:val="31"/>
          <w:szCs w:val="31"/>
        </w:rPr>
      </w:pPr>
    </w:p>
    <w:p>
      <w:pPr>
        <w:spacing w:line="348" w:lineRule="auto" w:before="0"/>
        <w:ind w:left="573" w:right="5363" w:firstLine="2"/>
        <w:jc w:val="left"/>
        <w:rPr>
          <w:rFonts w:ascii="宋体" w:hAnsi="宋体" w:cs="宋体" w:eastAsia="宋体" w:hint="default"/>
          <w:sz w:val="21"/>
          <w:szCs w:val="21"/>
        </w:rPr>
      </w:pPr>
      <w:r>
        <w:rPr>
          <w:rFonts w:ascii="宋体" w:hAnsi="宋体" w:cs="宋体" w:eastAsia="宋体" w:hint="default"/>
          <w:b/>
          <w:bCs/>
          <w:sz w:val="21"/>
          <w:szCs w:val="21"/>
        </w:rPr>
        <w:t>利润分配政策</w:t>
      </w:r>
      <w:r>
        <w:rPr>
          <w:rFonts w:ascii="宋体" w:hAnsi="宋体" w:cs="宋体" w:eastAsia="宋体" w:hint="default"/>
          <w:b/>
          <w:bCs/>
          <w:w w:val="99"/>
          <w:sz w:val="21"/>
          <w:szCs w:val="21"/>
        </w:rPr>
        <w:t> </w:t>
      </w:r>
      <w:r>
        <w:rPr>
          <w:rFonts w:ascii="宋体" w:hAnsi="宋体" w:cs="宋体" w:eastAsia="宋体" w:hint="default"/>
          <w:sz w:val="21"/>
          <w:szCs w:val="21"/>
        </w:rPr>
        <w:t>公司缴纳所得税后的利润按下列顺序分配：</w:t>
      </w:r>
    </w:p>
    <w:p>
      <w:pPr>
        <w:pStyle w:val="BodyText"/>
        <w:spacing w:line="240" w:lineRule="auto" w:before="30"/>
        <w:ind w:left="574" w:right="0"/>
        <w:jc w:val="left"/>
      </w:pPr>
      <w:r>
        <w:rPr/>
        <w:t>①弥补以前年度亏损。</w:t>
      </w:r>
    </w:p>
    <w:p>
      <w:pPr>
        <w:pStyle w:val="BodyText"/>
        <w:spacing w:line="240" w:lineRule="auto" w:before="126"/>
        <w:ind w:left="574" w:right="0"/>
        <w:jc w:val="left"/>
      </w:pPr>
      <w:r>
        <w:rPr/>
        <w:t>②按净利润的</w:t>
      </w:r>
      <w:r>
        <w:rPr>
          <w:rFonts w:ascii="Times New Roman" w:hAnsi="Times New Roman" w:cs="Times New Roman" w:eastAsia="Times New Roman" w:hint="default"/>
        </w:rPr>
        <w:t>10%</w:t>
      </w:r>
      <w:r>
        <w:rPr/>
        <w:t>提取法定公积金。</w:t>
      </w:r>
    </w:p>
    <w:p>
      <w:pPr>
        <w:pStyle w:val="BodyText"/>
        <w:spacing w:line="240" w:lineRule="auto" w:before="109"/>
        <w:ind w:left="573" w:right="0"/>
        <w:jc w:val="left"/>
      </w:pPr>
      <w:r>
        <w:rPr/>
        <w:t>③经股东大会决议，可提取任意公积金。</w:t>
      </w:r>
    </w:p>
    <w:p>
      <w:pPr>
        <w:pStyle w:val="BodyText"/>
        <w:spacing w:line="240" w:lineRule="auto" w:before="124"/>
        <w:ind w:left="574" w:right="0"/>
        <w:jc w:val="left"/>
      </w:pPr>
      <w:r>
        <w:rPr/>
        <w:t>④剩余利润根据股东大会决议进行分配。</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7、重要会计政策和会计估计变更" w:id="160"/>
      <w:bookmarkEnd w:id="160"/>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61"/>
      <w:bookmarkEnd w:id="16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963"/>
        <w:gridCol w:w="3544"/>
        <w:gridCol w:w="1063"/>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54" w:hRule="exact"/>
        </w:trPr>
        <w:tc>
          <w:tcPr>
            <w:tcW w:w="49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本公司已执行财政部于</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年颁布的下列新的及修订的企业会 </w:t>
            </w:r>
            <w:r>
              <w:rPr>
                <w:rFonts w:ascii="宋体" w:hAnsi="宋体" w:cs="宋体" w:eastAsia="宋体" w:hint="default"/>
                <w:spacing w:val="-12"/>
                <w:sz w:val="18"/>
                <w:szCs w:val="18"/>
              </w:rPr>
              <w:t>计准则：</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、《企业会计准则</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基本准则》（修订）；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长期股权投资》（修订）；</w:t>
            </w:r>
          </w:p>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9" w:lineRule="auto" w:before="102"/>
              <w:ind w:left="22" w:right="69"/>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在其他主体中权益的披露》。报</w:t>
            </w:r>
            <w:r>
              <w:rPr>
                <w:rFonts w:ascii="宋体" w:hAnsi="宋体" w:cs="宋体" w:eastAsia="宋体" w:hint="default"/>
                <w:sz w:val="18"/>
                <w:szCs w:val="18"/>
              </w:rPr>
              <w:t> 告期公司除上述会计政策变更之外，其他主要会计政策未发生 变更。</w:t>
            </w:r>
          </w:p>
        </w:tc>
        <w:tc>
          <w:tcPr>
            <w:tcW w:w="35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日召开第二届董事会 第二十三次（临时）会议及第二届监事会第 十六次（临时）会议，分别审议通过了《关 于公司会计政策变更的议案》</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1" w:lineRule="auto" w:before="75"/>
        <w:ind w:right="0" w:firstLine="420"/>
        <w:jc w:val="left"/>
      </w:pPr>
      <w:r>
        <w:rPr>
          <w:spacing w:val="-1"/>
        </w:rPr>
        <w:t>本公司根据修订后的《企业会计准则第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财务报表列报》的要求将递延收益单独列报，并对年初</w:t>
      </w:r>
      <w:r>
        <w:rPr/>
        <w:t> 数采用追溯调整法进行调整列报，追溯调整影响如下：</w:t>
      </w:r>
    </w:p>
    <w:p>
      <w:pPr>
        <w:spacing w:after="0" w:line="331" w:lineRule="auto"/>
        <w:jc w:val="lef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663"/>
        <w:gridCol w:w="1714"/>
        <w:gridCol w:w="1716"/>
        <w:gridCol w:w="1713"/>
        <w:gridCol w:w="1715"/>
      </w:tblGrid>
      <w:tr>
        <w:trPr>
          <w:trHeight w:val="366" w:hRule="exact"/>
        </w:trPr>
        <w:tc>
          <w:tcPr>
            <w:tcW w:w="2663"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66" w:hRule="exact"/>
        </w:trPr>
        <w:tc>
          <w:tcPr>
            <w:tcW w:w="2663" w:type="dxa"/>
            <w:vMerge/>
            <w:tcBorders>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66"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26,240,000.00</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42,234,419.72</w:t>
            </w:r>
          </w:p>
        </w:tc>
      </w:tr>
      <w:tr>
        <w:trPr>
          <w:trHeight w:val="366"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26,240,000.00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42,234,419.72</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7"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26,240,000.00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26,240,000.00</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42,234,419.72</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42,234,419.72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162"/>
      <w:bookmarkEnd w:id="16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bookmarkStart w:name="六、税项" w:id="163"/>
      <w:bookmarkEnd w:id="16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164"/>
      <w:bookmarkEnd w:id="16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90"/>
        <w:gridCol w:w="317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2"/>
              <w:jc w:val="center"/>
              <w:rPr>
                <w:rFonts w:ascii="宋体" w:hAnsi="宋体" w:cs="宋体" w:eastAsia="宋体" w:hint="default"/>
                <w:sz w:val="18"/>
                <w:szCs w:val="18"/>
              </w:rPr>
            </w:pPr>
            <w:r>
              <w:rPr>
                <w:rFonts w:ascii="宋体" w:hAnsi="宋体" w:cs="宋体" w:eastAsia="宋体" w:hint="default"/>
                <w:sz w:val="18"/>
                <w:szCs w:val="18"/>
              </w:rPr>
              <w:t>税种</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13" w:space="0" w:color="CCE8CF"/>
            </w:tcBorders>
            <w:shd w:val="clear" w:color="auto" w:fill="D2D2D2"/>
          </w:tcPr>
          <w:p>
            <w:pPr/>
          </w:p>
        </w:tc>
        <w:tc>
          <w:tcPr>
            <w:tcW w:w="3178"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1"/>
              <w:ind w:left="4" w:right="96"/>
              <w:jc w:val="left"/>
              <w:rPr>
                <w:rFonts w:ascii="宋体" w:hAnsi="宋体" w:cs="宋体" w:eastAsia="宋体" w:hint="default"/>
                <w:sz w:val="18"/>
                <w:szCs w:val="18"/>
              </w:rPr>
            </w:pPr>
            <w:r>
              <w:rPr>
                <w:rFonts w:ascii="宋体" w:hAnsi="宋体" w:cs="宋体" w:eastAsia="宋体" w:hint="default"/>
                <w:sz w:val="18"/>
                <w:szCs w:val="18"/>
              </w:rPr>
              <w:t>销售收入（营改增试点地区适用应税劳 务收入）</w:t>
            </w:r>
          </w:p>
        </w:tc>
        <w:tc>
          <w:tcPr>
            <w:tcW w:w="3191"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3190"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78" w:type="dxa"/>
            <w:vMerge/>
            <w:tcBorders>
              <w:left w:val="single" w:sz="9" w:space="0" w:color="D2D2D2"/>
              <w:right w:val="single" w:sz="4" w:space="0" w:color="000000"/>
            </w:tcBorders>
            <w:shd w:val="clear" w:color="auto" w:fill="CCE8CF"/>
          </w:tcPr>
          <w:p>
            <w:pPr/>
          </w:p>
        </w:tc>
        <w:tc>
          <w:tcPr>
            <w:tcW w:w="319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161" w:hRule="exact"/>
        </w:trPr>
        <w:tc>
          <w:tcPr>
            <w:tcW w:w="3190" w:type="dxa"/>
            <w:tcBorders>
              <w:top w:val="nil" w:sz="6" w:space="0" w:color="auto"/>
              <w:left w:val="single" w:sz="4" w:space="0" w:color="000000"/>
              <w:bottom w:val="single" w:sz="4" w:space="0" w:color="000000"/>
              <w:right w:val="single" w:sz="13" w:space="0" w:color="CCE8CF"/>
            </w:tcBorders>
            <w:shd w:val="clear" w:color="auto" w:fill="D2D2D2"/>
          </w:tcPr>
          <w:p>
            <w:pPr/>
          </w:p>
        </w:tc>
        <w:tc>
          <w:tcPr>
            <w:tcW w:w="3178" w:type="dxa"/>
            <w:vMerge/>
            <w:tcBorders>
              <w:left w:val="single" w:sz="9" w:space="0" w:color="D2D2D2"/>
              <w:bottom w:val="single" w:sz="4" w:space="0" w:color="000000"/>
              <w:right w:val="single" w:sz="4" w:space="0" w:color="000000"/>
            </w:tcBorders>
            <w:shd w:val="clear" w:color="auto" w:fill="CCE8CF"/>
          </w:tcPr>
          <w:p>
            <w:pPr/>
          </w:p>
        </w:tc>
        <w:tc>
          <w:tcPr>
            <w:tcW w:w="3191"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402" w:hRule="exact"/>
        </w:trPr>
        <w:tc>
          <w:tcPr>
            <w:tcW w:w="3190"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7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7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6"/>
          <w:szCs w:val="6"/>
        </w:rPr>
      </w:pPr>
    </w:p>
    <w:p>
      <w:pPr>
        <w:pStyle w:val="BodyText"/>
        <w:spacing w:line="240" w:lineRule="auto" w:before="35"/>
        <w:ind w:left="154" w:right="0"/>
        <w:jc w:val="left"/>
      </w:pPr>
      <w:r>
        <w:rPr/>
        <w:t>存在不同企业所得税税率纳税主体的，披露情况说明</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新设软件企业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新设软件企业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税收优惠" w:id="165"/>
      <w:bookmarkEnd w:id="16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left="574" w:right="0" w:firstLine="2"/>
        <w:jc w:val="left"/>
      </w:pPr>
      <w:r>
        <w:rPr>
          <w:rFonts w:ascii="宋体" w:hAnsi="宋体" w:cs="宋体" w:eastAsia="宋体" w:hint="default"/>
          <w:b/>
          <w:bCs/>
        </w:rPr>
        <w:t>增值税</w:t>
      </w:r>
      <w:r>
        <w:rPr>
          <w:rFonts w:ascii="宋体" w:hAnsi="宋体" w:cs="宋体" w:eastAsia="宋体" w:hint="default"/>
          <w:b/>
          <w:bCs/>
          <w:spacing w:val="1"/>
          <w:w w:val="99"/>
        </w:rPr>
        <w:t> </w:t>
      </w:r>
      <w:r>
        <w:rPr>
          <w:spacing w:val="-1"/>
        </w:rPr>
        <w:t>公司及子公司蓝盾信息安全技术有限公司被认定为软件企业，取得广东省信息产业厅颁发的《软件企</w:t>
      </w:r>
    </w:p>
    <w:p>
      <w:pPr>
        <w:pStyle w:val="BodyText"/>
        <w:spacing w:line="340" w:lineRule="auto" w:before="28"/>
        <w:ind w:right="150"/>
        <w:jc w:val="both"/>
      </w:pPr>
      <w:r>
        <w:rPr>
          <w:spacing w:val="-1"/>
        </w:rPr>
        <w:t>业认定证书》。根据财政部、国家税务总局、海关总署颁布的《关于鼓励软件产业和集成电路产业发展有</w:t>
      </w:r>
      <w:r>
        <w:rPr>
          <w:spacing w:val="-83"/>
        </w:rPr>
        <w:t> </w:t>
      </w:r>
      <w:r>
        <w:rPr>
          <w:spacing w:val="-83"/>
        </w:rPr>
      </w:r>
      <w:r>
        <w:rPr/>
        <w:t>关税收政策问题的通知》（财税</w:t>
      </w:r>
      <w:r>
        <w:rPr>
          <w:rFonts w:ascii="Times New Roman" w:hAnsi="Times New Roman" w:cs="Times New Roman" w:eastAsia="Times New Roman" w:hint="default"/>
        </w:rPr>
        <w:t>[2000]25</w:t>
      </w:r>
      <w:r>
        <w:rPr/>
        <w:t>号）以及国务院颁布的《进一步鼓励软件产业和集成电路产业发</w:t>
      </w:r>
      <w:r>
        <w:rPr>
          <w:spacing w:val="-66"/>
        </w:rPr>
        <w:t> </w:t>
      </w:r>
      <w:r>
        <w:rPr>
          <w:spacing w:val="-66"/>
        </w:rPr>
      </w:r>
      <w:r>
        <w:rPr>
          <w:spacing w:val="-1"/>
        </w:rPr>
        <w:t>展的若干政策》（国发</w:t>
      </w:r>
      <w:r>
        <w:rPr>
          <w:rFonts w:ascii="Times New Roman" w:hAnsi="Times New Roman" w:cs="Times New Roman" w:eastAsia="Times New Roman" w:hint="default"/>
          <w:spacing w:val="-1"/>
        </w:rPr>
        <w:t>[2011]4</w:t>
      </w:r>
      <w:r>
        <w:rPr>
          <w:spacing w:val="-1"/>
        </w:rPr>
        <w:t>号）的规定，对增值税一般纳税人销售自行开发生产的软件产品，按</w:t>
      </w:r>
      <w:r>
        <w:rPr>
          <w:rFonts w:ascii="Times New Roman" w:hAnsi="Times New Roman" w:cs="Times New Roman" w:eastAsia="Times New Roman" w:hint="default"/>
          <w:spacing w:val="-1"/>
        </w:rPr>
        <w:t>17%</w:t>
      </w:r>
      <w:r>
        <w:rPr>
          <w:spacing w:val="-1"/>
        </w:rPr>
        <w:t>的</w:t>
      </w:r>
    </w:p>
    <w:p>
      <w:pPr>
        <w:spacing w:after="0" w:line="340" w:lineRule="auto"/>
        <w:jc w:val="both"/>
        <w:sectPr>
          <w:pgSz w:w="11910" w:h="16840"/>
          <w:pgMar w:header="877" w:footer="979" w:top="1100" w:bottom="1160" w:left="980" w:right="980"/>
        </w:sectPr>
      </w:pPr>
    </w:p>
    <w:p>
      <w:pPr>
        <w:spacing w:line="240" w:lineRule="auto" w:before="7"/>
        <w:rPr>
          <w:rFonts w:ascii="宋体" w:hAnsi="宋体" w:cs="宋体" w:eastAsia="宋体" w:hint="default"/>
          <w:sz w:val="27"/>
          <w:szCs w:val="27"/>
        </w:rPr>
      </w:pPr>
    </w:p>
    <w:p>
      <w:pPr>
        <w:pStyle w:val="BodyText"/>
        <w:spacing w:line="328" w:lineRule="auto" w:before="35"/>
        <w:ind w:left="576" w:right="2563" w:hanging="423"/>
        <w:jc w:val="left"/>
        <w:rPr>
          <w:rFonts w:ascii="宋体" w:hAnsi="宋体" w:cs="宋体" w:eastAsia="宋体" w:hint="default"/>
        </w:rPr>
      </w:pPr>
      <w:r>
        <w:rPr/>
        <w:t>法定税率征收增值税后，对增值税实际税负超过</w:t>
      </w:r>
      <w:r>
        <w:rPr>
          <w:rFonts w:ascii="Times New Roman" w:hAnsi="Times New Roman" w:cs="Times New Roman" w:eastAsia="Times New Roman" w:hint="default"/>
        </w:rPr>
        <w:t>3%</w:t>
      </w:r>
      <w:r>
        <w:rPr/>
        <w:t>的部分实行即征即退政策。 </w:t>
      </w:r>
      <w:r>
        <w:rPr>
          <w:rFonts w:ascii="宋体" w:hAnsi="宋体" w:cs="宋体" w:eastAsia="宋体" w:hint="default"/>
          <w:b/>
          <w:bCs/>
        </w:rPr>
        <w:t>营业税</w:t>
      </w:r>
      <w:r>
        <w:rPr>
          <w:rFonts w:ascii="宋体" w:hAnsi="宋体" w:cs="宋体" w:eastAsia="宋体" w:hint="default"/>
        </w:rPr>
      </w:r>
    </w:p>
    <w:p>
      <w:pPr>
        <w:pStyle w:val="BodyText"/>
        <w:spacing w:line="331" w:lineRule="auto" w:before="48"/>
        <w:ind w:right="152" w:firstLine="420"/>
        <w:jc w:val="both"/>
      </w:pPr>
      <w:r>
        <w:rPr/>
        <w:t>根据国家税收法规，按照营业税征缴范围的营业收入的</w:t>
      </w:r>
      <w:r>
        <w:rPr>
          <w:rFonts w:ascii="Times New Roman" w:hAnsi="Times New Roman" w:cs="Times New Roman" w:eastAsia="Times New Roman" w:hint="default"/>
        </w:rPr>
        <w:t>3%</w:t>
      </w:r>
      <w:r>
        <w:rPr/>
        <w:t>或</w:t>
      </w:r>
      <w:r>
        <w:rPr>
          <w:rFonts w:ascii="Times New Roman" w:hAnsi="Times New Roman" w:cs="Times New Roman" w:eastAsia="Times New Roman" w:hint="default"/>
        </w:rPr>
        <w:t>5%</w:t>
      </w:r>
      <w:r>
        <w:rPr/>
        <w:t>计提缴纳，对符合规定的技术开发收 入免征营业税。</w:t>
      </w:r>
    </w:p>
    <w:p>
      <w:pPr>
        <w:pStyle w:val="Heading3"/>
        <w:spacing w:line="240" w:lineRule="auto" w:before="45"/>
        <w:ind w:left="576" w:right="0"/>
        <w:jc w:val="left"/>
        <w:rPr>
          <w:b w:val="0"/>
          <w:bCs w:val="0"/>
        </w:rPr>
      </w:pPr>
      <w:r>
        <w:rPr/>
        <w:t>企业所得税</w:t>
      </w:r>
      <w:r>
        <w:rPr>
          <w:b w:val="0"/>
          <w:bCs w:val="0"/>
        </w:rPr>
      </w:r>
    </w:p>
    <w:p>
      <w:pPr>
        <w:pStyle w:val="BodyText"/>
        <w:spacing w:line="331" w:lineRule="auto" w:before="126"/>
        <w:ind w:right="139" w:firstLine="420"/>
        <w:jc w:val="left"/>
      </w:pPr>
      <w:r>
        <w:rPr>
          <w:spacing w:val="-1"/>
        </w:rPr>
        <w:t>（</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日取得广东省科学技术厅、广东省财政厅、广东省国家税务局、广东省地方</w:t>
      </w:r>
      <w:r>
        <w:rPr/>
        <w:t> 税务局联合下发的编号为</w:t>
      </w:r>
      <w:r>
        <w:rPr>
          <w:rFonts w:ascii="Times New Roman" w:hAnsi="Times New Roman" w:cs="Times New Roman" w:eastAsia="Times New Roman" w:hint="default"/>
        </w:rPr>
        <w:t>GF201144000376</w:t>
      </w:r>
      <w:r>
        <w:rPr/>
        <w:t>的《高新技术企业证书》，该认定有效期为三年。根据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16</w:t>
      </w:r>
      <w:r>
        <w:rPr/>
        <w:t>日发布的《中华人民共和国企业所得税法》（以下简称</w:t>
      </w:r>
      <w:r>
        <w:rPr>
          <w:rFonts w:ascii="Times New Roman" w:hAnsi="Times New Roman" w:cs="Times New Roman" w:eastAsia="Times New Roman" w:hint="default"/>
        </w:rPr>
        <w:t>“</w:t>
      </w:r>
      <w:r>
        <w:rPr/>
        <w:t>新企业所得税法</w:t>
      </w:r>
      <w:r>
        <w:rPr>
          <w:rFonts w:ascii="Times New Roman" w:hAnsi="Times New Roman" w:cs="Times New Roman" w:eastAsia="Times New Roman" w:hint="default"/>
        </w:rPr>
        <w:t>”</w:t>
      </w:r>
      <w:r>
        <w:rPr/>
        <w:t>）的规定，公司自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 </w:t>
      </w:r>
      <w:r>
        <w:rPr>
          <w:spacing w:val="-2"/>
        </w:rPr>
        <w:t>月</w:t>
      </w:r>
      <w:r>
        <w:rPr>
          <w:rFonts w:ascii="Times New Roman" w:hAnsi="Times New Roman" w:cs="Times New Roman" w:eastAsia="Times New Roman" w:hint="default"/>
          <w:spacing w:val="-2"/>
        </w:rPr>
        <w:t>1</w:t>
      </w:r>
      <w:r>
        <w:rPr>
          <w:spacing w:val="-2"/>
        </w:rPr>
        <w:t>日起按照新企业所得税税法的规定计缴企业所得税。新企业所得税规定：企业所得税税率为</w:t>
      </w:r>
      <w:r>
        <w:rPr>
          <w:rFonts w:ascii="Times New Roman" w:hAnsi="Times New Roman" w:cs="Times New Roman" w:eastAsia="Times New Roman" w:hint="default"/>
          <w:spacing w:val="-2"/>
        </w:rPr>
        <w:t>25%</w:t>
      </w:r>
      <w:r>
        <w:rPr>
          <w:spacing w:val="-2"/>
        </w:rPr>
        <w:t>，国家</w:t>
      </w:r>
      <w:r>
        <w:rPr/>
        <w:t> 规划布局内的重点软件生产企业和集成电路设计企业，减按</w:t>
      </w:r>
      <w:r>
        <w:rPr>
          <w:rFonts w:ascii="Times New Roman" w:hAnsi="Times New Roman" w:cs="Times New Roman" w:eastAsia="Times New Roman" w:hint="default"/>
        </w:rPr>
        <w:t>10</w:t>
      </w:r>
      <w:r>
        <w:rPr/>
        <w:t>％的税率征收企业所得税。公司于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21</w:t>
      </w:r>
      <w:r>
        <w:rPr/>
        <w:t>日取得认证，公司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年适用的所得税税率为</w:t>
      </w:r>
      <w:r>
        <w:rPr>
          <w:rFonts w:ascii="Times New Roman" w:hAnsi="Times New Roman" w:cs="Times New Roman" w:eastAsia="Times New Roman" w:hint="default"/>
        </w:rPr>
        <w:t>10%</w:t>
      </w:r>
      <w:r>
        <w:rPr/>
        <w:t>。</w:t>
      </w:r>
    </w:p>
    <w:p>
      <w:pPr>
        <w:pStyle w:val="BodyText"/>
        <w:spacing w:line="328" w:lineRule="auto" w:before="21"/>
        <w:ind w:right="235" w:firstLine="420"/>
        <w:jc w:val="both"/>
      </w:pPr>
      <w:r>
        <w:rPr/>
        <w:t>（</w:t>
      </w:r>
      <w:r>
        <w:rPr>
          <w:rFonts w:ascii="Times New Roman" w:hAnsi="Times New Roman" w:cs="Times New Roman" w:eastAsia="Times New Roman" w:hint="default"/>
        </w:rPr>
        <w:t>2</w:t>
      </w:r>
      <w:r>
        <w:rPr/>
        <w:t>）公司子公司蓝盾信息安全技术有限公司于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日取得广东省经济和信息化委员会下发 的编号为粤</w:t>
      </w:r>
      <w:r>
        <w:rPr>
          <w:rFonts w:ascii="Times New Roman" w:hAnsi="Times New Roman" w:cs="Times New Roman" w:eastAsia="Times New Roman" w:hint="default"/>
        </w:rPr>
        <w:t>-R2013-0555</w:t>
      </w:r>
      <w:r>
        <w:rPr/>
        <w:t>的《软件企业认定证书》。根据财税</w:t>
      </w:r>
      <w:r>
        <w:rPr>
          <w:rFonts w:ascii="Times New Roman" w:hAnsi="Times New Roman" w:cs="Times New Roman" w:eastAsia="Times New Roman" w:hint="default"/>
        </w:rPr>
        <w:t>[2008]1</w:t>
      </w:r>
      <w:r>
        <w:rPr/>
        <w:t>号《财政部、国家税务总局关于企业 所得税若干优惠政策的通知》，从</w:t>
      </w:r>
      <w:r>
        <w:rPr>
          <w:rFonts w:ascii="Times New Roman" w:hAnsi="Times New Roman" w:cs="Times New Roman" w:eastAsia="Times New Roman" w:hint="default"/>
        </w:rPr>
        <w:t>2012</w:t>
      </w:r>
      <w:r>
        <w:rPr/>
        <w:t>年开始享受企业所得税两免三减半优惠。</w:t>
      </w:r>
    </w:p>
    <w:p>
      <w:pPr>
        <w:pStyle w:val="BodyText"/>
        <w:spacing w:line="338" w:lineRule="auto" w:before="24"/>
        <w:ind w:right="152" w:firstLine="420"/>
        <w:jc w:val="both"/>
      </w:pPr>
      <w:r>
        <w:rPr>
          <w:spacing w:val="-1"/>
        </w:rPr>
        <w:t>（</w:t>
      </w:r>
      <w:r>
        <w:rPr>
          <w:rFonts w:ascii="Times New Roman" w:hAnsi="Times New Roman" w:cs="Times New Roman" w:eastAsia="Times New Roman" w:hint="default"/>
          <w:spacing w:val="-1"/>
        </w:rPr>
        <w:t>3</w:t>
      </w:r>
      <w:r>
        <w:rPr>
          <w:spacing w:val="-1"/>
        </w:rPr>
        <w:t>）广东蓝盾乐庚信息技术有限公司符合双软企业，已于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日取得广东省经济和信息化委</w:t>
      </w:r>
      <w:r>
        <w:rPr/>
        <w:t> </w:t>
      </w:r>
      <w:r>
        <w:rPr>
          <w:spacing w:val="-1"/>
        </w:rPr>
        <w:t>员会颁发的《软件企业认定证书》，享受两免三减半的优惠政策，从开始获利年度起，第一年和第二年免</w:t>
      </w:r>
      <w:r>
        <w:rPr>
          <w:spacing w:val="-83"/>
        </w:rPr>
        <w:t> </w:t>
      </w:r>
      <w:r>
        <w:rPr>
          <w:spacing w:val="-83"/>
        </w:rPr>
      </w:r>
      <w:r>
        <w:rPr/>
        <w:t>征企业所得税，第三年至第五年减半征收企业所得税。</w:t>
      </w:r>
      <w:r>
        <w:rPr>
          <w:rFonts w:ascii="Times New Roman" w:hAnsi="Times New Roman" w:cs="Times New Roman" w:eastAsia="Times New Roman" w:hint="default"/>
        </w:rPr>
        <w:t>2014</w:t>
      </w:r>
      <w:r>
        <w:rPr/>
        <w:t>年免征所得税。</w:t>
      </w:r>
    </w:p>
    <w:p>
      <w:pPr>
        <w:spacing w:line="240" w:lineRule="auto" w:before="4"/>
        <w:rPr>
          <w:rFonts w:ascii="宋体" w:hAnsi="宋体" w:cs="宋体" w:eastAsia="宋体" w:hint="default"/>
          <w:sz w:val="17"/>
          <w:szCs w:val="17"/>
        </w:rPr>
      </w:pPr>
    </w:p>
    <w:p>
      <w:pPr>
        <w:pStyle w:val="Heading3"/>
        <w:spacing w:line="240" w:lineRule="auto"/>
        <w:ind w:left="153" w:right="0"/>
        <w:jc w:val="left"/>
        <w:rPr>
          <w:b w:val="0"/>
          <w:bCs w:val="0"/>
        </w:rPr>
      </w:pPr>
      <w:bookmarkStart w:name="3、其他" w:id="166"/>
      <w:bookmarkEnd w:id="166"/>
      <w:r>
        <w:rPr>
          <w:b w:val="0"/>
          <w:bCs w:val="0"/>
        </w:rPr>
      </w:r>
      <w:r>
        <w:rPr>
          <w:rFonts w:ascii="Times New Roman" w:hAnsi="Times New Roman" w:cs="Times New Roman" w:eastAsia="Times New Roman" w:hint="default"/>
        </w:rPr>
        <w:t>3</w:t>
      </w:r>
      <w:r>
        <w:rPr/>
        <w:t>、其他</w:t>
      </w:r>
      <w:r>
        <w:rPr>
          <w:b w:val="0"/>
          <w:bCs w:val="0"/>
        </w:rPr>
      </w:r>
    </w:p>
    <w:p>
      <w:pPr>
        <w:spacing w:line="520" w:lineRule="atLeast" w:before="182"/>
        <w:ind w:left="573" w:right="433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房产税</w:t>
      </w:r>
      <w:r>
        <w:rPr>
          <w:rFonts w:ascii="宋体" w:hAnsi="宋体" w:cs="宋体" w:eastAsia="宋体" w:hint="default"/>
          <w:b/>
          <w:bCs/>
          <w:w w:val="99"/>
          <w:sz w:val="21"/>
          <w:szCs w:val="21"/>
        </w:rPr>
        <w:t> </w:t>
      </w:r>
      <w:r>
        <w:rPr>
          <w:rFonts w:ascii="宋体" w:hAnsi="宋体" w:cs="宋体" w:eastAsia="宋体" w:hint="default"/>
          <w:sz w:val="21"/>
          <w:szCs w:val="21"/>
        </w:rPr>
        <w:t>房产税按照房产原值的</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为纳税基准，税率为</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line="429" w:lineRule="auto" w:before="109"/>
        <w:ind w:left="573" w:right="62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员工个人所得税由公司代扣代缴。</w:t>
      </w:r>
    </w:p>
    <w:p>
      <w:pPr>
        <w:pStyle w:val="Heading2"/>
        <w:spacing w:line="240" w:lineRule="auto" w:before="147"/>
        <w:ind w:right="0"/>
        <w:jc w:val="left"/>
        <w:rPr>
          <w:b w:val="0"/>
          <w:bCs w:val="0"/>
        </w:rPr>
      </w:pPr>
      <w:bookmarkStart w:name="七、合并财务报表项目注释" w:id="167"/>
      <w:bookmarkEnd w:id="16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68"/>
      <w:bookmarkEnd w:id="16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69,549.27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333,066,527.00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396,747,843.80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24,469,259.73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11,860,431.05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357,652,024.59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408,677,824.12</w:t>
            </w:r>
          </w:p>
        </w:tc>
      </w:tr>
    </w:tbl>
    <w:p>
      <w:pPr>
        <w:spacing w:line="240" w:lineRule="auto" w:before="2"/>
        <w:rPr>
          <w:rFonts w:ascii="宋体" w:hAnsi="宋体" w:cs="宋体" w:eastAsia="宋体" w:hint="default"/>
          <w:sz w:val="6"/>
          <w:szCs w:val="6"/>
        </w:rPr>
      </w:pPr>
    </w:p>
    <w:p>
      <w:pPr>
        <w:pStyle w:val="BodyText"/>
        <w:spacing w:line="240" w:lineRule="auto" w:before="35"/>
        <w:ind w:left="154" w:right="0"/>
        <w:jc w:val="left"/>
      </w:pPr>
      <w:r>
        <w:rPr/>
        <w:t>其他说明</w:t>
      </w:r>
    </w:p>
    <w:p>
      <w:pPr>
        <w:spacing w:after="0" w:line="240" w:lineRule="auto"/>
        <w:jc w:val="left"/>
        <w:sectPr>
          <w:footerReference w:type="default" r:id="rId27"/>
          <w:pgSz w:w="11910" w:h="16840"/>
          <w:pgMar w:footer="979" w:header="877" w:top="1100" w:bottom="1160" w:left="980" w:right="980"/>
          <w:pgNumType w:start="100"/>
        </w:sectPr>
      </w:pPr>
    </w:p>
    <w:p>
      <w:pPr>
        <w:spacing w:line="240" w:lineRule="auto" w:before="9"/>
        <w:rPr>
          <w:rFonts w:ascii="宋体" w:hAnsi="宋体" w:cs="宋体" w:eastAsia="宋体" w:hint="default"/>
          <w:sz w:val="20"/>
          <w:szCs w:val="20"/>
        </w:rPr>
      </w:pPr>
    </w:p>
    <w:p>
      <w:pPr>
        <w:pStyle w:val="BodyText"/>
        <w:spacing w:line="240" w:lineRule="auto" w:before="35"/>
        <w:ind w:left="1453"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026" w:type="dxa"/>
        <w:tblLayout w:type="fixed"/>
        <w:tblCellMar>
          <w:top w:w="0" w:type="dxa"/>
          <w:left w:w="0" w:type="dxa"/>
          <w:bottom w:w="0" w:type="dxa"/>
          <w:right w:w="0" w:type="dxa"/>
        </w:tblCellMar>
        <w:tblLook w:val="01E0"/>
      </w:tblPr>
      <w:tblGrid>
        <w:gridCol w:w="4503"/>
        <w:gridCol w:w="2443"/>
        <w:gridCol w:w="2748"/>
      </w:tblGrid>
      <w:tr>
        <w:trPr>
          <w:trHeight w:val="427"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11,387,866.67</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4,143,249.75</w:t>
            </w:r>
          </w:p>
        </w:tc>
      </w:tr>
      <w:tr>
        <w:trPr>
          <w:trHeight w:val="42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13,081,393.06</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7,717,181.30</w:t>
            </w:r>
          </w:p>
        </w:tc>
      </w:tr>
      <w:tr>
        <w:trPr>
          <w:trHeight w:val="42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24,469,259.73</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11,860,431.05</w:t>
            </w:r>
          </w:p>
        </w:tc>
      </w:tr>
    </w:tbl>
    <w:p>
      <w:pPr>
        <w:spacing w:line="240" w:lineRule="auto" w:before="2"/>
        <w:rPr>
          <w:rFonts w:ascii="宋体" w:hAnsi="宋体" w:cs="宋体" w:eastAsia="宋体" w:hint="default"/>
          <w:sz w:val="19"/>
          <w:szCs w:val="19"/>
        </w:rPr>
      </w:pPr>
    </w:p>
    <w:p>
      <w:pPr>
        <w:pStyle w:val="Heading3"/>
        <w:spacing w:line="240" w:lineRule="auto" w:before="35"/>
        <w:ind w:left="1034" w:right="0"/>
        <w:jc w:val="left"/>
        <w:rPr>
          <w:b w:val="0"/>
          <w:bCs w:val="0"/>
        </w:rPr>
      </w:pPr>
      <w:bookmarkStart w:name="2、应收账款" w:id="169"/>
      <w:bookmarkEnd w:id="169"/>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034" w:right="0"/>
        <w:jc w:val="left"/>
        <w:rPr>
          <w:b w:val="0"/>
          <w:bCs w:val="0"/>
        </w:rPr>
      </w:pPr>
      <w:bookmarkStart w:name="（1）应收账款分类披露" w:id="170"/>
      <w:bookmarkEnd w:id="17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0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11"/>
        <w:gridCol w:w="1213"/>
        <w:gridCol w:w="709"/>
        <w:gridCol w:w="1134"/>
        <w:gridCol w:w="566"/>
        <w:gridCol w:w="1277"/>
        <w:gridCol w:w="1277"/>
        <w:gridCol w:w="710"/>
        <w:gridCol w:w="1204"/>
        <w:gridCol w:w="566"/>
        <w:gridCol w:w="1224"/>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48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9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2" w:type="dxa"/>
            <w:gridSpan w:val="2"/>
            <w:vMerge/>
            <w:tcBorders>
              <w:left w:val="single" w:sz="4" w:space="0" w:color="000000"/>
              <w:bottom w:val="single" w:sz="4" w:space="0" w:color="000000"/>
              <w:right w:val="single" w:sz="4" w:space="0" w:color="000000"/>
            </w:tcBorders>
            <w:shd w:val="clear" w:color="auto" w:fill="D2D2D2"/>
          </w:tcPr>
          <w:p>
            <w:pPr/>
          </w:p>
        </w:tc>
        <w:tc>
          <w:tcPr>
            <w:tcW w:w="170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6" w:type="dxa"/>
            <w:gridSpan w:val="2"/>
            <w:vMerge/>
            <w:tcBorders>
              <w:left w:val="single" w:sz="4" w:space="0" w:color="000000"/>
              <w:bottom w:val="single" w:sz="4" w:space="0" w:color="000000"/>
              <w:right w:val="single" w:sz="4" w:space="0" w:color="000000"/>
            </w:tcBorders>
            <w:shd w:val="clear" w:color="auto" w:fill="D2D2D2"/>
          </w:tcPr>
          <w:p>
            <w:pPr/>
          </w:p>
        </w:tc>
        <w:tc>
          <w:tcPr>
            <w:tcW w:w="1770" w:type="dxa"/>
            <w:gridSpan w:val="2"/>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329,496,670.97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26,476,878.62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303,019,792.35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221,428,717.10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16,498,877.57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204,929,839.53</w:t>
            </w:r>
          </w:p>
        </w:tc>
      </w:tr>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329,496,670.97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26,476,878.62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303,019,792.35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221,428,717.10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16,498,877.57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204,929,839.53</w:t>
            </w:r>
          </w:p>
        </w:tc>
      </w:tr>
    </w:tbl>
    <w:p>
      <w:pPr>
        <w:pStyle w:val="BodyText"/>
        <w:spacing w:line="240" w:lineRule="auto" w:before="26"/>
        <w:ind w:left="1034" w:right="0"/>
        <w:jc w:val="left"/>
      </w:pPr>
      <w:r>
        <w:rPr/>
        <w:t>期末单项金额重大并单项计提坏账准备的应收账款：</w:t>
      </w:r>
    </w:p>
    <w:p>
      <w:pPr>
        <w:spacing w:line="240" w:lineRule="auto" w:before="4"/>
        <w:rPr>
          <w:rFonts w:ascii="宋体" w:hAnsi="宋体" w:cs="宋体" w:eastAsia="宋体" w:hint="default"/>
          <w:sz w:val="15"/>
          <w:szCs w:val="15"/>
        </w:rPr>
      </w:pPr>
    </w:p>
    <w:p>
      <w:pPr>
        <w:spacing w:before="0"/>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left="1033" w:right="0"/>
        <w:jc w:val="left"/>
      </w:pPr>
      <w:r>
        <w:rPr/>
        <w:t>组合中，按账龄分析法计提坏账准备的应收账款：</w:t>
      </w:r>
    </w:p>
    <w:p>
      <w:pPr>
        <w:spacing w:line="240" w:lineRule="auto" w:before="12"/>
        <w:rPr>
          <w:rFonts w:ascii="宋体" w:hAnsi="宋体" w:cs="宋体" w:eastAsia="宋体" w:hint="default"/>
          <w:sz w:val="11"/>
          <w:szCs w:val="11"/>
        </w:rPr>
      </w:pPr>
    </w:p>
    <w:p>
      <w:pPr>
        <w:spacing w:before="44"/>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91"/>
        <w:ind w:left="0" w:right="10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40" w:type="dxa"/>
        <w:tblLayout w:type="fixed"/>
        <w:tblCellMar>
          <w:top w:w="0" w:type="dxa"/>
          <w:left w:w="0" w:type="dxa"/>
          <w:bottom w:w="0" w:type="dxa"/>
          <w:right w:w="0" w:type="dxa"/>
        </w:tblCellMar>
        <w:tblLook w:val="01E0"/>
      </w:tblPr>
      <w:tblGrid>
        <w:gridCol w:w="2369"/>
        <w:gridCol w:w="2405"/>
        <w:gridCol w:w="2392"/>
        <w:gridCol w:w="2392"/>
      </w:tblGrid>
      <w:tr>
        <w:trPr>
          <w:trHeight w:val="205"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242,803,872.09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12,140,193.60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63,973,217.25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6,397,321.72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18,376,901.63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5,513,070.49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3,492,837.33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1,746,418.67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849,842.67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679,874.14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329,496,670.97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26,476,878.62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1034" w:right="0"/>
        <w:jc w:val="left"/>
      </w:pPr>
      <w:r>
        <w:rPr/>
        <w:t>组合中，采用余额百分比法计提坏账准备的应收账款：</w:t>
      </w:r>
    </w:p>
    <w:p>
      <w:pPr>
        <w:spacing w:line="240" w:lineRule="auto" w:before="3"/>
        <w:rPr>
          <w:rFonts w:ascii="宋体" w:hAnsi="宋体" w:cs="宋体" w:eastAsia="宋体" w:hint="default"/>
          <w:sz w:val="15"/>
          <w:szCs w:val="15"/>
        </w:rPr>
      </w:pPr>
    </w:p>
    <w:p>
      <w:pPr>
        <w:spacing w:before="0"/>
        <w:ind w:left="10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left="1033" w:right="0"/>
        <w:jc w:val="left"/>
      </w:pPr>
      <w:r>
        <w:rPr/>
        <w:t>组合中，采用其他方法计提坏账准备的应收账款：</w:t>
      </w:r>
    </w:p>
    <w:p>
      <w:pPr>
        <w:spacing w:after="0" w:line="240" w:lineRule="auto"/>
        <w:jc w:val="left"/>
        <w:sectPr>
          <w:pgSz w:w="11910" w:h="16840"/>
          <w:pgMar w:header="877" w:footer="979" w:top="1100" w:bottom="1160" w:left="100" w:right="80"/>
        </w:sectPr>
      </w:pPr>
    </w:p>
    <w:p>
      <w:pPr>
        <w:spacing w:line="240" w:lineRule="auto" w:before="7"/>
        <w:rPr>
          <w:rFonts w:ascii="宋体" w:hAnsi="宋体" w:cs="宋体" w:eastAsia="宋体" w:hint="default"/>
          <w:sz w:val="29"/>
          <w:szCs w:val="29"/>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4"/>
          <w:szCs w:val="24"/>
        </w:rPr>
      </w:pPr>
    </w:p>
    <w:p>
      <w:pPr>
        <w:spacing w:line="580" w:lineRule="auto" w:before="0"/>
        <w:ind w:left="154" w:right="5661" w:firstLine="0"/>
        <w:jc w:val="left"/>
        <w:rPr>
          <w:rFonts w:ascii="宋体" w:hAnsi="宋体" w:cs="宋体" w:eastAsia="宋体" w:hint="default"/>
          <w:sz w:val="21"/>
          <w:szCs w:val="21"/>
        </w:rPr>
      </w:pPr>
      <w:bookmarkStart w:name="（2）本期计提、收回或转回的坏账准备情况" w:id="171"/>
      <w:bookmarkEnd w:id="1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9,978,001.05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Heading3"/>
        <w:spacing w:line="580" w:lineRule="auto"/>
        <w:ind w:right="6505"/>
        <w:jc w:val="left"/>
        <w:rPr>
          <w:rFonts w:ascii="宋体" w:hAnsi="宋体" w:cs="宋体" w:eastAsia="宋体" w:hint="default"/>
          <w:b w:val="0"/>
          <w:bCs w:val="0"/>
        </w:rPr>
      </w:pPr>
      <w:bookmarkStart w:name="（3）本期实际核销的应收账款情况" w:id="172"/>
      <w:bookmarkEnd w:id="172"/>
      <w:r>
        <w:rPr>
          <w:b w:val="0"/>
          <w:bCs w:val="0"/>
        </w:rPr>
      </w:r>
      <w:r>
        <w:rPr/>
        <w:t>（</w:t>
      </w:r>
      <w:r>
        <w:rPr>
          <w:rFonts w:ascii="Times New Roman" w:hAnsi="Times New Roman" w:cs="Times New Roman" w:eastAsia="Times New Roman" w:hint="default"/>
        </w:rPr>
        <w:t>3</w:t>
      </w:r>
      <w:r>
        <w:rPr/>
        <w:t>）本期实际核销的应收账款情况</w:t>
      </w:r>
      <w:r>
        <w:rPr>
          <w:w w:val="99"/>
        </w:rPr>
        <w:t> </w:t>
      </w:r>
      <w:r>
        <w:rPr>
          <w:rFonts w:ascii="宋体" w:hAnsi="宋体" w:cs="宋体" w:eastAsia="宋体" w:hint="default"/>
          <w:b w:val="0"/>
          <w:bCs w:val="0"/>
        </w:rPr>
        <w:t>无。</w:t>
      </w:r>
    </w:p>
    <w:p>
      <w:pPr>
        <w:pStyle w:val="Heading3"/>
        <w:spacing w:line="240" w:lineRule="auto" w:before="36"/>
        <w:ind w:right="0"/>
        <w:jc w:val="left"/>
        <w:rPr>
          <w:b w:val="0"/>
          <w:bCs w:val="0"/>
        </w:rPr>
      </w:pPr>
      <w:bookmarkStart w:name="（4）按欠款方归集的期末余额前五吊的应收账款情况" w:id="173"/>
      <w:bookmarkEnd w:id="17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324"/>
        <w:gridCol w:w="2242"/>
        <w:gridCol w:w="1762"/>
        <w:gridCol w:w="2242"/>
      </w:tblGrid>
      <w:tr>
        <w:trPr>
          <w:trHeight w:val="668"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9" w:right="63"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广州市社会保险基金管理中心</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31,112,935.99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9.44</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3,111,293.60</w:t>
            </w:r>
          </w:p>
        </w:tc>
      </w:tr>
      <w:tr>
        <w:trPr>
          <w:trHeight w:val="353"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增城市教育局</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22,832,282.50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6.93</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1,141,614.13</w:t>
            </w:r>
          </w:p>
        </w:tc>
      </w:tr>
      <w:tr>
        <w:trPr>
          <w:trHeight w:val="366"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南京东大智能化系统有限公司</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22,037,442.03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6.69</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1,101,872.10</w:t>
            </w:r>
          </w:p>
        </w:tc>
      </w:tr>
      <w:tr>
        <w:trPr>
          <w:trHeight w:val="367"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广东兴业国际实业有限公司</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15,453,859.76</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4.69</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1,545,385.98</w:t>
            </w:r>
          </w:p>
        </w:tc>
      </w:tr>
      <w:tr>
        <w:trPr>
          <w:trHeight w:val="367"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资兴市电子政务中心</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12,534,850.00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626,742.50</w:t>
            </w:r>
          </w:p>
        </w:tc>
      </w:tr>
      <w:tr>
        <w:trPr>
          <w:trHeight w:val="367"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103,971,370.28</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31.55</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7,526,908.31</w:t>
            </w:r>
          </w:p>
        </w:tc>
      </w:tr>
    </w:tbl>
    <w:p>
      <w:pPr>
        <w:spacing w:line="240" w:lineRule="auto" w:before="3"/>
        <w:rPr>
          <w:rFonts w:ascii="宋体" w:hAnsi="宋体" w:cs="宋体" w:eastAsia="宋体" w:hint="default"/>
          <w:b/>
          <w:bCs/>
          <w:sz w:val="19"/>
          <w:szCs w:val="19"/>
        </w:rPr>
      </w:pPr>
    </w:p>
    <w:p>
      <w:pPr>
        <w:pStyle w:val="Heading3"/>
        <w:spacing w:line="506" w:lineRule="auto" w:before="35"/>
        <w:ind w:right="5661"/>
        <w:jc w:val="left"/>
        <w:rPr>
          <w:rFonts w:ascii="宋体" w:hAnsi="宋体" w:cs="宋体" w:eastAsia="宋体" w:hint="default"/>
          <w:b w:val="0"/>
          <w:bCs w:val="0"/>
        </w:rPr>
      </w:pPr>
      <w:bookmarkStart w:name="（5）因金融资产转移而终止确认的应收账款" w:id="174"/>
      <w:bookmarkEnd w:id="174"/>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3"/>
        <w:spacing w:line="506" w:lineRule="auto" w:before="104"/>
        <w:ind w:right="4818"/>
        <w:jc w:val="left"/>
        <w:rPr>
          <w:rFonts w:ascii="宋体" w:hAnsi="宋体" w:cs="宋体" w:eastAsia="宋体" w:hint="default"/>
          <w:b w:val="0"/>
          <w:bCs w:val="0"/>
        </w:rPr>
      </w:pPr>
      <w:bookmarkStart w:name="（6）转移应收账款且继续涉入形成的资产、负债金额" w:id="175"/>
      <w:bookmarkEnd w:id="175"/>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3、预付款项" w:id="176"/>
      <w:bookmarkEnd w:id="176"/>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77"/>
      <w:bookmarkEnd w:id="17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58,892,609.68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15,250,837.84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2,131,471.76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459,647.24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201,171.24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97,750.46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97,178.46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61,322,431.14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15,812,663.54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7"/>
          <w:szCs w:val="27"/>
        </w:rPr>
      </w:pPr>
    </w:p>
    <w:p>
      <w:pPr>
        <w:pStyle w:val="BodyText"/>
        <w:spacing w:line="240" w:lineRule="auto" w:before="35"/>
        <w:ind w:left="773" w:right="0"/>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8"/>
        <w:rPr>
          <w:rFonts w:ascii="宋体" w:hAnsi="宋体" w:cs="宋体" w:eastAsia="宋体" w:hint="default"/>
          <w:sz w:val="5"/>
          <w:szCs w:val="5"/>
        </w:rPr>
      </w:pPr>
    </w:p>
    <w:tbl>
      <w:tblPr>
        <w:tblW w:w="0" w:type="auto"/>
        <w:jc w:val="left"/>
        <w:tblInd w:w="766" w:type="dxa"/>
        <w:tblLayout w:type="fixed"/>
        <w:tblCellMar>
          <w:top w:w="0" w:type="dxa"/>
          <w:left w:w="0" w:type="dxa"/>
          <w:bottom w:w="0" w:type="dxa"/>
          <w:right w:w="0" w:type="dxa"/>
        </w:tblCellMar>
        <w:tblLook w:val="01E0"/>
      </w:tblPr>
      <w:tblGrid>
        <w:gridCol w:w="2944"/>
        <w:gridCol w:w="1734"/>
        <w:gridCol w:w="1277"/>
        <w:gridCol w:w="2960"/>
      </w:tblGrid>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广州喜视隆计算机有限公司</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704,570.77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广州市崨讯电脑有限公司</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330,720.00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广州市国迈科技有限公司</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上海盖奇信息科技有限公司</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116,600.00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上海冰峰计算机网络技术有限公司</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1,351,890.77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774" w:right="0"/>
        <w:jc w:val="left"/>
        <w:rPr>
          <w:b w:val="0"/>
          <w:bCs w:val="0"/>
        </w:rPr>
      </w:pPr>
      <w:bookmarkStart w:name="（2）按预付对象归集的期末余额前五吊的预付款情况" w:id="178"/>
      <w:bookmarkEnd w:id="17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66" w:type="dxa"/>
        <w:tblLayout w:type="fixed"/>
        <w:tblCellMar>
          <w:top w:w="0" w:type="dxa"/>
          <w:left w:w="0" w:type="dxa"/>
          <w:bottom w:w="0" w:type="dxa"/>
          <w:right w:w="0" w:type="dxa"/>
        </w:tblCellMar>
        <w:tblLook w:val="01E0"/>
      </w:tblPr>
      <w:tblGrid>
        <w:gridCol w:w="2944"/>
        <w:gridCol w:w="1418"/>
        <w:gridCol w:w="1451"/>
        <w:gridCol w:w="1134"/>
        <w:gridCol w:w="2042"/>
      </w:tblGrid>
      <w:tr>
        <w:trPr>
          <w:trHeight w:val="660"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4" w:right="85"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 的比例</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广州惠海信息科技有限公司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5,101,200.00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61" w:right="0"/>
              <w:jc w:val="left"/>
              <w:rPr>
                <w:rFonts w:ascii="Times New Roman" w:hAnsi="Times New Roman" w:cs="Times New Roman" w:eastAsia="Times New Roman" w:hint="default"/>
                <w:sz w:val="18"/>
                <w:szCs w:val="18"/>
              </w:rPr>
            </w:pPr>
            <w:r>
              <w:rPr>
                <w:rFonts w:ascii="Times New Roman"/>
                <w:sz w:val="18"/>
              </w:rPr>
              <w:t>8.32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广州市振辉贸易有限公司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5,031,000.00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8.20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广州乐想极至电子科技有限公司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4,750,200.00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7.75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3,954,600.00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6.45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长沙楚昱科技有限公司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3,651,404.13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5.95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22,488,404.13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7" w:right="0"/>
              <w:jc w:val="left"/>
              <w:rPr>
                <w:rFonts w:ascii="Times New Roman" w:hAnsi="Times New Roman" w:cs="Times New Roman" w:eastAsia="Times New Roman" w:hint="default"/>
                <w:sz w:val="18"/>
                <w:szCs w:val="18"/>
              </w:rPr>
            </w:pPr>
            <w:r>
              <w:rPr>
                <w:rFonts w:ascii="Times New Roman"/>
                <w:sz w:val="18"/>
              </w:rPr>
              <w:t>36.67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774" w:right="0"/>
        <w:jc w:val="left"/>
        <w:rPr>
          <w:b w:val="0"/>
          <w:bCs w:val="0"/>
        </w:rPr>
      </w:pPr>
      <w:bookmarkStart w:name="4、其他应收款" w:id="179"/>
      <w:bookmarkEnd w:id="179"/>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774" w:right="0"/>
        <w:jc w:val="left"/>
        <w:rPr>
          <w:b w:val="0"/>
          <w:bCs w:val="0"/>
        </w:rPr>
      </w:pPr>
      <w:bookmarkStart w:name="（1）其他应收款分类披露" w:id="180"/>
      <w:bookmarkEnd w:id="18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7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611"/>
        <w:gridCol w:w="1213"/>
        <w:gridCol w:w="709"/>
        <w:gridCol w:w="1134"/>
        <w:gridCol w:w="574"/>
        <w:gridCol w:w="1128"/>
        <w:gridCol w:w="1126"/>
        <w:gridCol w:w="710"/>
        <w:gridCol w:w="1086"/>
        <w:gridCol w:w="553"/>
        <w:gridCol w:w="1137"/>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475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9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vMerge w:val="restart"/>
            <w:tcBorders>
              <w:top w:val="single" w:sz="4" w:space="0" w:color="000000"/>
              <w:left w:val="single" w:sz="4" w:space="0" w:color="000000"/>
              <w:right w:val="single" w:sz="4" w:space="0" w:color="000000"/>
            </w:tcBorders>
            <w:shd w:val="clear" w:color="auto" w:fill="D2D2D2"/>
          </w:tcPr>
          <w:p>
            <w:pPr/>
          </w:p>
        </w:tc>
        <w:tc>
          <w:tcPr>
            <w:tcW w:w="18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7"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22" w:type="dxa"/>
            <w:gridSpan w:val="2"/>
            <w:vMerge/>
            <w:tcBorders>
              <w:left w:val="single" w:sz="4" w:space="0" w:color="000000"/>
              <w:bottom w:val="single" w:sz="4" w:space="0" w:color="000000"/>
              <w:right w:val="single" w:sz="4" w:space="0" w:color="000000"/>
            </w:tcBorders>
            <w:shd w:val="clear" w:color="auto" w:fill="D2D2D2"/>
          </w:tcPr>
          <w:p>
            <w:pPr/>
          </w:p>
        </w:tc>
        <w:tc>
          <w:tcPr>
            <w:tcW w:w="1708" w:type="dxa"/>
            <w:gridSpan w:val="2"/>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835" w:type="dxa"/>
            <w:gridSpan w:val="2"/>
            <w:vMerge/>
            <w:tcBorders>
              <w:left w:val="single" w:sz="4" w:space="0" w:color="000000"/>
              <w:bottom w:val="single" w:sz="4" w:space="0" w:color="000000"/>
              <w:right w:val="single" w:sz="4" w:space="0" w:color="000000"/>
            </w:tcBorders>
            <w:shd w:val="clear" w:color="auto" w:fill="D2D2D2"/>
          </w:tcPr>
          <w:p>
            <w:pPr/>
          </w:p>
        </w:tc>
        <w:tc>
          <w:tcPr>
            <w:tcW w:w="1639" w:type="dxa"/>
            <w:gridSpan w:val="2"/>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3" w:type="dxa"/>
            <w:vMerge/>
            <w:tcBorders>
              <w:left w:val="single" w:sz="4" w:space="0" w:color="000000"/>
              <w:right w:val="single" w:sz="4" w:space="0" w:color="000000"/>
            </w:tcBorders>
            <w:shd w:val="clear" w:color="auto" w:fill="D2D2D2"/>
          </w:tcPr>
          <w:p>
            <w:pPr/>
          </w:p>
        </w:tc>
        <w:tc>
          <w:tcPr>
            <w:tcW w:w="113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086" w:type="dxa"/>
            <w:vMerge/>
            <w:tcBorders>
              <w:left w:val="single" w:sz="4" w:space="0" w:color="000000"/>
              <w:bottom w:val="nil" w:sz="6" w:space="0" w:color="auto"/>
              <w:right w:val="single" w:sz="4" w:space="0" w:color="000000"/>
            </w:tcBorders>
            <w:shd w:val="clear" w:color="auto" w:fill="D2D2D2"/>
          </w:tcPr>
          <w:p>
            <w:pPr/>
          </w:p>
        </w:tc>
        <w:tc>
          <w:tcPr>
            <w:tcW w:w="553" w:type="dxa"/>
            <w:vMerge/>
            <w:tcBorders>
              <w:left w:val="single" w:sz="4" w:space="0" w:color="000000"/>
              <w:right w:val="single" w:sz="4" w:space="0" w:color="000000"/>
            </w:tcBorders>
            <w:shd w:val="clear" w:color="auto" w:fill="D2D2D2"/>
          </w:tcPr>
          <w:p>
            <w:pPr/>
          </w:p>
        </w:tc>
        <w:tc>
          <w:tcPr>
            <w:tcW w:w="113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53" w:type="dxa"/>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11,512,486.52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1,039,974.46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10,472,512.06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14,524,595.22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1,435,561.10</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13,089,034.12</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11,512,486.52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1,039,974.46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10,472,512.06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14,524,595.22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1,435,561.10</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13,089,034.12</w:t>
            </w:r>
          </w:p>
        </w:tc>
      </w:tr>
    </w:tbl>
    <w:p>
      <w:pPr>
        <w:spacing w:line="240" w:lineRule="auto" w:before="6"/>
        <w:rPr>
          <w:rFonts w:ascii="宋体" w:hAnsi="宋体" w:cs="宋体" w:eastAsia="宋体" w:hint="default"/>
          <w:sz w:val="5"/>
          <w:szCs w:val="5"/>
        </w:rPr>
      </w:pPr>
    </w:p>
    <w:p>
      <w:pPr>
        <w:pStyle w:val="BodyText"/>
        <w:spacing w:line="240" w:lineRule="auto" w:before="35"/>
        <w:ind w:left="774" w:right="0"/>
        <w:jc w:val="left"/>
      </w:pPr>
      <w:r>
        <w:rPr/>
        <w:t>期末单项金额重大并单项计提坏账准备的其他应收款：</w:t>
      </w:r>
    </w:p>
    <w:p>
      <w:pPr>
        <w:spacing w:line="240" w:lineRule="auto" w:before="4"/>
        <w:rPr>
          <w:rFonts w:ascii="宋体" w:hAnsi="宋体" w:cs="宋体" w:eastAsia="宋体" w:hint="default"/>
          <w:sz w:val="15"/>
          <w:szCs w:val="15"/>
        </w:rPr>
      </w:pPr>
    </w:p>
    <w:p>
      <w:pPr>
        <w:spacing w:before="0"/>
        <w:ind w:left="7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6"/>
        <w:ind w:left="773" w:right="0"/>
        <w:jc w:val="left"/>
      </w:pPr>
      <w:r>
        <w:rPr/>
        <w:t>组合中，按账龄分析法计提坏账准备的其他应收款：</w:t>
      </w:r>
    </w:p>
    <w:p>
      <w:pPr>
        <w:spacing w:line="240" w:lineRule="auto" w:before="11"/>
        <w:rPr>
          <w:rFonts w:ascii="宋体" w:hAnsi="宋体" w:cs="宋体" w:eastAsia="宋体" w:hint="default"/>
          <w:sz w:val="11"/>
          <w:szCs w:val="11"/>
        </w:rPr>
      </w:pPr>
    </w:p>
    <w:p>
      <w:pPr>
        <w:spacing w:before="44"/>
        <w:ind w:left="7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93"/>
        <w:ind w:left="0" w:right="7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360" w:right="34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9"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9,386,955.16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1,313,652.96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131,365.30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134,340.40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134,340.40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11,512,486.52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1,039,974.46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6"/>
          <w:szCs w:val="6"/>
        </w:rPr>
      </w:pPr>
    </w:p>
    <w:p>
      <w:pPr>
        <w:pStyle w:val="BodyText"/>
        <w:spacing w:line="240" w:lineRule="auto" w:before="35"/>
        <w:ind w:left="154" w:right="0"/>
        <w:jc w:val="left"/>
      </w:pPr>
      <w:r>
        <w:rPr/>
        <w:t>组合中，采用余额百分比法计提坏账准备的其他应收款：</w:t>
      </w: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right="0"/>
        <w:jc w:val="left"/>
      </w:pPr>
      <w:r>
        <w:rPr/>
        <w:t>组合中，采用其他方法计提坏账准备的其他应收款：</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本期计提、收回或转回的坏账准备情况" w:id="181"/>
      <w:bookmarkEnd w:id="1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1"/>
          <w:szCs w:val="31"/>
        </w:rPr>
      </w:pPr>
    </w:p>
    <w:p>
      <w:pPr>
        <w:pStyle w:val="BodyText"/>
        <w:spacing w:line="364" w:lineRule="auto"/>
        <w:ind w:left="154" w:right="5572"/>
        <w:jc w:val="left"/>
      </w:pPr>
      <w:r>
        <w:rPr/>
        <w:t>本期收回或转回坏账准备金额</w:t>
      </w:r>
      <w:r>
        <w:rPr>
          <w:spacing w:val="-53"/>
        </w:rPr>
        <w:t> </w:t>
      </w:r>
      <w:r>
        <w:rPr>
          <w:rFonts w:ascii="Times New Roman" w:hAnsi="Times New Roman" w:cs="Times New Roman" w:eastAsia="Times New Roman" w:hint="default"/>
        </w:rPr>
        <w:t>395,586.64</w:t>
      </w:r>
      <w:r>
        <w:rPr>
          <w:rFonts w:ascii="Times New Roman" w:hAnsi="Times New Roman" w:cs="Times New Roman" w:eastAsia="Times New Roman" w:hint="default"/>
          <w:spacing w:val="-1"/>
        </w:rPr>
        <w:t> </w:t>
      </w:r>
      <w:r>
        <w:rPr/>
        <w:t>元。 其中本期坏账准备转回或收回金额重要的：无</w:t>
      </w:r>
    </w:p>
    <w:p>
      <w:pPr>
        <w:spacing w:line="240" w:lineRule="auto" w:before="3"/>
        <w:rPr>
          <w:rFonts w:ascii="宋体" w:hAnsi="宋体" w:cs="宋体" w:eastAsia="宋体" w:hint="default"/>
          <w:sz w:val="17"/>
          <w:szCs w:val="17"/>
        </w:rPr>
      </w:pPr>
    </w:p>
    <w:p>
      <w:pPr>
        <w:pStyle w:val="Heading3"/>
        <w:spacing w:line="580" w:lineRule="auto"/>
        <w:ind w:right="6294"/>
        <w:jc w:val="left"/>
        <w:rPr>
          <w:rFonts w:ascii="宋体" w:hAnsi="宋体" w:cs="宋体" w:eastAsia="宋体" w:hint="default"/>
          <w:b w:val="0"/>
          <w:bCs w:val="0"/>
        </w:rPr>
      </w:pPr>
      <w:bookmarkStart w:name="（3）本期实际核销的其他应收款情况" w:id="182"/>
      <w:bookmarkEnd w:id="182"/>
      <w:r>
        <w:rPr>
          <w:b w:val="0"/>
          <w:bCs w:val="0"/>
        </w:rPr>
      </w:r>
      <w:r>
        <w:rPr/>
        <w:t>（</w:t>
      </w: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w:t>
      </w:r>
    </w:p>
    <w:p>
      <w:pPr>
        <w:pStyle w:val="Heading3"/>
        <w:spacing w:line="240" w:lineRule="auto" w:before="37"/>
        <w:ind w:right="0"/>
        <w:jc w:val="left"/>
        <w:rPr>
          <w:b w:val="0"/>
          <w:bCs w:val="0"/>
        </w:rPr>
      </w:pPr>
      <w:bookmarkStart w:name="（4）其他应收款按款项性质分类情况" w:id="183"/>
      <w:bookmarkEnd w:id="18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10,616,083.10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12,802,972.44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896,403.42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1,721,622.78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11,512,486.52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14,524,595.22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184"/>
      <w:bookmarkEnd w:id="18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134"/>
        <w:gridCol w:w="1130"/>
        <w:gridCol w:w="1596"/>
        <w:gridCol w:w="1595"/>
      </w:tblGrid>
      <w:tr>
        <w:trPr>
          <w:trHeight w:val="70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8"/>
              <w:jc w:val="right"/>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28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right="78"/>
              <w:jc w:val="center"/>
              <w:rPr>
                <w:rFonts w:ascii="宋体" w:hAnsi="宋体" w:cs="宋体" w:eastAsia="宋体" w:hint="default"/>
                <w:sz w:val="18"/>
                <w:szCs w:val="18"/>
              </w:rPr>
            </w:pPr>
            <w:r>
              <w:rPr>
                <w:rFonts w:ascii="宋体" w:hAnsi="宋体" w:cs="宋体" w:eastAsia="宋体" w:hint="default"/>
                <w:sz w:val="18"/>
                <w:szCs w:val="18"/>
              </w:rPr>
              <w:t>中国人民解放军深圳警备区后勤部</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 w:right="0"/>
              <w:jc w:val="left"/>
              <w:rPr>
                <w:rFonts w:ascii="Times New Roman" w:hAnsi="Times New Roman" w:cs="Times New Roman" w:eastAsia="Times New Roman" w:hint="default"/>
                <w:sz w:val="18"/>
                <w:szCs w:val="18"/>
              </w:rPr>
            </w:pPr>
            <w:r>
              <w:rPr>
                <w:rFonts w:ascii="Times New Roman"/>
                <w:sz w:val="18"/>
              </w:rPr>
              <w:t>1,500,000.00</w:t>
            </w:r>
          </w:p>
        </w:tc>
        <w:tc>
          <w:tcPr>
            <w:tcW w:w="11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13.03%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134"/>
        <w:gridCol w:w="1130"/>
        <w:gridCol w:w="1596"/>
        <w:gridCol w:w="1595"/>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深圳市建设工程交易服务中心</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1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广州公共资源交易中心</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775,171.00</w:t>
            </w:r>
          </w:p>
        </w:tc>
        <w:tc>
          <w:tcPr>
            <w:tcW w:w="11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38,758.55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中华人民共和国广州海关</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588,220.00</w:t>
            </w:r>
          </w:p>
        </w:tc>
        <w:tc>
          <w:tcPr>
            <w:tcW w:w="11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29,411.00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广东省计量科学研究院</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415,542.50</w:t>
            </w:r>
          </w:p>
        </w:tc>
        <w:tc>
          <w:tcPr>
            <w:tcW w:w="11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41,554.25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4,078,933.50</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224,723.80</w:t>
            </w:r>
          </w:p>
        </w:tc>
      </w:tr>
    </w:tbl>
    <w:p>
      <w:pPr>
        <w:spacing w:line="240" w:lineRule="auto" w:before="2"/>
        <w:rPr>
          <w:rFonts w:ascii="宋体" w:hAnsi="宋体" w:cs="宋体" w:eastAsia="宋体" w:hint="default"/>
          <w:sz w:val="19"/>
          <w:szCs w:val="19"/>
        </w:rPr>
      </w:pPr>
    </w:p>
    <w:p>
      <w:pPr>
        <w:pStyle w:val="Heading3"/>
        <w:spacing w:line="506" w:lineRule="auto" w:before="35"/>
        <w:ind w:right="6926"/>
        <w:jc w:val="left"/>
        <w:rPr>
          <w:rFonts w:ascii="宋体" w:hAnsi="宋体" w:cs="宋体" w:eastAsia="宋体" w:hint="default"/>
          <w:b w:val="0"/>
          <w:bCs w:val="0"/>
        </w:rPr>
      </w:pPr>
      <w:bookmarkStart w:name="（6）涉及政府补助的应收款项" w:id="185"/>
      <w:bookmarkEnd w:id="185"/>
      <w:r>
        <w:rPr>
          <w:b w:val="0"/>
          <w:bCs w:val="0"/>
        </w:rPr>
      </w:r>
      <w:r>
        <w:rPr/>
        <w:t>（</w:t>
      </w: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3"/>
        <w:spacing w:line="506" w:lineRule="auto" w:before="104"/>
        <w:ind w:right="5451"/>
        <w:jc w:val="left"/>
        <w:rPr>
          <w:rFonts w:ascii="宋体" w:hAnsi="宋体" w:cs="宋体" w:eastAsia="宋体" w:hint="default"/>
          <w:b w:val="0"/>
          <w:bCs w:val="0"/>
        </w:rPr>
      </w:pPr>
      <w:bookmarkStart w:name="（7）因金融资产转移而终止确认的其他应收款" w:id="186"/>
      <w:bookmarkEnd w:id="186"/>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3"/>
        <w:spacing w:line="506" w:lineRule="auto" w:before="104"/>
        <w:ind w:left="153" w:right="4608"/>
        <w:jc w:val="left"/>
        <w:rPr>
          <w:rFonts w:ascii="宋体" w:hAnsi="宋体" w:cs="宋体" w:eastAsia="宋体" w:hint="default"/>
          <w:b w:val="0"/>
          <w:bCs w:val="0"/>
        </w:rPr>
      </w:pPr>
      <w:bookmarkStart w:name="（8）转移其他应收款且继续涉入形成的资产、负债金额" w:id="187"/>
      <w:bookmarkEnd w:id="187"/>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5、存货" w:id="188"/>
      <w:bookmarkEnd w:id="188"/>
      <w:r>
        <w:rPr>
          <w:b w:val="0"/>
          <w:bCs w:val="0"/>
        </w:rPr>
      </w:r>
      <w:r>
        <w:rPr>
          <w:rFonts w:ascii="Times New Roman" w:hAnsi="Times New Roman" w:cs="Times New Roman" w:eastAsia="Times New Roman" w:hint="default"/>
        </w:rPr>
        <w:t>5</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189"/>
      <w:bookmarkEnd w:id="18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4,637,477.01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4,637,477.01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6,108,817.16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6,108,817.16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18,267.00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1,037,662.04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1,037,662.04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67,990.61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67,990.61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9,021,212.99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9,021,212.99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47,464,249.53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47,464,249.53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3,672,321.14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3,672,321.14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52,187,984.15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52,187,984.15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19,840,013.33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19,840,013.33</w:t>
            </w:r>
          </w:p>
        </w:tc>
      </w:tr>
    </w:tbl>
    <w:p>
      <w:pPr>
        <w:spacing w:line="240" w:lineRule="auto" w:before="2"/>
        <w:rPr>
          <w:rFonts w:ascii="宋体" w:hAnsi="宋体" w:cs="宋体" w:eastAsia="宋体" w:hint="default"/>
          <w:sz w:val="8"/>
          <w:szCs w:val="8"/>
        </w:rPr>
      </w:pPr>
    </w:p>
    <w:p>
      <w:pPr>
        <w:pStyle w:val="Heading3"/>
        <w:spacing w:line="386" w:lineRule="auto" w:before="35"/>
        <w:ind w:right="7980"/>
        <w:jc w:val="left"/>
        <w:rPr>
          <w:rFonts w:ascii="宋体" w:hAnsi="宋体" w:cs="宋体" w:eastAsia="宋体" w:hint="default"/>
          <w:b w:val="0"/>
          <w:bCs w:val="0"/>
        </w:rPr>
      </w:pPr>
      <w:bookmarkStart w:name="（2）存货跌价准备" w:id="190"/>
      <w:bookmarkEnd w:id="190"/>
      <w:r>
        <w:rPr>
          <w:b w:val="0"/>
          <w:bCs w:val="0"/>
        </w:rPr>
      </w:r>
      <w:r>
        <w:rPr/>
        <w:t>（</w:t>
      </w:r>
      <w:r>
        <w:rPr>
          <w:rFonts w:ascii="Times New Roman" w:hAnsi="Times New Roman" w:cs="Times New Roman" w:eastAsia="Times New Roman" w:hint="default"/>
        </w:rPr>
        <w:t>2</w:t>
      </w:r>
      <w:r>
        <w:rPr/>
        <w:t>）存货跌价准备</w:t>
      </w:r>
      <w:r>
        <w:rPr>
          <w:w w:val="99"/>
        </w:rPr>
        <w:t> </w:t>
      </w:r>
      <w:r>
        <w:rPr>
          <w:rFonts w:ascii="宋体" w:hAnsi="宋体" w:cs="宋体" w:eastAsia="宋体" w:hint="default"/>
          <w:b w:val="0"/>
          <w:bCs w:val="0"/>
        </w:rPr>
        <w:t>无。</w:t>
      </w:r>
    </w:p>
    <w:p>
      <w:pPr>
        <w:pStyle w:val="Heading3"/>
        <w:spacing w:line="386" w:lineRule="auto" w:before="66"/>
        <w:ind w:right="5153"/>
        <w:jc w:val="left"/>
        <w:rPr>
          <w:rFonts w:ascii="宋体" w:hAnsi="宋体" w:cs="宋体" w:eastAsia="宋体" w:hint="default"/>
          <w:b w:val="0"/>
          <w:bCs w:val="0"/>
        </w:rPr>
      </w:pPr>
      <w:bookmarkStart w:name="（3）存货期末余额含有借款费用资本化金额的说明" w:id="191"/>
      <w:bookmarkEnd w:id="191"/>
      <w:r>
        <w:rPr>
          <w:b w:val="0"/>
          <w:bCs w:val="0"/>
        </w:rPr>
      </w:r>
      <w:r>
        <w:rPr>
          <w:w w:val="95"/>
        </w:rPr>
        <w:t>（</w:t>
      </w:r>
      <w:r>
        <w:rPr>
          <w:rFonts w:ascii="Times New Roman" w:hAnsi="Times New Roman" w:cs="Times New Roman" w:eastAsia="Times New Roman" w:hint="default"/>
          <w:w w:val="95"/>
        </w:rPr>
        <w:t>3</w:t>
      </w:r>
      <w:r>
        <w:rPr>
          <w:w w:val="95"/>
        </w:rPr>
        <w:t>）存货期末余额含有借款费用资本化金额的说明</w:t>
      </w:r>
      <w:r>
        <w:rPr>
          <w:spacing w:val="30"/>
          <w:w w:val="95"/>
        </w:rPr>
        <w:t> </w:t>
      </w:r>
      <w:r>
        <w:rPr>
          <w:spacing w:val="30"/>
          <w:w w:val="95"/>
        </w:rPr>
      </w:r>
      <w:r>
        <w:rPr>
          <w:rFonts w:ascii="宋体" w:hAnsi="宋体" w:cs="宋体" w:eastAsia="宋体" w:hint="default"/>
          <w:b w:val="0"/>
          <w:bCs w:val="0"/>
        </w:rPr>
        <w:t>无。</w:t>
      </w:r>
    </w:p>
    <w:p>
      <w:pPr>
        <w:spacing w:line="240" w:lineRule="auto" w:before="1"/>
        <w:rPr>
          <w:rFonts w:ascii="宋体" w:hAnsi="宋体" w:cs="宋体" w:eastAsia="宋体" w:hint="default"/>
          <w:sz w:val="16"/>
          <w:szCs w:val="16"/>
        </w:rPr>
      </w:pPr>
    </w:p>
    <w:p>
      <w:pPr>
        <w:pStyle w:val="Heading3"/>
        <w:spacing w:line="506" w:lineRule="auto"/>
        <w:ind w:right="5153"/>
        <w:jc w:val="left"/>
        <w:rPr>
          <w:rFonts w:ascii="宋体" w:hAnsi="宋体" w:cs="宋体" w:eastAsia="宋体" w:hint="default"/>
          <w:b w:val="0"/>
          <w:bCs w:val="0"/>
        </w:rPr>
      </w:pPr>
      <w:bookmarkStart w:name="（4）期末建造合同形成的已完工未结算资产情况" w:id="192"/>
      <w:bookmarkEnd w:id="192"/>
      <w:r>
        <w:rPr>
          <w:b w:val="0"/>
          <w:bCs w:val="0"/>
        </w:rPr>
      </w:r>
      <w:r>
        <w:rPr>
          <w:w w:val="95"/>
        </w:rPr>
        <w:t>（</w:t>
      </w:r>
      <w:r>
        <w:rPr>
          <w:rFonts w:ascii="Times New Roman" w:hAnsi="Times New Roman" w:cs="Times New Roman" w:eastAsia="Times New Roman" w:hint="default"/>
          <w:w w:val="95"/>
        </w:rPr>
        <w:t>4</w:t>
      </w:r>
      <w:r>
        <w:rPr>
          <w:w w:val="95"/>
        </w:rPr>
        <w:t>）期末建造合同形成的已完工未结算资产情况</w:t>
      </w:r>
      <w:r>
        <w:rPr>
          <w:spacing w:val="20"/>
          <w:w w:val="95"/>
        </w:rPr>
        <w:t> </w:t>
      </w:r>
      <w:r>
        <w:rPr>
          <w:spacing w:val="20"/>
          <w:w w:val="95"/>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6、其他流动资产" w:id="193"/>
      <w:bookmarkEnd w:id="193"/>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22,338.40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多缴纳的所得税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26,641.58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26,641.58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22,338.40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长期股权投资" w:id="194"/>
      <w:bookmarkEnd w:id="194"/>
      <w:r>
        <w:rPr>
          <w:b w:val="0"/>
          <w:bCs w:val="0"/>
        </w:rPr>
      </w:r>
      <w:r>
        <w:rPr>
          <w:rFonts w:ascii="Times New Roman" w:hAnsi="Times New Roman" w:cs="Times New Roman" w:eastAsia="Times New Roman" w:hint="default"/>
        </w:rPr>
        <w:t>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90"/>
        <w:gridCol w:w="430"/>
        <w:gridCol w:w="1146"/>
        <w:gridCol w:w="574"/>
        <w:gridCol w:w="861"/>
        <w:gridCol w:w="858"/>
        <w:gridCol w:w="574"/>
        <w:gridCol w:w="860"/>
        <w:gridCol w:w="717"/>
        <w:gridCol w:w="575"/>
        <w:gridCol w:w="1146"/>
        <w:gridCol w:w="648"/>
      </w:tblGrid>
      <w:tr>
        <w:trPr>
          <w:trHeight w:val="402" w:hRule="exact"/>
        </w:trPr>
        <w:tc>
          <w:tcPr>
            <w:tcW w:w="12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 w:right="29"/>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1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7" w:right="4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290" w:type="dxa"/>
            <w:vMerge/>
            <w:tcBorders>
              <w:left w:val="single" w:sz="4" w:space="0" w:color="000000"/>
              <w:bottom w:val="single" w:sz="4" w:space="0" w:color="000000"/>
              <w:right w:val="single" w:sz="4" w:space="0" w:color="000000"/>
            </w:tcBorders>
            <w:shd w:val="clear" w:color="auto" w:fill="D2D2D2"/>
          </w:tcPr>
          <w:p>
            <w:pPr/>
          </w:p>
        </w:tc>
        <w:tc>
          <w:tcPr>
            <w:tcW w:w="430"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10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6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3" w:right="6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6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2" w:right="8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6"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78"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54" w:hRule="exact"/>
        </w:trPr>
        <w:tc>
          <w:tcPr>
            <w:tcW w:w="1290" w:type="dxa"/>
            <w:tcBorders>
              <w:top w:val="single" w:sz="4" w:space="0" w:color="FFFFFF"/>
              <w:left w:val="single" w:sz="4" w:space="0" w:color="000000"/>
              <w:bottom w:val="single" w:sz="4" w:space="0" w:color="000000"/>
              <w:right w:val="single" w:sz="4" w:space="0" w:color="000000"/>
            </w:tcBorders>
            <w:shd w:val="clear" w:color="auto" w:fill="CCE8CF"/>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43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w w:val="81"/>
                <w:sz w:val="18"/>
              </w:rPr>
              <w:t>-</w:t>
            </w:r>
            <w:r>
              <w:rPr>
                <w:rFonts w:ascii="Arial"/>
                <w:sz w:val="18"/>
              </w:rPr>
            </w:r>
          </w:p>
        </w:tc>
        <w:tc>
          <w:tcPr>
            <w:tcW w:w="1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w w:val="81"/>
                <w:sz w:val="18"/>
              </w:rPr>
              <w:t>-</w:t>
            </w:r>
            <w:r>
              <w:rPr>
                <w:rFonts w:ascii="Arial"/>
                <w:sz w:val="18"/>
              </w:rPr>
            </w:r>
          </w:p>
        </w:tc>
        <w:tc>
          <w:tcPr>
            <w:tcW w:w="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w w:val="81"/>
                <w:sz w:val="18"/>
              </w:rPr>
              <w:t>-</w:t>
            </w:r>
            <w:r>
              <w:rPr>
                <w:rFonts w:ascii="Arial"/>
                <w:sz w:val="18"/>
              </w:rPr>
            </w:r>
          </w:p>
        </w:tc>
        <w:tc>
          <w:tcPr>
            <w:tcW w:w="8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2"/>
              <w:jc w:val="right"/>
              <w:rPr>
                <w:rFonts w:ascii="Arial" w:hAnsi="Arial" w:cs="Arial" w:eastAsia="Arial" w:hint="default"/>
                <w:sz w:val="18"/>
                <w:szCs w:val="18"/>
              </w:rPr>
            </w:pPr>
            <w:r>
              <w:rPr>
                <w:rFonts w:ascii="Arial"/>
                <w:w w:val="81"/>
                <w:sz w:val="18"/>
              </w:rPr>
              <w:t>-</w:t>
            </w:r>
            <w:r>
              <w:rPr>
                <w:rFonts w:ascii="Arial"/>
                <w:sz w:val="18"/>
              </w:rPr>
            </w:r>
          </w:p>
        </w:tc>
        <w:tc>
          <w:tcPr>
            <w:tcW w:w="8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w w:val="81"/>
                <w:sz w:val="18"/>
              </w:rPr>
              <w:t>-</w:t>
            </w:r>
            <w:r>
              <w:rPr>
                <w:rFonts w:ascii="Arial"/>
                <w:sz w:val="18"/>
              </w:rPr>
            </w:r>
          </w:p>
        </w:tc>
        <w:tc>
          <w:tcPr>
            <w:tcW w:w="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w w:val="81"/>
                <w:sz w:val="18"/>
              </w:rPr>
              <w:t>-</w:t>
            </w:r>
            <w:r>
              <w:rPr>
                <w:rFonts w:ascii="Arial"/>
                <w:sz w:val="18"/>
              </w:rPr>
            </w:r>
          </w:p>
        </w:tc>
        <w:tc>
          <w:tcPr>
            <w:tcW w:w="8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2"/>
              <w:jc w:val="right"/>
              <w:rPr>
                <w:rFonts w:ascii="Arial" w:hAnsi="Arial" w:cs="Arial" w:eastAsia="Arial" w:hint="default"/>
                <w:sz w:val="18"/>
                <w:szCs w:val="18"/>
              </w:rPr>
            </w:pPr>
            <w:r>
              <w:rPr>
                <w:rFonts w:ascii="Arial"/>
                <w:w w:val="81"/>
                <w:sz w:val="18"/>
              </w:rPr>
              <w:t>-</w:t>
            </w:r>
            <w:r>
              <w:rPr>
                <w:rFonts w:ascii="Arial"/>
                <w:sz w:val="18"/>
              </w:rPr>
            </w:r>
          </w:p>
        </w:tc>
        <w:tc>
          <w:tcPr>
            <w:tcW w:w="7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w w:val="81"/>
                <w:sz w:val="18"/>
              </w:rPr>
              <w:t>-</w:t>
            </w:r>
            <w:r>
              <w:rPr>
                <w:rFonts w:ascii="Arial"/>
                <w:sz w:val="18"/>
              </w:rPr>
            </w:r>
          </w:p>
        </w:tc>
        <w:tc>
          <w:tcPr>
            <w:tcW w:w="57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2"/>
              <w:jc w:val="right"/>
              <w:rPr>
                <w:rFonts w:ascii="Arial" w:hAnsi="Arial" w:cs="Arial" w:eastAsia="Arial" w:hint="default"/>
                <w:sz w:val="18"/>
                <w:szCs w:val="18"/>
              </w:rPr>
            </w:pPr>
            <w:r>
              <w:rPr>
                <w:rFonts w:ascii="Arial"/>
                <w:w w:val="81"/>
                <w:sz w:val="18"/>
              </w:rPr>
              <w:t>-</w:t>
            </w:r>
            <w:r>
              <w:rPr>
                <w:rFonts w:ascii="Arial"/>
                <w:sz w:val="18"/>
              </w:rPr>
            </w:r>
          </w:p>
        </w:tc>
        <w:tc>
          <w:tcPr>
            <w:tcW w:w="1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2"/>
              <w:jc w:val="right"/>
              <w:rPr>
                <w:rFonts w:ascii="Arial" w:hAnsi="Arial" w:cs="Arial" w:eastAsia="Arial" w:hint="default"/>
                <w:sz w:val="18"/>
                <w:szCs w:val="18"/>
              </w:rPr>
            </w:pPr>
            <w:r>
              <w:rPr>
                <w:rFonts w:ascii="Arial"/>
                <w:w w:val="81"/>
                <w:sz w:val="18"/>
              </w:rPr>
              <w:t>-</w:t>
            </w:r>
            <w:r>
              <w:rPr>
                <w:rFonts w:ascii="Arial"/>
                <w:sz w:val="18"/>
              </w:rPr>
            </w:r>
          </w:p>
        </w:tc>
        <w:tc>
          <w:tcPr>
            <w:tcW w:w="6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2"/>
              <w:jc w:val="right"/>
              <w:rPr>
                <w:rFonts w:ascii="Arial" w:hAnsi="Arial" w:cs="Arial" w:eastAsia="Arial" w:hint="default"/>
                <w:sz w:val="18"/>
                <w:szCs w:val="18"/>
              </w:rPr>
            </w:pPr>
            <w:r>
              <w:rPr>
                <w:rFonts w:ascii="Arial"/>
                <w:w w:val="81"/>
                <w:sz w:val="18"/>
              </w:rPr>
              <w:t>-</w:t>
            </w:r>
            <w:r>
              <w:rPr>
                <w:rFonts w:ascii="Arial"/>
                <w:sz w:val="18"/>
              </w:rPr>
            </w:r>
          </w:p>
        </w:tc>
      </w:tr>
      <w:tr>
        <w:trPr>
          <w:trHeight w:val="402" w:hRule="exact"/>
        </w:trPr>
        <w:tc>
          <w:tcPr>
            <w:tcW w:w="967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2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北京纹歌科技 发展有限公司</w:t>
            </w:r>
          </w:p>
        </w:tc>
        <w:tc>
          <w:tcPr>
            <w:tcW w:w="43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665.95</w:t>
            </w:r>
          </w:p>
        </w:tc>
        <w:tc>
          <w:tcPr>
            <w:tcW w:w="8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2,140,665.95</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3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665.95</w:t>
            </w:r>
          </w:p>
        </w:tc>
        <w:tc>
          <w:tcPr>
            <w:tcW w:w="8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2,140,665.95</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665.95</w:t>
            </w:r>
          </w:p>
        </w:tc>
        <w:tc>
          <w:tcPr>
            <w:tcW w:w="8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2,140,665.95</w:t>
            </w: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固定资产" w:id="195"/>
      <w:bookmarkEnd w:id="195"/>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196"/>
      <w:bookmarkEnd w:id="19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350"/>
        <w:gridCol w:w="1196"/>
        <w:gridCol w:w="1196"/>
        <w:gridCol w:w="1153"/>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固定资产装修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33,293,062.40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8,573,239.21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159,060,611.00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10,585,171.55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3,679,782.05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215,191,866.21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172,539,549.74</w:t>
            </w: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33,149,212.18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1,448,103.01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73,895.85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207,210,760.78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33,149,212.18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1,448,103.01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73,895.85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34,671,211.04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172,539,549.74</w:t>
            </w: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172,539,549.74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205,832,612.14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8,573,239.21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192,209,823.18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12,033,274.56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3,753,677.90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422,402,626.99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350"/>
        <w:gridCol w:w="1196"/>
        <w:gridCol w:w="1196"/>
        <w:gridCol w:w="1153"/>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固定资产装修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3,435,411.75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2,644,322.58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41,330,708.00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1,830,989.04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728,962.01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49,970,393.38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2,296,186.18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814,456.73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32,668,316.93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1,029,364.45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711,596.16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37,519,920.45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2,296,186.18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814,456.73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32,668,316.93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1,029,364.45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711,596.16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37,519,920.45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5,731,597.93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3,458,779.31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73,999,024.93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2,860,353.49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1,440,558.17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87,490,313.83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35,066.63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50,239.10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35,066.63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50,239.10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200,101,014.21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5,114,459.90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118,195,850.14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9,137,854.44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2,312,895.37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334,862,074.06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29,857,650.65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5,928,916.63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117,714,954.89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8,719,115.88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2,950,595.68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165,171,233.73</w:t>
            </w:r>
          </w:p>
        </w:tc>
      </w:tr>
    </w:tbl>
    <w:p>
      <w:pPr>
        <w:spacing w:line="240" w:lineRule="auto" w:before="9"/>
        <w:rPr>
          <w:rFonts w:ascii="宋体" w:hAnsi="宋体" w:cs="宋体" w:eastAsia="宋体" w:hint="default"/>
          <w:sz w:val="13"/>
          <w:szCs w:val="13"/>
        </w:rPr>
      </w:pPr>
    </w:p>
    <w:p>
      <w:pPr>
        <w:pStyle w:val="Heading3"/>
        <w:spacing w:line="444" w:lineRule="auto" w:before="35"/>
        <w:ind w:right="6926"/>
        <w:jc w:val="left"/>
        <w:rPr>
          <w:rFonts w:ascii="宋体" w:hAnsi="宋体" w:cs="宋体" w:eastAsia="宋体" w:hint="default"/>
          <w:b w:val="0"/>
          <w:bCs w:val="0"/>
        </w:rPr>
      </w:pPr>
      <w:bookmarkStart w:name="（2）暂时闲置的固定资产情况" w:id="197"/>
      <w:bookmarkEnd w:id="197"/>
      <w:r>
        <w:rPr>
          <w:b w:val="0"/>
          <w:bCs w:val="0"/>
        </w:rPr>
      </w:r>
      <w:r>
        <w:rPr/>
        <w:t>（</w:t>
      </w:r>
      <w:r>
        <w:rPr>
          <w:rFonts w:ascii="Times New Roman" w:hAnsi="Times New Roman" w:cs="Times New Roman" w:eastAsia="Times New Roman" w:hint="default"/>
        </w:rPr>
        <w:t>2</w:t>
      </w:r>
      <w:r>
        <w:rPr/>
        <w:t>）暂时闲置的固定资产情况</w:t>
      </w:r>
      <w:r>
        <w:rPr>
          <w:w w:val="99"/>
        </w:rPr>
        <w:t> </w:t>
      </w:r>
      <w:r>
        <w:rPr>
          <w:rFonts w:ascii="宋体" w:hAnsi="宋体" w:cs="宋体" w:eastAsia="宋体" w:hint="default"/>
          <w:b w:val="0"/>
          <w:bCs w:val="0"/>
        </w:rPr>
        <w:t>无。</w:t>
      </w:r>
    </w:p>
    <w:p>
      <w:pPr>
        <w:pStyle w:val="Heading3"/>
        <w:spacing w:line="441" w:lineRule="auto" w:before="83"/>
        <w:ind w:right="6083"/>
        <w:jc w:val="left"/>
        <w:rPr>
          <w:rFonts w:ascii="宋体" w:hAnsi="宋体" w:cs="宋体" w:eastAsia="宋体" w:hint="default"/>
          <w:b w:val="0"/>
          <w:bCs w:val="0"/>
        </w:rPr>
      </w:pPr>
      <w:bookmarkStart w:name="（3）通过融资租赁租入的固定资产情况" w:id="198"/>
      <w:bookmarkEnd w:id="198"/>
      <w:r>
        <w:rPr>
          <w:b w:val="0"/>
          <w:bCs w:val="0"/>
        </w:rPr>
      </w:r>
      <w:r>
        <w:rPr/>
        <w:t>（</w:t>
      </w:r>
      <w:r>
        <w:rPr>
          <w:rFonts w:ascii="Times New Roman" w:hAnsi="Times New Roman" w:cs="Times New Roman" w:eastAsia="Times New Roman" w:hint="default"/>
        </w:rPr>
        <w:t>3</w:t>
      </w:r>
      <w:r>
        <w:rPr/>
        <w:t>）通过融资租赁租入的固定资产情况</w:t>
      </w:r>
      <w:r>
        <w:rPr>
          <w:w w:val="99"/>
        </w:rPr>
        <w:t> </w:t>
      </w:r>
      <w:r>
        <w:rPr>
          <w:rFonts w:ascii="宋体" w:hAnsi="宋体" w:cs="宋体" w:eastAsia="宋体" w:hint="default"/>
          <w:b w:val="0"/>
          <w:bCs w:val="0"/>
        </w:rPr>
        <w:t>无。</w:t>
      </w:r>
    </w:p>
    <w:p>
      <w:pPr>
        <w:pStyle w:val="Heading3"/>
        <w:spacing w:line="444" w:lineRule="auto" w:before="85"/>
        <w:ind w:right="6505"/>
        <w:jc w:val="left"/>
        <w:rPr>
          <w:rFonts w:ascii="宋体" w:hAnsi="宋体" w:cs="宋体" w:eastAsia="宋体" w:hint="default"/>
          <w:b w:val="0"/>
          <w:bCs w:val="0"/>
        </w:rPr>
      </w:pPr>
      <w:bookmarkStart w:name="（4）通过经营租赁租出的固定资产" w:id="199"/>
      <w:bookmarkEnd w:id="199"/>
      <w:r>
        <w:rPr>
          <w:b w:val="0"/>
          <w:bCs w:val="0"/>
        </w:rPr>
      </w: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pStyle w:val="Heading3"/>
        <w:spacing w:line="444" w:lineRule="auto" w:before="82"/>
        <w:ind w:right="6294"/>
        <w:jc w:val="left"/>
        <w:rPr>
          <w:rFonts w:ascii="宋体" w:hAnsi="宋体" w:cs="宋体" w:eastAsia="宋体" w:hint="default"/>
          <w:b w:val="0"/>
          <w:bCs w:val="0"/>
        </w:rPr>
      </w:pPr>
      <w:bookmarkStart w:name="（5）未办妥产权证书的固定资产情况" w:id="200"/>
      <w:bookmarkEnd w:id="200"/>
      <w:r>
        <w:rPr>
          <w:b w:val="0"/>
          <w:bCs w:val="0"/>
        </w:rPr>
      </w:r>
      <w:r>
        <w:rPr/>
        <w:t>（</w:t>
      </w:r>
      <w:r>
        <w:rPr>
          <w:rFonts w:ascii="Times New Roman" w:hAnsi="Times New Roman" w:cs="Times New Roman" w:eastAsia="Times New Roman" w:hint="default"/>
        </w:rPr>
        <w:t>5</w:t>
      </w:r>
      <w:r>
        <w:rPr/>
        <w:t>）未办妥产权证书的固定资产情况</w:t>
      </w:r>
      <w:r>
        <w:rPr>
          <w:w w:val="99"/>
        </w:rPr>
        <w:t> </w:t>
      </w:r>
      <w:r>
        <w:rPr>
          <w:rFonts w:ascii="宋体" w:hAnsi="宋体" w:cs="宋体" w:eastAsia="宋体" w:hint="default"/>
          <w:b w:val="0"/>
          <w:bCs w:val="0"/>
        </w:rPr>
        <w:t>无。</w:t>
      </w:r>
    </w:p>
    <w:p>
      <w:pPr>
        <w:pStyle w:val="Heading3"/>
        <w:spacing w:line="240" w:lineRule="auto" w:before="155"/>
        <w:ind w:right="0"/>
        <w:jc w:val="left"/>
        <w:rPr>
          <w:b w:val="0"/>
          <w:bCs w:val="0"/>
        </w:rPr>
      </w:pPr>
      <w:bookmarkStart w:name="9、在建工程" w:id="201"/>
      <w:bookmarkEnd w:id="201"/>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02"/>
      <w:bookmarkEnd w:id="20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851"/>
        <w:gridCol w:w="1276"/>
        <w:gridCol w:w="1276"/>
        <w:gridCol w:w="833"/>
        <w:gridCol w:w="1367"/>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高唐基地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213,087.49</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213,087.49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113,950,553.09</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113,950,553.09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7,406,826.15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7,406,826.15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368,905.60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368,905.60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7,619,913.64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7,619,913.64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114,319,458.69</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114,319,458.69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3"/>
        <w:rPr>
          <w:rFonts w:ascii="宋体" w:hAnsi="宋体" w:cs="宋体" w:eastAsia="宋体" w:hint="default"/>
          <w:sz w:val="23"/>
          <w:szCs w:val="23"/>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1624" coordorigin="1410,-8" coordsize="14020,2">
            <v:shape style="position:absolute;left:1410;top:-8;width:14020;height:2" coordorigin="1410,-8" coordsize="14020,0" path="m1410,-8l15430,-8e" filled="false" stroked="true" strokeweight=".72pt" strokecolor="#000000">
              <v:path arrowok="t"/>
            </v:shape>
            <w10:wrap type="none"/>
          </v:group>
        </w:pict>
      </w:r>
      <w:bookmarkStart w:name="（2）重要在建工程项目本期变动情况" w:id="203"/>
      <w:bookmarkEnd w:id="203"/>
      <w:r>
        <w:rPr>
          <w:b w:val="0"/>
          <w:bCs w:val="0"/>
        </w:rPr>
      </w:r>
      <w:r>
        <w:rPr>
          <w:w w:val="95"/>
        </w:rPr>
        <w:t>（</w:t>
      </w:r>
      <w:r>
        <w:rPr>
          <w:rFonts w:ascii="Times New Roman" w:hAnsi="Times New Roman" w:cs="Times New Roman" w:eastAsia="Times New Roman" w:hint="default"/>
          <w:w w:val="95"/>
        </w:rPr>
        <w:t>2</w:t>
      </w:r>
      <w:r>
        <w:rPr>
          <w:w w:val="95"/>
        </w:rPr>
        <w:t>）重要在建工程项目本期变动情况</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28"/>
          <w:footerReference w:type="default" r:id="rId29"/>
          <w:pgSz w:w="16840" w:h="11910" w:orient="landscape"/>
          <w:pgMar w:header="0" w:footer="0" w:top="800" w:bottom="280" w:left="1300" w:right="540"/>
          <w:cols w:num="2" w:equalWidth="0">
            <w:col w:w="3616" w:space="6113"/>
            <w:col w:w="5271"/>
          </w:cols>
        </w:sectPr>
      </w:pPr>
    </w:p>
    <w:p>
      <w:pPr>
        <w:spacing w:line="240" w:lineRule="auto" w:before="3"/>
        <w:rPr>
          <w:rFonts w:ascii="宋体" w:hAnsi="宋体" w:cs="宋体" w:eastAsia="宋体" w:hint="default"/>
          <w:sz w:val="23"/>
          <w:szCs w:val="23"/>
        </w:rPr>
      </w:pPr>
    </w:p>
    <w:p>
      <w:pPr>
        <w:spacing w:before="44"/>
        <w:ind w:left="0" w:right="99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702"/>
        <w:gridCol w:w="1276"/>
        <w:gridCol w:w="1276"/>
        <w:gridCol w:w="1134"/>
        <w:gridCol w:w="1417"/>
        <w:gridCol w:w="736"/>
        <w:gridCol w:w="1249"/>
        <w:gridCol w:w="992"/>
        <w:gridCol w:w="736"/>
        <w:gridCol w:w="1222"/>
        <w:gridCol w:w="1276"/>
        <w:gridCol w:w="736"/>
        <w:gridCol w:w="992"/>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4" w:right="71"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3"/>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工程累计投 入占预算比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21" w:hanging="160"/>
              <w:jc w:val="left"/>
              <w:rPr>
                <w:rFonts w:ascii="宋体" w:hAnsi="宋体" w:cs="宋体" w:eastAsia="宋体" w:hint="default"/>
                <w:sz w:val="18"/>
                <w:szCs w:val="18"/>
              </w:rPr>
            </w:pPr>
            <w:r>
              <w:rPr>
                <w:rFonts w:ascii="宋体" w:hAnsi="宋体" w:cs="宋体" w:eastAsia="宋体" w:hint="default"/>
                <w:spacing w:val="-6"/>
                <w:sz w:val="18"/>
                <w:szCs w:val="18"/>
              </w:rPr>
              <w:t>其中：本期利息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蓝盾信息安全产业基 地</w:t>
            </w:r>
            <w:r>
              <w:rPr>
                <w:rFonts w:ascii="Times New Roman" w:hAnsi="Times New Roman" w:cs="Times New Roman" w:eastAsia="Times New Roman" w:hint="default"/>
                <w:sz w:val="18"/>
                <w:szCs w:val="18"/>
              </w:rPr>
              <w:t>-</w:t>
            </w:r>
            <w:r>
              <w:rPr>
                <w:rFonts w:ascii="宋体" w:hAnsi="宋体" w:cs="宋体" w:eastAsia="宋体" w:hint="default"/>
                <w:sz w:val="18"/>
                <w:szCs w:val="18"/>
              </w:rPr>
              <w:t>高唐基地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176,987,700.00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113,950,553.09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58,802,084.14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172,539,549.74</w:t>
            </w:r>
          </w:p>
        </w:tc>
        <w:tc>
          <w:tcPr>
            <w:tcW w:w="73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213,087.49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97.61%</w:t>
            </w: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3"/>
              <w:jc w:val="center"/>
              <w:rPr>
                <w:rFonts w:ascii="Times New Roman" w:hAnsi="Times New Roman" w:cs="Times New Roman" w:eastAsia="Times New Roman" w:hint="default"/>
                <w:sz w:val="18"/>
                <w:szCs w:val="18"/>
              </w:rPr>
            </w:pPr>
            <w:r>
              <w:rPr>
                <w:rFonts w:ascii="Times New Roman"/>
                <w:sz w:val="18"/>
              </w:rPr>
              <w:t>97.61%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8,533,276.44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2,367,480.81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6"/>
              <w:jc w:val="both"/>
              <w:rPr>
                <w:rFonts w:ascii="宋体" w:hAnsi="宋体" w:cs="宋体" w:eastAsia="宋体" w:hint="default"/>
                <w:sz w:val="18"/>
                <w:szCs w:val="18"/>
              </w:rPr>
            </w:pPr>
            <w:r>
              <w:rPr>
                <w:rFonts w:ascii="宋体" w:hAnsi="宋体" w:cs="宋体" w:eastAsia="宋体" w:hint="default"/>
                <w:sz w:val="18"/>
                <w:szCs w:val="18"/>
              </w:rPr>
              <w:t>募股资金、 金融机构贷 款和自筹</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蓝盾信息安全产业基 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266,827,500.00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368,905.60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7,037,920.55</w:t>
            </w:r>
          </w:p>
        </w:tc>
        <w:tc>
          <w:tcPr>
            <w:tcW w:w="141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7,406,826.15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w:t>
            </w: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3"/>
              <w:jc w:val="center"/>
              <w:rPr>
                <w:rFonts w:ascii="Times New Roman" w:hAnsi="Times New Roman" w:cs="Times New Roman" w:eastAsia="Times New Roman" w:hint="default"/>
                <w:sz w:val="18"/>
                <w:szCs w:val="18"/>
              </w:rPr>
            </w:pPr>
            <w:r>
              <w:rPr>
                <w:rFonts w:ascii="Times New Roman"/>
                <w:sz w:val="18"/>
              </w:rPr>
              <w:t>2.85%</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443,815,200.00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114,319,458.69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65,840,004.69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172,539,549.74</w:t>
            </w:r>
          </w:p>
        </w:tc>
        <w:tc>
          <w:tcPr>
            <w:tcW w:w="73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7,619,913.64</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8,533,276.44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2,367,480.81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40" w:right="0"/>
        <w:jc w:val="left"/>
        <w:rPr>
          <w:b w:val="0"/>
          <w:bCs w:val="0"/>
        </w:rPr>
      </w:pPr>
      <w:bookmarkStart w:name="（3）本期计提在建工程减值准备情况" w:id="204"/>
      <w:bookmarkEnd w:id="20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BodyText"/>
        <w:spacing w:line="240" w:lineRule="auto"/>
        <w:ind w:left="140" w:right="0"/>
        <w:jc w:val="left"/>
      </w:pPr>
      <w:r>
        <w:rPr/>
        <w:t>其他说明：</w:t>
      </w:r>
    </w:p>
    <w:p>
      <w:pPr>
        <w:pStyle w:val="BodyText"/>
        <w:spacing w:line="240" w:lineRule="auto" w:before="165"/>
        <w:ind w:left="560" w:right="0"/>
        <w:jc w:val="left"/>
      </w:pPr>
      <w:r>
        <w:rPr/>
        <w:t>蓝盾信息安全产业基地</w:t>
      </w:r>
      <w:r>
        <w:rPr>
          <w:rFonts w:ascii="Times New Roman" w:hAnsi="Times New Roman" w:cs="Times New Roman" w:eastAsia="Times New Roman" w:hint="default"/>
        </w:rPr>
        <w:t>-</w:t>
      </w:r>
      <w:r>
        <w:rPr/>
        <w:t>高唐基地余额为装修费，装修工程尚在进行中。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76"/>
        <w:ind w:left="0" w:right="896" w:firstLine="0"/>
        <w:jc w:val="right"/>
        <w:rPr>
          <w:rFonts w:ascii="Times New Roman" w:hAnsi="Times New Roman" w:cs="Times New Roman" w:eastAsia="Times New Roman" w:hint="default"/>
          <w:sz w:val="18"/>
          <w:szCs w:val="18"/>
        </w:rPr>
      </w:pPr>
      <w:r>
        <w:rPr>
          <w:rFonts w:ascii="Times New Roman"/>
          <w:sz w:val="18"/>
        </w:rPr>
        <w:t>108</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5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240" w:lineRule="auto" w:before="35"/>
        <w:ind w:left="153" w:right="0"/>
        <w:jc w:val="left"/>
        <w:rPr>
          <w:b w:val="0"/>
          <w:bCs w:val="0"/>
        </w:rPr>
      </w:pPr>
      <w:bookmarkStart w:name="10、无形资产" w:id="205"/>
      <w:bookmarkEnd w:id="205"/>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无形资产情况" w:id="206"/>
      <w:bookmarkEnd w:id="20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2"/>
        <w:gridCol w:w="1722"/>
        <w:gridCol w:w="1721"/>
        <w:gridCol w:w="1727"/>
        <w:gridCol w:w="1884"/>
      </w:tblGrid>
      <w:tr>
        <w:trPr>
          <w:trHeight w:val="326"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0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3"/>
              <w:jc w:val="right"/>
              <w:rPr>
                <w:rFonts w:ascii="宋体" w:hAnsi="宋体" w:cs="宋体" w:eastAsia="宋体" w:hint="default"/>
                <w:sz w:val="18"/>
                <w:szCs w:val="18"/>
              </w:rPr>
            </w:pPr>
            <w:r>
              <w:rPr>
                <w:rFonts w:ascii="宋体" w:hAnsi="宋体" w:cs="宋体" w:eastAsia="宋体" w:hint="default"/>
                <w:sz w:val="18"/>
                <w:szCs w:val="18"/>
              </w:rPr>
              <w:t>软件著作权（投资）</w:t>
            </w: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right"/>
              <w:rPr>
                <w:rFonts w:ascii="宋体" w:hAnsi="宋体" w:cs="宋体" w:eastAsia="宋体" w:hint="default"/>
                <w:sz w:val="18"/>
                <w:szCs w:val="18"/>
              </w:rPr>
            </w:pPr>
            <w:r>
              <w:rPr>
                <w:rFonts w:ascii="宋体" w:hAnsi="宋体" w:cs="宋体" w:eastAsia="宋体" w:hint="default"/>
                <w:sz w:val="18"/>
                <w:szCs w:val="18"/>
              </w:rPr>
              <w:t>软件著作权（外购）</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Arial" w:hAnsi="Arial" w:cs="Arial" w:eastAsia="Arial" w:hint="default"/>
                <w:sz w:val="18"/>
                <w:szCs w:val="18"/>
              </w:rPr>
              <w:t>.  </w:t>
            </w:r>
            <w:r>
              <w:rPr>
                <w:rFonts w:ascii="Arial" w:hAnsi="Arial" w:cs="Arial" w:eastAsia="Arial" w:hint="default"/>
                <w:spacing w:val="39"/>
                <w:sz w:val="18"/>
                <w:szCs w:val="18"/>
              </w:rPr>
              <w:t> </w:t>
            </w:r>
            <w:r>
              <w:rPr>
                <w:rFonts w:ascii="宋体" w:hAnsi="宋体" w:cs="宋体" w:eastAsia="宋体" w:hint="default"/>
                <w:sz w:val="18"/>
                <w:szCs w:val="18"/>
              </w:rPr>
              <w:t>账面原值合计</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期初余额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1"/>
                <w:w w:val="80"/>
                <w:sz w:val="18"/>
              </w:rPr>
              <w:t>31,715,386.00</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71,405,882.70</w:t>
            </w:r>
            <w:r>
              <w:rPr>
                <w:rFonts w:ascii="Arial"/>
                <w:spacing w:val="-1"/>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1"/>
                <w:w w:val="80"/>
                <w:sz w:val="18"/>
              </w:rPr>
              <w:t>13,054,985.62</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2"/>
                <w:w w:val="80"/>
                <w:sz w:val="18"/>
              </w:rPr>
              <w:t>116,176,254.32</w:t>
            </w:r>
            <w:r>
              <w:rPr>
                <w:rFonts w:ascii="Arial"/>
                <w:spacing w:val="-2"/>
                <w:sz w:val="18"/>
              </w:rPr>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本期增加金额</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Arial" w:hAnsi="Arial" w:cs="Arial" w:eastAsia="Arial" w:hint="default"/>
                <w:sz w:val="18"/>
                <w:szCs w:val="18"/>
              </w:rPr>
            </w:pPr>
            <w:r>
              <w:rPr>
                <w:rFonts w:ascii="Arial"/>
                <w:w w:val="81"/>
                <w:sz w:val="18"/>
              </w:rPr>
              <w:t>-</w:t>
            </w:r>
            <w:r>
              <w:rPr>
                <w:rFonts w:ascii="Arial"/>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Arial" w:hAnsi="Arial" w:cs="Arial" w:eastAsia="Arial" w:hint="default"/>
                <w:sz w:val="18"/>
                <w:szCs w:val="18"/>
              </w:rPr>
            </w:pPr>
            <w:r>
              <w:rPr>
                <w:rFonts w:ascii="Arial"/>
                <w:spacing w:val="-1"/>
                <w:w w:val="80"/>
                <w:sz w:val="18"/>
              </w:rPr>
              <w:t>13,746,655.49</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w w:val="80"/>
                <w:sz w:val="18"/>
              </w:rPr>
              <w:t>13,746,655.49</w:t>
            </w:r>
            <w:r>
              <w:rPr>
                <w:rFonts w:ascii="Arial"/>
                <w:spacing w:val="-1"/>
                <w:sz w:val="18"/>
              </w:rPr>
            </w:r>
          </w:p>
        </w:tc>
      </w:tr>
      <w:tr>
        <w:trPr>
          <w:trHeight w:val="32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02" w:right="0"/>
              <w:jc w:val="left"/>
              <w:rPr>
                <w:rFonts w:ascii="宋体" w:hAnsi="宋体" w:cs="宋体" w:eastAsia="宋体" w:hint="default"/>
                <w:sz w:val="18"/>
                <w:szCs w:val="18"/>
              </w:rPr>
            </w:pPr>
            <w:r>
              <w:rPr>
                <w:rFonts w:ascii="宋体" w:hAnsi="宋体" w:cs="宋体" w:eastAsia="宋体" w:hint="default"/>
                <w:sz w:val="18"/>
                <w:szCs w:val="18"/>
              </w:rPr>
              <w:t>内部研发</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w w:val="80"/>
                <w:sz w:val="18"/>
              </w:rPr>
              <w:t>41,028,625.34</w:t>
            </w:r>
            <w:r>
              <w:rPr>
                <w:rFonts w:ascii="Arial"/>
                <w:spacing w:val="-1"/>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81"/>
                <w:sz w:val="18"/>
              </w:rPr>
              <w:t>-</w:t>
            </w:r>
            <w:r>
              <w:rPr>
                <w:rFonts w:ascii="Arial"/>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Arial" w:hAnsi="Arial" w:cs="Arial" w:eastAsia="Arial" w:hint="default"/>
                <w:sz w:val="18"/>
                <w:szCs w:val="18"/>
              </w:rPr>
            </w:pPr>
            <w:r>
              <w:rPr>
                <w:rFonts w:ascii="Arial"/>
                <w:spacing w:val="-1"/>
                <w:w w:val="80"/>
                <w:sz w:val="18"/>
              </w:rPr>
              <w:t>41,028,625.34</w:t>
            </w:r>
            <w:r>
              <w:rPr>
                <w:rFonts w:ascii="Arial"/>
                <w:spacing w:val="-1"/>
                <w:sz w:val="18"/>
              </w:rPr>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本期减少金额</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w:t>
            </w:r>
            <w:r>
              <w:rPr>
                <w:rFonts w:ascii="Arial"/>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w:t>
            </w:r>
            <w:r>
              <w:rPr>
                <w:rFonts w:ascii="Arial"/>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w w:val="81"/>
                <w:sz w:val="18"/>
              </w:rPr>
              <w:t>-</w:t>
            </w:r>
            <w:r>
              <w:rPr>
                <w:rFonts w:ascii="Arial"/>
                <w:sz w:val="18"/>
              </w:rPr>
            </w:r>
          </w:p>
        </w:tc>
      </w:tr>
      <w:tr>
        <w:trPr>
          <w:trHeight w:val="296"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期末余额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2"/>
              <w:jc w:val="right"/>
              <w:rPr>
                <w:rFonts w:ascii="Arial" w:hAnsi="Arial" w:cs="Arial" w:eastAsia="Arial" w:hint="default"/>
                <w:sz w:val="18"/>
                <w:szCs w:val="18"/>
              </w:rPr>
            </w:pPr>
            <w:r>
              <w:rPr>
                <w:rFonts w:ascii="Arial"/>
                <w:spacing w:val="-1"/>
                <w:w w:val="80"/>
                <w:sz w:val="18"/>
              </w:rPr>
              <w:t>31,715,386.00</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spacing w:val="-2"/>
                <w:w w:val="80"/>
                <w:sz w:val="18"/>
              </w:rPr>
              <w:t>112,434,508.04</w:t>
            </w:r>
            <w:r>
              <w:rPr>
                <w:rFonts w:ascii="Arial"/>
                <w:spacing w:val="-2"/>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w:hAnsi="Arial" w:cs="Arial" w:eastAsia="Arial" w:hint="default"/>
                <w:sz w:val="18"/>
                <w:szCs w:val="18"/>
              </w:rPr>
            </w:pPr>
            <w:r>
              <w:rPr>
                <w:rFonts w:ascii="Arial"/>
                <w:spacing w:val="-2"/>
                <w:w w:val="80"/>
                <w:sz w:val="18"/>
              </w:rPr>
              <w:t>26,801,641.11</w:t>
            </w:r>
            <w:r>
              <w:rPr>
                <w:rFonts w:ascii="Arial"/>
                <w:spacing w:val="-2"/>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w:hAnsi="Arial" w:cs="Arial" w:eastAsia="Arial" w:hint="default"/>
                <w:sz w:val="18"/>
                <w:szCs w:val="18"/>
              </w:rPr>
            </w:pPr>
            <w:r>
              <w:rPr>
                <w:rFonts w:ascii="Arial"/>
                <w:spacing w:val="-1"/>
                <w:w w:val="80"/>
                <w:sz w:val="18"/>
              </w:rPr>
              <w:t>170,951,535.15</w:t>
            </w:r>
            <w:r>
              <w:rPr>
                <w:rFonts w:ascii="Arial"/>
                <w:spacing w:val="-1"/>
                <w:sz w:val="18"/>
              </w:rPr>
            </w:r>
          </w:p>
        </w:tc>
      </w:tr>
      <w:tr>
        <w:trPr>
          <w:trHeight w:val="299"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Arial" w:hAnsi="Arial" w:cs="Arial" w:eastAsia="Arial" w:hint="default"/>
                <w:sz w:val="18"/>
                <w:szCs w:val="18"/>
              </w:rPr>
              <w:t>.  </w:t>
            </w:r>
            <w:r>
              <w:rPr>
                <w:rFonts w:ascii="Arial" w:hAnsi="Arial" w:cs="Arial" w:eastAsia="Arial" w:hint="default"/>
                <w:spacing w:val="39"/>
                <w:sz w:val="18"/>
                <w:szCs w:val="18"/>
              </w:rPr>
              <w:t> </w:t>
            </w:r>
            <w:r>
              <w:rPr>
                <w:rFonts w:ascii="宋体" w:hAnsi="宋体" w:cs="宋体" w:eastAsia="宋体" w:hint="default"/>
                <w:sz w:val="18"/>
                <w:szCs w:val="18"/>
              </w:rPr>
              <w:t>累计摊销</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期初余额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1,322,913.22</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47,548,882.03</w:t>
            </w:r>
            <w:r>
              <w:rPr>
                <w:rFonts w:ascii="Arial"/>
                <w:spacing w:val="-1"/>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5,698,188.05</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Arial" w:hAnsi="Arial" w:cs="Arial" w:eastAsia="Arial" w:hint="default"/>
                <w:sz w:val="18"/>
                <w:szCs w:val="18"/>
              </w:rPr>
            </w:pPr>
            <w:r>
              <w:rPr>
                <w:rFonts w:ascii="Arial"/>
                <w:spacing w:val="-1"/>
                <w:w w:val="80"/>
                <w:sz w:val="18"/>
              </w:rPr>
              <w:t>54,569,983.30</w:t>
            </w:r>
            <w:r>
              <w:rPr>
                <w:rFonts w:ascii="Arial"/>
                <w:spacing w:val="-1"/>
                <w:sz w:val="18"/>
              </w:rPr>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本期增加金额</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Arial" w:hAnsi="Arial" w:cs="Arial" w:eastAsia="Arial" w:hint="default"/>
                <w:sz w:val="18"/>
                <w:szCs w:val="18"/>
              </w:rPr>
            </w:pPr>
            <w:r>
              <w:rPr>
                <w:rFonts w:ascii="Arial"/>
                <w:spacing w:val="-1"/>
                <w:w w:val="80"/>
                <w:sz w:val="18"/>
              </w:rPr>
              <w:t>634,307.64</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Arial" w:hAnsi="Arial" w:cs="Arial" w:eastAsia="Arial" w:hint="default"/>
                <w:sz w:val="18"/>
                <w:szCs w:val="18"/>
              </w:rPr>
            </w:pPr>
            <w:r>
              <w:rPr>
                <w:rFonts w:ascii="Arial"/>
                <w:spacing w:val="-1"/>
                <w:w w:val="80"/>
                <w:sz w:val="18"/>
              </w:rPr>
              <w:t>9,692,865.90</w:t>
            </w:r>
            <w:r>
              <w:rPr>
                <w:rFonts w:ascii="Arial"/>
                <w:spacing w:val="-1"/>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Arial" w:hAnsi="Arial" w:cs="Arial" w:eastAsia="Arial" w:hint="default"/>
                <w:sz w:val="18"/>
                <w:szCs w:val="18"/>
              </w:rPr>
            </w:pPr>
            <w:r>
              <w:rPr>
                <w:rFonts w:ascii="Arial"/>
                <w:spacing w:val="-1"/>
                <w:w w:val="80"/>
                <w:sz w:val="18"/>
              </w:rPr>
              <w:t>3,197,605.03</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w w:val="80"/>
                <w:sz w:val="18"/>
              </w:rPr>
              <w:t>13,524,778.57</w:t>
            </w:r>
            <w:r>
              <w:rPr>
                <w:rFonts w:ascii="Arial"/>
                <w:spacing w:val="-1"/>
                <w:sz w:val="18"/>
              </w:rPr>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本期减少金额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w w:val="81"/>
                <w:sz w:val="18"/>
              </w:rPr>
              <w:t>-</w:t>
            </w:r>
            <w:r>
              <w:rPr>
                <w:rFonts w:ascii="Arial"/>
                <w:sz w:val="18"/>
              </w:rPr>
            </w:r>
          </w:p>
        </w:tc>
      </w:tr>
      <w:tr>
        <w:trPr>
          <w:trHeight w:val="404"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w:t>
            </w:r>
            <w:r>
              <w:rPr>
                <w:rFonts w:ascii="Arial"/>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w:t>
            </w:r>
            <w:r>
              <w:rPr>
                <w:rFonts w:ascii="Arial"/>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81"/>
                <w:sz w:val="18"/>
              </w:rPr>
              <w:t>-</w:t>
            </w:r>
            <w:r>
              <w:rPr>
                <w:rFonts w:ascii="Arial"/>
                <w:sz w:val="18"/>
              </w:rPr>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期末余额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1,957,220.86</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57,241,747.93</w:t>
            </w:r>
            <w:r>
              <w:rPr>
                <w:rFonts w:ascii="Arial"/>
                <w:spacing w:val="-1"/>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8,895,793.08</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Arial" w:hAnsi="Arial" w:cs="Arial" w:eastAsia="Arial" w:hint="default"/>
                <w:sz w:val="18"/>
                <w:szCs w:val="18"/>
              </w:rPr>
            </w:pPr>
            <w:r>
              <w:rPr>
                <w:rFonts w:ascii="Arial"/>
                <w:spacing w:val="-1"/>
                <w:w w:val="80"/>
                <w:sz w:val="18"/>
              </w:rPr>
              <w:t>68,094,761.87</w:t>
            </w:r>
            <w:r>
              <w:rPr>
                <w:rFonts w:ascii="Arial"/>
                <w:spacing w:val="-1"/>
                <w:sz w:val="18"/>
              </w:rPr>
            </w:r>
          </w:p>
        </w:tc>
      </w:tr>
      <w:tr>
        <w:trPr>
          <w:trHeight w:val="297"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Arial" w:hAnsi="Arial" w:cs="Arial" w:eastAsia="Arial" w:hint="default"/>
                <w:sz w:val="18"/>
                <w:szCs w:val="18"/>
              </w:rPr>
              <w:t>.  </w:t>
            </w:r>
            <w:r>
              <w:rPr>
                <w:rFonts w:ascii="Arial" w:hAnsi="Arial" w:cs="Arial" w:eastAsia="Arial" w:hint="default"/>
                <w:spacing w:val="39"/>
                <w:sz w:val="18"/>
                <w:szCs w:val="18"/>
              </w:rPr>
              <w:t> </w:t>
            </w:r>
            <w:r>
              <w:rPr>
                <w:rFonts w:ascii="宋体" w:hAnsi="宋体" w:cs="宋体" w:eastAsia="宋体" w:hint="default"/>
                <w:sz w:val="18"/>
                <w:szCs w:val="18"/>
              </w:rPr>
              <w:t>减值准备</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299"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期初余额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w w:val="81"/>
                <w:sz w:val="18"/>
              </w:rPr>
              <w:t>-</w:t>
            </w:r>
            <w:r>
              <w:rPr>
                <w:rFonts w:ascii="Arial"/>
                <w:sz w:val="18"/>
              </w:rPr>
            </w: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本期增加金额</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本期减少金额</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w:hAnsi="Arial" w:cs="Arial" w:eastAsia="Arial" w:hint="default"/>
                <w:sz w:val="18"/>
                <w:szCs w:val="18"/>
              </w:rPr>
            </w:pPr>
            <w:r>
              <w:rPr>
                <w:rFonts w:ascii="Arial"/>
                <w:w w:val="81"/>
                <w:sz w:val="18"/>
              </w:rPr>
              <w:t>-</w:t>
            </w:r>
            <w:r>
              <w:rPr>
                <w:rFonts w:ascii="Arial"/>
                <w:sz w:val="18"/>
              </w:rPr>
            </w: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w:hAnsi="Arial" w:cs="Arial" w:eastAsia="Arial" w:hint="default"/>
                <w:sz w:val="18"/>
                <w:szCs w:val="18"/>
              </w:rPr>
            </w:pPr>
            <w:r>
              <w:rPr>
                <w:rFonts w:ascii="Arial"/>
                <w:w w:val="81"/>
                <w:sz w:val="18"/>
              </w:rPr>
              <w:t>-</w:t>
            </w:r>
            <w:r>
              <w:rPr>
                <w:rFonts w:ascii="Arial"/>
                <w:sz w:val="18"/>
              </w:rPr>
            </w: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期末余额</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Arial" w:hAnsi="Arial" w:cs="Arial" w:eastAsia="Arial" w:hint="default"/>
                <w:sz w:val="18"/>
                <w:szCs w:val="18"/>
              </w:rPr>
            </w:pPr>
            <w:r>
              <w:rPr>
                <w:rFonts w:ascii="Arial"/>
                <w:w w:val="81"/>
                <w:sz w:val="18"/>
              </w:rPr>
              <w:t>-</w:t>
            </w:r>
            <w:r>
              <w:rPr>
                <w:rFonts w:ascii="Arial"/>
                <w:sz w:val="18"/>
              </w:rPr>
            </w: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w w:val="81"/>
                <w:sz w:val="18"/>
              </w:rPr>
              <w:t>-</w:t>
            </w:r>
            <w:r>
              <w:rPr>
                <w:rFonts w:ascii="Arial"/>
                <w:sz w:val="18"/>
              </w:rPr>
            </w:r>
          </w:p>
        </w:tc>
      </w:tr>
      <w:tr>
        <w:trPr>
          <w:trHeight w:val="299"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  </w:t>
            </w:r>
            <w:r>
              <w:rPr>
                <w:rFonts w:ascii="Arial" w:hAnsi="Arial" w:cs="Arial" w:eastAsia="Arial" w:hint="default"/>
                <w:spacing w:val="39"/>
                <w:sz w:val="18"/>
                <w:szCs w:val="18"/>
              </w:rPr>
              <w:t> </w:t>
            </w:r>
            <w:r>
              <w:rPr>
                <w:rFonts w:ascii="宋体" w:hAnsi="宋体" w:cs="宋体" w:eastAsia="宋体" w:hint="default"/>
                <w:sz w:val="18"/>
                <w:szCs w:val="18"/>
              </w:rPr>
              <w:t>账面价值合计</w:t>
            </w:r>
          </w:p>
        </w:tc>
        <w:tc>
          <w:tcPr>
            <w:tcW w:w="1722" w:type="dxa"/>
            <w:tcBorders>
              <w:top w:val="single" w:sz="4" w:space="0" w:color="000000"/>
              <w:left w:val="single" w:sz="13" w:space="0" w:color="D2D2D2"/>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期末账面价值</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1"/>
                <w:w w:val="80"/>
                <w:sz w:val="18"/>
              </w:rPr>
              <w:t>29,758,165.14</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2"/>
                <w:w w:val="80"/>
                <w:sz w:val="18"/>
              </w:rPr>
              <w:t>55,192,760.11</w:t>
            </w:r>
            <w:r>
              <w:rPr>
                <w:rFonts w:ascii="Arial"/>
                <w:spacing w:val="-2"/>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1"/>
                <w:w w:val="80"/>
                <w:sz w:val="18"/>
              </w:rPr>
              <w:t>17,905,848.03</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1"/>
                <w:w w:val="80"/>
                <w:sz w:val="18"/>
              </w:rPr>
              <w:t>102,856,773.28</w:t>
            </w:r>
            <w:r>
              <w:rPr>
                <w:rFonts w:ascii="Arial"/>
                <w:spacing w:val="-1"/>
                <w:sz w:val="18"/>
              </w:rPr>
            </w:r>
          </w:p>
        </w:tc>
      </w:tr>
      <w:tr>
        <w:trPr>
          <w:trHeight w:val="299"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期初账面价值</w:t>
            </w:r>
          </w:p>
        </w:tc>
        <w:tc>
          <w:tcPr>
            <w:tcW w:w="17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right="22"/>
              <w:jc w:val="right"/>
              <w:rPr>
                <w:rFonts w:ascii="Arial" w:hAnsi="Arial" w:cs="Arial" w:eastAsia="Arial" w:hint="default"/>
                <w:sz w:val="18"/>
                <w:szCs w:val="18"/>
              </w:rPr>
            </w:pPr>
            <w:r>
              <w:rPr>
                <w:rFonts w:ascii="Arial"/>
                <w:spacing w:val="-1"/>
                <w:w w:val="80"/>
                <w:sz w:val="18"/>
              </w:rPr>
              <w:t>30,392,472.78</w:t>
            </w:r>
            <w:r>
              <w:rPr>
                <w:rFonts w:ascii="Arial"/>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23,857,000.67</w:t>
            </w:r>
            <w:r>
              <w:rPr>
                <w:rFonts w:ascii="Arial"/>
                <w:spacing w:val="-1"/>
                <w:sz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Arial" w:hAnsi="Arial" w:cs="Arial" w:eastAsia="Arial" w:hint="default"/>
                <w:sz w:val="18"/>
                <w:szCs w:val="18"/>
              </w:rPr>
            </w:pPr>
            <w:r>
              <w:rPr>
                <w:rFonts w:ascii="Arial"/>
                <w:spacing w:val="-1"/>
                <w:w w:val="80"/>
                <w:sz w:val="18"/>
              </w:rPr>
              <w:t>7,356,797.57</w:t>
            </w:r>
            <w:r>
              <w:rPr>
                <w:rFonts w:ascii="Arial"/>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Arial" w:hAnsi="Arial" w:cs="Arial" w:eastAsia="Arial" w:hint="default"/>
                <w:sz w:val="18"/>
                <w:szCs w:val="18"/>
              </w:rPr>
            </w:pPr>
            <w:r>
              <w:rPr>
                <w:rFonts w:ascii="Arial"/>
                <w:spacing w:val="-1"/>
                <w:w w:val="80"/>
                <w:sz w:val="18"/>
              </w:rPr>
              <w:t>61,606,271.02</w:t>
            </w:r>
            <w:r>
              <w:rPr>
                <w:rFonts w:ascii="Arial"/>
                <w:spacing w:val="-1"/>
                <w:sz w:val="18"/>
              </w:rPr>
            </w:r>
          </w:p>
        </w:tc>
      </w:tr>
    </w:tbl>
    <w:p>
      <w:pPr>
        <w:spacing w:line="240" w:lineRule="auto" w:before="6"/>
        <w:rPr>
          <w:rFonts w:ascii="宋体" w:hAnsi="宋体" w:cs="宋体" w:eastAsia="宋体" w:hint="default"/>
          <w:sz w:val="5"/>
          <w:szCs w:val="5"/>
        </w:rPr>
      </w:pPr>
    </w:p>
    <w:p>
      <w:pPr>
        <w:pStyle w:val="BodyText"/>
        <w:spacing w:line="240" w:lineRule="auto" w:before="35"/>
        <w:ind w:left="154" w:right="0"/>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38.28%</w:t>
      </w:r>
      <w:r>
        <w:rPr/>
        <w:t>。</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未办妥产权证书的土地使用权情况：无。" w:id="207"/>
      <w:bookmarkEnd w:id="207"/>
      <w:r>
        <w:rPr>
          <w:b w:val="0"/>
          <w:bCs w:val="0"/>
        </w:rPr>
      </w:r>
      <w:r>
        <w:rPr/>
        <w:t>（</w:t>
      </w:r>
      <w:r>
        <w:rPr>
          <w:rFonts w:ascii="Times New Roman" w:hAnsi="Times New Roman" w:cs="Times New Roman" w:eastAsia="Times New Roman" w:hint="default"/>
        </w:rPr>
        <w:t>2</w:t>
      </w:r>
      <w:r>
        <w:rPr/>
        <w:t>）未办妥产权证书的土地使用权情况：无。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1、开发支出" w:id="208"/>
      <w:bookmarkEnd w:id="208"/>
      <w:r>
        <w:rPr>
          <w:b w:val="0"/>
          <w:bCs w:val="0"/>
        </w:rPr>
      </w:r>
      <w:r>
        <w:rPr>
          <w:rFonts w:ascii="Times New Roman" w:hAnsi="Times New Roman" w:cs="Times New Roman" w:eastAsia="Times New Roman" w:hint="default"/>
        </w:rPr>
        <w:t>11</w:t>
      </w:r>
      <w:r>
        <w:rPr/>
        <w:t>、开发支出</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277"/>
        <w:gridCol w:w="708"/>
        <w:gridCol w:w="1417"/>
        <w:gridCol w:w="1277"/>
        <w:gridCol w:w="708"/>
        <w:gridCol w:w="1062"/>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统一安全网</w:t>
            </w:r>
            <w:r>
              <w:rPr>
                <w:rFonts w:ascii="宋体" w:hAnsi="宋体" w:cs="宋体" w:eastAsia="宋体" w:hint="default"/>
                <w:w w:val="99"/>
                <w:sz w:val="18"/>
                <w:szCs w:val="18"/>
              </w:rPr>
              <w:t> </w:t>
            </w:r>
            <w:r>
              <w:rPr>
                <w:rFonts w:ascii="宋体" w:hAnsi="宋体" w:cs="宋体" w:eastAsia="宋体" w:hint="default"/>
                <w:sz w:val="18"/>
                <w:szCs w:val="18"/>
              </w:rPr>
              <w:t>关项目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6,594,672.83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6,594,672.83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全网综合监控审计平 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10,527,064.22</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10,527,064.22</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979" w:header="0" w:top="1100" w:bottom="1160" w:left="980" w:right="980"/>
          <w:pgNumType w:start="109"/>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277"/>
        <w:gridCol w:w="708"/>
        <w:gridCol w:w="1417"/>
        <w:gridCol w:w="1277"/>
        <w:gridCol w:w="708"/>
        <w:gridCol w:w="1062"/>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研发及培训中心建设 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6,044,998.13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859,207.18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6,904,205.31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蓝盾互联网舆情分析 平台项目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11,085,907.89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2,819,230.61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13,905,138.50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云计算安全监控及管 理中心项目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208,471.34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1,192,722.30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1,401,193.64</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大数据安全综合管理 平台项目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1,120,985.31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1,120,985.31</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政府综合应急平台项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975,667.36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722,671.96</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1,698,339.32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安全生产应急管理平 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823,114.34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576,090.82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1,399,205.16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中小学生安全应急宣 教系统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1,715,118.70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1,715,118.70</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三防应急指挥决策系 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1,281,949.95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1,281,949.95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36,259,896.11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10,287,976.83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41,028,625.34</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5,519,247.60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2、长期待摊费用" w:id="209"/>
      <w:bookmarkEnd w:id="209"/>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5,574,345.75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1,433,362.68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4,140,983.07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5,574,345.75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1,433,362.68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4,140,983.07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递延所得税资产/递延所得税负债" w:id="210"/>
      <w:bookmarkEnd w:id="210"/>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11"/>
      <w:bookmarkEnd w:id="21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3,307,960.07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826,990.02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1,280,349.80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320,087.45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11,323,939.68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1,671,968.49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10,982,037.77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1,115,209.21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5,322,203.28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723,397.75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4,826,161.31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589,830.98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27,516,853.08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3,918,716.21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17,934,438.67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1,826,046.64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50,239.10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50,239.10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5,023.91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47,521,195.21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7,148,608.34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35,120,396.45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3,867,990.64</w:t>
            </w:r>
          </w:p>
        </w:tc>
      </w:tr>
    </w:tbl>
    <w:p>
      <w:pPr>
        <w:spacing w:line="240" w:lineRule="auto" w:before="3"/>
        <w:rPr>
          <w:rFonts w:ascii="宋体" w:hAnsi="宋体" w:cs="宋体" w:eastAsia="宋体" w:hint="default"/>
          <w:sz w:val="19"/>
          <w:szCs w:val="19"/>
        </w:rPr>
      </w:pPr>
    </w:p>
    <w:p>
      <w:pPr>
        <w:pStyle w:val="Heading3"/>
        <w:spacing w:line="506" w:lineRule="auto" w:before="35"/>
        <w:ind w:right="6715"/>
        <w:jc w:val="left"/>
        <w:rPr>
          <w:rFonts w:ascii="宋体" w:hAnsi="宋体" w:cs="宋体" w:eastAsia="宋体" w:hint="default"/>
          <w:b w:val="0"/>
          <w:bCs w:val="0"/>
        </w:rPr>
      </w:pPr>
      <w:bookmarkStart w:name="（2）未经抵销的递延所得税负债" w:id="212"/>
      <w:bookmarkEnd w:id="212"/>
      <w:r>
        <w:rPr>
          <w:b w:val="0"/>
          <w:bCs w:val="0"/>
        </w:rPr>
      </w:r>
      <w:r>
        <w:rPr/>
        <w:t>（</w:t>
      </w:r>
      <w:r>
        <w:rPr>
          <w:rFonts w:ascii="Times New Roman" w:hAnsi="Times New Roman" w:cs="Times New Roman" w:eastAsia="Times New Roman" w:hint="default"/>
        </w:rPr>
        <w:t>2</w:t>
      </w:r>
      <w:r>
        <w:rPr/>
        <w:t>）未经抵销的递延所得税负债</w:t>
      </w:r>
      <w:r>
        <w:rPr>
          <w:w w:val="99"/>
        </w:rPr>
        <w:t> </w:t>
      </w:r>
      <w:r>
        <w:rPr>
          <w:rFonts w:ascii="宋体" w:hAnsi="宋体" w:cs="宋体" w:eastAsia="宋体" w:hint="default"/>
          <w:b w:val="0"/>
          <w:bCs w:val="0"/>
        </w:rPr>
        <w:t>无。</w:t>
      </w:r>
    </w:p>
    <w:p>
      <w:pPr>
        <w:pStyle w:val="Heading3"/>
        <w:spacing w:line="240" w:lineRule="auto" w:before="104"/>
        <w:ind w:right="0"/>
        <w:jc w:val="left"/>
        <w:rPr>
          <w:b w:val="0"/>
          <w:bCs w:val="0"/>
        </w:rPr>
      </w:pPr>
      <w:bookmarkStart w:name="（3）以抵销后净额列示的递延所得税资产或负债" w:id="213"/>
      <w:bookmarkEnd w:id="21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7,148,608.34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3,867,990.64</w:t>
            </w:r>
          </w:p>
        </w:tc>
      </w:tr>
    </w:tbl>
    <w:p>
      <w:pPr>
        <w:spacing w:line="240" w:lineRule="auto" w:before="2"/>
        <w:rPr>
          <w:rFonts w:ascii="宋体" w:hAnsi="宋体" w:cs="宋体" w:eastAsia="宋体" w:hint="default"/>
          <w:sz w:val="19"/>
          <w:szCs w:val="19"/>
        </w:rPr>
      </w:pPr>
    </w:p>
    <w:p>
      <w:pPr>
        <w:pStyle w:val="Heading3"/>
        <w:spacing w:line="506" w:lineRule="auto" w:before="35"/>
        <w:ind w:right="6715"/>
        <w:jc w:val="left"/>
        <w:rPr>
          <w:rFonts w:ascii="宋体" w:hAnsi="宋体" w:cs="宋体" w:eastAsia="宋体" w:hint="default"/>
          <w:b w:val="0"/>
          <w:bCs w:val="0"/>
        </w:rPr>
      </w:pPr>
      <w:bookmarkStart w:name="（4）未确认递延所得税资产明细" w:id="214"/>
      <w:bookmarkEnd w:id="214"/>
      <w:r>
        <w:rPr>
          <w:b w:val="0"/>
          <w:bCs w:val="0"/>
        </w:rPr>
      </w:r>
      <w:r>
        <w:rPr/>
        <w:t>（</w:t>
      </w:r>
      <w:r>
        <w:rPr>
          <w:rFonts w:ascii="Times New Roman" w:hAnsi="Times New Roman" w:cs="Times New Roman" w:eastAsia="Times New Roman" w:hint="default"/>
        </w:rPr>
        <w:t>4</w:t>
      </w:r>
      <w:r>
        <w:rPr/>
        <w:t>）未确认递延所得税资产明细</w:t>
      </w:r>
      <w:r>
        <w:rPr>
          <w:w w:val="99"/>
        </w:rPr>
        <w:t> </w:t>
      </w:r>
      <w:r>
        <w:rPr>
          <w:rFonts w:ascii="宋体" w:hAnsi="宋体" w:cs="宋体" w:eastAsia="宋体" w:hint="default"/>
          <w:b w:val="0"/>
          <w:bCs w:val="0"/>
        </w:rPr>
        <w:t>无。</w:t>
      </w:r>
    </w:p>
    <w:p>
      <w:pPr>
        <w:pStyle w:val="Heading3"/>
        <w:spacing w:line="506" w:lineRule="auto" w:before="104"/>
        <w:ind w:right="4331"/>
        <w:jc w:val="left"/>
        <w:rPr>
          <w:rFonts w:ascii="宋体" w:hAnsi="宋体" w:cs="宋体" w:eastAsia="宋体" w:hint="default"/>
          <w:b w:val="0"/>
          <w:bCs w:val="0"/>
        </w:rPr>
      </w:pPr>
      <w:bookmarkStart w:name="（5）未确认递延所得税资产的可抵扣亏损将于以下年度到期" w:id="215"/>
      <w:bookmarkEnd w:id="215"/>
      <w:r>
        <w:rPr>
          <w:b w:val="0"/>
          <w:bCs w:val="0"/>
        </w:rPr>
      </w:r>
      <w:r>
        <w:rPr>
          <w:w w:val="95"/>
        </w:rPr>
        <w:t>（</w:t>
      </w:r>
      <w:r>
        <w:rPr>
          <w:rFonts w:ascii="Times New Roman" w:hAnsi="Times New Roman" w:cs="Times New Roman" w:eastAsia="Times New Roman" w:hint="default"/>
          <w:w w:val="95"/>
        </w:rPr>
        <w:t>5</w:t>
      </w:r>
      <w:r>
        <w:rPr>
          <w:w w:val="95"/>
        </w:rPr>
        <w:t>）未确认递延所得税资产的可抵扣亏损将于以下年度到期</w:t>
      </w:r>
      <w:r>
        <w:rPr>
          <w:spacing w:val="71"/>
          <w:w w:val="95"/>
        </w:rPr>
        <w:t> </w:t>
      </w:r>
      <w:r>
        <w:rPr>
          <w:spacing w:val="71"/>
          <w:w w:val="95"/>
        </w:rPr>
      </w:r>
      <w:r>
        <w:rPr>
          <w:rFonts w:ascii="宋体" w:hAnsi="宋体" w:cs="宋体" w:eastAsia="宋体" w:hint="default"/>
          <w:b w:val="0"/>
          <w:bCs w:val="0"/>
        </w:rPr>
        <w:t>无。</w:t>
      </w:r>
    </w:p>
    <w:p>
      <w:pPr>
        <w:pStyle w:val="Heading3"/>
        <w:spacing w:line="240" w:lineRule="auto" w:before="104"/>
        <w:ind w:right="0"/>
        <w:jc w:val="left"/>
        <w:rPr>
          <w:b w:val="0"/>
          <w:bCs w:val="0"/>
        </w:rPr>
      </w:pPr>
      <w:bookmarkStart w:name="14、其他非流动资产" w:id="216"/>
      <w:bookmarkEnd w:id="216"/>
      <w:r>
        <w:rPr>
          <w:b w:val="0"/>
          <w:bCs w:val="0"/>
        </w:rPr>
      </w:r>
      <w:r>
        <w:rPr>
          <w:rFonts w:ascii="Times New Roman" w:hAnsi="Times New Roman" w:cs="Times New Roman" w:eastAsia="Times New Roman" w:hint="default"/>
        </w:rPr>
        <w:t>14</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59,848,947.82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37,725,830.00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1,807,142.00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65,678,847.82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39,532,972.00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短期借款" w:id="217"/>
      <w:bookmarkEnd w:id="217"/>
      <w:r>
        <w:rPr>
          <w:b w:val="0"/>
          <w:bCs w:val="0"/>
        </w:rPr>
      </w:r>
      <w:r>
        <w:rPr>
          <w:rFonts w:ascii="Times New Roman" w:hAnsi="Times New Roman" w:cs="Times New Roman" w:eastAsia="Times New Roman" w:hint="default"/>
        </w:rPr>
        <w:t>15</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18"/>
      <w:bookmarkEnd w:id="21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103,213,027.00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223,213,027.00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0"/>
        <w:rPr>
          <w:rFonts w:ascii="宋体" w:hAnsi="宋体" w:cs="宋体" w:eastAsia="宋体" w:hint="default"/>
          <w:sz w:val="20"/>
          <w:szCs w:val="20"/>
        </w:rPr>
      </w:pPr>
    </w:p>
    <w:p>
      <w:pPr>
        <w:pStyle w:val="BodyText"/>
        <w:spacing w:line="384" w:lineRule="auto" w:before="35"/>
        <w:ind w:left="573" w:right="0" w:hanging="420"/>
        <w:jc w:val="left"/>
      </w:pPr>
      <w:r>
        <w:rPr/>
        <w:t>短期借款分类的说明： </w:t>
      </w:r>
      <w:r>
        <w:rPr>
          <w:spacing w:val="-2"/>
        </w:rPr>
        <w:t>保证借款</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日余额为</w:t>
      </w:r>
      <w:r>
        <w:rPr>
          <w:rFonts w:ascii="Times New Roman" w:hAnsi="Times New Roman" w:cs="Times New Roman" w:eastAsia="Times New Roman" w:hint="default"/>
          <w:spacing w:val="-2"/>
        </w:rPr>
        <w:t>103,213,027.00</w:t>
      </w:r>
      <w:r>
        <w:rPr>
          <w:spacing w:val="-2"/>
        </w:rPr>
        <w:t>元，均为蓝盾信息安全技术股份有限公司的借款。其中</w:t>
      </w:r>
    </w:p>
    <w:p>
      <w:pPr>
        <w:pStyle w:val="BodyText"/>
        <w:spacing w:line="261" w:lineRule="exact"/>
        <w:ind w:left="154"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30,000,000.00</w:t>
      </w:r>
      <w:r>
        <w:rPr/>
        <w:t>元系公司于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日向中国工商银行股份有限公司广州白云路支行借入，年利率</w:t>
      </w:r>
    </w:p>
    <w:p>
      <w:pPr>
        <w:pStyle w:val="BodyText"/>
        <w:spacing w:line="331" w:lineRule="auto" w:before="109"/>
        <w:ind w:right="252"/>
        <w:jc w:val="both"/>
      </w:pPr>
      <w:r>
        <w:rPr/>
        <w:t>为</w:t>
      </w:r>
      <w:r>
        <w:rPr>
          <w:rFonts w:ascii="Times New Roman" w:hAnsi="Times New Roman" w:cs="Times New Roman" w:eastAsia="Times New Roman" w:hint="default"/>
        </w:rPr>
        <w:t>6.60%</w:t>
      </w:r>
      <w:r>
        <w:rPr/>
        <w:t>，借款期限为</w:t>
      </w:r>
      <w:r>
        <w:rPr>
          <w:rFonts w:ascii="Times New Roman" w:hAnsi="Times New Roman" w:cs="Times New Roman" w:eastAsia="Times New Roman" w:hint="default"/>
        </w:rPr>
        <w:t>1</w:t>
      </w:r>
      <w:r>
        <w:rPr/>
        <w:t>年，由公司控股股东柯宗庆和柯宗贵提供保证担保，并签订编号为</w:t>
      </w:r>
      <w:r>
        <w:rPr>
          <w:rFonts w:ascii="Times New Roman" w:hAnsi="Times New Roman" w:cs="Times New Roman" w:eastAsia="Times New Roman" w:hint="default"/>
        </w:rPr>
        <w:t>36020044-2013 </w:t>
      </w:r>
      <w:r>
        <w:rPr/>
        <w:t>年（白云）字</w:t>
      </w:r>
      <w:r>
        <w:rPr>
          <w:rFonts w:ascii="Times New Roman" w:hAnsi="Times New Roman" w:cs="Times New Roman" w:eastAsia="Times New Roman" w:hint="default"/>
        </w:rPr>
        <w:t>0013-1</w:t>
      </w:r>
      <w:r>
        <w:rPr/>
        <w:t>号、</w:t>
      </w:r>
      <w:r>
        <w:rPr>
          <w:rFonts w:ascii="Times New Roman" w:hAnsi="Times New Roman" w:cs="Times New Roman" w:eastAsia="Times New Roman" w:hint="default"/>
        </w:rPr>
        <w:t>0013-2</w:t>
      </w:r>
      <w:r>
        <w:rPr/>
        <w:t>号《最高额保证合同》；（</w:t>
      </w:r>
      <w:r>
        <w:rPr>
          <w:rFonts w:ascii="Times New Roman" w:hAnsi="Times New Roman" w:cs="Times New Roman" w:eastAsia="Times New Roman" w:hint="default"/>
        </w:rPr>
        <w:t>2</w:t>
      </w:r>
      <w:r>
        <w:rPr/>
        <w:t>）</w:t>
      </w:r>
      <w:r>
        <w:rPr>
          <w:rFonts w:ascii="Times New Roman" w:hAnsi="Times New Roman" w:cs="Times New Roman" w:eastAsia="Times New Roman" w:hint="default"/>
        </w:rPr>
        <w:t>73,213,027.00</w:t>
      </w:r>
      <w:r>
        <w:rPr/>
        <w:t>元系公司于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日分别向中国民生银行股份有限公司广州分行借入</w:t>
      </w:r>
      <w:r>
        <w:rPr>
          <w:rFonts w:ascii="Times New Roman" w:hAnsi="Times New Roman" w:cs="Times New Roman" w:eastAsia="Times New Roman" w:hint="default"/>
        </w:rPr>
        <w:t>30,000,000.00</w:t>
      </w:r>
      <w:r>
        <w:rPr/>
        <w:t>元、</w:t>
      </w:r>
    </w:p>
    <w:p>
      <w:pPr>
        <w:pStyle w:val="BodyText"/>
        <w:spacing w:line="331" w:lineRule="auto" w:before="20"/>
        <w:ind w:right="150"/>
        <w:jc w:val="both"/>
      </w:pPr>
      <w:r>
        <w:rPr>
          <w:rFonts w:ascii="Times New Roman" w:hAnsi="Times New Roman" w:cs="Times New Roman" w:eastAsia="Times New Roman" w:hint="default"/>
        </w:rPr>
        <w:t>25,000,000.00</w:t>
      </w:r>
      <w:r>
        <w:rPr/>
        <w:t>元、</w:t>
      </w:r>
      <w:r>
        <w:rPr>
          <w:rFonts w:ascii="Times New Roman" w:hAnsi="Times New Roman" w:cs="Times New Roman" w:eastAsia="Times New Roman" w:hint="default"/>
        </w:rPr>
        <w:t>18,213,027.00</w:t>
      </w:r>
      <w:r>
        <w:rPr/>
        <w:t>元，年利率分别为</w:t>
      </w:r>
      <w:r>
        <w:rPr>
          <w:rFonts w:ascii="Times New Roman" w:hAnsi="Times New Roman" w:cs="Times New Roman" w:eastAsia="Times New Roman" w:hint="default"/>
        </w:rPr>
        <w:t>6.90%</w:t>
      </w:r>
      <w:r>
        <w:rPr/>
        <w:t>、</w:t>
      </w:r>
      <w:r>
        <w:rPr>
          <w:rFonts w:ascii="Times New Roman" w:hAnsi="Times New Roman" w:cs="Times New Roman" w:eastAsia="Times New Roman" w:hint="default"/>
        </w:rPr>
        <w:t>6.90%</w:t>
      </w:r>
      <w:r>
        <w:rPr/>
        <w:t>、</w:t>
      </w:r>
      <w:r>
        <w:rPr>
          <w:rFonts w:ascii="Times New Roman" w:hAnsi="Times New Roman" w:cs="Times New Roman" w:eastAsia="Times New Roman" w:hint="default"/>
        </w:rPr>
        <w:t>6.44%</w:t>
      </w:r>
      <w:r>
        <w:rPr/>
        <w:t>，借款期限均为</w:t>
      </w:r>
      <w:r>
        <w:rPr>
          <w:rFonts w:ascii="Times New Roman" w:hAnsi="Times New Roman" w:cs="Times New Roman" w:eastAsia="Times New Roman" w:hint="default"/>
        </w:rPr>
        <w:t>1</w:t>
      </w:r>
      <w:r>
        <w:rPr/>
        <w:t>年，由公司控股 </w:t>
      </w:r>
      <w:r>
        <w:rPr>
          <w:spacing w:val="-2"/>
        </w:rPr>
        <w:t>股东柯宗贵和柯宗庆提供保证担保，并签订个高保字第</w:t>
      </w:r>
      <w:r>
        <w:rPr>
          <w:rFonts w:ascii="Times New Roman" w:hAnsi="Times New Roman" w:cs="Times New Roman" w:eastAsia="Times New Roman" w:hint="default"/>
          <w:spacing w:val="-2"/>
        </w:rPr>
        <w:t>ZH1400000112843-1</w:t>
      </w:r>
      <w:r>
        <w:rPr>
          <w:spacing w:val="-2"/>
        </w:rPr>
        <w:t>号、</w:t>
      </w:r>
      <w:r>
        <w:rPr>
          <w:rFonts w:ascii="Times New Roman" w:hAnsi="Times New Roman" w:cs="Times New Roman" w:eastAsia="Times New Roman" w:hint="default"/>
          <w:spacing w:val="-2"/>
        </w:rPr>
        <w:t>ZH1400000112843-2</w:t>
      </w:r>
      <w:r>
        <w:rPr>
          <w:spacing w:val="-2"/>
        </w:rPr>
        <w:t>号《最</w:t>
      </w:r>
      <w:r>
        <w:rPr>
          <w:spacing w:val="-78"/>
        </w:rPr>
        <w:t> </w:t>
      </w:r>
      <w:r>
        <w:rPr>
          <w:spacing w:val="-78"/>
        </w:rPr>
      </w:r>
      <w:r>
        <w:rPr/>
        <w:t>高额担保合同》。</w:t>
      </w:r>
    </w:p>
    <w:p>
      <w:pPr>
        <w:pStyle w:val="BodyText"/>
        <w:spacing w:line="331" w:lineRule="auto" w:before="45"/>
        <w:ind w:right="152" w:firstLine="420"/>
        <w:jc w:val="both"/>
      </w:pPr>
      <w:r>
        <w:rPr/>
        <w:t>信用借款期末余额为</w:t>
      </w:r>
      <w:r>
        <w:rPr>
          <w:rFonts w:ascii="Times New Roman" w:hAnsi="Times New Roman" w:cs="Times New Roman" w:eastAsia="Times New Roman" w:hint="default"/>
        </w:rPr>
        <w:t>120,000,000.00</w:t>
      </w:r>
      <w:r>
        <w:rPr/>
        <w:t>元，其中（</w:t>
      </w:r>
      <w:r>
        <w:rPr>
          <w:rFonts w:ascii="Times New Roman" w:hAnsi="Times New Roman" w:cs="Times New Roman" w:eastAsia="Times New Roman" w:hint="default"/>
        </w:rPr>
        <w:t>1</w:t>
      </w:r>
      <w:r>
        <w:rPr/>
        <w:t>）</w:t>
      </w:r>
      <w:r>
        <w:rPr>
          <w:rFonts w:ascii="Times New Roman" w:hAnsi="Times New Roman" w:cs="Times New Roman" w:eastAsia="Times New Roman" w:hint="default"/>
        </w:rPr>
        <w:t>40,000,000.00</w:t>
      </w:r>
      <w:r>
        <w:rPr/>
        <w:t>元系蓝盾信息安全技术股份有限公司 向广发银行股份有限公司广州分行分别于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日借入的</w:t>
      </w:r>
      <w:r>
        <w:rPr>
          <w:rFonts w:ascii="Times New Roman" w:hAnsi="Times New Roman" w:cs="Times New Roman" w:eastAsia="Times New Roman" w:hint="default"/>
        </w:rPr>
        <w:t>30,000,000.00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日借入的 </w:t>
      </w:r>
      <w:r>
        <w:rPr>
          <w:rFonts w:ascii="Times New Roman" w:hAnsi="Times New Roman" w:cs="Times New Roman" w:eastAsia="Times New Roman" w:hint="default"/>
          <w:spacing w:val="-1"/>
        </w:rPr>
        <w:t>10,000,000.00</w:t>
      </w:r>
      <w:r>
        <w:rPr>
          <w:spacing w:val="-1"/>
        </w:rPr>
        <w:t>元，年利率分别为</w:t>
      </w:r>
      <w:r>
        <w:rPr>
          <w:rFonts w:ascii="Times New Roman" w:hAnsi="Times New Roman" w:cs="Times New Roman" w:eastAsia="Times New Roman" w:hint="default"/>
          <w:spacing w:val="-1"/>
        </w:rPr>
        <w:t>7.80%</w:t>
      </w:r>
      <w:r>
        <w:rPr>
          <w:spacing w:val="-1"/>
        </w:rPr>
        <w:t>和</w:t>
      </w:r>
      <w:r>
        <w:rPr>
          <w:rFonts w:ascii="Times New Roman" w:hAnsi="Times New Roman" w:cs="Times New Roman" w:eastAsia="Times New Roman" w:hint="default"/>
          <w:spacing w:val="-1"/>
        </w:rPr>
        <w:t>7.56%</w:t>
      </w:r>
      <w:r>
        <w:rPr>
          <w:spacing w:val="-1"/>
        </w:rPr>
        <w:t>，借款期限均为</w:t>
      </w:r>
      <w:r>
        <w:rPr>
          <w:rFonts w:ascii="Times New Roman" w:hAnsi="Times New Roman" w:cs="Times New Roman" w:eastAsia="Times New Roman" w:hint="default"/>
          <w:spacing w:val="-1"/>
        </w:rPr>
        <w:t>1</w:t>
      </w:r>
      <w:r>
        <w:rPr>
          <w:spacing w:val="-1"/>
        </w:rPr>
        <w:t>年，签订了编号为</w:t>
      </w:r>
      <w:r>
        <w:rPr>
          <w:rFonts w:ascii="Times New Roman" w:hAnsi="Times New Roman" w:cs="Times New Roman" w:eastAsia="Times New Roman" w:hint="default"/>
          <w:spacing w:val="-1"/>
        </w:rPr>
        <w:t>12176814084</w:t>
      </w:r>
      <w:r>
        <w:rPr>
          <w:spacing w:val="-1"/>
        </w:rPr>
        <w:t>的授信额度</w:t>
      </w:r>
      <w:r>
        <w:rPr>
          <w:spacing w:val="-54"/>
        </w:rPr>
        <w:t> </w:t>
      </w:r>
      <w:r>
        <w:rPr>
          <w:spacing w:val="-54"/>
        </w:rPr>
      </w:r>
      <w:r>
        <w:rPr/>
        <w:t>合同；</w:t>
      </w:r>
      <w:r>
        <w:rPr>
          <w:rFonts w:ascii="Times New Roman" w:hAnsi="Times New Roman" w:cs="Times New Roman" w:eastAsia="Times New Roman" w:hint="default"/>
        </w:rPr>
        <w:t>30,000,000.00</w:t>
      </w:r>
      <w:r>
        <w:rPr/>
        <w:t>元系蓝盾信息安全技术股份有限公司向南昌银行股份有限公司广州分行于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 </w:t>
      </w:r>
      <w:r>
        <w:rPr>
          <w:rFonts w:ascii="Times New Roman" w:hAnsi="Times New Roman" w:cs="Times New Roman" w:eastAsia="Times New Roman" w:hint="default"/>
        </w:rPr>
        <w:t>25</w:t>
      </w:r>
      <w:r>
        <w:rPr/>
        <w:t>日借入，年利率为</w:t>
      </w:r>
      <w:r>
        <w:rPr>
          <w:rFonts w:ascii="Times New Roman" w:hAnsi="Times New Roman" w:cs="Times New Roman" w:eastAsia="Times New Roman" w:hint="default"/>
        </w:rPr>
        <w:t>6.72%</w:t>
      </w:r>
      <w:r>
        <w:rPr/>
        <w:t>，借款期限为</w:t>
      </w:r>
      <w:r>
        <w:rPr>
          <w:rFonts w:ascii="Times New Roman" w:hAnsi="Times New Roman" w:cs="Times New Roman" w:eastAsia="Times New Roman" w:hint="default"/>
        </w:rPr>
        <w:t>1</w:t>
      </w:r>
      <w:r>
        <w:rPr/>
        <w:t>年，签订了编号为</w:t>
      </w:r>
      <w:r>
        <w:rPr>
          <w:rFonts w:ascii="Times New Roman" w:hAnsi="Times New Roman" w:cs="Times New Roman" w:eastAsia="Times New Roman" w:hint="default"/>
        </w:rPr>
        <w:t>301400000000166990</w:t>
      </w:r>
      <w:r>
        <w:rPr/>
        <w:t>的流动资金借款合同。</w:t>
      </w:r>
    </w:p>
    <w:p>
      <w:pPr>
        <w:pStyle w:val="BodyText"/>
        <w:spacing w:line="331" w:lineRule="auto" w:before="21"/>
        <w:ind w:right="113" w:firstLine="420"/>
        <w:jc w:val="left"/>
      </w:pPr>
      <w:r>
        <w:rPr/>
        <w:t>（</w:t>
      </w:r>
      <w:r>
        <w:rPr>
          <w:rFonts w:ascii="Times New Roman" w:hAnsi="Times New Roman" w:cs="Times New Roman" w:eastAsia="Times New Roman" w:hint="default"/>
        </w:rPr>
        <w:t>2</w:t>
      </w:r>
      <w:r>
        <w:rPr/>
        <w:t>）子公司蓝盾信息安全技术有限公司的信用借款</w:t>
      </w:r>
      <w:r>
        <w:rPr>
          <w:rFonts w:ascii="Times New Roman" w:hAnsi="Times New Roman" w:cs="Times New Roman" w:eastAsia="Times New Roman" w:hint="default"/>
        </w:rPr>
        <w:t>50,000,000.00</w:t>
      </w:r>
      <w:r>
        <w:rPr>
          <w:rFonts w:ascii="Times New Roman" w:hAnsi="Times New Roman" w:cs="Times New Roman" w:eastAsia="Times New Roman" w:hint="default"/>
          <w:spacing w:val="24"/>
        </w:rPr>
        <w:t> </w:t>
      </w:r>
      <w:r>
        <w:rPr/>
        <w:t>元中，其中（</w:t>
      </w:r>
      <w:r>
        <w:rPr>
          <w:rFonts w:ascii="Times New Roman" w:hAnsi="Times New Roman" w:cs="Times New Roman" w:eastAsia="Times New Roman" w:hint="default"/>
        </w:rPr>
        <w:t>1</w:t>
      </w:r>
      <w:r>
        <w:rPr/>
        <w:t>）</w:t>
      </w:r>
      <w:r>
        <w:rPr>
          <w:rFonts w:ascii="Times New Roman" w:hAnsi="Times New Roman" w:cs="Times New Roman" w:eastAsia="Times New Roman" w:hint="default"/>
        </w:rPr>
        <w:t>30,000,000.00</w:t>
      </w:r>
      <w:r>
        <w:rPr/>
        <w:t>元系</w:t>
      </w:r>
      <w:r>
        <w:rPr>
          <w:spacing w:val="-2"/>
        </w:rPr>
        <w:t> </w:t>
      </w:r>
      <w:r>
        <w:rPr>
          <w:spacing w:val="-4"/>
        </w:rPr>
        <w:t>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30</w:t>
      </w:r>
      <w:r>
        <w:rPr>
          <w:spacing w:val="-4"/>
        </w:rPr>
        <w:t>日向交通银行广州高科支行借入，年利率为</w:t>
      </w:r>
      <w:r>
        <w:rPr>
          <w:rFonts w:ascii="Times New Roman" w:hAnsi="Times New Roman" w:cs="Times New Roman" w:eastAsia="Times New Roman" w:hint="default"/>
          <w:spacing w:val="-4"/>
        </w:rPr>
        <w:t>7.20%</w:t>
      </w:r>
      <w:r>
        <w:rPr>
          <w:spacing w:val="-4"/>
        </w:rPr>
        <w:t>，借款期限为</w:t>
      </w:r>
      <w:r>
        <w:rPr>
          <w:rFonts w:ascii="Times New Roman" w:hAnsi="Times New Roman" w:cs="Times New Roman" w:eastAsia="Times New Roman" w:hint="default"/>
          <w:spacing w:val="-4"/>
        </w:rPr>
        <w:t>1</w:t>
      </w:r>
      <w:r>
        <w:rPr>
          <w:spacing w:val="-4"/>
        </w:rPr>
        <w:t>年；（</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20,000,000.00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1"/>
        </w:rPr>
        <w:t>元系公司于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号向交通银行广州高科支行借入，年利率为</w:t>
      </w:r>
      <w:r>
        <w:rPr>
          <w:rFonts w:ascii="Times New Roman" w:hAnsi="Times New Roman" w:cs="Times New Roman" w:eastAsia="Times New Roman" w:hint="default"/>
          <w:spacing w:val="-1"/>
        </w:rPr>
        <w:t>7.20%</w:t>
      </w:r>
      <w:r>
        <w:rPr>
          <w:spacing w:val="-1"/>
        </w:rPr>
        <w:t>，借款期限为</w:t>
      </w:r>
      <w:r>
        <w:rPr>
          <w:rFonts w:ascii="Times New Roman" w:hAnsi="Times New Roman" w:cs="Times New Roman" w:eastAsia="Times New Roman" w:hint="default"/>
          <w:spacing w:val="-1"/>
        </w:rPr>
        <w:t>1</w:t>
      </w:r>
      <w:r>
        <w:rPr>
          <w:spacing w:val="-1"/>
        </w:rPr>
        <w:t>年，并与交通银行</w:t>
      </w:r>
      <w:r>
        <w:rPr>
          <w:spacing w:val="-100"/>
        </w:rPr>
        <w:t> </w:t>
      </w:r>
      <w:r>
        <w:rPr>
          <w:spacing w:val="-100"/>
        </w:rPr>
      </w:r>
      <w:r>
        <w:rPr/>
        <w:t>广州高科支行签订编号为粤天河北</w:t>
      </w:r>
      <w:r>
        <w:rPr>
          <w:rFonts w:ascii="Times New Roman" w:hAnsi="Times New Roman" w:cs="Times New Roman" w:eastAsia="Times New Roman" w:hint="default"/>
        </w:rPr>
        <w:t>2014</w:t>
      </w:r>
      <w:r>
        <w:rPr/>
        <w:t>年综字</w:t>
      </w:r>
      <w:r>
        <w:rPr>
          <w:rFonts w:ascii="Times New Roman" w:hAnsi="Times New Roman" w:cs="Times New Roman" w:eastAsia="Times New Roman" w:hint="default"/>
        </w:rPr>
        <w:t>014</w:t>
      </w:r>
      <w:r>
        <w:rPr/>
        <w:t>号《综合授信合同》。上述两笔借款均由公司母公司蓝 盾信息安全技术股份有限公司提供保证担保，并签订粤天河北</w:t>
      </w:r>
      <w:r>
        <w:rPr>
          <w:rFonts w:ascii="Times New Roman" w:hAnsi="Times New Roman" w:cs="Times New Roman" w:eastAsia="Times New Roman" w:hint="default"/>
        </w:rPr>
        <w:t>2014</w:t>
      </w:r>
      <w:r>
        <w:rPr/>
        <w:t>年最保字</w:t>
      </w:r>
      <w:r>
        <w:rPr>
          <w:rFonts w:ascii="Times New Roman" w:hAnsi="Times New Roman" w:cs="Times New Roman" w:eastAsia="Times New Roman" w:hint="default"/>
        </w:rPr>
        <w:t>1618</w:t>
      </w:r>
      <w:r>
        <w:rPr/>
        <w:t>号《最高额保证合同》。</w:t>
      </w:r>
    </w:p>
    <w:p>
      <w:pPr>
        <w:spacing w:line="240" w:lineRule="auto" w:before="9"/>
        <w:rPr>
          <w:rFonts w:ascii="宋体" w:hAnsi="宋体" w:cs="宋体" w:eastAsia="宋体" w:hint="default"/>
          <w:sz w:val="17"/>
          <w:szCs w:val="17"/>
        </w:rPr>
      </w:pPr>
    </w:p>
    <w:p>
      <w:pPr>
        <w:pStyle w:val="Heading3"/>
        <w:spacing w:line="506" w:lineRule="auto"/>
        <w:ind w:right="6505"/>
        <w:jc w:val="left"/>
        <w:rPr>
          <w:rFonts w:ascii="宋体" w:hAnsi="宋体" w:cs="宋体" w:eastAsia="宋体" w:hint="default"/>
          <w:b w:val="0"/>
          <w:bCs w:val="0"/>
        </w:rPr>
      </w:pPr>
      <w:bookmarkStart w:name="（2）已逾期未偿还的短期借款情况" w:id="219"/>
      <w:bookmarkEnd w:id="219"/>
      <w:r>
        <w:rPr>
          <w:b w:val="0"/>
          <w:bCs w:val="0"/>
        </w:rPr>
      </w:r>
      <w:r>
        <w:rPr/>
        <w:t>（</w:t>
      </w:r>
      <w:r>
        <w:rPr>
          <w:rFonts w:ascii="Times New Roman" w:hAnsi="Times New Roman" w:cs="Times New Roman" w:eastAsia="Times New Roman" w:hint="default"/>
        </w:rPr>
        <w:t>2</w:t>
      </w:r>
      <w:r>
        <w:rPr/>
        <w:t>）已逾期未偿还的短期借款情况</w:t>
      </w:r>
      <w:r>
        <w:rPr>
          <w:w w:val="99"/>
        </w:rPr>
        <w:t> </w:t>
      </w:r>
      <w:r>
        <w:rPr>
          <w:rFonts w:ascii="宋体" w:hAnsi="宋体" w:cs="宋体" w:eastAsia="宋体" w:hint="default"/>
          <w:b w:val="0"/>
          <w:bCs w:val="0"/>
        </w:rPr>
        <w:t>无。</w:t>
      </w:r>
    </w:p>
    <w:p>
      <w:pPr>
        <w:pStyle w:val="Heading3"/>
        <w:spacing w:line="240" w:lineRule="auto" w:before="104"/>
        <w:ind w:right="0"/>
        <w:jc w:val="both"/>
        <w:rPr>
          <w:b w:val="0"/>
          <w:bCs w:val="0"/>
        </w:rPr>
      </w:pPr>
      <w:bookmarkStart w:name="16、应付票据" w:id="220"/>
      <w:bookmarkEnd w:id="220"/>
      <w:r>
        <w:rPr>
          <w:b w:val="0"/>
          <w:bCs w:val="0"/>
        </w:rPr>
      </w:r>
      <w:r>
        <w:rPr>
          <w:rFonts w:ascii="Times New Roman" w:hAnsi="Times New Roman" w:cs="Times New Roman" w:eastAsia="Times New Roman" w:hint="default"/>
        </w:rPr>
        <w:t>16</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37,959,555.58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13,806,725.02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37,959,555.58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13,806,725.02</w:t>
            </w:r>
          </w:p>
        </w:tc>
      </w:tr>
    </w:tbl>
    <w:p>
      <w:pPr>
        <w:spacing w:line="240" w:lineRule="auto" w:before="6"/>
        <w:rPr>
          <w:rFonts w:ascii="宋体" w:hAnsi="宋体" w:cs="宋体" w:eastAsia="宋体" w:hint="default"/>
          <w:sz w:val="5"/>
          <w:szCs w:val="5"/>
        </w:rPr>
      </w:pPr>
    </w:p>
    <w:p>
      <w:pPr>
        <w:pStyle w:val="BodyText"/>
        <w:spacing w:line="240" w:lineRule="auto" w:before="35"/>
        <w:ind w:left="154" w:right="0"/>
        <w:jc w:val="left"/>
      </w:pPr>
      <w:r>
        <w:rPr/>
        <w:t>本期末已到期未支付的应付票据总额为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3"/>
        <w:spacing w:line="240" w:lineRule="auto"/>
        <w:ind w:left="153" w:right="0"/>
        <w:jc w:val="left"/>
        <w:rPr>
          <w:b w:val="0"/>
          <w:bCs w:val="0"/>
        </w:rPr>
      </w:pPr>
      <w:bookmarkStart w:name="17、应付账款" w:id="221"/>
      <w:bookmarkEnd w:id="221"/>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付账款列示" w:id="222"/>
      <w:bookmarkEnd w:id="22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96,707,717.99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67,939,031.16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16,636,010.38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13,567,643.91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1,593,280.25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105,744.74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127,200.94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115,042,753.36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81,692,664.01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23"/>
      <w:bookmarkEnd w:id="2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广州数科节能技术有限公司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3,445,000.00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广州市矽域电子科技有限公司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2,069,909.14</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友创天逸（北京）信息技术有限公司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1,229,690.20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北京华诚科电科技发展有限公司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1,225,073.72</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广州市睿塔软件科技有限公司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9,169,673.06</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8、预收款项" w:id="224"/>
      <w:bookmarkEnd w:id="224"/>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25"/>
      <w:bookmarkEnd w:id="22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72,863,178.25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20,631,561.97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1,226,045.97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1,790,955.05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217,101.05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74,548,785.27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22,697,527.02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26"/>
      <w:bookmarkEnd w:id="2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广州卫富科技开发有限公司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519,000.00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223,575.00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德庆县教育局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广州市南沙区人民法院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186,490.00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上海维豪信息安全技术有限公司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162,260.00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1,291,325.00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506" w:lineRule="auto" w:before="35"/>
        <w:ind w:right="5153"/>
        <w:jc w:val="left"/>
        <w:rPr>
          <w:rFonts w:ascii="宋体" w:hAnsi="宋体" w:cs="宋体" w:eastAsia="宋体" w:hint="default"/>
          <w:b w:val="0"/>
          <w:bCs w:val="0"/>
        </w:rPr>
      </w:pPr>
      <w:bookmarkStart w:name="（3）期末建造合同形成的已结算未完工项目情况" w:id="227"/>
      <w:bookmarkEnd w:id="227"/>
      <w:r>
        <w:rPr>
          <w:b w:val="0"/>
          <w:bCs w:val="0"/>
        </w:rPr>
      </w:r>
      <w:r>
        <w:rPr>
          <w:w w:val="95"/>
        </w:rPr>
        <w:t>（</w:t>
      </w:r>
      <w:r>
        <w:rPr>
          <w:rFonts w:ascii="Times New Roman" w:hAnsi="Times New Roman" w:cs="Times New Roman" w:eastAsia="Times New Roman" w:hint="default"/>
          <w:w w:val="95"/>
        </w:rPr>
        <w:t>3</w:t>
      </w:r>
      <w:r>
        <w:rPr>
          <w:w w:val="95"/>
        </w:rPr>
        <w:t>）期末建造合同形成的已结算未完工项目情况</w:t>
      </w:r>
      <w:r>
        <w:rPr>
          <w:spacing w:val="20"/>
          <w:w w:val="95"/>
        </w:rPr>
        <w:t> </w:t>
      </w:r>
      <w:r>
        <w:rPr>
          <w:spacing w:val="20"/>
          <w:w w:val="95"/>
        </w:rPr>
      </w:r>
      <w:r>
        <w:rPr>
          <w:rFonts w:ascii="宋体" w:hAnsi="宋体" w:cs="宋体" w:eastAsia="宋体" w:hint="default"/>
          <w:b w:val="0"/>
          <w:bCs w:val="0"/>
        </w:rPr>
        <w:t>无。</w:t>
      </w:r>
    </w:p>
    <w:p>
      <w:pPr>
        <w:pStyle w:val="Heading3"/>
        <w:spacing w:line="240" w:lineRule="auto" w:before="104"/>
        <w:ind w:right="0"/>
        <w:jc w:val="left"/>
        <w:rPr>
          <w:b w:val="0"/>
          <w:bCs w:val="0"/>
        </w:rPr>
      </w:pPr>
      <w:bookmarkStart w:name="19、应付职工薪酬" w:id="228"/>
      <w:bookmarkEnd w:id="228"/>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29"/>
      <w:bookmarkEnd w:id="22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55"/>
        <w:gridCol w:w="1843"/>
        <w:gridCol w:w="1702"/>
        <w:gridCol w:w="1772"/>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9,201,296.47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63,742,637.81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64,777,283.89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8,166,650.39</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2,027,784.21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2,027,784.21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9,201,296.47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65,801,822.02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66,836,468.10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8,166,650.39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30"/>
      <w:bookmarkEnd w:id="23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3"/>
        <w:gridCol w:w="1844"/>
        <w:gridCol w:w="1772"/>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、工资、奖金、津贴和补贴</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9,201,296.47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57,330,623.49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58,365,269.57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8,166,650.39</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1,585,206.72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1,585,206.72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2,675,262.69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2,675,262.69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1,808,371.00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1,808,371.00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343,173.91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343,173.91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9,201,296.47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63,742,637.81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64,777,283.89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8,166,650.39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31"/>
      <w:bookmarkEnd w:id="23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1,883,306.60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1,883,306.60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144,477.61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144,477.61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2,027,784.21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2,027,784.21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0、应交税费" w:id="232"/>
      <w:bookmarkEnd w:id="232"/>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6"/>
        <w:gridCol w:w="3206"/>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26,936,378.60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14,025,368.96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418,021.73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362,594.11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3,672,159.53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703,846.86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338,159.03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501,510.79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643,951.71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239,870.00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275,700.57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104,292.81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185,477.29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70,379.43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184,675.17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228,361.11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336,704.95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183,632.18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483,110.74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33,474,339.32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16,419,856.25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应付利息" w:id="233"/>
      <w:bookmarkEnd w:id="233"/>
      <w:r>
        <w:rPr>
          <w:b w:val="0"/>
          <w:bCs w:val="0"/>
        </w:rPr>
      </w:r>
      <w:r>
        <w:rPr>
          <w:rFonts w:ascii="Times New Roman" w:hAnsi="Times New Roman" w:cs="Times New Roman" w:eastAsia="Times New Roman" w:hint="default"/>
        </w:rPr>
        <w:t>21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131,541.65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475,830.86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342,045.00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588,580.86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473,586.65</w:t>
            </w:r>
          </w:p>
        </w:tc>
      </w:tr>
    </w:tbl>
    <w:p>
      <w:pPr>
        <w:pStyle w:val="BodyText"/>
        <w:spacing w:line="240" w:lineRule="auto" w:before="26"/>
        <w:ind w:left="154" w:right="0"/>
        <w:jc w:val="left"/>
      </w:pPr>
      <w:r>
        <w:rPr/>
        <w:t>重要的已逾期未支付的利息情况：无。</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2、其他应付款" w:id="234"/>
      <w:bookmarkEnd w:id="234"/>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按款项性质列示其他应付款" w:id="235"/>
      <w:bookmarkEnd w:id="23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12,343.00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500,615.62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383,607.87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560,515.62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395,950.87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36"/>
      <w:bookmarkEnd w:id="23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广州迪正电子科技有限公司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226,200.00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226,200.00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3、一年内到期的非流动负债" w:id="237"/>
      <w:bookmarkEnd w:id="237"/>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154" w:right="0"/>
        <w:jc w:val="left"/>
      </w:pPr>
      <w:r>
        <w:rPr/>
        <w:t>其他说明：</w:t>
      </w:r>
    </w:p>
    <w:p>
      <w:pPr>
        <w:pStyle w:val="BodyText"/>
        <w:spacing w:line="240" w:lineRule="auto" w:before="166"/>
        <w:ind w:left="574" w:right="0"/>
        <w:jc w:val="left"/>
      </w:pPr>
      <w:r>
        <w:rPr/>
        <w:t>分类情况说明详见（二十四）长期借款的相关说明。</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4、长期借款" w:id="238"/>
      <w:bookmarkEnd w:id="238"/>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借款分类" w:id="239"/>
      <w:bookmarkEnd w:id="2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spacing w:line="240" w:lineRule="auto" w:before="2"/>
        <w:rPr>
          <w:rFonts w:ascii="宋体" w:hAnsi="宋体" w:cs="宋体" w:eastAsia="宋体" w:hint="default"/>
          <w:sz w:val="6"/>
          <w:szCs w:val="6"/>
        </w:rPr>
      </w:pPr>
    </w:p>
    <w:p>
      <w:pPr>
        <w:pStyle w:val="BodyText"/>
        <w:spacing w:line="240" w:lineRule="auto" w:before="35"/>
        <w:ind w:left="154" w:right="0"/>
        <w:jc w:val="left"/>
      </w:pPr>
      <w:r>
        <w:rPr/>
        <w:t>长期借款分类的说明：</w:t>
      </w:r>
    </w:p>
    <w:p>
      <w:pPr>
        <w:pStyle w:val="BodyText"/>
        <w:spacing w:line="240" w:lineRule="auto" w:before="164"/>
        <w:ind w:left="574" w:right="0"/>
        <w:jc w:val="left"/>
      </w:pPr>
      <w:r>
        <w:rPr/>
        <w:t>长期借款期初余额</w:t>
      </w:r>
      <w:r>
        <w:rPr>
          <w:rFonts w:ascii="Times New Roman" w:hAnsi="Times New Roman" w:cs="Times New Roman" w:eastAsia="Times New Roman" w:hint="default"/>
        </w:rPr>
        <w:t>70,000,000.00</w:t>
      </w:r>
      <w:r>
        <w:rPr/>
        <w:t>元，系公司于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月向招商银行广州分行借入，年利率为</w:t>
      </w:r>
    </w:p>
    <w:p>
      <w:pPr>
        <w:pStyle w:val="BodyText"/>
        <w:spacing w:line="240" w:lineRule="auto" w:before="109"/>
        <w:ind w:right="0"/>
        <w:jc w:val="left"/>
      </w:pPr>
      <w:r>
        <w:rPr>
          <w:rFonts w:ascii="Times New Roman" w:hAnsi="Times New Roman" w:cs="Times New Roman" w:eastAsia="Times New Roman" w:hint="default"/>
        </w:rPr>
        <w:t>6.15%</w:t>
      </w:r>
      <w:r>
        <w:rPr/>
        <w:t>，借款期限为</w:t>
      </w:r>
      <w:r>
        <w:rPr>
          <w:rFonts w:ascii="Times New Roman" w:hAnsi="Times New Roman" w:cs="Times New Roman" w:eastAsia="Times New Roman" w:hint="default"/>
        </w:rPr>
        <w:t>3</w:t>
      </w:r>
      <w:r>
        <w:rPr/>
        <w:t>年，由公司以位于广州市天河区科韵路</w:t>
      </w:r>
      <w:r>
        <w:rPr>
          <w:rFonts w:ascii="Times New Roman" w:hAnsi="Times New Roman" w:cs="Times New Roman" w:eastAsia="Times New Roman" w:hint="default"/>
        </w:rPr>
        <w:t>16</w:t>
      </w:r>
      <w:r>
        <w:rPr/>
        <w:t>号自编</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2101</w:t>
      </w:r>
      <w:r>
        <w:rPr/>
        <w:t>的房产</w:t>
      </w:r>
      <w:r>
        <w:rPr>
          <w:rFonts w:ascii="Times New Roman" w:hAnsi="Times New Roman" w:cs="Times New Roman" w:eastAsia="Times New Roman" w:hint="default"/>
        </w:rPr>
        <w:t>(</w:t>
      </w:r>
      <w:r>
        <w:rPr/>
        <w:t>房产证号：穗字第</w:t>
      </w:r>
    </w:p>
    <w:p>
      <w:pPr>
        <w:pStyle w:val="BodyText"/>
        <w:spacing w:line="240" w:lineRule="auto" w:before="110"/>
        <w:ind w:right="0"/>
        <w:jc w:val="left"/>
      </w:pPr>
      <w:r>
        <w:rPr>
          <w:rFonts w:ascii="Times New Roman" w:hAnsi="Times New Roman" w:cs="Times New Roman" w:eastAsia="Times New Roman" w:hint="default"/>
        </w:rPr>
        <w:t>0940039965</w:t>
      </w:r>
      <w:r>
        <w:rPr/>
        <w:t>号），账面原值为</w:t>
      </w:r>
      <w:r>
        <w:rPr>
          <w:rFonts w:ascii="Times New Roman" w:hAnsi="Times New Roman" w:cs="Times New Roman" w:eastAsia="Times New Roman" w:hint="default"/>
        </w:rPr>
        <w:t>15,422,126.20</w:t>
      </w:r>
      <w:r>
        <w:rPr/>
        <w:t>元作为抵押。</w:t>
      </w:r>
    </w:p>
    <w:p>
      <w:pPr>
        <w:pStyle w:val="BodyText"/>
        <w:spacing w:line="240" w:lineRule="auto" w:before="109"/>
        <w:ind w:left="0" w:right="236"/>
        <w:jc w:val="righ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w:t>
      </w:r>
      <w:r>
        <w:rPr>
          <w:spacing w:val="-1"/>
        </w:rPr>
        <w:t>日偿还长期借款</w:t>
      </w:r>
      <w:r>
        <w:rPr>
          <w:rFonts w:ascii="Times New Roman" w:hAnsi="Times New Roman" w:cs="Times New Roman" w:eastAsia="Times New Roman" w:hint="default"/>
          <w:spacing w:val="-1"/>
        </w:rPr>
        <w:t>5,000,000.00</w:t>
      </w:r>
      <w:r>
        <w:rPr>
          <w:spacing w:val="-1"/>
        </w:rPr>
        <w:t>元，</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日偿还长期借款</w:t>
      </w:r>
      <w:r>
        <w:rPr>
          <w:rFonts w:ascii="Times New Roman" w:hAnsi="Times New Roman" w:cs="Times New Roman" w:eastAsia="Times New Roman" w:hint="default"/>
          <w:spacing w:val="-1"/>
        </w:rPr>
        <w:t>5,000,000.00</w:t>
      </w:r>
      <w:r>
        <w:rPr>
          <w:spacing w:val="-1"/>
        </w:rPr>
        <w:t>元，截止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p>
    <w:p>
      <w:pPr>
        <w:pStyle w:val="BodyText"/>
        <w:spacing w:line="240" w:lineRule="auto" w:before="109"/>
        <w:ind w:right="0"/>
        <w:jc w:val="left"/>
      </w:pPr>
      <w:r>
        <w:rPr>
          <w:rFonts w:ascii="Times New Roman" w:hAnsi="Times New Roman" w:cs="Times New Roman" w:eastAsia="Times New Roman" w:hint="default"/>
        </w:rPr>
        <w:t>31</w:t>
      </w:r>
      <w:r>
        <w:rPr/>
        <w:t>日，借款为一年内到期的非流动负债。</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5、递延收益" w:id="240"/>
      <w:bookmarkEnd w:id="240"/>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21,246,471.00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5,252,051.28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42,234,419.72</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21,246,471.00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5,252,051.28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42,234,419.72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979" w:top="1100" w:bottom="1160" w:left="980" w:right="980"/>
        </w:sectPr>
      </w:pPr>
    </w:p>
    <w:p>
      <w:pPr>
        <w:pStyle w:val="BodyText"/>
        <w:spacing w:line="240" w:lineRule="auto" w:before="35"/>
        <w:ind w:left="154" w:right="-20"/>
        <w:jc w:val="left"/>
      </w:pPr>
      <w:r>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255" w:space="6575"/>
            <w:col w:w="1120"/>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41"/>
        <w:gridCol w:w="1146"/>
        <w:gridCol w:w="1134"/>
        <w:gridCol w:w="1276"/>
        <w:gridCol w:w="993"/>
        <w:gridCol w:w="1116"/>
        <w:gridCol w:w="1367"/>
      </w:tblGrid>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网络安全云平台</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1,495,384.62</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6,244,615.38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高新技术产业发展项目</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省信息产业发展专项现代化信 息服务业项目</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基于智能分析的安全运营中心 平台（</w:t>
            </w:r>
            <w:r>
              <w:rPr>
                <w:rFonts w:ascii="Times New Roman" w:hAnsi="Times New Roman" w:cs="Times New Roman" w:eastAsia="Times New Roman" w:hint="default"/>
                <w:sz w:val="18"/>
                <w:szCs w:val="18"/>
              </w:rPr>
              <w:t>soc</w:t>
            </w:r>
            <w:r>
              <w:rPr>
                <w:rFonts w:ascii="宋体" w:hAnsi="宋体" w:cs="宋体" w:eastAsia="宋体" w:hint="default"/>
                <w:sz w:val="18"/>
                <w:szCs w:val="18"/>
              </w:rPr>
              <w:t>）研发及产业化</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系统开发及产业化项目</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计算的网络应用安全监测审计 平台产业化</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466,666.66</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3,533,333.34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系统研究及产业化项目</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广州市创新型企业</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云安全技术公共服务平台贷款 贴息</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广州市工程技术研究开发中心 专项项目</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智慧城市专项项目</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智能分析的安全营运中心（</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平台研发及产业化</w:t>
            </w:r>
          </w:p>
        </w:tc>
        <w:tc>
          <w:tcPr>
            <w:tcW w:w="114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网络在线教育互动一体化综合 培训服务平台</w:t>
            </w:r>
          </w:p>
        </w:tc>
        <w:tc>
          <w:tcPr>
            <w:tcW w:w="1146" w:type="dxa"/>
            <w:tcBorders>
              <w:top w:val="single" w:sz="4" w:space="0" w:color="000000"/>
              <w:left w:val="single" w:sz="10" w:space="0" w:color="CCE8C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606,471.00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606,471.00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21,246,471.00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5,252,051.28</w:t>
            </w:r>
          </w:p>
        </w:tc>
        <w:tc>
          <w:tcPr>
            <w:tcW w:w="9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42,234,419.72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left="154" w:right="0"/>
        <w:jc w:val="left"/>
      </w:pPr>
      <w:r>
        <w:rPr/>
        <w:pict>
          <v:group style="position:absolute;margin-left:184.580002pt;margin-top:-91.496338pt;width:56.25pt;height:28pt;mso-position-horizontal-relative:page;mso-position-vertical-relative:paragraph;z-index:-717184" coordorigin="3692,-1830" coordsize="1125,560">
            <v:group style="position:absolute;left:3692;top:-1830;width:1125;height:156" coordorigin="3692,-1830" coordsize="1125,156">
              <v:shape style="position:absolute;left:3692;top:-1830;width:1125;height:156" coordorigin="3692,-1830" coordsize="1125,156" path="m3692,-1674l4816,-1674,4816,-1830,3692,-1830,3692,-1674xe" filled="true" fillcolor="#ffffff" stroked="false">
                <v:path arrowok="t"/>
                <v:fill type="solid"/>
              </v:shape>
            </v:group>
            <v:group style="position:absolute;left:3703;top:-1674;width:2;height:393" coordorigin="3703,-1674" coordsize="2,393">
              <v:shape style="position:absolute;left:3703;top:-1674;width:2;height:393" coordorigin="3703,-1674" coordsize="0,393" path="m3703,-1674l3703,-1282e" filled="false" stroked="true" strokeweight="1.140pt" strokecolor="#ffffff">
                <v:path arrowok="t"/>
              </v:shape>
            </v:group>
            <v:group style="position:absolute;left:3714;top:-1674;width:1078;height:393" coordorigin="3714,-1674" coordsize="1078,393">
              <v:shape style="position:absolute;left:3714;top:-1674;width:1078;height:393" coordorigin="3714,-1674" coordsize="1078,393" path="m3714,-1282l4792,-1282,4792,-1674,3714,-1674,3714,-1282xe" filled="true" fillcolor="#ffffff" stroked="false">
                <v:path arrowok="t"/>
                <v:fill type="solid"/>
              </v:shape>
            </v:group>
            <w10:wrap type="none"/>
          </v:group>
        </w:pict>
      </w:r>
      <w:r>
        <w:rPr/>
        <w:t>其他说明：</w:t>
      </w:r>
    </w:p>
    <w:p>
      <w:pPr>
        <w:pStyle w:val="BodyText"/>
        <w:spacing w:line="240" w:lineRule="auto" w:before="166"/>
        <w:ind w:left="574" w:right="0"/>
        <w:jc w:val="left"/>
      </w:pPr>
      <w:r>
        <w:rPr/>
        <w:t>递延收益说明：递延收益系与收益及资产相关的政府补助，本期增加</w:t>
      </w:r>
      <w:r>
        <w:rPr>
          <w:rFonts w:ascii="Times New Roman" w:hAnsi="Times New Roman" w:cs="Times New Roman" w:eastAsia="Times New Roman" w:hint="default"/>
        </w:rPr>
        <w:t>20,640,000.00</w:t>
      </w:r>
      <w:r>
        <w:rPr/>
        <w:t>元，本期减少</w:t>
      </w:r>
    </w:p>
    <w:p>
      <w:pPr>
        <w:pStyle w:val="BodyText"/>
        <w:spacing w:line="240" w:lineRule="auto" w:before="109"/>
        <w:ind w:right="0"/>
        <w:jc w:val="left"/>
      </w:pPr>
      <w:r>
        <w:rPr>
          <w:rFonts w:ascii="Times New Roman" w:hAnsi="Times New Roman" w:cs="Times New Roman" w:eastAsia="Times New Roman" w:hint="default"/>
        </w:rPr>
        <w:t>5,252,051.28</w:t>
      </w:r>
      <w:r>
        <w:rPr/>
        <w:t>元（转入营业外收入）。</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6、股本" w:id="241"/>
      <w:bookmarkEnd w:id="241"/>
      <w:r>
        <w:rPr>
          <w:b w:val="0"/>
          <w:bCs w:val="0"/>
        </w:rPr>
      </w:r>
      <w:r>
        <w:rPr>
          <w:rFonts w:ascii="Times New Roman" w:hAnsi="Times New Roman" w:cs="Times New Roman" w:eastAsia="Times New Roman" w:hint="default"/>
        </w:rPr>
        <w:t>26</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196,000,000.00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196,000,000.00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7、资本公积" w:id="242"/>
      <w:bookmarkEnd w:id="242"/>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312,243,231.67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312,243,231.67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盈余公积" w:id="243"/>
      <w:bookmarkEnd w:id="243"/>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19,654,958.51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21,847,119.83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19,654,958.51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21,847,119.83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未分配利润" w:id="244"/>
      <w:bookmarkEnd w:id="244"/>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152,967,510.19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130,203,333.39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152,967,510.19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130,203,333.39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35,302,789.86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31,963,282.74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3,319,105.94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183,138,138.73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152,967,510.19</w:t>
            </w:r>
          </w:p>
        </w:tc>
      </w:tr>
    </w:tbl>
    <w:p>
      <w:pPr>
        <w:pStyle w:val="BodyText"/>
        <w:spacing w:line="240" w:lineRule="auto" w:before="26"/>
        <w:ind w:left="154" w:right="0"/>
        <w:jc w:val="left"/>
      </w:pPr>
      <w:r>
        <w:rPr/>
        <w:t>调整期初未分配利润明细：</w:t>
      </w:r>
    </w:p>
    <w:p>
      <w:pPr>
        <w:pStyle w:val="BodyText"/>
        <w:spacing w:line="240" w:lineRule="auto" w:before="16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49"/>
        <w:ind w:right="0"/>
        <w:jc w:val="left"/>
      </w:pPr>
      <w:r>
        <w:rPr>
          <w:rFonts w:ascii="Times New Roman" w:hAnsi="Times New Roman" w:cs="Times New Roman" w:eastAsia="Times New Roman" w:hint="default"/>
        </w:rPr>
        <w:t>2)</w:t>
      </w:r>
      <w:r>
        <w:rPr/>
        <w:t>、由于会计政策变更，影响期初未分配利润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48"/>
        <w:ind w:right="0"/>
        <w:jc w:val="left"/>
      </w:pPr>
      <w:r>
        <w:rPr>
          <w:rFonts w:ascii="Times New Roman" w:hAnsi="Times New Roman" w:cs="Times New Roman" w:eastAsia="Times New Roman" w:hint="default"/>
        </w:rPr>
        <w:t>3)</w:t>
      </w:r>
      <w:r>
        <w:rPr/>
        <w:t>、由于重大会计差错更正，影响期初未分配利润</w:t>
      </w:r>
      <w:r>
        <w:rPr>
          <w:spacing w:val="-53"/>
        </w:rPr>
        <w:t> </w:t>
      </w:r>
      <w:r>
        <w:rPr>
          <w:rFonts w:ascii="Times New Roman" w:hAnsi="Times New Roman" w:cs="Times New Roman" w:eastAsia="Times New Roman" w:hint="default"/>
        </w:rPr>
        <w:t>0.00 </w:t>
      </w:r>
      <w:r>
        <w:rPr/>
        <w:t>元。</w:t>
      </w:r>
    </w:p>
    <w:p>
      <w:pPr>
        <w:pStyle w:val="BodyText"/>
        <w:spacing w:line="240" w:lineRule="auto" w:before="149"/>
        <w:ind w:right="0"/>
        <w:jc w:val="left"/>
      </w:pPr>
      <w:r>
        <w:rPr>
          <w:rFonts w:ascii="Times New Roman" w:hAnsi="Times New Roman" w:cs="Times New Roman" w:eastAsia="Times New Roman" w:hint="default"/>
        </w:rPr>
        <w:t>4)</w:t>
      </w:r>
      <w:r>
        <w:rPr/>
        <w:t>、由于同一控制导致的合并范围变更，影响期初未分配利润</w:t>
      </w:r>
      <w:r>
        <w:rPr>
          <w:spacing w:val="-54"/>
        </w:rPr>
        <w:t> </w:t>
      </w:r>
      <w:r>
        <w:rPr>
          <w:rFonts w:ascii="Times New Roman" w:hAnsi="Times New Roman" w:cs="Times New Roman" w:eastAsia="Times New Roman" w:hint="default"/>
        </w:rPr>
        <w:t>0.00 </w:t>
      </w:r>
      <w:r>
        <w:rPr/>
        <w:t>元。</w:t>
      </w:r>
    </w:p>
    <w:p>
      <w:pPr>
        <w:pStyle w:val="BodyText"/>
        <w:spacing w:line="240" w:lineRule="auto" w:before="149"/>
        <w:ind w:right="0"/>
        <w:jc w:val="left"/>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9" w:top="1100" w:bottom="1160" w:left="980" w:right="980"/>
        </w:sectPr>
      </w:pPr>
    </w:p>
    <w:p>
      <w:pPr>
        <w:pStyle w:val="Heading3"/>
        <w:spacing w:line="240" w:lineRule="auto" w:before="35"/>
        <w:ind w:left="153" w:right="0"/>
        <w:jc w:val="left"/>
        <w:rPr>
          <w:b w:val="0"/>
          <w:bCs w:val="0"/>
        </w:rPr>
      </w:pPr>
      <w:bookmarkStart w:name="30、营业收入和营业成本" w:id="245"/>
      <w:bookmarkEnd w:id="245"/>
      <w:r>
        <w:rPr>
          <w:b w:val="0"/>
          <w:bCs w:val="0"/>
        </w:rPr>
      </w:r>
      <w:r>
        <w:rPr>
          <w:rFonts w:ascii="Times New Roman" w:hAnsi="Times New Roman" w:cs="Times New Roman" w:eastAsia="Times New Roman" w:hint="default"/>
          <w:w w:val="95"/>
        </w:rPr>
        <w:t>30</w:t>
      </w:r>
      <w:r>
        <w:rPr>
          <w:w w:val="95"/>
        </w:rPr>
        <w:t>、营业收入和营业成本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471" w:space="6359"/>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524,904,499.06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306,702,505.37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395,366,353.03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249,656,361.15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524,904,499.06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306,702,505.37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395,366,353.03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249,656,361.15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00" w:bottom="1160" w:left="980" w:right="980"/>
        </w:sectPr>
      </w:pPr>
    </w:p>
    <w:p>
      <w:pPr>
        <w:pStyle w:val="Heading3"/>
        <w:spacing w:line="240" w:lineRule="auto" w:before="35"/>
        <w:ind w:left="153" w:right="-20"/>
        <w:jc w:val="left"/>
        <w:rPr>
          <w:b w:val="0"/>
          <w:bCs w:val="0"/>
        </w:rPr>
      </w:pPr>
      <w:bookmarkStart w:name="31、营业税金及附加" w:id="246"/>
      <w:bookmarkEnd w:id="246"/>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51" w:space="6779"/>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1,124,536.79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277,111.40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1,668,000.24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845,065.00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715,178.53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362,209.25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476,785.69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241,472.87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3,984,501.25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1,725,858.52</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980"/>
        </w:sectPr>
      </w:pPr>
    </w:p>
    <w:p>
      <w:pPr>
        <w:pStyle w:val="Heading3"/>
        <w:spacing w:line="240" w:lineRule="auto" w:before="35"/>
        <w:ind w:right="0"/>
        <w:jc w:val="left"/>
        <w:rPr>
          <w:b w:val="0"/>
          <w:bCs w:val="0"/>
        </w:rPr>
      </w:pPr>
      <w:bookmarkStart w:name="32、销售费用" w:id="247"/>
      <w:bookmarkEnd w:id="247"/>
      <w:r>
        <w:rPr>
          <w:b w:val="0"/>
          <w:bCs w:val="0"/>
        </w:rPr>
      </w:r>
      <w:r>
        <w:rPr>
          <w:rFonts w:ascii="Times New Roman" w:hAnsi="Times New Roman" w:cs="Times New Roman" w:eastAsia="Times New Roman" w:hint="default"/>
          <w:w w:val="95"/>
        </w:rPr>
        <w:t>32</w:t>
      </w:r>
      <w:r>
        <w:rPr>
          <w:w w:val="95"/>
        </w:rPr>
        <w:t>、销售费用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8" w:space="7412"/>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17,967,892.29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16,518,565.72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广告和业务宣传费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334,176.00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2,657,368.39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4,684,124.66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2,397,594.60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2,019,264.93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会务会议费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391,582.60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1,238,554.50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3,075,379.37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1,320,728.71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1,545,045.25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1,981,497.13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3,359,586.12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500,570.39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32,532,332.62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28,597,482.04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3、管理费用" w:id="248"/>
      <w:bookmarkEnd w:id="248"/>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22,407,480.64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20,069,152.14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8,345,125.66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5,793,181.58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14,964,445.20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12,125,909.37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5,793,718.20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4,054,115.26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2,211,327.08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1,731,045.72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2,569,539.11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593,942.82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2,467,435.00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2,351,789.22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62,977,320.63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39,276,775.32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3,930,467.71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4,795,432.04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125,666,859.23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90,791,343.47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34、财务费用" w:id="249"/>
      <w:bookmarkEnd w:id="249"/>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13,280,678.22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8,020,756.10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-1,303,146.13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-1,167,894.79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2,274,833.16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221,798.91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14,252,365.25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7,074,660.22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5、资产减值损失" w:id="250"/>
      <w:bookmarkEnd w:id="250"/>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9,582,414.41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6,073,067.73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9,582,414.41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6,073,067.73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6、投资收益" w:id="251"/>
      <w:bookmarkEnd w:id="251"/>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营业外收入" w:id="252"/>
      <w:bookmarkEnd w:id="252"/>
      <w:r>
        <w:rPr>
          <w:b w:val="0"/>
          <w:bCs w:val="0"/>
        </w:rPr>
      </w:r>
      <w:r>
        <w:rPr>
          <w:rFonts w:ascii="Times New Roman" w:hAnsi="Times New Roman" w:cs="Times New Roman" w:eastAsia="Times New Roman" w:hint="default"/>
        </w:rPr>
        <w:t>37</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5,342,951.28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5,342,951.28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5,827,892.67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3,398,650.70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104,619.17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48,279.80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104,619.17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11,275,463.12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27,634,930.50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5,447,570.45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pStyle w:val="BodyText"/>
        <w:spacing w:line="240" w:lineRule="auto" w:before="26"/>
        <w:ind w:left="154"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675" w:space="61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蓝盾网络安全云平台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1,495,384.61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面向云计算的网络应用安全 监测审计平台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2,066,666.67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网络的高性能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UTM</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系统开发及产业化项目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蓝盾网络安全云平台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蓝盾内网主机安全保密及审 计系统研发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网络敏感数据防窃取与反窃 取系统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民营企业上市后备资源库项 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网络安全云服务平台的关键 技术研究和产业化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蓝盾安全云平台项目配套资 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广州市天河区科技和信息化 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年度省科学技术奖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年度广州市总部企业奖 励补贴资金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资质奖励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高端服务业发展奖励金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云安全技术公共服务平台贷 款贴息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5,342,951.28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24,188,000.00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9" w:top="1100" w:bottom="1160" w:left="980" w:right="980"/>
        </w:sectPr>
      </w:pPr>
    </w:p>
    <w:p>
      <w:pPr>
        <w:pStyle w:val="Heading3"/>
        <w:spacing w:line="240" w:lineRule="auto" w:before="35"/>
        <w:ind w:right="0"/>
        <w:jc w:val="left"/>
        <w:rPr>
          <w:b w:val="0"/>
          <w:bCs w:val="0"/>
        </w:rPr>
      </w:pPr>
      <w:bookmarkStart w:name="38、营业外支出" w:id="253"/>
      <w:bookmarkEnd w:id="253"/>
      <w:r>
        <w:rPr>
          <w:b w:val="0"/>
          <w:bCs w:val="0"/>
        </w:rPr>
      </w:r>
      <w:r>
        <w:rPr>
          <w:rFonts w:ascii="Times New Roman" w:hAnsi="Times New Roman" w:cs="Times New Roman" w:eastAsia="Times New Roman" w:hint="default"/>
          <w:w w:val="95"/>
        </w:rPr>
        <w:t>38</w:t>
      </w:r>
      <w:r>
        <w:rPr>
          <w:w w:val="95"/>
        </w:rPr>
        <w:t>、营业外支出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629" w:space="7201"/>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1"/>
        <w:gridCol w:w="2408"/>
        <w:gridCol w:w="2392"/>
        <w:gridCol w:w="2180"/>
      </w:tblGrid>
      <w:tr>
        <w:trPr>
          <w:trHeight w:val="161"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04" w:right="95"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80" w:type="dxa"/>
            <w:vMerge/>
            <w:tcBorders>
              <w:left w:val="single" w:sz="4" w:space="0" w:color="000000"/>
              <w:right w:val="single" w:sz="4" w:space="0" w:color="000000"/>
            </w:tcBorders>
            <w:shd w:val="clear" w:color="auto" w:fill="D2D2D2"/>
          </w:tcPr>
          <w:p>
            <w:pPr/>
          </w:p>
        </w:tc>
      </w:tr>
      <w:tr>
        <w:trPr>
          <w:trHeight w:val="161"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0"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2,363,337.31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4" w:space="0" w:color="000000"/>
              <w:left w:val="single" w:sz="10"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2,363,337.31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2,243,580.00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425,346.60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2,243,580.00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40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26,216.63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26,216.63</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78,276.26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542.75</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2,270,339.38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2,866,960.17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2,270,339.38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39、所得税费用" w:id="254"/>
      <w:bookmarkEnd w:id="254"/>
      <w:r>
        <w:rPr>
          <w:b w:val="0"/>
          <w:bCs w:val="0"/>
        </w:rPr>
      </w:r>
      <w:r>
        <w:rPr>
          <w:rFonts w:ascii="Times New Roman" w:hAnsi="Times New Roman" w:cs="Times New Roman" w:eastAsia="Times New Roman" w:hint="default"/>
        </w:rPr>
        <w:t>39</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55"/>
      <w:bookmarkEnd w:id="25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7,546,330.50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3,741,884.94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-3,280,617.70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499,808.23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4,265,712.80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4,241,693.17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56"/>
      <w:bookmarkEnd w:id="25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41,189,310.62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10,297,327.66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3,480,828.87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-3,280,617.70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母子公司享受税收优惠的影响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-6,231,826.03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4,265,712.80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现金流量表项目" w:id="257"/>
      <w:bookmarkEnd w:id="257"/>
      <w:r>
        <w:rPr>
          <w:b w:val="0"/>
          <w:bCs w:val="0"/>
        </w:rPr>
      </w:r>
      <w:r>
        <w:rPr>
          <w:rFonts w:ascii="Times New Roman" w:hAnsi="Times New Roman" w:cs="Times New Roman" w:eastAsia="Times New Roman" w:hint="default"/>
        </w:rPr>
        <w:t>40</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58"/>
      <w:bookmarkEnd w:id="25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政府专项补贴款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6,437,371.00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17,698,400.00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1,100,245.04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567,904.62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31,752,829.10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7,061,048.30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39,290,445.14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25,327,352.92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59"/>
      <w:bookmarkEnd w:id="25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2,274,833.16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221,798.91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107,768,155.09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62,101,409.07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110,042,988.25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62,323,207.98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260"/>
      <w:bookmarkEnd w:id="26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bl>
    <w:p>
      <w:pPr>
        <w:spacing w:line="240" w:lineRule="auto" w:before="2"/>
        <w:rPr>
          <w:rFonts w:ascii="宋体" w:hAnsi="宋体" w:cs="宋体" w:eastAsia="宋体" w:hint="default"/>
          <w:sz w:val="19"/>
          <w:szCs w:val="19"/>
        </w:rPr>
      </w:pPr>
    </w:p>
    <w:p>
      <w:pPr>
        <w:pStyle w:val="Heading3"/>
        <w:spacing w:line="506" w:lineRule="auto" w:before="35"/>
        <w:ind w:right="6083"/>
        <w:jc w:val="left"/>
        <w:rPr>
          <w:rFonts w:ascii="宋体" w:hAnsi="宋体" w:cs="宋体" w:eastAsia="宋体" w:hint="default"/>
          <w:b w:val="0"/>
          <w:bCs w:val="0"/>
        </w:rPr>
      </w:pPr>
      <w:bookmarkStart w:name="（4）支付的其他与投资活动有关的现金" w:id="261"/>
      <w:bookmarkEnd w:id="261"/>
      <w:r>
        <w:rPr>
          <w:b w:val="0"/>
          <w:bCs w:val="0"/>
        </w:rPr>
      </w:r>
      <w:r>
        <w:rPr/>
        <w:t>（</w:t>
      </w:r>
      <w:r>
        <w:rPr>
          <w:rFonts w:ascii="Times New Roman" w:hAnsi="Times New Roman" w:cs="Times New Roman" w:eastAsia="Times New Roman" w:hint="default"/>
        </w:rPr>
        <w:t>4</w:t>
      </w:r>
      <w:r>
        <w:rPr/>
        <w:t>）支付的其他与投资活动有关的现金</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5）收到的其他与筹资活动有关的现金" w:id="262"/>
      <w:bookmarkEnd w:id="26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25,658,362.50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2,824,376.35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募集资金专户利息收入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202,901.09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599,990.17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25,861,263.59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3,424,366.52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263"/>
      <w:bookmarkEnd w:id="26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32,902,979.42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6,804,423.77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32,902,979.42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6,804,423.77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现金流量表补充资料" w:id="264"/>
      <w:bookmarkEnd w:id="264"/>
      <w:r>
        <w:rPr>
          <w:b w:val="0"/>
          <w:bCs w:val="0"/>
        </w:rPr>
      </w:r>
      <w:r>
        <w:rPr>
          <w:rFonts w:ascii="Times New Roman" w:hAnsi="Times New Roman" w:cs="Times New Roman" w:eastAsia="Times New Roman" w:hint="default"/>
        </w:rPr>
        <w:t>41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65"/>
      <w:bookmarkEnd w:id="26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36,923,597.82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31,973,857.06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9,582,414.41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6,073,067.73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36,158,386.29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20,616,332.65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r>
        <w:rPr/>
        <w:pict>
          <v:group style="position:absolute;margin-left:223.339996pt;margin-top:210.649979pt;width:151.25pt;height:20.8pt;mso-position-horizontal-relative:page;mso-position-vertical-relative:page;z-index:-717160" coordorigin="4467,4213" coordsize="3025,416">
            <v:group style="position:absolute;left:4478;top:4224;width:2;height:393" coordorigin="4478,4224" coordsize="2,393">
              <v:shape style="position:absolute;left:4478;top:4224;width:2;height:393" coordorigin="4478,4224" coordsize="0,393" path="m4478,4224l4478,4617e" filled="false" stroked="true" strokeweight="1.140pt" strokecolor="#ffffff">
                <v:path arrowok="t"/>
              </v:shape>
            </v:group>
            <v:group style="position:absolute;left:4490;top:4224;width:3002;height:393" coordorigin="4490,4224" coordsize="3002,393">
              <v:shape style="position:absolute;left:4490;top:4224;width:3002;height:393" coordorigin="4490,4224" coordsize="3002,393" path="m4490,4617l7491,4617,7491,4224,4490,4224,4490,461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13,305,858.07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4,025,518.99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1,433,362.68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1,309,445.95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2,363,337.31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13,280,678.22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7,420,765.93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-665.95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-3,280,617.70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499,808.23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-32,347,970.82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-2,101,213.53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-145,396,910.94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-73,035,230.46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105,886,726.77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50,792,150.13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35,544,858.85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49,937,839.99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333,182,764.86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396,817,393.07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396,817,393.07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440,530,790.07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-63,634,628.21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-43,713,397.00</w:t>
            </w:r>
          </w:p>
        </w:tc>
      </w:tr>
    </w:tbl>
    <w:p>
      <w:pPr>
        <w:spacing w:line="240" w:lineRule="auto" w:before="2"/>
        <w:rPr>
          <w:rFonts w:ascii="宋体" w:hAnsi="宋体" w:cs="宋体" w:eastAsia="宋体" w:hint="default"/>
          <w:sz w:val="19"/>
          <w:szCs w:val="19"/>
        </w:rPr>
      </w:pPr>
    </w:p>
    <w:p>
      <w:pPr>
        <w:pStyle w:val="Heading3"/>
        <w:spacing w:line="506" w:lineRule="auto" w:before="35"/>
        <w:ind w:right="6083"/>
        <w:jc w:val="left"/>
        <w:rPr>
          <w:rFonts w:ascii="宋体" w:hAnsi="宋体" w:cs="宋体" w:eastAsia="宋体" w:hint="default"/>
          <w:b w:val="0"/>
          <w:bCs w:val="0"/>
        </w:rPr>
      </w:pPr>
      <w:bookmarkStart w:name="（2）本期支付的取得子公司的现金净额" w:id="266"/>
      <w:bookmarkEnd w:id="266"/>
      <w:r>
        <w:rPr>
          <w:b w:val="0"/>
          <w:bCs w:val="0"/>
        </w:rPr>
      </w:r>
      <w:r>
        <w:rPr/>
        <w:t>（</w:t>
      </w:r>
      <w:r>
        <w:rPr>
          <w:rFonts w:ascii="Times New Roman" w:hAnsi="Times New Roman" w:cs="Times New Roman" w:eastAsia="Times New Roman" w:hint="default"/>
        </w:rPr>
        <w:t>2</w:t>
      </w:r>
      <w:r>
        <w:rPr/>
        <w:t>）本期支付的取得子公司的现金净额</w:t>
      </w:r>
      <w:r>
        <w:rPr>
          <w:w w:val="99"/>
        </w:rPr>
        <w:t> </w:t>
      </w:r>
      <w:r>
        <w:rPr>
          <w:rFonts w:ascii="宋体" w:hAnsi="宋体" w:cs="宋体" w:eastAsia="宋体" w:hint="default"/>
          <w:b w:val="0"/>
          <w:bCs w:val="0"/>
        </w:rPr>
        <w:t>无</w:t>
      </w:r>
    </w:p>
    <w:p>
      <w:pPr>
        <w:pStyle w:val="Heading3"/>
        <w:spacing w:line="506" w:lineRule="auto" w:before="103"/>
        <w:ind w:right="6083"/>
        <w:jc w:val="left"/>
        <w:rPr>
          <w:rFonts w:ascii="宋体" w:hAnsi="宋体" w:cs="宋体" w:eastAsia="宋体" w:hint="default"/>
          <w:b w:val="0"/>
          <w:bCs w:val="0"/>
        </w:rPr>
      </w:pPr>
      <w:bookmarkStart w:name="（3）本期收到的处置子公司的现金净额" w:id="267"/>
      <w:bookmarkEnd w:id="267"/>
      <w:r>
        <w:rPr>
          <w:b w:val="0"/>
          <w:bCs w:val="0"/>
        </w:rPr>
      </w:r>
      <w:r>
        <w:rPr/>
        <w:t>（</w:t>
      </w:r>
      <w:r>
        <w:rPr>
          <w:rFonts w:ascii="Times New Roman" w:hAnsi="Times New Roman" w:cs="Times New Roman" w:eastAsia="Times New Roman" w:hint="default"/>
        </w:rPr>
        <w:t>3</w:t>
      </w:r>
      <w:r>
        <w:rPr/>
        <w:t>）本期收到的处置子公司的现金净额</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4）现金和现金等价物的构成" w:id="268"/>
      <w:bookmarkEnd w:id="26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333,182,764.86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396,817,393.07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69,549.27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333,066,527.00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396,747,843.80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333,182,764.86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396,817,393.07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42、所有权或使用权受到限制的资产" w:id="269"/>
      <w:bookmarkEnd w:id="269"/>
      <w:r>
        <w:rPr>
          <w:b w:val="0"/>
          <w:bCs w:val="0"/>
        </w:rPr>
      </w:r>
      <w:r>
        <w:rPr>
          <w:rFonts w:ascii="Times New Roman" w:hAnsi="Times New Roman" w:cs="Times New Roman" w:eastAsia="Times New Roman" w:hint="default"/>
        </w:rPr>
        <w:t>42</w:t>
      </w:r>
      <w:r>
        <w:rPr/>
        <w:t>、所有权或使用权受到限制的资产</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24,469,259.73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13,303,474.53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37,772,734.26</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line="496" w:lineRule="auto" w:before="26"/>
        <w:ind w:left="153" w:right="7349" w:firstLine="0"/>
        <w:jc w:val="left"/>
        <w:rPr>
          <w:rFonts w:ascii="宋体" w:hAnsi="宋体" w:cs="宋体" w:eastAsia="宋体" w:hint="default"/>
          <w:sz w:val="21"/>
          <w:szCs w:val="21"/>
        </w:rPr>
      </w:pPr>
      <w:bookmarkStart w:name="八、合并范围的变更" w:id="270"/>
      <w:bookmarkEnd w:id="270"/>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271"/>
      <w:bookmarkEnd w:id="2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3"/>
        <w:spacing w:line="580" w:lineRule="auto" w:before="111"/>
        <w:ind w:right="7559"/>
        <w:jc w:val="left"/>
        <w:rPr>
          <w:rFonts w:ascii="宋体" w:hAnsi="宋体" w:cs="宋体" w:eastAsia="宋体" w:hint="default"/>
          <w:b w:val="0"/>
          <w:bCs w:val="0"/>
        </w:rPr>
      </w:pPr>
      <w:bookmarkStart w:name="2、同一控制下企业合并" w:id="272"/>
      <w:bookmarkEnd w:id="272"/>
      <w:r>
        <w:rPr>
          <w:b w:val="0"/>
          <w:bCs w:val="0"/>
        </w:rPr>
      </w:r>
      <w:r>
        <w:rPr>
          <w:rFonts w:ascii="Times New Roman" w:hAnsi="Times New Roman" w:cs="Times New Roman" w:eastAsia="Times New Roman" w:hint="default"/>
        </w:rPr>
        <w:t>2</w:t>
      </w:r>
      <w:r>
        <w:rPr/>
        <w:t>、同一控制下企业合并</w:t>
      </w:r>
      <w:r>
        <w:rPr>
          <w:w w:val="99"/>
        </w:rPr>
        <w:t> </w:t>
      </w:r>
      <w:r>
        <w:rPr>
          <w:rFonts w:ascii="宋体" w:hAnsi="宋体" w:cs="宋体" w:eastAsia="宋体" w:hint="default"/>
          <w:b w:val="0"/>
          <w:bCs w:val="0"/>
        </w:rPr>
        <w:t>无。</w:t>
      </w:r>
    </w:p>
    <w:p>
      <w:pPr>
        <w:spacing w:line="506" w:lineRule="auto" w:before="36"/>
        <w:ind w:left="154" w:right="1792" w:firstLine="0"/>
        <w:jc w:val="left"/>
        <w:rPr>
          <w:rFonts w:ascii="宋体" w:hAnsi="宋体" w:cs="宋体" w:eastAsia="宋体" w:hint="default"/>
          <w:sz w:val="21"/>
          <w:szCs w:val="21"/>
        </w:rPr>
      </w:pPr>
      <w:r>
        <w:rPr/>
        <w:pict>
          <v:shape style="position:absolute;margin-left:56.34pt;margin-top:50.783672pt;width:480.15pt;height:74.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96"/>
                  </w:tblGrid>
                  <w:tr>
                    <w:trPr>
                      <w:trHeight w:val="364" w:hRule="exact"/>
                    </w:trPr>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79" w:hRule="exact"/>
                    </w:trPr>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新投资成立</w:t>
                        </w:r>
                      </w:p>
                    </w:tc>
                  </w:tr>
                  <w:tr>
                    <w:trPr>
                      <w:trHeight w:val="362" w:hRule="exact"/>
                    </w:trPr>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新投资成立</w:t>
                        </w:r>
                      </w:p>
                    </w:tc>
                  </w:tr>
                  <w:tr>
                    <w:trPr>
                      <w:trHeight w:val="364" w:hRule="exact"/>
                    </w:trPr>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新投资成立</w:t>
                        </w:r>
                      </w:p>
                    </w:tc>
                  </w:tr>
                </w:tbl>
                <w:p>
                  <w:pPr/>
                </w:p>
              </w:txbxContent>
            </v:textbox>
            <w10:wrap type="none"/>
          </v:shape>
        </w:pict>
      </w:r>
      <w:bookmarkStart w:name="3、其他原因的合并范围变动" w:id="273"/>
      <w:bookmarkEnd w:id="2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2"/>
        <w:spacing w:line="240" w:lineRule="auto"/>
        <w:ind w:left="154" w:right="0"/>
        <w:jc w:val="left"/>
        <w:rPr>
          <w:b w:val="0"/>
          <w:bCs w:val="0"/>
        </w:rPr>
      </w:pPr>
      <w:bookmarkStart w:name="九、在其他主体中的权益" w:id="274"/>
      <w:bookmarkEnd w:id="27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275"/>
      <w:bookmarkEnd w:id="27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276"/>
      <w:bookmarkEnd w:id="27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851"/>
        <w:gridCol w:w="1701"/>
        <w:gridCol w:w="1135"/>
        <w:gridCol w:w="974"/>
        <w:gridCol w:w="1150"/>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教育培训服务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 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b/>
          <w:bCs/>
          <w:sz w:val="27"/>
          <w:szCs w:val="27"/>
        </w:rPr>
      </w:pPr>
    </w:p>
    <w:p>
      <w:pPr>
        <w:pStyle w:val="BodyText"/>
        <w:spacing w:line="384" w:lineRule="auto" w:before="35"/>
        <w:ind w:right="5363"/>
        <w:jc w:val="left"/>
      </w:pPr>
      <w:r>
        <w:rPr/>
        <w:t>在子公司的持股比例不同于表决权比例的说明： 不适用。</w:t>
      </w:r>
    </w:p>
    <w:p>
      <w:pPr>
        <w:pStyle w:val="BodyText"/>
        <w:spacing w:line="384" w:lineRule="auto" w:before="39"/>
        <w:ind w:right="533"/>
        <w:jc w:val="left"/>
      </w:pPr>
      <w:r>
        <w:rPr/>
        <w:t>持有半数或以下表决权但仍控制被投资单位、以及持有半数以上表决权但不控制被投资单位的依据： 不适用。</w:t>
      </w:r>
    </w:p>
    <w:p>
      <w:pPr>
        <w:pStyle w:val="BodyText"/>
        <w:spacing w:line="384" w:lineRule="auto" w:before="39"/>
        <w:ind w:left="154" w:right="4732"/>
        <w:jc w:val="left"/>
      </w:pPr>
      <w:r>
        <w:rPr/>
        <w:t>对于纳入合并范围的重要的结构化主体，控制的依据： 不适用。</w:t>
      </w:r>
    </w:p>
    <w:p>
      <w:pPr>
        <w:pStyle w:val="BodyText"/>
        <w:spacing w:line="384" w:lineRule="auto" w:before="40"/>
        <w:ind w:right="6203"/>
        <w:jc w:val="left"/>
      </w:pPr>
      <w:r>
        <w:rPr/>
        <w:t>确定公司是代理人还是委托人的依据： 不适用。</w:t>
      </w:r>
    </w:p>
    <w:p>
      <w:pPr>
        <w:pStyle w:val="BodyText"/>
        <w:spacing w:line="384" w:lineRule="auto" w:before="39"/>
        <w:ind w:right="8723"/>
        <w:jc w:val="left"/>
      </w:pPr>
      <w:r>
        <w:rPr/>
        <w:t>其他说明： 无。</w:t>
      </w:r>
    </w:p>
    <w:p>
      <w:pPr>
        <w:spacing w:line="240" w:lineRule="auto" w:before="1"/>
        <w:rPr>
          <w:rFonts w:ascii="宋体" w:hAnsi="宋体" w:cs="宋体" w:eastAsia="宋体" w:hint="default"/>
          <w:sz w:val="16"/>
          <w:szCs w:val="16"/>
        </w:rPr>
      </w:pPr>
    </w:p>
    <w:p>
      <w:pPr>
        <w:pStyle w:val="Heading3"/>
        <w:spacing w:line="240" w:lineRule="auto"/>
        <w:ind w:right="0"/>
        <w:jc w:val="left"/>
        <w:rPr>
          <w:b w:val="0"/>
          <w:bCs w:val="0"/>
        </w:rPr>
      </w:pPr>
      <w:bookmarkStart w:name="（2）重要的非全资子公司" w:id="277"/>
      <w:bookmarkEnd w:id="27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702"/>
        <w:gridCol w:w="1842"/>
        <w:gridCol w:w="1701"/>
        <w:gridCol w:w="1632"/>
      </w:tblGrid>
      <w:tr>
        <w:trPr>
          <w:trHeight w:val="763" w:hRule="exact"/>
        </w:trPr>
        <w:tc>
          <w:tcPr>
            <w:tcW w:w="26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84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76"/>
              <w:ind w:left="645" w:right="104"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0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76"/>
              <w:ind w:left="394" w:right="34"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63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76"/>
              <w:ind w:left="629" w:right="90"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559" w:hRule="exact"/>
        </w:trPr>
        <w:tc>
          <w:tcPr>
            <w:tcW w:w="2694" w:type="dxa"/>
            <w:tcBorders>
              <w:top w:val="single" w:sz="4" w:space="0" w:color="FFFFFF"/>
              <w:left w:val="single" w:sz="4" w:space="0" w:color="000000"/>
              <w:bottom w:val="single" w:sz="4" w:space="0" w:color="000000"/>
              <w:right w:val="single" w:sz="4" w:space="0" w:color="000000"/>
            </w:tcBorders>
            <w:shd w:val="clear" w:color="auto" w:fill="CCE8CF"/>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7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40.00%</w:t>
            </w:r>
          </w:p>
        </w:tc>
        <w:tc>
          <w:tcPr>
            <w:tcW w:w="18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1,620,807.96</w:t>
            </w:r>
          </w:p>
        </w:tc>
        <w:tc>
          <w:tcPr>
            <w:tcW w:w="1701" w:type="dxa"/>
            <w:tcBorders>
              <w:top w:val="single" w:sz="4" w:space="0" w:color="FFFFFF"/>
              <w:left w:val="single" w:sz="4" w:space="0" w:color="000000"/>
              <w:bottom w:val="single" w:sz="4" w:space="0" w:color="000000"/>
              <w:right w:val="single" w:sz="4" w:space="0" w:color="000000"/>
            </w:tcBorders>
          </w:tcPr>
          <w:p>
            <w:pPr/>
          </w:p>
        </w:tc>
        <w:tc>
          <w:tcPr>
            <w:tcW w:w="16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5,631,382.28</w:t>
            </w:r>
          </w:p>
        </w:tc>
      </w:tr>
    </w:tbl>
    <w:p>
      <w:pPr>
        <w:pStyle w:val="BodyText"/>
        <w:spacing w:line="384" w:lineRule="auto" w:before="26"/>
        <w:ind w:left="154" w:right="4732"/>
        <w:jc w:val="left"/>
      </w:pPr>
      <w:r>
        <w:rPr/>
        <w:t>子公司少数股东的持股比例不同于表决权比例的说明： 不适用</w:t>
      </w:r>
    </w:p>
    <w:p>
      <w:pPr>
        <w:pStyle w:val="BodyText"/>
        <w:spacing w:line="384" w:lineRule="auto" w:before="40"/>
        <w:ind w:left="154" w:right="8722"/>
        <w:jc w:val="left"/>
      </w:pPr>
      <w:r>
        <w:rPr/>
        <w:t>其他说明： 无</w:t>
      </w:r>
    </w:p>
    <w:p>
      <w:pPr>
        <w:spacing w:after="0" w:line="384" w:lineRule="auto"/>
        <w:jc w:val="left"/>
        <w:sectPr>
          <w:pgSz w:w="11910" w:h="16840"/>
          <w:pgMar w:header="0" w:footer="979" w:top="1100" w:bottom="1160" w:left="980" w:right="980"/>
        </w:sectPr>
      </w:pPr>
    </w:p>
    <w:p>
      <w:pPr>
        <w:spacing w:line="240" w:lineRule="auto" w:before="13"/>
        <w:rPr>
          <w:rFonts w:ascii="宋体" w:hAnsi="宋体" w:cs="宋体" w:eastAsia="宋体" w:hint="default"/>
          <w:sz w:val="23"/>
          <w:szCs w:val="23"/>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1720" coordorigin="1410,-8" coordsize="14020,2">
            <v:shape style="position:absolute;left:1410;top:-8;width:14020;height:2" coordorigin="1410,-8" coordsize="14020,0" path="m1410,-8l15430,-8e" filled="false" stroked="true" strokeweight=".72pt" strokecolor="#000000">
              <v:path arrowok="t"/>
            </v:shape>
            <w10:wrap type="none"/>
          </v:group>
        </w:pict>
      </w:r>
      <w:bookmarkStart w:name="（3）重要非全资子公司的主要财务信息" w:id="278"/>
      <w:bookmarkEnd w:id="278"/>
      <w:r>
        <w:rPr>
          <w:b w:val="0"/>
          <w:bCs w:val="0"/>
        </w:rPr>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1"/>
          <w:footerReference w:type="default" r:id="rId32"/>
          <w:pgSz w:w="16840" w:h="11910" w:orient="landscape"/>
          <w:pgMar w:header="0" w:footer="0" w:top="800" w:bottom="280" w:left="1300" w:right="820"/>
          <w:cols w:num="2" w:equalWidth="0">
            <w:col w:w="3827" w:space="5902"/>
            <w:col w:w="4991"/>
          </w:cols>
        </w:sectPr>
      </w:pPr>
    </w:p>
    <w:p>
      <w:pPr>
        <w:spacing w:line="240" w:lineRule="auto" w:before="3"/>
        <w:rPr>
          <w:rFonts w:ascii="宋体" w:hAnsi="宋体" w:cs="宋体" w:eastAsia="宋体" w:hint="default"/>
          <w:sz w:val="23"/>
          <w:szCs w:val="23"/>
        </w:rPr>
      </w:pPr>
    </w:p>
    <w:p>
      <w:pPr>
        <w:spacing w:before="44"/>
        <w:ind w:left="0" w:right="71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448"/>
        <w:gridCol w:w="1157"/>
        <w:gridCol w:w="1157"/>
        <w:gridCol w:w="1157"/>
        <w:gridCol w:w="1158"/>
        <w:gridCol w:w="750"/>
        <w:gridCol w:w="1130"/>
        <w:gridCol w:w="1157"/>
        <w:gridCol w:w="1158"/>
        <w:gridCol w:w="1157"/>
        <w:gridCol w:w="1157"/>
        <w:gridCol w:w="751"/>
        <w:gridCol w:w="1128"/>
      </w:tblGrid>
      <w:tr>
        <w:trPr>
          <w:trHeight w:val="448" w:hRule="exact"/>
        </w:trPr>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0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0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1448" w:type="dxa"/>
            <w:vMerge/>
            <w:tcBorders>
              <w:left w:val="single" w:sz="4" w:space="0" w:color="000000"/>
              <w:bottom w:val="single" w:sz="4" w:space="0" w:color="000000"/>
              <w:right w:val="single" w:sz="4" w:space="0" w:color="000000"/>
            </w:tcBorders>
            <w:shd w:val="clear" w:color="auto" w:fill="D2D2D2"/>
          </w:tcPr>
          <w:p>
            <w:pP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98"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10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818" w:hRule="exact"/>
        </w:trPr>
        <w:tc>
          <w:tcPr>
            <w:tcW w:w="14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3"/>
              <w:ind w:left="22" w:right="153"/>
              <w:jc w:val="left"/>
              <w:rPr>
                <w:rFonts w:ascii="宋体" w:hAnsi="宋体" w:cs="宋体" w:eastAsia="宋体" w:hint="default"/>
                <w:sz w:val="18"/>
                <w:szCs w:val="18"/>
              </w:rPr>
            </w:pPr>
            <w:r>
              <w:rPr>
                <w:rFonts w:ascii="宋体" w:hAnsi="宋体" w:cs="宋体" w:eastAsia="宋体" w:hint="default"/>
                <w:sz w:val="18"/>
                <w:szCs w:val="18"/>
              </w:rPr>
              <w:t>广东蓝盾乐庚信 息技术有限公司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10,100,876.61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8,188,931.33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18,289,807.94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4,211,352.26</w:t>
            </w:r>
          </w:p>
        </w:tc>
        <w:tc>
          <w:tcPr>
            <w:tcW w:w="7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4,211,352.26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6,630,361.87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4,410,681.66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11,041,043.53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1,014,607.74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1,014,607.74</w:t>
            </w:r>
          </w:p>
        </w:tc>
      </w:tr>
    </w:tbl>
    <w:p>
      <w:pPr>
        <w:spacing w:before="51"/>
        <w:ind w:left="0" w:right="71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553"/>
        <w:gridCol w:w="1553"/>
        <w:gridCol w:w="1163"/>
        <w:gridCol w:w="1165"/>
        <w:gridCol w:w="1168"/>
        <w:gridCol w:w="1164"/>
        <w:gridCol w:w="1164"/>
        <w:gridCol w:w="1164"/>
        <w:gridCol w:w="1168"/>
      </w:tblGrid>
      <w:tr>
        <w:trPr>
          <w:trHeight w:val="425" w:hRule="exact"/>
        </w:trPr>
        <w:tc>
          <w:tcPr>
            <w:tcW w:w="1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3" w:hRule="exact"/>
        </w:trPr>
        <w:tc>
          <w:tcPr>
            <w:tcW w:w="1553" w:type="dxa"/>
            <w:vMerge/>
            <w:tcBorders>
              <w:left w:val="single" w:sz="4" w:space="0" w:color="000000"/>
              <w:bottom w:val="single" w:sz="18" w:space="0" w:color="CCE8CF"/>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399" w:right="36"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398" w:right="37"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86" w:hRule="exact"/>
        </w:trPr>
        <w:tc>
          <w:tcPr>
            <w:tcW w:w="1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7"/>
              <w:ind w:left="22" w:right="78"/>
              <w:jc w:val="left"/>
              <w:rPr>
                <w:rFonts w:ascii="宋体" w:hAnsi="宋体" w:cs="宋体" w:eastAsia="宋体" w:hint="default"/>
                <w:sz w:val="18"/>
                <w:szCs w:val="18"/>
              </w:rPr>
            </w:pPr>
            <w:r>
              <w:rPr>
                <w:rFonts w:ascii="宋体" w:hAnsi="宋体" w:cs="宋体" w:eastAsia="宋体" w:hint="default"/>
                <w:sz w:val="18"/>
                <w:szCs w:val="18"/>
              </w:rPr>
              <w:t>广东蓝盾乐庚信息 技术有限公司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15,492,982.83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4,052,019.89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4,052,019.89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2,609,342.89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5,018,549.95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26,435.79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26,435.79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-3,267,763.85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76"/>
        <w:ind w:left="0" w:right="616" w:firstLine="0"/>
        <w:jc w:val="right"/>
        <w:rPr>
          <w:rFonts w:ascii="Times New Roman" w:hAnsi="Times New Roman" w:cs="Times New Roman" w:eastAsia="Times New Roman" w:hint="default"/>
          <w:sz w:val="18"/>
          <w:szCs w:val="18"/>
        </w:rPr>
      </w:pPr>
      <w:r>
        <w:rPr>
          <w:rFonts w:ascii="Times New Roman"/>
          <w:sz w:val="18"/>
        </w:rPr>
        <w:t>127</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82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6"/>
        <w:ind w:left="153" w:right="0"/>
        <w:jc w:val="left"/>
        <w:rPr>
          <w:b w:val="0"/>
          <w:bCs w:val="0"/>
        </w:rPr>
      </w:pPr>
      <w:bookmarkStart w:name="2、在合营安排或联营企业中的权益" w:id="279"/>
      <w:bookmarkEnd w:id="27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合营企业或联营企业" w:id="280"/>
      <w:bookmarkEnd w:id="28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850"/>
        <w:gridCol w:w="1560"/>
        <w:gridCol w:w="993"/>
        <w:gridCol w:w="976"/>
        <w:gridCol w:w="1366"/>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8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91"/>
              <w:ind w:left="387"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6"/>
          <w:szCs w:val="6"/>
        </w:rPr>
      </w:pPr>
    </w:p>
    <w:p>
      <w:pPr>
        <w:pStyle w:val="BodyText"/>
        <w:spacing w:line="240" w:lineRule="auto" w:before="35"/>
        <w:ind w:left="154" w:right="0"/>
        <w:jc w:val="left"/>
      </w:pPr>
      <w:r>
        <w:rPr/>
        <w:t>在合营企业或联营企业的持股比例不同于表决权比例的说明：无。</w:t>
      </w:r>
    </w:p>
    <w:p>
      <w:pPr>
        <w:pStyle w:val="BodyText"/>
        <w:spacing w:line="240" w:lineRule="auto" w:before="164"/>
        <w:ind w:right="0"/>
        <w:jc w:val="left"/>
      </w:pPr>
      <w:r>
        <w:rPr/>
        <w:t>持有</w:t>
      </w:r>
      <w:r>
        <w:rPr>
          <w:spacing w:val="-56"/>
        </w:rPr>
        <w:t> </w:t>
      </w:r>
      <w:r>
        <w:rPr>
          <w:rFonts w:ascii="Times New Roman" w:hAnsi="Times New Roman" w:cs="Times New Roman" w:eastAsia="Times New Roman" w:hint="default"/>
        </w:rPr>
        <w:t>20%</w:t>
      </w:r>
      <w:r>
        <w:rPr/>
        <w:t>以下表决权但具有重大影响，或者持有</w:t>
      </w:r>
      <w:r>
        <w:rPr>
          <w:spacing w:val="-55"/>
        </w:rPr>
        <w:t> </w:t>
      </w:r>
      <w:r>
        <w:rPr>
          <w:rFonts w:ascii="Times New Roman" w:hAnsi="Times New Roman" w:cs="Times New Roman" w:eastAsia="Times New Roman" w:hint="default"/>
        </w:rPr>
        <w:t>20%</w:t>
      </w:r>
      <w:r>
        <w:rPr/>
        <w:t>或以上表决权但不具有重大影响的依据：无。</w:t>
      </w:r>
    </w:p>
    <w:p>
      <w:pPr>
        <w:spacing w:line="240" w:lineRule="auto" w:before="11"/>
        <w:rPr>
          <w:rFonts w:ascii="宋体" w:hAnsi="宋体" w:cs="宋体" w:eastAsia="宋体" w:hint="default"/>
          <w:sz w:val="19"/>
          <w:szCs w:val="19"/>
        </w:rPr>
      </w:pPr>
    </w:p>
    <w:p>
      <w:pPr>
        <w:pStyle w:val="Heading3"/>
        <w:spacing w:line="355" w:lineRule="auto"/>
        <w:ind w:left="153" w:right="6506"/>
        <w:jc w:val="left"/>
        <w:rPr>
          <w:rFonts w:ascii="宋体" w:hAnsi="宋体" w:cs="宋体" w:eastAsia="宋体" w:hint="default"/>
          <w:b w:val="0"/>
          <w:bCs w:val="0"/>
        </w:rPr>
      </w:pPr>
      <w:bookmarkStart w:name="（2）重要合营企业的主要财务信息" w:id="281"/>
      <w:bookmarkEnd w:id="281"/>
      <w:r>
        <w:rPr>
          <w:b w:val="0"/>
          <w:bCs w:val="0"/>
        </w:rPr>
      </w:r>
      <w:r>
        <w:rPr/>
        <w:t>（</w:t>
      </w:r>
      <w:r>
        <w:rPr>
          <w:rFonts w:ascii="Times New Roman" w:hAnsi="Times New Roman" w:cs="Times New Roman" w:eastAsia="Times New Roman" w:hint="default"/>
        </w:rPr>
        <w:t>2</w:t>
      </w:r>
      <w:r>
        <w:rPr/>
        <w:t>）重要合营企业的主要财务信息</w:t>
      </w:r>
      <w:r>
        <w:rPr>
          <w:w w:val="99"/>
        </w:rPr>
        <w:t> </w:t>
      </w:r>
      <w:r>
        <w:rPr>
          <w:rFonts w:ascii="宋体" w:hAnsi="宋体" w:cs="宋体" w:eastAsia="宋体" w:hint="default"/>
          <w:b w:val="0"/>
          <w:bCs w:val="0"/>
        </w:rPr>
        <w:t>不适用。</w:t>
      </w:r>
    </w:p>
    <w:p>
      <w:pPr>
        <w:spacing w:line="240" w:lineRule="auto" w:before="2"/>
        <w:rPr>
          <w:rFonts w:ascii="宋体" w:hAnsi="宋体" w:cs="宋体" w:eastAsia="宋体" w:hint="default"/>
          <w:sz w:val="18"/>
          <w:szCs w:val="18"/>
        </w:rPr>
      </w:pPr>
    </w:p>
    <w:p>
      <w:pPr>
        <w:pStyle w:val="Heading3"/>
        <w:spacing w:line="240" w:lineRule="auto"/>
        <w:ind w:left="153" w:right="0"/>
        <w:jc w:val="left"/>
        <w:rPr>
          <w:b w:val="0"/>
          <w:bCs w:val="0"/>
        </w:rPr>
      </w:pPr>
      <w:bookmarkStart w:name="（3）重要联营企业的主要财务信息" w:id="282"/>
      <w:bookmarkEnd w:id="28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411"/>
        <w:gridCol w:w="3970"/>
      </w:tblGrid>
      <w:tr>
        <w:trPr>
          <w:trHeight w:val="348" w:hRule="exact"/>
        </w:trPr>
        <w:tc>
          <w:tcPr>
            <w:tcW w:w="4411"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4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347" w:hRule="exact"/>
        </w:trPr>
        <w:tc>
          <w:tcPr>
            <w:tcW w:w="4411" w:type="dxa"/>
            <w:vMerge/>
            <w:tcBorders>
              <w:left w:val="single" w:sz="6" w:space="0" w:color="000000"/>
              <w:bottom w:val="single" w:sz="6" w:space="0" w:color="000000"/>
              <w:right w:val="single" w:sz="6" w:space="0" w:color="000000"/>
            </w:tcBorders>
          </w:tcPr>
          <w:p>
            <w:pP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7"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9,485,658.45</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72,218.94</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9,557,877.39</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2,415,537.13</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2,415,537.13</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2,140,665.95</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6,333,418.19</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2,219.84</w:t>
            </w: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企业本期收到的来自联营企业的股利</w:t>
            </w:r>
          </w:p>
        </w:tc>
        <w:tc>
          <w:tcPr>
            <w:tcW w:w="397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3"/>
          <w:pgSz w:w="11910" w:h="16840"/>
          <w:pgMar w:footer="979" w:header="0" w:top="1100" w:bottom="1160" w:left="980" w:right="980"/>
          <w:pgNumType w:start="128"/>
        </w:sectPr>
      </w:pPr>
    </w:p>
    <w:p>
      <w:pPr>
        <w:spacing w:line="240" w:lineRule="auto" w:before="10"/>
        <w:rPr>
          <w:rFonts w:ascii="宋体" w:hAnsi="宋体" w:cs="宋体" w:eastAsia="宋体" w:hint="default"/>
          <w:b/>
          <w:bCs/>
          <w:sz w:val="20"/>
          <w:szCs w:val="20"/>
        </w:rPr>
      </w:pPr>
    </w:p>
    <w:p>
      <w:pPr>
        <w:pStyle w:val="Heading3"/>
        <w:spacing w:line="506" w:lineRule="auto" w:before="35"/>
        <w:ind w:left="153" w:right="5153"/>
        <w:jc w:val="left"/>
        <w:rPr>
          <w:rFonts w:ascii="宋体" w:hAnsi="宋体" w:cs="宋体" w:eastAsia="宋体" w:hint="default"/>
          <w:b w:val="0"/>
          <w:bCs w:val="0"/>
        </w:rPr>
      </w:pPr>
      <w:bookmarkStart w:name="（4）上重要的合营企业和联营企业的汇总财务信息" w:id="283"/>
      <w:bookmarkEnd w:id="283"/>
      <w:r>
        <w:rPr>
          <w:b w:val="0"/>
          <w:bCs w:val="0"/>
        </w:rPr>
      </w:r>
      <w:r>
        <w:rPr>
          <w:w w:val="95"/>
        </w:rPr>
        <w:t>（</w:t>
      </w:r>
      <w:r>
        <w:rPr>
          <w:rFonts w:ascii="Times New Roman" w:hAnsi="Times New Roman" w:cs="Times New Roman" w:eastAsia="Times New Roman" w:hint="default"/>
          <w:w w:val="95"/>
        </w:rPr>
        <w:t>4</w:t>
      </w:r>
      <w:r>
        <w:rPr>
          <w:w w:val="95"/>
        </w:rPr>
        <w:t>）不重要的合营企业和联营企业的汇总财务信息</w:t>
      </w:r>
      <w:r>
        <w:rPr>
          <w:spacing w:val="30"/>
          <w:w w:val="95"/>
        </w:rPr>
        <w:t> </w:t>
      </w:r>
      <w:r>
        <w:rPr>
          <w:spacing w:val="30"/>
          <w:w w:val="95"/>
        </w:rPr>
      </w:r>
      <w:r>
        <w:rPr>
          <w:rFonts w:ascii="宋体" w:hAnsi="宋体" w:cs="宋体" w:eastAsia="宋体" w:hint="default"/>
          <w:b w:val="0"/>
          <w:bCs w:val="0"/>
        </w:rPr>
        <w:t>无。</w:t>
      </w:r>
    </w:p>
    <w:p>
      <w:pPr>
        <w:pStyle w:val="Heading3"/>
        <w:spacing w:line="506" w:lineRule="auto" w:before="103"/>
        <w:ind w:right="3084"/>
        <w:jc w:val="left"/>
        <w:rPr>
          <w:rFonts w:ascii="宋体" w:hAnsi="宋体" w:cs="宋体" w:eastAsia="宋体" w:hint="default"/>
          <w:b w:val="0"/>
          <w:bCs w:val="0"/>
        </w:rPr>
      </w:pPr>
      <w:bookmarkStart w:name="（5）合营企业或联营企业向本公司转移资金的能力存在重大限制的说明" w:id="284"/>
      <w:bookmarkEnd w:id="284"/>
      <w:r>
        <w:rPr>
          <w:b w:val="0"/>
          <w:bCs w:val="0"/>
        </w:rPr>
      </w:r>
      <w:r>
        <w:rPr>
          <w:w w:val="95"/>
        </w:rPr>
        <w:t>（</w:t>
      </w:r>
      <w:r>
        <w:rPr>
          <w:rFonts w:ascii="Times New Roman" w:hAnsi="Times New Roman" w:cs="Times New Roman" w:eastAsia="Times New Roman" w:hint="default"/>
          <w:w w:val="95"/>
        </w:rPr>
        <w:t>5</w:t>
      </w:r>
      <w:r>
        <w:rPr>
          <w:w w:val="95"/>
        </w:rPr>
        <w:t>）合营企业或联营企业向本公司转移资金的能力存在重大限制的说明  </w:t>
      </w:r>
      <w:r>
        <w:rPr>
          <w:spacing w:val="22"/>
          <w:w w:val="95"/>
        </w:rPr>
        <w:t> </w:t>
      </w:r>
      <w:r>
        <w:rPr>
          <w:spacing w:val="22"/>
          <w:w w:val="95"/>
        </w:rPr>
      </w:r>
      <w:r>
        <w:rPr>
          <w:rFonts w:ascii="宋体" w:hAnsi="宋体" w:cs="宋体" w:eastAsia="宋体" w:hint="default"/>
          <w:b w:val="0"/>
          <w:bCs w:val="0"/>
        </w:rPr>
        <w:t>无。</w:t>
      </w:r>
    </w:p>
    <w:p>
      <w:pPr>
        <w:pStyle w:val="Heading3"/>
        <w:spacing w:line="506" w:lineRule="auto" w:before="105"/>
        <w:ind w:right="5872"/>
        <w:jc w:val="left"/>
        <w:rPr>
          <w:rFonts w:ascii="宋体" w:hAnsi="宋体" w:cs="宋体" w:eastAsia="宋体" w:hint="default"/>
          <w:b w:val="0"/>
          <w:bCs w:val="0"/>
        </w:rPr>
      </w:pPr>
      <w:bookmarkStart w:name="（6）合营企业或联营企业发生的超额亏损" w:id="285"/>
      <w:bookmarkEnd w:id="285"/>
      <w:r>
        <w:rPr>
          <w:b w:val="0"/>
          <w:bCs w:val="0"/>
        </w:rPr>
      </w:r>
      <w:r>
        <w:rPr/>
        <w:t>（</w:t>
      </w:r>
      <w:r>
        <w:rPr>
          <w:rFonts w:ascii="Times New Roman" w:hAnsi="Times New Roman" w:cs="Times New Roman" w:eastAsia="Times New Roman" w:hint="default"/>
        </w:rPr>
        <w:t>6</w:t>
      </w:r>
      <w:r>
        <w:rPr/>
        <w:t>）合营企业或联营企业发生的超额亏损</w:t>
      </w:r>
      <w:r>
        <w:rPr>
          <w:w w:val="99"/>
        </w:rPr>
        <w:t> </w:t>
      </w:r>
      <w:r>
        <w:rPr>
          <w:rFonts w:ascii="宋体" w:hAnsi="宋体" w:cs="宋体" w:eastAsia="宋体" w:hint="default"/>
          <w:b w:val="0"/>
          <w:bCs w:val="0"/>
        </w:rPr>
        <w:t>无。</w:t>
      </w:r>
    </w:p>
    <w:p>
      <w:pPr>
        <w:pStyle w:val="Heading3"/>
        <w:spacing w:line="506" w:lineRule="auto" w:before="104"/>
        <w:ind w:right="6083"/>
        <w:jc w:val="left"/>
        <w:rPr>
          <w:rFonts w:ascii="宋体" w:hAnsi="宋体" w:cs="宋体" w:eastAsia="宋体" w:hint="default"/>
          <w:b w:val="0"/>
          <w:bCs w:val="0"/>
        </w:rPr>
      </w:pPr>
      <w:bookmarkStart w:name="（7）与合营企业投资相关的未确认承诺" w:id="286"/>
      <w:bookmarkEnd w:id="286"/>
      <w:r>
        <w:rPr>
          <w:b w:val="0"/>
          <w:bCs w:val="0"/>
        </w:rPr>
      </w:r>
      <w:r>
        <w:rPr/>
        <w:t>（</w:t>
      </w:r>
      <w:r>
        <w:rPr>
          <w:rFonts w:ascii="Times New Roman" w:hAnsi="Times New Roman" w:cs="Times New Roman" w:eastAsia="Times New Roman" w:hint="default"/>
        </w:rPr>
        <w:t>7</w:t>
      </w:r>
      <w:r>
        <w:rPr/>
        <w:t>）与合营企业投资相关的未确认承诺</w:t>
      </w:r>
      <w:r>
        <w:rPr>
          <w:w w:val="99"/>
        </w:rPr>
        <w:t> </w:t>
      </w:r>
      <w:r>
        <w:rPr>
          <w:rFonts w:ascii="宋体" w:hAnsi="宋体" w:cs="宋体" w:eastAsia="宋体" w:hint="default"/>
          <w:b w:val="0"/>
          <w:bCs w:val="0"/>
        </w:rPr>
        <w:t>无。</w:t>
      </w:r>
    </w:p>
    <w:p>
      <w:pPr>
        <w:pStyle w:val="Heading3"/>
        <w:spacing w:line="506" w:lineRule="auto" w:before="105"/>
        <w:ind w:right="5153"/>
        <w:jc w:val="left"/>
        <w:rPr>
          <w:rFonts w:ascii="宋体" w:hAnsi="宋体" w:cs="宋体" w:eastAsia="宋体" w:hint="default"/>
          <w:b w:val="0"/>
          <w:bCs w:val="0"/>
        </w:rPr>
      </w:pPr>
      <w:bookmarkStart w:name="（8）与合营企业或联营企业投资相关的或有负债" w:id="287"/>
      <w:bookmarkEnd w:id="287"/>
      <w:r>
        <w:rPr>
          <w:b w:val="0"/>
          <w:bCs w:val="0"/>
        </w:rPr>
      </w:r>
      <w:r>
        <w:rPr>
          <w:w w:val="95"/>
        </w:rPr>
        <w:t>（</w:t>
      </w:r>
      <w:r>
        <w:rPr>
          <w:rFonts w:ascii="Times New Roman" w:hAnsi="Times New Roman" w:cs="Times New Roman" w:eastAsia="Times New Roman" w:hint="default"/>
          <w:w w:val="95"/>
        </w:rPr>
        <w:t>8</w:t>
      </w:r>
      <w:r>
        <w:rPr>
          <w:w w:val="95"/>
        </w:rPr>
        <w:t>）与合营企业或联营企业投资相关的或有负债</w:t>
      </w:r>
      <w:r>
        <w:rPr>
          <w:spacing w:val="20"/>
          <w:w w:val="95"/>
        </w:rPr>
        <w:t> </w:t>
      </w:r>
      <w:r>
        <w:rPr>
          <w:spacing w:val="20"/>
          <w:w w:val="95"/>
        </w:rPr>
      </w:r>
      <w:r>
        <w:rPr>
          <w:rFonts w:ascii="宋体" w:hAnsi="宋体" w:cs="宋体" w:eastAsia="宋体" w:hint="default"/>
          <w:b w:val="0"/>
          <w:bCs w:val="0"/>
        </w:rPr>
        <w:t>无。</w:t>
      </w:r>
    </w:p>
    <w:p>
      <w:pPr>
        <w:pStyle w:val="Heading2"/>
        <w:spacing w:line="240" w:lineRule="auto" w:before="82"/>
        <w:ind w:left="154" w:right="0"/>
        <w:jc w:val="left"/>
        <w:rPr>
          <w:b w:val="0"/>
          <w:bCs w:val="0"/>
        </w:rPr>
      </w:pPr>
      <w:bookmarkStart w:name="十、关联方及关联交易" w:id="288"/>
      <w:bookmarkEnd w:id="288"/>
      <w:r>
        <w:rPr>
          <w:b w:val="0"/>
          <w:bCs w:val="0"/>
        </w:rPr>
      </w:r>
      <w:r>
        <w:rPr/>
        <w:t>十、关联方及关联交易</w:t>
      </w:r>
      <w:r>
        <w:rPr>
          <w:b w:val="0"/>
          <w:bCs w:val="0"/>
        </w:rPr>
      </w:r>
    </w:p>
    <w:p>
      <w:pPr>
        <w:spacing w:line="704" w:lineRule="exact" w:before="4"/>
        <w:ind w:left="153" w:right="7043" w:firstLine="0"/>
        <w:jc w:val="left"/>
        <w:rPr>
          <w:rFonts w:ascii="宋体" w:hAnsi="宋体" w:cs="宋体" w:eastAsia="宋体" w:hint="default"/>
          <w:sz w:val="21"/>
          <w:szCs w:val="21"/>
        </w:rPr>
      </w:pPr>
      <w:bookmarkStart w:name="1、本企业的母公司情况" w:id="289"/>
      <w:bookmarkEnd w:id="28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本企业的母公司情况的说明：</w:t>
      </w:r>
    </w:p>
    <w:p>
      <w:pPr>
        <w:pStyle w:val="BodyText"/>
        <w:spacing w:line="556" w:lineRule="auto" w:before="53"/>
        <w:ind w:right="4418" w:firstLine="420"/>
        <w:jc w:val="left"/>
      </w:pPr>
      <w:r>
        <w:rPr/>
        <w:t>本企业最终控制方是柯宗庆、柯宗贵兄弟二人。 </w:t>
      </w:r>
      <w:bookmarkStart w:name="2、本企业的子公司情况" w:id="290"/>
      <w:bookmarkEnd w:id="290"/>
      <w:r>
        <w:rPr/>
      </w:r>
      <w:r>
        <w:rPr>
          <w:rFonts w:ascii="Times New Roman" w:hAnsi="Times New Roman" w:cs="Times New Roman" w:eastAsia="Times New Roman" w:hint="default"/>
          <w:b/>
          <w:bCs/>
        </w:rPr>
        <w:t>2</w:t>
      </w:r>
      <w:r>
        <w:rPr>
          <w:rFonts w:ascii="宋体" w:hAnsi="宋体" w:cs="宋体" w:eastAsia="宋体" w:hint="default"/>
          <w:b/>
          <w:bCs/>
        </w:rPr>
        <w:t>、本企业的子公司情况</w:t>
      </w:r>
      <w:r>
        <w:rPr>
          <w:rFonts w:ascii="宋体" w:hAnsi="宋体" w:cs="宋体" w:eastAsia="宋体" w:hint="default"/>
          <w:b/>
          <w:bCs/>
          <w:w w:val="99"/>
        </w:rPr>
        <w:t> </w:t>
      </w:r>
      <w:r>
        <w:rPr/>
        <w:t>本企业子公司的情况详见附注九（</w:t>
      </w:r>
      <w:r>
        <w:rPr>
          <w:rFonts w:ascii="Times New Roman" w:hAnsi="Times New Roman" w:cs="Times New Roman" w:eastAsia="Times New Roman" w:hint="default"/>
        </w:rPr>
        <w:t>1</w:t>
      </w:r>
      <w:r>
        <w:rPr/>
        <w:t>）在子公司中的权益。</w:t>
      </w:r>
    </w:p>
    <w:p>
      <w:pPr>
        <w:pStyle w:val="Heading3"/>
        <w:spacing w:line="240" w:lineRule="auto" w:before="12"/>
        <w:ind w:left="153" w:right="0"/>
        <w:jc w:val="left"/>
        <w:rPr>
          <w:b w:val="0"/>
          <w:bCs w:val="0"/>
        </w:rPr>
      </w:pPr>
      <w:bookmarkStart w:name="3、本企业合营和联营企业情况" w:id="291"/>
      <w:bookmarkEnd w:id="29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31"/>
          <w:szCs w:val="31"/>
        </w:rPr>
      </w:pPr>
    </w:p>
    <w:p>
      <w:pPr>
        <w:pStyle w:val="BodyText"/>
        <w:spacing w:line="355" w:lineRule="auto"/>
        <w:ind w:left="154" w:right="322"/>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 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6"/>
        <w:rPr>
          <w:rFonts w:ascii="宋体" w:hAnsi="宋体" w:cs="宋体" w:eastAsia="宋体" w:hint="default"/>
          <w:sz w:val="18"/>
          <w:szCs w:val="18"/>
        </w:rPr>
      </w:pPr>
    </w:p>
    <w:p>
      <w:pPr>
        <w:pStyle w:val="Heading3"/>
        <w:spacing w:line="240" w:lineRule="auto" w:before="35"/>
        <w:ind w:right="0"/>
        <w:jc w:val="left"/>
        <w:rPr>
          <w:b w:val="0"/>
          <w:bCs w:val="0"/>
        </w:rPr>
      </w:pPr>
      <w:bookmarkStart w:name="4、其他关联方情况" w:id="292"/>
      <w:bookmarkEnd w:id="292"/>
      <w:r>
        <w:rPr>
          <w:b w:val="0"/>
          <w:bCs w:val="0"/>
        </w:rPr>
      </w:r>
      <w:r>
        <w:rPr>
          <w:rFonts w:ascii="Times New Roman" w:hAnsi="Times New Roman" w:cs="Times New Roman" w:eastAsia="Times New Roman" w:hint="default"/>
        </w:rPr>
        <w:t>4</w:t>
      </w:r>
      <w:r>
        <w:rPr/>
        <w:t>、其他关联方情况</w:t>
      </w:r>
      <w:r>
        <w:rPr>
          <w:b w:val="0"/>
          <w:bCs w:val="0"/>
        </w:rPr>
      </w:r>
    </w:p>
    <w:p>
      <w:pPr>
        <w:spacing w:after="0" w:line="240" w:lineRule="auto"/>
        <w:jc w:val="left"/>
        <w:sectPr>
          <w:pgSz w:w="11910" w:h="16840"/>
          <w:pgMar w:header="0"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以上的法人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广州融轩投资咨询有限公司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广州景辕创业投资企业（有限合伙）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广东益街坊电子有限公司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广州奥邦投资咨询有限公司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广州景轩投资管理有限公司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广州市中经石油化工有限公司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广州市通汇科技有限公司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中经汇通（武汉）有限公司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Group</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(Cayman)Holdings</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Access Universe International</w:t>
            </w:r>
            <w:r>
              <w:rPr>
                <w:rFonts w:ascii="Times New Roman"/>
                <w:spacing w:val="-8"/>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Winner choice International</w:t>
            </w:r>
            <w:r>
              <w:rPr>
                <w:rFonts w:ascii="Times New Roman"/>
                <w:spacing w:val="-1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Swoop Success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Holding Gruop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Chinex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(HK)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北京爱创科技股份有限公司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珠海格力电器股份有限公司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江苏通达动力科技股份有限公司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中山达华智能科技股份有限公司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深圳太辰光通信股份有限公司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293"/>
      <w:bookmarkEnd w:id="29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506" w:lineRule="auto"/>
        <w:ind w:right="5661"/>
        <w:jc w:val="left"/>
        <w:rPr>
          <w:rFonts w:ascii="宋体" w:hAnsi="宋体" w:cs="宋体" w:eastAsia="宋体" w:hint="default"/>
          <w:b w:val="0"/>
          <w:bCs w:val="0"/>
        </w:rPr>
      </w:pPr>
      <w:bookmarkStart w:name="（1）购销商品、提供和接受劳务的关联交易" w:id="294"/>
      <w:bookmarkEnd w:id="294"/>
      <w:r>
        <w:rPr>
          <w:b w:val="0"/>
          <w:bCs w:val="0"/>
        </w:rPr>
      </w:r>
      <w:r>
        <w:rPr/>
        <w:t>（</w:t>
      </w:r>
      <w:r>
        <w:rPr>
          <w:rFonts w:ascii="Times New Roman" w:hAnsi="Times New Roman" w:cs="Times New Roman" w:eastAsia="Times New Roman" w:hint="default"/>
        </w:rPr>
        <w:t>1</w:t>
      </w:r>
      <w:r>
        <w:rPr/>
        <w:t>）购销商品、提供和接受劳务的关联交易</w:t>
      </w:r>
      <w:r>
        <w:rPr>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0" w:footer="979" w:top="1100" w:bottom="1160" w:left="980" w:right="980"/>
        </w:sectPr>
      </w:pPr>
    </w:p>
    <w:p>
      <w:pPr>
        <w:spacing w:line="240" w:lineRule="auto" w:before="9"/>
        <w:rPr>
          <w:rFonts w:ascii="宋体" w:hAnsi="宋体" w:cs="宋体" w:eastAsia="宋体" w:hint="default"/>
          <w:sz w:val="20"/>
          <w:szCs w:val="20"/>
        </w:rPr>
      </w:pPr>
    </w:p>
    <w:p>
      <w:pPr>
        <w:pStyle w:val="Heading3"/>
        <w:spacing w:line="506" w:lineRule="auto" w:before="35"/>
        <w:ind w:left="153" w:right="5546"/>
        <w:jc w:val="left"/>
        <w:rPr>
          <w:rFonts w:ascii="宋体" w:hAnsi="宋体" w:cs="宋体" w:eastAsia="宋体" w:hint="default"/>
          <w:b w:val="0"/>
          <w:bCs w:val="0"/>
        </w:rPr>
      </w:pPr>
      <w:bookmarkStart w:name="（2）关联受托管理/承包及委托管理/出包情况" w:id="295"/>
      <w:bookmarkEnd w:id="29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spacing w:val="1"/>
          <w:w w:val="99"/>
        </w:rPr>
        <w:t> </w:t>
      </w:r>
      <w:r>
        <w:rPr>
          <w:rFonts w:ascii="宋体" w:hAnsi="宋体" w:cs="宋体" w:eastAsia="宋体" w:hint="default"/>
          <w:b w:val="0"/>
          <w:bCs w:val="0"/>
        </w:rPr>
        <w:t>无。</w:t>
      </w:r>
    </w:p>
    <w:p>
      <w:pPr>
        <w:pStyle w:val="Heading3"/>
        <w:spacing w:line="506" w:lineRule="auto" w:before="103"/>
        <w:ind w:right="7980"/>
        <w:jc w:val="left"/>
        <w:rPr>
          <w:rFonts w:ascii="宋体" w:hAnsi="宋体" w:cs="宋体" w:eastAsia="宋体" w:hint="default"/>
          <w:b w:val="0"/>
          <w:bCs w:val="0"/>
        </w:rPr>
      </w:pPr>
      <w:bookmarkStart w:name="（3）关联租赁情况" w:id="296"/>
      <w:bookmarkEnd w:id="296"/>
      <w:r>
        <w:rPr>
          <w:b w:val="0"/>
          <w:bCs w:val="0"/>
        </w:rPr>
      </w:r>
      <w:r>
        <w:rPr/>
        <w:t>（</w:t>
      </w:r>
      <w:r>
        <w:rPr>
          <w:rFonts w:ascii="Times New Roman" w:hAnsi="Times New Roman" w:cs="Times New Roman" w:eastAsia="Times New Roman" w:hint="default"/>
        </w:rPr>
        <w:t>3</w:t>
      </w:r>
      <w:r>
        <w:rPr/>
        <w:t>）关联租赁情况</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4）关联担保情况" w:id="297"/>
      <w:bookmarkEnd w:id="29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79" w:top="1100" w:bottom="1160" w:left="980" w:right="980"/>
        </w:sectPr>
      </w:pPr>
    </w:p>
    <w:p>
      <w:pPr>
        <w:pStyle w:val="BodyText"/>
        <w:spacing w:line="240" w:lineRule="auto" w:before="35"/>
        <w:ind w:left="154" w:right="-20"/>
        <w:jc w:val="left"/>
      </w:pPr>
      <w:r>
        <w:rPr/>
        <w:t>本公司作为担保方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835" w:space="699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蓝盾信息安全技术股份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506" w:lineRule="auto" w:before="35"/>
        <w:ind w:right="7770"/>
        <w:jc w:val="left"/>
        <w:rPr>
          <w:rFonts w:ascii="宋体" w:hAnsi="宋体" w:cs="宋体" w:eastAsia="宋体" w:hint="default"/>
          <w:b w:val="0"/>
          <w:bCs w:val="0"/>
        </w:rPr>
      </w:pPr>
      <w:bookmarkStart w:name="（5）关联方资金拆借" w:id="298"/>
      <w:bookmarkEnd w:id="298"/>
      <w:r>
        <w:rPr>
          <w:b w:val="0"/>
          <w:bCs w:val="0"/>
        </w:rPr>
      </w:r>
      <w:r>
        <w:rPr/>
        <w:t>（</w:t>
      </w:r>
      <w:r>
        <w:rPr>
          <w:rFonts w:ascii="Times New Roman" w:hAnsi="Times New Roman" w:cs="Times New Roman" w:eastAsia="Times New Roman" w:hint="default"/>
        </w:rPr>
        <w:t>5</w:t>
      </w:r>
      <w:r>
        <w:rPr/>
        <w:t>）关联方资金拆借</w:t>
      </w:r>
      <w:r>
        <w:rPr>
          <w:w w:val="99"/>
        </w:rPr>
        <w:t> </w:t>
      </w:r>
      <w:r>
        <w:rPr>
          <w:rFonts w:ascii="宋体" w:hAnsi="宋体" w:cs="宋体" w:eastAsia="宋体" w:hint="default"/>
          <w:b w:val="0"/>
          <w:bCs w:val="0"/>
        </w:rPr>
        <w:t>无。</w:t>
      </w:r>
    </w:p>
    <w:p>
      <w:pPr>
        <w:pStyle w:val="Heading3"/>
        <w:spacing w:line="506" w:lineRule="auto" w:before="104"/>
        <w:ind w:right="6294"/>
        <w:jc w:val="left"/>
        <w:rPr>
          <w:rFonts w:ascii="宋体" w:hAnsi="宋体" w:cs="宋体" w:eastAsia="宋体" w:hint="default"/>
          <w:b w:val="0"/>
          <w:bCs w:val="0"/>
        </w:rPr>
      </w:pPr>
      <w:bookmarkStart w:name="（6）关联方资产转让、债务重组情况" w:id="299"/>
      <w:bookmarkEnd w:id="299"/>
      <w:r>
        <w:rPr>
          <w:b w:val="0"/>
          <w:bCs w:val="0"/>
        </w:rPr>
      </w:r>
      <w:r>
        <w:rPr/>
        <w:t>（</w:t>
      </w:r>
      <w:r>
        <w:rPr>
          <w:rFonts w:ascii="Times New Roman" w:hAnsi="Times New Roman" w:cs="Times New Roman" w:eastAsia="Times New Roman" w:hint="default"/>
        </w:rPr>
        <w:t>6</w:t>
      </w:r>
      <w:r>
        <w:rPr/>
        <w:t>）关联方资产转让、债务重组情况</w:t>
      </w:r>
      <w:r>
        <w:rPr>
          <w:w w:val="99"/>
        </w:rPr>
        <w:t> </w:t>
      </w:r>
      <w:r>
        <w:rPr>
          <w:rFonts w:ascii="宋体" w:hAnsi="宋体" w:cs="宋体" w:eastAsia="宋体" w:hint="default"/>
          <w:b w:val="0"/>
          <w:bCs w:val="0"/>
        </w:rPr>
        <w:t>无。</w:t>
      </w:r>
    </w:p>
    <w:p>
      <w:pPr>
        <w:pStyle w:val="Heading3"/>
        <w:spacing w:line="240" w:lineRule="auto" w:before="104"/>
        <w:ind w:right="0"/>
        <w:jc w:val="left"/>
        <w:rPr>
          <w:b w:val="0"/>
          <w:bCs w:val="0"/>
        </w:rPr>
      </w:pPr>
      <w:bookmarkStart w:name="（7）关键管理人员报酬" w:id="300"/>
      <w:bookmarkEnd w:id="30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328.42</w:t>
            </w:r>
          </w:p>
        </w:tc>
      </w:tr>
    </w:tbl>
    <w:p>
      <w:pPr>
        <w:spacing w:line="240" w:lineRule="auto" w:before="2"/>
        <w:rPr>
          <w:rFonts w:ascii="宋体" w:hAnsi="宋体" w:cs="宋体" w:eastAsia="宋体" w:hint="default"/>
          <w:sz w:val="19"/>
          <w:szCs w:val="19"/>
        </w:rPr>
      </w:pPr>
    </w:p>
    <w:p>
      <w:pPr>
        <w:pStyle w:val="Heading3"/>
        <w:spacing w:line="506" w:lineRule="auto" w:before="35"/>
        <w:ind w:right="7980"/>
        <w:jc w:val="left"/>
        <w:rPr>
          <w:rFonts w:ascii="宋体" w:hAnsi="宋体" w:cs="宋体" w:eastAsia="宋体" w:hint="default"/>
          <w:b w:val="0"/>
          <w:bCs w:val="0"/>
        </w:rPr>
      </w:pPr>
      <w:bookmarkStart w:name="（8）其他关联交易" w:id="301"/>
      <w:bookmarkEnd w:id="301"/>
      <w:r>
        <w:rPr>
          <w:b w:val="0"/>
          <w:bCs w:val="0"/>
        </w:rPr>
      </w:r>
      <w:r>
        <w:rPr/>
        <w:t>（</w:t>
      </w:r>
      <w:r>
        <w:rPr>
          <w:rFonts w:ascii="Times New Roman" w:hAnsi="Times New Roman" w:cs="Times New Roman" w:eastAsia="Times New Roman" w:hint="default"/>
        </w:rPr>
        <w:t>8</w:t>
      </w:r>
      <w:r>
        <w:rPr/>
        <w:t>）其他关联交易</w:t>
      </w:r>
      <w:r>
        <w:rPr>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type w:val="continuous"/>
          <w:pgSz w:w="11910" w:h="16840"/>
          <w:pgMar w:top="1060" w:bottom="1160" w:left="980" w:right="980"/>
        </w:sectPr>
      </w:pPr>
    </w:p>
    <w:p>
      <w:pPr>
        <w:spacing w:line="240" w:lineRule="auto" w:before="9"/>
        <w:rPr>
          <w:rFonts w:ascii="宋体" w:hAnsi="宋体" w:cs="宋体" w:eastAsia="宋体" w:hint="default"/>
          <w:sz w:val="20"/>
          <w:szCs w:val="20"/>
        </w:rPr>
      </w:pPr>
    </w:p>
    <w:p>
      <w:pPr>
        <w:pStyle w:val="Heading3"/>
        <w:spacing w:line="506" w:lineRule="auto" w:before="35"/>
        <w:ind w:left="153" w:right="7560"/>
        <w:jc w:val="left"/>
        <w:rPr>
          <w:rFonts w:ascii="宋体" w:hAnsi="宋体" w:cs="宋体" w:eastAsia="宋体" w:hint="default"/>
          <w:b w:val="0"/>
          <w:bCs w:val="0"/>
        </w:rPr>
      </w:pPr>
      <w:bookmarkStart w:name="6、关联方应收应付款项" w:id="302"/>
      <w:bookmarkEnd w:id="302"/>
      <w:r>
        <w:rPr>
          <w:b w:val="0"/>
          <w:bCs w:val="0"/>
        </w:rPr>
      </w:r>
      <w:r>
        <w:rPr>
          <w:rFonts w:ascii="Times New Roman" w:hAnsi="Times New Roman" w:cs="Times New Roman" w:eastAsia="Times New Roman" w:hint="default"/>
        </w:rPr>
        <w:t>6</w:t>
      </w:r>
      <w:r>
        <w:rPr/>
        <w:t>、关联方应收应付款项</w:t>
      </w:r>
      <w:r>
        <w:rPr>
          <w:w w:val="99"/>
        </w:rPr>
        <w:t> </w:t>
      </w:r>
      <w:r>
        <w:rPr>
          <w:rFonts w:ascii="宋体" w:hAnsi="宋体" w:cs="宋体" w:eastAsia="宋体" w:hint="default"/>
          <w:b w:val="0"/>
          <w:bCs w:val="0"/>
        </w:rPr>
        <w:t>无。</w:t>
      </w:r>
    </w:p>
    <w:p>
      <w:pPr>
        <w:pStyle w:val="Heading3"/>
        <w:spacing w:line="506" w:lineRule="auto" w:before="103"/>
        <w:ind w:right="8402"/>
        <w:jc w:val="left"/>
        <w:rPr>
          <w:rFonts w:ascii="宋体" w:hAnsi="宋体" w:cs="宋体" w:eastAsia="宋体" w:hint="default"/>
          <w:b w:val="0"/>
          <w:bCs w:val="0"/>
        </w:rPr>
      </w:pPr>
      <w:bookmarkStart w:name="7、关联方承诺" w:id="303"/>
      <w:bookmarkEnd w:id="303"/>
      <w:r>
        <w:rPr>
          <w:b w:val="0"/>
          <w:bCs w:val="0"/>
        </w:rPr>
      </w:r>
      <w:r>
        <w:rPr>
          <w:rFonts w:ascii="Times New Roman" w:hAnsi="Times New Roman" w:cs="Times New Roman" w:eastAsia="Times New Roman" w:hint="default"/>
        </w:rPr>
        <w:t>7</w:t>
      </w:r>
      <w:r>
        <w:rPr/>
        <w:t>、关联方承诺</w:t>
      </w:r>
      <w:r>
        <w:rPr>
          <w:w w:val="99"/>
        </w:rPr>
        <w:t> </w:t>
      </w:r>
      <w:r>
        <w:rPr>
          <w:rFonts w:ascii="宋体" w:hAnsi="宋体" w:cs="宋体" w:eastAsia="宋体" w:hint="default"/>
          <w:b w:val="0"/>
          <w:bCs w:val="0"/>
        </w:rPr>
        <w:t>无。</w:t>
      </w:r>
    </w:p>
    <w:p>
      <w:pPr>
        <w:spacing w:line="506" w:lineRule="auto" w:before="103"/>
        <w:ind w:left="154" w:right="9034" w:firstLine="0"/>
        <w:jc w:val="left"/>
        <w:rPr>
          <w:rFonts w:ascii="宋体" w:hAnsi="宋体" w:cs="宋体" w:eastAsia="宋体" w:hint="default"/>
          <w:sz w:val="21"/>
          <w:szCs w:val="21"/>
        </w:rPr>
      </w:pPr>
      <w:bookmarkStart w:name="8、其他" w:id="304"/>
      <w:bookmarkEnd w:id="30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2"/>
        <w:spacing w:line="240" w:lineRule="auto" w:before="81"/>
        <w:ind w:left="154" w:right="0"/>
        <w:jc w:val="left"/>
        <w:rPr>
          <w:b w:val="0"/>
          <w:bCs w:val="0"/>
        </w:rPr>
      </w:pPr>
      <w:bookmarkStart w:name="十一、承诺及或有事项" w:id="305"/>
      <w:bookmarkEnd w:id="305"/>
      <w:r>
        <w:rPr>
          <w:b w:val="0"/>
          <w:bCs w:val="0"/>
        </w:rPr>
      </w:r>
      <w:r>
        <w:rPr/>
        <w:t>十一、承诺及或有事项</w:t>
      </w:r>
      <w:r>
        <w:rPr>
          <w:b w:val="0"/>
          <w:bCs w:val="0"/>
        </w:rPr>
      </w:r>
    </w:p>
    <w:p>
      <w:pPr>
        <w:spacing w:line="590" w:lineRule="atLeast" w:before="23"/>
        <w:ind w:left="154" w:right="7042" w:firstLine="0"/>
        <w:jc w:val="left"/>
        <w:rPr>
          <w:rFonts w:ascii="宋体" w:hAnsi="宋体" w:cs="宋体" w:eastAsia="宋体" w:hint="default"/>
          <w:sz w:val="21"/>
          <w:szCs w:val="21"/>
        </w:rPr>
      </w:pPr>
      <w:bookmarkStart w:name="1、重要承诺事项" w:id="306"/>
      <w:bookmarkEnd w:id="3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pStyle w:val="BodyText"/>
        <w:spacing w:line="240" w:lineRule="auto" w:before="166"/>
        <w:ind w:left="574" w:right="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月向招商银行广州分行借入借款</w:t>
      </w:r>
      <w:r>
        <w:rPr>
          <w:rFonts w:ascii="Times New Roman" w:hAnsi="Times New Roman" w:cs="Times New Roman" w:eastAsia="Times New Roman" w:hint="default"/>
        </w:rPr>
        <w:t>70,000,000.00</w:t>
      </w:r>
      <w:r>
        <w:rPr/>
        <w:t>元，年利率为</w:t>
      </w:r>
      <w:r>
        <w:rPr>
          <w:rFonts w:ascii="Times New Roman" w:hAnsi="Times New Roman" w:cs="Times New Roman" w:eastAsia="Times New Roman" w:hint="default"/>
        </w:rPr>
        <w:t>6.15%</w:t>
      </w:r>
      <w:r>
        <w:rPr/>
        <w:t>，借款期限为</w:t>
      </w:r>
    </w:p>
    <w:p>
      <w:pPr>
        <w:pStyle w:val="BodyText"/>
        <w:spacing w:line="328" w:lineRule="auto" w:before="109"/>
        <w:ind w:right="0"/>
        <w:jc w:val="left"/>
      </w:pPr>
      <w:r>
        <w:rPr>
          <w:rFonts w:ascii="Times New Roman" w:hAnsi="Times New Roman" w:cs="Times New Roman" w:eastAsia="Times New Roman" w:hint="default"/>
          <w:spacing w:val="-2"/>
        </w:rPr>
        <w:t>3</w:t>
      </w:r>
      <w:r>
        <w:rPr>
          <w:spacing w:val="-2"/>
        </w:rPr>
        <w:t>年，由公司以位于广州市天河区科韵路</w:t>
      </w:r>
      <w:r>
        <w:rPr>
          <w:rFonts w:ascii="Times New Roman" w:hAnsi="Times New Roman" w:cs="Times New Roman" w:eastAsia="Times New Roman" w:hint="default"/>
          <w:spacing w:val="-2"/>
        </w:rPr>
        <w:t>16</w:t>
      </w:r>
      <w:r>
        <w:rPr>
          <w:spacing w:val="-2"/>
        </w:rPr>
        <w:t>号自编</w:t>
      </w:r>
      <w:r>
        <w:rPr>
          <w:rFonts w:ascii="Times New Roman" w:hAnsi="Times New Roman" w:cs="Times New Roman" w:eastAsia="Times New Roman" w:hint="default"/>
          <w:spacing w:val="-2"/>
        </w:rPr>
        <w:t>1</w:t>
      </w:r>
      <w:r>
        <w:rPr>
          <w:spacing w:val="-2"/>
        </w:rPr>
        <w:t>栋</w:t>
      </w:r>
      <w:r>
        <w:rPr>
          <w:rFonts w:ascii="Times New Roman" w:hAnsi="Times New Roman" w:cs="Times New Roman" w:eastAsia="Times New Roman" w:hint="default"/>
          <w:spacing w:val="-2"/>
        </w:rPr>
        <w:t>2101</w:t>
      </w:r>
      <w:r>
        <w:rPr>
          <w:spacing w:val="-2"/>
        </w:rPr>
        <w:t>的房产</w:t>
      </w:r>
      <w:r>
        <w:rPr>
          <w:rFonts w:ascii="Times New Roman" w:hAnsi="Times New Roman" w:cs="Times New Roman" w:eastAsia="Times New Roman" w:hint="default"/>
          <w:spacing w:val="-2"/>
        </w:rPr>
        <w:t>(</w:t>
      </w:r>
      <w:r>
        <w:rPr>
          <w:spacing w:val="-2"/>
        </w:rPr>
        <w:t>房产证号：穗字第</w:t>
      </w:r>
      <w:r>
        <w:rPr>
          <w:rFonts w:ascii="Times New Roman" w:hAnsi="Times New Roman" w:cs="Times New Roman" w:eastAsia="Times New Roman" w:hint="default"/>
          <w:spacing w:val="-2"/>
        </w:rPr>
        <w:t>0940039965</w:t>
      </w:r>
      <w:r>
        <w:rPr>
          <w:spacing w:val="-2"/>
        </w:rPr>
        <w:t>号），账面</w:t>
      </w:r>
      <w:r>
        <w:rPr>
          <w:spacing w:val="-92"/>
        </w:rPr>
        <w:t> </w:t>
      </w:r>
      <w:r>
        <w:rPr>
          <w:spacing w:val="-92"/>
        </w:rPr>
      </w:r>
      <w:r>
        <w:rPr/>
        <w:t>原值为</w:t>
      </w:r>
      <w:r>
        <w:rPr>
          <w:rFonts w:ascii="Times New Roman" w:hAnsi="Times New Roman" w:cs="Times New Roman" w:eastAsia="Times New Roman" w:hint="default"/>
        </w:rPr>
        <w:t>15,422,126.20</w:t>
      </w:r>
      <w:r>
        <w:rPr/>
        <w:t>元作为抵押。</w:t>
      </w:r>
    </w:p>
    <w:p>
      <w:pPr>
        <w:spacing w:line="240" w:lineRule="auto" w:before="0"/>
        <w:rPr>
          <w:rFonts w:ascii="宋体" w:hAnsi="宋体" w:cs="宋体" w:eastAsia="宋体" w:hint="default"/>
          <w:sz w:val="18"/>
          <w:szCs w:val="18"/>
        </w:rPr>
      </w:pPr>
    </w:p>
    <w:p>
      <w:pPr>
        <w:pStyle w:val="Heading3"/>
        <w:spacing w:line="240" w:lineRule="auto"/>
        <w:ind w:left="153" w:right="0"/>
        <w:jc w:val="left"/>
        <w:rPr>
          <w:b w:val="0"/>
          <w:bCs w:val="0"/>
        </w:rPr>
      </w:pPr>
      <w:bookmarkStart w:name="2、或有事项" w:id="307"/>
      <w:bookmarkEnd w:id="30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578" w:lineRule="auto"/>
        <w:ind w:left="658" w:right="6084" w:hanging="505"/>
        <w:jc w:val="left"/>
        <w:rPr>
          <w:rFonts w:ascii="宋体" w:hAnsi="宋体" w:cs="宋体" w:eastAsia="宋体" w:hint="default"/>
          <w:b w:val="0"/>
          <w:bCs w:val="0"/>
        </w:rPr>
      </w:pPr>
      <w:bookmarkStart w:name="（1）资产负债表日存在的重要或有事项" w:id="308"/>
      <w:bookmarkEnd w:id="308"/>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rPr>
        <w:t>无</w:t>
      </w:r>
    </w:p>
    <w:p>
      <w:pPr>
        <w:spacing w:line="578" w:lineRule="auto" w:before="40"/>
        <w:ind w:left="153" w:right="4608" w:firstLine="0"/>
        <w:jc w:val="left"/>
        <w:rPr>
          <w:rFonts w:ascii="宋体" w:hAnsi="宋体" w:cs="宋体" w:eastAsia="宋体" w:hint="default"/>
          <w:sz w:val="21"/>
          <w:szCs w:val="21"/>
        </w:rPr>
      </w:pPr>
      <w:bookmarkStart w:name="（2）公司没有需要披露的重要或有事项，也应予以说明"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506" w:lineRule="auto" w:before="40"/>
        <w:ind w:left="153" w:right="9035" w:firstLine="0"/>
        <w:jc w:val="left"/>
        <w:rPr>
          <w:rFonts w:ascii="宋体" w:hAnsi="宋体" w:cs="宋体" w:eastAsia="宋体" w:hint="default"/>
          <w:sz w:val="21"/>
          <w:szCs w:val="21"/>
        </w:rPr>
      </w:pPr>
      <w:bookmarkStart w:name="3、其他" w:id="310"/>
      <w:bookmarkEnd w:id="3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2"/>
        <w:spacing w:line="240" w:lineRule="auto" w:before="80"/>
        <w:ind w:left="154" w:right="0"/>
        <w:jc w:val="left"/>
        <w:rPr>
          <w:b w:val="0"/>
          <w:bCs w:val="0"/>
        </w:rPr>
      </w:pPr>
      <w:bookmarkStart w:name="十二、资产负债表日后事项" w:id="311"/>
      <w:bookmarkEnd w:id="311"/>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重要的非调整事项" w:id="312"/>
      <w:bookmarkEnd w:id="312"/>
      <w:r>
        <w:rPr>
          <w:b w:val="0"/>
          <w:bCs w:val="0"/>
        </w:rPr>
      </w:r>
      <w:r>
        <w:rPr>
          <w:rFonts w:ascii="Times New Roman" w:hAnsi="Times New Roman" w:cs="Times New Roman" w:eastAsia="Times New Roman" w:hint="default"/>
        </w:rPr>
        <w:t>1</w:t>
      </w:r>
      <w:r>
        <w:rPr/>
        <w:t>、</w:t>
      </w:r>
      <w:r>
        <w:rPr>
          <w:spacing w:val="-65"/>
        </w:rPr>
        <w:t> </w:t>
      </w:r>
      <w:r>
        <w:rPr/>
        <w:t>重要的非调整事项</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483"/>
        <w:gridCol w:w="3036"/>
        <w:gridCol w:w="2268"/>
        <w:gridCol w:w="1861"/>
      </w:tblGrid>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47" w:right="4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18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30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268" w:type="dxa"/>
            <w:vMerge/>
            <w:tcBorders>
              <w:left w:val="single" w:sz="4" w:space="0" w:color="000000"/>
              <w:right w:val="single" w:sz="4" w:space="0" w:color="000000"/>
            </w:tcBorders>
            <w:shd w:val="clear" w:color="auto" w:fill="D2D2D2"/>
          </w:tcPr>
          <w:p>
            <w:pPr/>
          </w:p>
        </w:tc>
        <w:tc>
          <w:tcPr>
            <w:tcW w:w="18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c>
          <w:tcPr>
            <w:tcW w:w="18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2" w:hRule="exact"/>
        </w:trPr>
        <w:tc>
          <w:tcPr>
            <w:tcW w:w="2483" w:type="dxa"/>
            <w:tcBorders>
              <w:top w:val="single" w:sz="4" w:space="0" w:color="000000"/>
              <w:left w:val="single" w:sz="4" w:space="0" w:color="000000"/>
              <w:bottom w:val="nil" w:sz="6" w:space="0" w:color="auto"/>
              <w:right w:val="single" w:sz="13" w:space="0" w:color="CCE8CF"/>
            </w:tcBorders>
            <w:shd w:val="clear" w:color="auto" w:fill="D2D2D2"/>
          </w:tcPr>
          <w:p>
            <w:pPr/>
          </w:p>
        </w:tc>
        <w:tc>
          <w:tcPr>
            <w:tcW w:w="3036" w:type="dxa"/>
            <w:vMerge w:val="restart"/>
            <w:tcBorders>
              <w:top w:val="single" w:sz="4" w:space="0" w:color="000000"/>
              <w:left w:val="single" w:sz="13" w:space="0" w:color="D2D2D2"/>
              <w:right w:val="single" w:sz="4" w:space="0" w:color="000000"/>
            </w:tcBorders>
            <w:shd w:val="clear" w:color="auto" w:fill="CCE8CF"/>
          </w:tcPr>
          <w:p>
            <w:pPr>
              <w:pStyle w:val="TableParagraph"/>
              <w:spacing w:line="316" w:lineRule="auto" w:before="51"/>
              <w:ind w:left="10" w:right="31"/>
              <w:jc w:val="left"/>
              <w:rPr>
                <w:rFonts w:ascii="宋体" w:hAnsi="宋体" w:cs="宋体" w:eastAsia="宋体" w:hint="default"/>
                <w:sz w:val="18"/>
                <w:szCs w:val="18"/>
              </w:rPr>
            </w:pPr>
            <w:r>
              <w:rPr>
                <w:rFonts w:ascii="宋体" w:hAnsi="宋体" w:cs="宋体" w:eastAsia="宋体" w:hint="default"/>
                <w:sz w:val="18"/>
                <w:szCs w:val="18"/>
              </w:rPr>
              <w:t>公司以发行股份和支付现金的方式向 张远鹏、史利民等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名交易对方购买</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2483"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3036" w:type="dxa"/>
            <w:vMerge/>
            <w:tcBorders>
              <w:left w:val="single" w:sz="13" w:space="0" w:color="D2D2D2"/>
              <w:right w:val="single" w:sz="4" w:space="0" w:color="000000"/>
            </w:tcBorders>
            <w:shd w:val="clear" w:color="auto" w:fill="CCE8CF"/>
          </w:tcPr>
          <w:p>
            <w:pPr/>
          </w:p>
        </w:tc>
        <w:tc>
          <w:tcPr>
            <w:tcW w:w="2268" w:type="dxa"/>
            <w:vMerge/>
            <w:tcBorders>
              <w:left w:val="single" w:sz="4" w:space="0" w:color="000000"/>
              <w:right w:val="single" w:sz="4" w:space="0" w:color="000000"/>
            </w:tcBorders>
          </w:tcPr>
          <w:p>
            <w:pPr/>
          </w:p>
        </w:tc>
        <w:tc>
          <w:tcPr>
            <w:tcW w:w="1861" w:type="dxa"/>
            <w:vMerge/>
            <w:tcBorders>
              <w:left w:val="single" w:sz="4" w:space="0" w:color="000000"/>
              <w:right w:val="single" w:sz="4" w:space="0" w:color="000000"/>
            </w:tcBorders>
            <w:shd w:val="clear" w:color="auto" w:fill="CCE8CF"/>
          </w:tcPr>
          <w:p>
            <w:pPr/>
          </w:p>
        </w:tc>
      </w:tr>
      <w:tr>
        <w:trPr>
          <w:trHeight w:val="142" w:hRule="exact"/>
        </w:trPr>
        <w:tc>
          <w:tcPr>
            <w:tcW w:w="2483" w:type="dxa"/>
            <w:tcBorders>
              <w:top w:val="nil" w:sz="6" w:space="0" w:color="auto"/>
              <w:left w:val="single" w:sz="4" w:space="0" w:color="000000"/>
              <w:bottom w:val="single" w:sz="4" w:space="0" w:color="000000"/>
              <w:right w:val="single" w:sz="13" w:space="0" w:color="CCE8CF"/>
            </w:tcBorders>
            <w:shd w:val="clear" w:color="auto" w:fill="D2D2D2"/>
          </w:tcPr>
          <w:p>
            <w:pPr/>
          </w:p>
        </w:tc>
        <w:tc>
          <w:tcPr>
            <w:tcW w:w="3036" w:type="dxa"/>
            <w:vMerge/>
            <w:tcBorders>
              <w:left w:val="single" w:sz="13" w:space="0" w:color="D2D2D2"/>
              <w:bottom w:val="single" w:sz="4" w:space="0" w:color="000000"/>
              <w:right w:val="single" w:sz="4" w:space="0" w:color="000000"/>
            </w:tcBorders>
            <w:shd w:val="clear" w:color="auto" w:fill="CCE8CF"/>
          </w:tcPr>
          <w:p>
            <w:pPr/>
          </w:p>
        </w:tc>
        <w:tc>
          <w:tcPr>
            <w:tcW w:w="2268"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505"/>
        <w:gridCol w:w="3025"/>
        <w:gridCol w:w="2269"/>
        <w:gridCol w:w="1861"/>
      </w:tblGrid>
      <w:tr>
        <w:trPr>
          <w:trHeight w:val="986" w:hRule="exact"/>
        </w:trPr>
        <w:tc>
          <w:tcPr>
            <w:tcW w:w="2505" w:type="dxa"/>
            <w:tcBorders>
              <w:top w:val="single" w:sz="4" w:space="0" w:color="000000"/>
              <w:left w:val="single" w:sz="4" w:space="0" w:color="000000"/>
              <w:bottom w:val="single" w:sz="4" w:space="0" w:color="000000"/>
              <w:right w:val="single" w:sz="13" w:space="0" w:color="CCE8CF"/>
            </w:tcBorders>
            <w:shd w:val="clear" w:color="auto" w:fill="D2D2D2"/>
          </w:tcPr>
          <w:p>
            <w:pPr/>
          </w:p>
        </w:tc>
        <w:tc>
          <w:tcPr>
            <w:tcW w:w="30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10"/>
              <w:ind w:left="11" w:right="21"/>
              <w:jc w:val="both"/>
              <w:rPr>
                <w:rFonts w:ascii="宋体" w:hAnsi="宋体" w:cs="宋体" w:eastAsia="宋体" w:hint="default"/>
                <w:sz w:val="18"/>
                <w:szCs w:val="18"/>
              </w:rPr>
            </w:pPr>
            <w:r>
              <w:rPr>
                <w:rFonts w:ascii="宋体" w:hAnsi="宋体" w:cs="宋体" w:eastAsia="宋体" w:hint="default"/>
                <w:sz w:val="18"/>
                <w:szCs w:val="18"/>
              </w:rPr>
              <w:t>其持有的华炜科技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的股份，本次 交易已于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日获得中国证 监会的核准批复。</w:t>
            </w:r>
          </w:p>
        </w:tc>
        <w:tc>
          <w:tcPr>
            <w:tcW w:w="226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338" w:hRule="exact"/>
        </w:trPr>
        <w:tc>
          <w:tcPr>
            <w:tcW w:w="250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30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公司发行股份及支付现金购买华炜科 技</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的股份，</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月，华炜科</w:t>
            </w:r>
            <w:r>
              <w:rPr>
                <w:rFonts w:ascii="宋体" w:hAnsi="宋体" w:cs="宋体" w:eastAsia="宋体" w:hint="default"/>
                <w:sz w:val="18"/>
                <w:szCs w:val="18"/>
              </w:rPr>
              <w:t> </w:t>
            </w:r>
            <w:r>
              <w:rPr>
                <w:rFonts w:ascii="宋体" w:hAnsi="宋体" w:cs="宋体" w:eastAsia="宋体" w:hint="default"/>
                <w:spacing w:val="-5"/>
                <w:sz w:val="18"/>
                <w:szCs w:val="18"/>
              </w:rPr>
              <w:t>技已办理资产过户、更名和工商变更登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记手续，成为公司的全资子公司。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利润分配情况" w:id="313"/>
      <w:bookmarkEnd w:id="31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2,206,102.35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2,206,102.35</w:t>
            </w:r>
          </w:p>
        </w:tc>
      </w:tr>
    </w:tbl>
    <w:p>
      <w:pPr>
        <w:pStyle w:val="BodyText"/>
        <w:spacing w:line="256" w:lineRule="auto" w:before="26"/>
        <w:ind w:right="139" w:firstLine="420"/>
        <w:jc w:val="left"/>
      </w:pPr>
      <w:r>
        <w:rPr/>
        <w:t>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年度利润分配方案已经公司第二届董事会第二十七次会议审议通过，尚需经公司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年年 度股东大会审议。</w:t>
      </w:r>
    </w:p>
    <w:p>
      <w:pPr>
        <w:spacing w:line="240" w:lineRule="auto" w:before="7"/>
        <w:rPr>
          <w:rFonts w:ascii="宋体" w:hAnsi="宋体" w:cs="宋体" w:eastAsia="宋体" w:hint="default"/>
          <w:sz w:val="24"/>
          <w:szCs w:val="24"/>
        </w:rPr>
      </w:pPr>
    </w:p>
    <w:p>
      <w:pPr>
        <w:spacing w:line="506" w:lineRule="auto" w:before="0"/>
        <w:ind w:left="153" w:right="8614" w:firstLine="0"/>
        <w:jc w:val="left"/>
        <w:rPr>
          <w:rFonts w:ascii="宋体" w:hAnsi="宋体" w:cs="宋体" w:eastAsia="宋体" w:hint="default"/>
          <w:sz w:val="21"/>
          <w:szCs w:val="21"/>
        </w:rPr>
      </w:pPr>
      <w:bookmarkStart w:name="3、销售退回" w:id="314"/>
      <w:bookmarkEnd w:id="3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3"/>
        <w:spacing w:line="506" w:lineRule="auto" w:before="103"/>
        <w:ind w:right="6715"/>
        <w:jc w:val="left"/>
        <w:rPr>
          <w:rFonts w:ascii="宋体" w:hAnsi="宋体" w:cs="宋体" w:eastAsia="宋体" w:hint="default"/>
          <w:b w:val="0"/>
          <w:bCs w:val="0"/>
        </w:rPr>
      </w:pPr>
      <w:bookmarkStart w:name="4、其他资产负债表日后事项说明" w:id="315"/>
      <w:bookmarkEnd w:id="315"/>
      <w:r>
        <w:rPr>
          <w:b w:val="0"/>
          <w:bCs w:val="0"/>
        </w:rPr>
      </w:r>
      <w:r>
        <w:rPr>
          <w:rFonts w:ascii="Times New Roman" w:hAnsi="Times New Roman" w:cs="Times New Roman" w:eastAsia="Times New Roman" w:hint="default"/>
        </w:rPr>
        <w:t>4</w:t>
      </w:r>
      <w:r>
        <w:rPr/>
        <w:t>、其他资产负债表日后事项说明</w:t>
      </w:r>
      <w:r>
        <w:rPr>
          <w:w w:val="99"/>
        </w:rPr>
        <w:t> </w:t>
      </w:r>
      <w:r>
        <w:rPr>
          <w:rFonts w:ascii="宋体" w:hAnsi="宋体" w:cs="宋体" w:eastAsia="宋体" w:hint="default"/>
          <w:b w:val="0"/>
          <w:bCs w:val="0"/>
        </w:rPr>
        <w:t>无。</w:t>
      </w:r>
    </w:p>
    <w:p>
      <w:pPr>
        <w:spacing w:line="496" w:lineRule="auto" w:before="81"/>
        <w:ind w:left="153" w:right="7604" w:firstLine="0"/>
        <w:jc w:val="left"/>
        <w:rPr>
          <w:rFonts w:ascii="宋体" w:hAnsi="宋体" w:cs="宋体" w:eastAsia="宋体" w:hint="default"/>
          <w:sz w:val="21"/>
          <w:szCs w:val="21"/>
        </w:rPr>
      </w:pPr>
      <w:bookmarkStart w:name="十三、其他重要事项" w:id="316"/>
      <w:bookmarkEnd w:id="316"/>
      <w:r>
        <w:rPr/>
      </w: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bookmarkStart w:name="1、前期会计差错更正" w:id="317"/>
      <w:bookmarkEnd w:id="31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506" w:lineRule="auto" w:before="112"/>
        <w:ind w:left="154" w:right="8613" w:firstLine="0"/>
        <w:jc w:val="left"/>
        <w:rPr>
          <w:rFonts w:ascii="宋体" w:hAnsi="宋体" w:cs="宋体" w:eastAsia="宋体" w:hint="default"/>
          <w:sz w:val="21"/>
          <w:szCs w:val="21"/>
        </w:rPr>
      </w:pPr>
      <w:bookmarkStart w:name="2、分部信息" w:id="318"/>
      <w:bookmarkEnd w:id="3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、分部信息</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3"/>
        <w:spacing w:line="580" w:lineRule="auto" w:before="104"/>
        <w:ind w:right="5451"/>
        <w:jc w:val="left"/>
        <w:rPr>
          <w:rFonts w:ascii="宋体" w:hAnsi="宋体" w:cs="宋体" w:eastAsia="宋体" w:hint="default"/>
          <w:b w:val="0"/>
          <w:bCs w:val="0"/>
        </w:rPr>
      </w:pPr>
      <w:bookmarkStart w:name="3、其他对投资者决策有影响的重要交易和事项" w:id="319"/>
      <w:bookmarkEnd w:id="319"/>
      <w:r>
        <w:rPr>
          <w:b w:val="0"/>
          <w:bCs w:val="0"/>
        </w:rPr>
      </w:r>
      <w:r>
        <w:rPr>
          <w:rFonts w:ascii="Times New Roman" w:hAnsi="Times New Roman" w:cs="Times New Roman" w:eastAsia="Times New Roman" w:hint="default"/>
        </w:rPr>
        <w:t>3</w:t>
      </w:r>
      <w:r>
        <w:rPr/>
        <w:t>、其他对投资者决策有影响的重要交易和事项</w:t>
      </w:r>
      <w:r>
        <w:rPr>
          <w:w w:val="99"/>
        </w:rPr>
        <w:t> </w:t>
      </w:r>
      <w:r>
        <w:rPr>
          <w:rFonts w:ascii="宋体" w:hAnsi="宋体" w:cs="宋体" w:eastAsia="宋体" w:hint="default"/>
          <w:b w:val="0"/>
          <w:bCs w:val="0"/>
        </w:rPr>
        <w:t>无。</w:t>
      </w:r>
    </w:p>
    <w:p>
      <w:pPr>
        <w:pStyle w:val="Heading3"/>
        <w:spacing w:line="240" w:lineRule="auto" w:before="37"/>
        <w:ind w:right="0"/>
        <w:jc w:val="left"/>
        <w:rPr>
          <w:b w:val="0"/>
          <w:bCs w:val="0"/>
        </w:rPr>
      </w:pPr>
      <w:bookmarkStart w:name="4、其他" w:id="320"/>
      <w:bookmarkEnd w:id="320"/>
      <w:r>
        <w:rPr>
          <w:b w:val="0"/>
          <w:bCs w:val="0"/>
        </w:rPr>
      </w: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公司 </w:t>
      </w:r>
      <w:r>
        <w:rPr>
          <w:rFonts w:ascii="Times New Roman" w:hAnsi="Times New Roman" w:cs="Times New Roman" w:eastAsia="Times New Roman" w:hint="default"/>
        </w:rPr>
        <w:t>2014</w:t>
      </w:r>
      <w:r>
        <w:rPr>
          <w:rFonts w:ascii="Times New Roman" w:hAnsi="Times New Roman" w:cs="Times New Roman" w:eastAsia="Times New Roman" w:hint="default"/>
          <w:spacing w:val="30"/>
        </w:rPr>
        <w:t> </w:t>
      </w:r>
      <w:r>
        <w:rPr/>
        <w:t>年成立子公司广东蓝盾移动互联网信息科技有限公司和广州市奔特信息科技有限公司，根</w:t>
      </w:r>
    </w:p>
    <w:p>
      <w:pPr>
        <w:pStyle w:val="BodyText"/>
        <w:spacing w:line="259" w:lineRule="auto" w:before="21"/>
        <w:ind w:right="142"/>
        <w:jc w:val="left"/>
      </w:pPr>
      <w:r>
        <w:rPr/>
        <w:t>据设立时的公司章程规定，公司应于</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日前缴足认缴的注册资金</w:t>
      </w:r>
      <w:r>
        <w:rPr>
          <w:spacing w:val="-39"/>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7"/>
        </w:rPr>
        <w:t> </w:t>
      </w:r>
      <w:r>
        <w:rPr/>
        <w:t>元，截至报 告报出日，公司尚未缴足承诺缴纳的注册资金。</w:t>
      </w:r>
    </w:p>
    <w:p>
      <w:pPr>
        <w:spacing w:after="0" w:line="259" w:lineRule="auto"/>
        <w:jc w:val="left"/>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pStyle w:val="Heading2"/>
        <w:spacing w:line="240" w:lineRule="auto"/>
        <w:ind w:left="933" w:right="0"/>
        <w:jc w:val="left"/>
        <w:rPr>
          <w:b w:val="0"/>
          <w:bCs w:val="0"/>
        </w:rPr>
      </w:pPr>
      <w:bookmarkStart w:name="十四、母公司财务报表主要项目注释" w:id="321"/>
      <w:bookmarkEnd w:id="321"/>
      <w:r>
        <w:rPr>
          <w:b w:val="0"/>
          <w:bCs w:val="0"/>
        </w:rPr>
      </w: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933" w:right="0"/>
        <w:jc w:val="left"/>
        <w:rPr>
          <w:b w:val="0"/>
          <w:bCs w:val="0"/>
        </w:rPr>
      </w:pPr>
      <w:bookmarkStart w:name="1、应收账款" w:id="322"/>
      <w:bookmarkEnd w:id="32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933" w:right="0"/>
        <w:jc w:val="left"/>
        <w:rPr>
          <w:b w:val="0"/>
          <w:bCs w:val="0"/>
        </w:rPr>
      </w:pPr>
      <w:bookmarkStart w:name="（1）应收账款分类披露" w:id="323"/>
      <w:bookmarkEnd w:id="3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9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395"/>
        <w:gridCol w:w="1213"/>
        <w:gridCol w:w="762"/>
        <w:gridCol w:w="1223"/>
        <w:gridCol w:w="610"/>
        <w:gridCol w:w="1222"/>
        <w:gridCol w:w="1206"/>
        <w:gridCol w:w="762"/>
        <w:gridCol w:w="1140"/>
        <w:gridCol w:w="581"/>
        <w:gridCol w:w="1184"/>
      </w:tblGrid>
      <w:tr>
        <w:trPr>
          <w:trHeight w:val="397"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50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6"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9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2" w:type="dxa"/>
            <w:vMerge w:val="restart"/>
            <w:tcBorders>
              <w:top w:val="single" w:sz="4" w:space="0" w:color="000000"/>
              <w:left w:val="single" w:sz="4" w:space="0" w:color="000000"/>
              <w:right w:val="single" w:sz="4" w:space="0" w:color="000000"/>
            </w:tcBorders>
            <w:shd w:val="clear" w:color="auto" w:fill="D2D2D2"/>
          </w:tcPr>
          <w:p>
            <w:pPr/>
          </w:p>
        </w:tc>
        <w:tc>
          <w:tcPr>
            <w:tcW w:w="19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4"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75" w:type="dxa"/>
            <w:gridSpan w:val="2"/>
            <w:vMerge/>
            <w:tcBorders>
              <w:left w:val="single" w:sz="4" w:space="0" w:color="000000"/>
              <w:bottom w:val="single" w:sz="4" w:space="0" w:color="000000"/>
              <w:right w:val="single" w:sz="4" w:space="0" w:color="000000"/>
            </w:tcBorders>
            <w:shd w:val="clear" w:color="auto" w:fill="D2D2D2"/>
          </w:tcPr>
          <w:p>
            <w:pPr/>
          </w:p>
        </w:tc>
        <w:tc>
          <w:tcPr>
            <w:tcW w:w="1833" w:type="dxa"/>
            <w:gridSpan w:val="2"/>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c>
          <w:tcPr>
            <w:tcW w:w="1968"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3" w:type="dxa"/>
            <w:tcBorders>
              <w:top w:val="single" w:sz="4" w:space="0" w:color="000000"/>
              <w:left w:val="single" w:sz="4" w:space="0" w:color="000000"/>
              <w:bottom w:val="nil" w:sz="6" w:space="0" w:color="auto"/>
              <w:right w:val="single" w:sz="4" w:space="0" w:color="000000"/>
            </w:tcBorders>
            <w:shd w:val="clear" w:color="auto" w:fill="D2D2D2"/>
          </w:tcPr>
          <w:p>
            <w:pPr/>
          </w:p>
        </w:tc>
        <w:tc>
          <w:tcPr>
            <w:tcW w:w="610"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20" w:right="11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05" w:right="10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0"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1"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95"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1223"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114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3" w:type="dxa"/>
            <w:tcBorders>
              <w:top w:val="nil" w:sz="6" w:space="0" w:color="auto"/>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229,428,644.85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21,041,013.07</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9.17%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208,387,631.78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201,203,015.28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15,379,543.84</w:t>
            </w:r>
          </w:p>
        </w:tc>
        <w:tc>
          <w:tcPr>
            <w:tcW w:w="58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83" w:right="0"/>
              <w:jc w:val="left"/>
              <w:rPr>
                <w:rFonts w:ascii="Times New Roman" w:hAnsi="Times New Roman" w:cs="Times New Roman" w:eastAsia="Times New Roman" w:hint="default"/>
                <w:sz w:val="18"/>
                <w:szCs w:val="18"/>
              </w:rPr>
            </w:pPr>
            <w:r>
              <w:rPr>
                <w:rFonts w:ascii="Times New Roman"/>
                <w:sz w:val="18"/>
              </w:rPr>
              <w:t>7.64%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185,823,471.44</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229,428,644.85</w:t>
            </w:r>
          </w:p>
        </w:tc>
        <w:tc>
          <w:tcPr>
            <w:tcW w:w="762"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21,041,013.07</w:t>
            </w:r>
          </w:p>
        </w:tc>
        <w:tc>
          <w:tcPr>
            <w:tcW w:w="6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208,387,631.78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201,203,015.28</w:t>
            </w:r>
          </w:p>
        </w:tc>
        <w:tc>
          <w:tcPr>
            <w:tcW w:w="76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15,379,543.84</w:t>
            </w:r>
          </w:p>
        </w:tc>
        <w:tc>
          <w:tcPr>
            <w:tcW w:w="58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185,823,471.44</w:t>
            </w:r>
          </w:p>
        </w:tc>
      </w:tr>
    </w:tbl>
    <w:p>
      <w:pPr>
        <w:pStyle w:val="BodyText"/>
        <w:spacing w:line="240" w:lineRule="auto" w:before="26"/>
        <w:ind w:left="934" w:right="0"/>
        <w:jc w:val="left"/>
      </w:pPr>
      <w:r>
        <w:rPr/>
        <w:t>期末单项金额重大并单项计提坏账准备的应收账款：</w:t>
      </w:r>
    </w:p>
    <w:p>
      <w:pPr>
        <w:spacing w:line="240" w:lineRule="auto" w:before="6"/>
        <w:rPr>
          <w:rFonts w:ascii="宋体" w:hAnsi="宋体" w:cs="宋体" w:eastAsia="宋体" w:hint="default"/>
          <w:sz w:val="15"/>
          <w:szCs w:val="15"/>
        </w:rPr>
      </w:pPr>
    </w:p>
    <w:p>
      <w:pPr>
        <w:spacing w:before="0"/>
        <w:ind w:left="9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979" w:top="1100" w:bottom="1160" w:left="200" w:right="180"/>
        </w:sectPr>
      </w:pPr>
    </w:p>
    <w:p>
      <w:pPr>
        <w:pStyle w:val="BodyText"/>
        <w:spacing w:line="240" w:lineRule="auto" w:before="35"/>
        <w:ind w:left="933" w:right="-19"/>
        <w:jc w:val="left"/>
      </w:pPr>
      <w:r>
        <w:rPr/>
        <w:t>组合中，按账龄分析法计提坏账准备的应收账款：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915" w:right="931"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200" w:right="180"/>
          <w:cols w:num="2" w:equalWidth="0">
            <w:col w:w="5555" w:space="3275"/>
            <w:col w:w="2700"/>
          </w:cols>
        </w:sectPr>
      </w:pPr>
    </w:p>
    <w:p>
      <w:pPr>
        <w:spacing w:line="240" w:lineRule="auto" w:before="1"/>
        <w:rPr>
          <w:rFonts w:ascii="宋体" w:hAnsi="宋体" w:cs="宋体" w:eastAsia="宋体" w:hint="default"/>
          <w:sz w:val="8"/>
          <w:szCs w:val="8"/>
        </w:rPr>
      </w:pPr>
    </w:p>
    <w:tbl>
      <w:tblPr>
        <w:tblW w:w="0" w:type="auto"/>
        <w:jc w:val="left"/>
        <w:tblInd w:w="94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148,236,099.73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7,411,804.98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59,260,221.29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5,926,022.13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17,589,643.83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5,276,893.15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3,492,837.33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1,746,418.67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849,842.67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679,874.14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229,428,644.85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21,041,013.07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934" w:right="0"/>
        <w:jc w:val="left"/>
      </w:pPr>
      <w:r>
        <w:rPr/>
        <w:t>组合中，采用余额百分比法计提坏账准备的应收账款：</w:t>
      </w:r>
    </w:p>
    <w:p>
      <w:pPr>
        <w:spacing w:line="240" w:lineRule="auto" w:before="3"/>
        <w:rPr>
          <w:rFonts w:ascii="宋体" w:hAnsi="宋体" w:cs="宋体" w:eastAsia="宋体" w:hint="default"/>
          <w:sz w:val="15"/>
          <w:szCs w:val="15"/>
        </w:rPr>
      </w:pPr>
    </w:p>
    <w:p>
      <w:pPr>
        <w:spacing w:line="386" w:lineRule="auto" w:before="0"/>
        <w:ind w:left="933" w:right="595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组合中，采用其他方法计提坏账准备的应收账款：</w:t>
      </w:r>
      <w:r>
        <w:rPr>
          <w:rFonts w:ascii="宋体" w:hAnsi="宋体" w:cs="宋体" w:eastAsia="宋体" w:hint="default"/>
          <w:sz w:val="21"/>
          <w:szCs w:val="21"/>
        </w:rPr>
        <w:t> 无。</w:t>
      </w:r>
    </w:p>
    <w:p>
      <w:pPr>
        <w:spacing w:line="240" w:lineRule="auto" w:before="11"/>
        <w:rPr>
          <w:rFonts w:ascii="宋体" w:hAnsi="宋体" w:cs="宋体" w:eastAsia="宋体" w:hint="default"/>
          <w:sz w:val="15"/>
          <w:szCs w:val="15"/>
        </w:rPr>
      </w:pPr>
    </w:p>
    <w:p>
      <w:pPr>
        <w:spacing w:line="506" w:lineRule="auto" w:before="0"/>
        <w:ind w:left="934" w:right="6461" w:firstLine="0"/>
        <w:jc w:val="left"/>
        <w:rPr>
          <w:rFonts w:ascii="宋体" w:hAnsi="宋体" w:cs="宋体" w:eastAsia="宋体" w:hint="default"/>
          <w:sz w:val="21"/>
          <w:szCs w:val="21"/>
        </w:rPr>
      </w:pPr>
      <w:bookmarkStart w:name="（2）本期计提、收回或转回的坏账准备情况"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5,661,469.23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after="0" w:line="506" w:lineRule="auto"/>
        <w:jc w:val="left"/>
        <w:rPr>
          <w:rFonts w:ascii="宋体" w:hAnsi="宋体" w:cs="宋体" w:eastAsia="宋体" w:hint="default"/>
          <w:sz w:val="21"/>
          <w:szCs w:val="21"/>
        </w:rPr>
        <w:sectPr>
          <w:type w:val="continuous"/>
          <w:pgSz w:w="11910" w:h="16840"/>
          <w:pgMar w:top="1060" w:bottom="1160" w:left="200" w:right="180"/>
        </w:sectPr>
      </w:pPr>
    </w:p>
    <w:p>
      <w:pPr>
        <w:spacing w:line="240" w:lineRule="auto" w:before="9"/>
        <w:rPr>
          <w:rFonts w:ascii="宋体" w:hAnsi="宋体" w:cs="宋体" w:eastAsia="宋体" w:hint="default"/>
          <w:sz w:val="20"/>
          <w:szCs w:val="20"/>
        </w:rPr>
      </w:pPr>
    </w:p>
    <w:p>
      <w:pPr>
        <w:pStyle w:val="Heading3"/>
        <w:spacing w:line="506" w:lineRule="auto" w:before="35"/>
        <w:ind w:left="613" w:right="6986"/>
        <w:jc w:val="left"/>
        <w:rPr>
          <w:rFonts w:ascii="宋体" w:hAnsi="宋体" w:cs="宋体" w:eastAsia="宋体" w:hint="default"/>
          <w:b w:val="0"/>
          <w:bCs w:val="0"/>
        </w:rPr>
      </w:pPr>
      <w:bookmarkStart w:name="（3）本期实际核销的应收账款情况" w:id="325"/>
      <w:bookmarkEnd w:id="325"/>
      <w:r>
        <w:rPr>
          <w:b w:val="0"/>
          <w:bCs w:val="0"/>
        </w:rPr>
      </w:r>
      <w:r>
        <w:rPr/>
        <w:t>（</w:t>
      </w:r>
      <w:r>
        <w:rPr>
          <w:rFonts w:ascii="Times New Roman" w:hAnsi="Times New Roman" w:cs="Times New Roman" w:eastAsia="Times New Roman" w:hint="default"/>
        </w:rPr>
        <w:t>3</w:t>
      </w:r>
      <w:r>
        <w:rPr/>
        <w:t>）本期实际核销的应收账款情况</w:t>
      </w:r>
      <w:r>
        <w:rPr>
          <w:w w:val="99"/>
        </w:rPr>
        <w:t> </w:t>
      </w:r>
      <w:r>
        <w:rPr>
          <w:rFonts w:ascii="宋体" w:hAnsi="宋体" w:cs="宋体" w:eastAsia="宋体" w:hint="default"/>
          <w:b w:val="0"/>
          <w:bCs w:val="0"/>
        </w:rPr>
        <w:t>无。</w:t>
      </w:r>
    </w:p>
    <w:p>
      <w:pPr>
        <w:pStyle w:val="Heading3"/>
        <w:spacing w:line="240" w:lineRule="auto" w:before="103"/>
        <w:ind w:left="614" w:right="0"/>
        <w:jc w:val="left"/>
        <w:rPr>
          <w:b w:val="0"/>
          <w:bCs w:val="0"/>
        </w:rPr>
      </w:pPr>
      <w:bookmarkStart w:name="（4）按欠款方归集的期末余额前五吊的应收账款情况" w:id="326"/>
      <w:bookmarkEnd w:id="3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606" w:type="dxa"/>
        <w:tblLayout w:type="fixed"/>
        <w:tblCellMar>
          <w:top w:w="0" w:type="dxa"/>
          <w:left w:w="0" w:type="dxa"/>
          <w:bottom w:w="0" w:type="dxa"/>
          <w:right w:w="0" w:type="dxa"/>
        </w:tblCellMar>
        <w:tblLook w:val="01E0"/>
      </w:tblPr>
      <w:tblGrid>
        <w:gridCol w:w="3200"/>
        <w:gridCol w:w="2157"/>
        <w:gridCol w:w="1695"/>
        <w:gridCol w:w="2158"/>
      </w:tblGrid>
      <w:tr>
        <w:trPr>
          <w:trHeight w:val="672"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5" w:right="28"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广州市社会保险基金管理中心</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31,112,935.99</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13.54</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3,111,293.60</w:t>
            </w:r>
          </w:p>
        </w:tc>
      </w:tr>
      <w:tr>
        <w:trPr>
          <w:trHeight w:val="353"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增城市教育局</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22,832,282.50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9.94</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1,141,614.13</w:t>
            </w:r>
          </w:p>
        </w:tc>
      </w:tr>
      <w:tr>
        <w:trPr>
          <w:trHeight w:val="354"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广东兴业国际实业有限公司</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15,453,859.76</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6.73</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1,545,385.98</w:t>
            </w:r>
          </w:p>
        </w:tc>
      </w:tr>
      <w:tr>
        <w:trPr>
          <w:trHeight w:val="368"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资兴市电子政务中心</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12,534,850.00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5.46</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626,742.50</w:t>
            </w:r>
          </w:p>
        </w:tc>
      </w:tr>
      <w:tr>
        <w:trPr>
          <w:trHeight w:val="370"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南京东大智能化系统有限公司</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11,597,457.87</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5.05</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579,872.89</w:t>
            </w:r>
          </w:p>
        </w:tc>
      </w:tr>
      <w:tr>
        <w:trPr>
          <w:trHeight w:val="370"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93,531,386.12</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40.72</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7,004,909.10</w:t>
            </w:r>
          </w:p>
        </w:tc>
      </w:tr>
    </w:tbl>
    <w:p>
      <w:pPr>
        <w:spacing w:line="240" w:lineRule="auto" w:before="2"/>
        <w:rPr>
          <w:rFonts w:ascii="宋体" w:hAnsi="宋体" w:cs="宋体" w:eastAsia="宋体" w:hint="default"/>
          <w:b/>
          <w:bCs/>
          <w:sz w:val="19"/>
          <w:szCs w:val="19"/>
        </w:rPr>
      </w:pPr>
    </w:p>
    <w:p>
      <w:pPr>
        <w:pStyle w:val="Heading3"/>
        <w:spacing w:line="506" w:lineRule="auto" w:before="35"/>
        <w:ind w:left="614" w:right="6141"/>
        <w:jc w:val="left"/>
        <w:rPr>
          <w:rFonts w:ascii="宋体" w:hAnsi="宋体" w:cs="宋体" w:eastAsia="宋体" w:hint="default"/>
          <w:b w:val="0"/>
          <w:bCs w:val="0"/>
        </w:rPr>
      </w:pPr>
      <w:bookmarkStart w:name="（5）因金融资产转移而终止确认的应收账款" w:id="327"/>
      <w:bookmarkEnd w:id="327"/>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3"/>
        <w:spacing w:line="506" w:lineRule="auto" w:before="103"/>
        <w:ind w:left="614" w:right="5298"/>
        <w:jc w:val="left"/>
        <w:rPr>
          <w:rFonts w:ascii="宋体" w:hAnsi="宋体" w:cs="宋体" w:eastAsia="宋体" w:hint="default"/>
          <w:b w:val="0"/>
          <w:bCs w:val="0"/>
        </w:rPr>
      </w:pPr>
      <w:bookmarkStart w:name="（6）转移应收账款且继续涉入形成的资产、负债金额" w:id="328"/>
      <w:bookmarkEnd w:id="328"/>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Heading3"/>
        <w:spacing w:line="240" w:lineRule="auto" w:before="103"/>
        <w:ind w:left="614" w:right="6986"/>
        <w:jc w:val="left"/>
        <w:rPr>
          <w:b w:val="0"/>
          <w:bCs w:val="0"/>
        </w:rPr>
      </w:pPr>
      <w:bookmarkStart w:name="2、其他应收款" w:id="329"/>
      <w:bookmarkEnd w:id="32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14" w:right="6986"/>
        <w:jc w:val="left"/>
        <w:rPr>
          <w:b w:val="0"/>
          <w:bCs w:val="0"/>
        </w:rPr>
      </w:pPr>
      <w:bookmarkStart w:name="（1）其他应收款分类披露" w:id="330"/>
      <w:bookmarkEnd w:id="33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6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419"/>
        <w:gridCol w:w="1134"/>
        <w:gridCol w:w="762"/>
        <w:gridCol w:w="939"/>
        <w:gridCol w:w="624"/>
        <w:gridCol w:w="1080"/>
        <w:gridCol w:w="1134"/>
        <w:gridCol w:w="762"/>
        <w:gridCol w:w="1030"/>
        <w:gridCol w:w="721"/>
        <w:gridCol w:w="1051"/>
      </w:tblGrid>
      <w:tr>
        <w:trPr>
          <w:trHeight w:val="403"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5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vMerge w:val="restart"/>
            <w:tcBorders>
              <w:top w:val="single" w:sz="4" w:space="0" w:color="000000"/>
              <w:left w:val="single" w:sz="4" w:space="0" w:color="000000"/>
              <w:right w:val="single" w:sz="4" w:space="0" w:color="000000"/>
            </w:tcBorders>
            <w:shd w:val="clear" w:color="auto" w:fill="D2D2D2"/>
          </w:tcPr>
          <w:p>
            <w:pP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1"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563" w:type="dxa"/>
            <w:gridSpan w:val="2"/>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751" w:type="dxa"/>
            <w:gridSpan w:val="2"/>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25" w:right="12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75" w:right="17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4"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939" w:type="dxa"/>
            <w:vMerge/>
            <w:tcBorders>
              <w:left w:val="single" w:sz="4" w:space="0" w:color="000000"/>
              <w:bottom w:val="nil" w:sz="6" w:space="0" w:color="auto"/>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1080"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1030" w:type="dxa"/>
            <w:vMerge/>
            <w:tcBorders>
              <w:left w:val="single" w:sz="4" w:space="0" w:color="000000"/>
              <w:bottom w:val="nil" w:sz="6" w:space="0" w:color="auto"/>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2,941,194.26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602,468.50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2,338,725.76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10,680,575.19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1,243,144.31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11.64%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9,437,430.88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2,941,194.26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602,468.50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2,338,725.76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10,680,575.19</w:t>
            </w:r>
          </w:p>
        </w:tc>
        <w:tc>
          <w:tcPr>
            <w:tcW w:w="76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1,243,144.31</w:t>
            </w:r>
          </w:p>
        </w:tc>
        <w:tc>
          <w:tcPr>
            <w:tcW w:w="72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9,437,430.88</w:t>
            </w:r>
          </w:p>
        </w:tc>
      </w:tr>
    </w:tbl>
    <w:p>
      <w:pPr>
        <w:pStyle w:val="BodyText"/>
        <w:spacing w:line="240" w:lineRule="auto" w:before="26"/>
        <w:ind w:left="614" w:right="0"/>
        <w:jc w:val="left"/>
      </w:pPr>
      <w:r>
        <w:rPr/>
        <w:t>期末单项金额重大并单项计提坏账准备的其他应收款：</w:t>
      </w:r>
    </w:p>
    <w:p>
      <w:pPr>
        <w:spacing w:line="240" w:lineRule="auto" w:before="6"/>
        <w:rPr>
          <w:rFonts w:ascii="宋体" w:hAnsi="宋体" w:cs="宋体" w:eastAsia="宋体" w:hint="default"/>
          <w:sz w:val="15"/>
          <w:szCs w:val="15"/>
        </w:rPr>
      </w:pPr>
    </w:p>
    <w:p>
      <w:pPr>
        <w:spacing w:before="0"/>
        <w:ind w:left="614" w:right="6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979" w:top="1100" w:bottom="1160" w:left="520" w:right="500"/>
        </w:sectPr>
      </w:pPr>
    </w:p>
    <w:p>
      <w:pPr>
        <w:pStyle w:val="BodyText"/>
        <w:spacing w:line="240" w:lineRule="auto" w:before="35"/>
        <w:ind w:left="613" w:right="-19"/>
        <w:jc w:val="left"/>
      </w:pPr>
      <w:r>
        <w:rPr/>
        <w:t>组合中，按账龄分析法计提坏账准备的其他应收款：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6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520" w:right="500"/>
          <w:cols w:num="2" w:equalWidth="0">
            <w:col w:w="5445" w:space="3385"/>
            <w:col w:w="2060"/>
          </w:cols>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972,489.80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48,624.49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1,162,326.06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116,232.61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90,399.00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134,340.40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134,340.40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2,941,194.26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602,468.50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6"/>
          <w:szCs w:val="6"/>
        </w:rPr>
      </w:pPr>
    </w:p>
    <w:p>
      <w:pPr>
        <w:pStyle w:val="BodyText"/>
        <w:spacing w:line="240" w:lineRule="auto" w:before="35"/>
        <w:ind w:left="154" w:right="0"/>
        <w:jc w:val="left"/>
      </w:pPr>
      <w:r>
        <w:rPr/>
        <w:t>组合中，采用余额百分比法计提坏账准备的其他应收款：</w:t>
      </w: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right="0"/>
        <w:jc w:val="left"/>
      </w:pPr>
      <w:r>
        <w:rPr/>
        <w:t>组合中，采用其他方法计提坏账准备的其他应收款：</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本期计提、收回或转回的坏账准备情况" w:id="331"/>
      <w:bookmarkEnd w:id="3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1"/>
          <w:szCs w:val="31"/>
        </w:rPr>
      </w:pPr>
    </w:p>
    <w:p>
      <w:pPr>
        <w:pStyle w:val="BodyText"/>
        <w:spacing w:line="364" w:lineRule="auto"/>
        <w:ind w:left="154" w:right="5519"/>
        <w:jc w:val="left"/>
        <w:rPr>
          <w:rFonts w:ascii="Times New Roman" w:hAnsi="Times New Roman" w:cs="Times New Roman" w:eastAsia="Times New Roman" w:hint="default"/>
        </w:rPr>
      </w:pPr>
      <w:r>
        <w:rPr/>
        <w:t>本期收回或转回坏账准备金额</w:t>
      </w:r>
      <w:r>
        <w:rPr>
          <w:spacing w:val="-53"/>
        </w:rPr>
        <w:t> </w:t>
      </w:r>
      <w:r>
        <w:rPr>
          <w:rFonts w:ascii="Times New Roman" w:hAnsi="Times New Roman" w:cs="Times New Roman" w:eastAsia="Times New Roman" w:hint="default"/>
        </w:rPr>
        <w:t>640,675.81</w:t>
      </w:r>
      <w:r>
        <w:rPr>
          <w:rFonts w:ascii="Times New Roman" w:hAnsi="Times New Roman" w:cs="Times New Roman" w:eastAsia="Times New Roman" w:hint="default"/>
          <w:spacing w:val="-1"/>
        </w:rPr>
        <w:t> </w:t>
      </w:r>
      <w:r>
        <w:rPr/>
        <w:t>元。 其中本期坏账准备转回或收回金额重要的：无</w:t>
      </w:r>
      <w:r>
        <w:rPr>
          <w:rFonts w:ascii="Times New Roman" w:hAnsi="Times New Roman" w:cs="Times New Roman" w:eastAsia="Times New Roman" w:hint="default"/>
        </w:rPr>
        <w:t>.</w:t>
      </w:r>
    </w:p>
    <w:p>
      <w:pPr>
        <w:pStyle w:val="Heading3"/>
        <w:spacing w:line="506" w:lineRule="auto" w:before="198"/>
        <w:ind w:left="153" w:right="6295"/>
        <w:jc w:val="left"/>
        <w:rPr>
          <w:rFonts w:ascii="宋体" w:hAnsi="宋体" w:cs="宋体" w:eastAsia="宋体" w:hint="default"/>
          <w:b w:val="0"/>
          <w:bCs w:val="0"/>
        </w:rPr>
      </w:pPr>
      <w:bookmarkStart w:name="（3）本期实际核销的其他应收款情况" w:id="332"/>
      <w:bookmarkEnd w:id="332"/>
      <w:r>
        <w:rPr>
          <w:b w:val="0"/>
          <w:bCs w:val="0"/>
        </w:rPr>
      </w:r>
      <w:r>
        <w:rPr/>
        <w:t>（</w:t>
      </w: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4）其他应收款按款项性质分类情况" w:id="333"/>
      <w:bookmarkEnd w:id="33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2,723,311.05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8,861,252.00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203,394.21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1,350,897.84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468,425.35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2,941,194.26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10,680,575.19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334"/>
      <w:bookmarkEnd w:id="33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53"/>
        <w:gridCol w:w="1417"/>
        <w:gridCol w:w="1276"/>
        <w:gridCol w:w="1094"/>
        <w:gridCol w:w="1599"/>
        <w:gridCol w:w="1631"/>
      </w:tblGrid>
      <w:tr>
        <w:trPr>
          <w:trHeight w:val="709"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广东省计量科学研究院</w:t>
            </w:r>
          </w:p>
        </w:tc>
        <w:tc>
          <w:tcPr>
            <w:tcW w:w="1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415,542.50</w:t>
            </w:r>
          </w:p>
        </w:tc>
        <w:tc>
          <w:tcPr>
            <w:tcW w:w="10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14.13%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41,554.25</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北京中关村软件园发展有限责 任公司</w:t>
            </w:r>
          </w:p>
        </w:tc>
        <w:tc>
          <w:tcPr>
            <w:tcW w:w="1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202,569.53</w:t>
            </w:r>
          </w:p>
        </w:tc>
        <w:tc>
          <w:tcPr>
            <w:tcW w:w="10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20,256.95</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广州白云工商高级技工学校</w:t>
            </w:r>
          </w:p>
        </w:tc>
        <w:tc>
          <w:tcPr>
            <w:tcW w:w="1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195,050.00</w:t>
            </w:r>
          </w:p>
        </w:tc>
        <w:tc>
          <w:tcPr>
            <w:tcW w:w="10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58,515.00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东莞市南城区政府采购中心</w:t>
            </w:r>
          </w:p>
        </w:tc>
        <w:tc>
          <w:tcPr>
            <w:tcW w:w="1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184,312.40</w:t>
            </w:r>
          </w:p>
        </w:tc>
        <w:tc>
          <w:tcPr>
            <w:tcW w:w="10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9,215.62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广州市悦禾物业管理有限公司</w:t>
            </w:r>
          </w:p>
        </w:tc>
        <w:tc>
          <w:tcPr>
            <w:tcW w:w="1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3,000.17</w:t>
            </w:r>
          </w:p>
        </w:tc>
        <w:tc>
          <w:tcPr>
            <w:tcW w:w="10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150.01</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广州市悦禾物业管理有限公司</w:t>
            </w:r>
          </w:p>
        </w:tc>
        <w:tc>
          <w:tcPr>
            <w:tcW w:w="1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150,855.10</w:t>
            </w:r>
          </w:p>
        </w:tc>
        <w:tc>
          <w:tcPr>
            <w:tcW w:w="10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15,085.51</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1,151,329.70</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144,777.34</w:t>
            </w:r>
          </w:p>
        </w:tc>
      </w:tr>
    </w:tbl>
    <w:p>
      <w:pPr>
        <w:spacing w:line="240" w:lineRule="auto" w:before="2"/>
        <w:rPr>
          <w:rFonts w:ascii="宋体" w:hAnsi="宋体" w:cs="宋体" w:eastAsia="宋体" w:hint="default"/>
          <w:sz w:val="19"/>
          <w:szCs w:val="19"/>
        </w:rPr>
      </w:pPr>
    </w:p>
    <w:p>
      <w:pPr>
        <w:pStyle w:val="Heading3"/>
        <w:spacing w:line="506" w:lineRule="auto" w:before="35"/>
        <w:ind w:right="6926"/>
        <w:jc w:val="left"/>
        <w:rPr>
          <w:rFonts w:ascii="宋体" w:hAnsi="宋体" w:cs="宋体" w:eastAsia="宋体" w:hint="default"/>
          <w:b w:val="0"/>
          <w:bCs w:val="0"/>
        </w:rPr>
      </w:pPr>
      <w:bookmarkStart w:name="（6）涉及政府补助的应收款项" w:id="335"/>
      <w:bookmarkEnd w:id="335"/>
      <w:r>
        <w:rPr>
          <w:b w:val="0"/>
          <w:bCs w:val="0"/>
        </w:rPr>
      </w:r>
      <w:r>
        <w:rPr/>
        <w:t>（</w:t>
      </w: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3"/>
        <w:spacing w:line="506" w:lineRule="auto" w:before="104"/>
        <w:ind w:right="5451"/>
        <w:jc w:val="left"/>
        <w:rPr>
          <w:rFonts w:ascii="宋体" w:hAnsi="宋体" w:cs="宋体" w:eastAsia="宋体" w:hint="default"/>
          <w:b w:val="0"/>
          <w:bCs w:val="0"/>
        </w:rPr>
      </w:pPr>
      <w:bookmarkStart w:name="（7）因金融资产转移而终止确认的其他应收款" w:id="336"/>
      <w:bookmarkEnd w:id="336"/>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3"/>
        <w:spacing w:line="506" w:lineRule="auto" w:before="104"/>
        <w:ind w:left="153" w:right="4608"/>
        <w:jc w:val="left"/>
        <w:rPr>
          <w:rFonts w:ascii="宋体" w:hAnsi="宋体" w:cs="宋体" w:eastAsia="宋体" w:hint="default"/>
          <w:b w:val="0"/>
          <w:bCs w:val="0"/>
        </w:rPr>
      </w:pPr>
      <w:bookmarkStart w:name="（8）转移其他应收款且继续涉入形成的资产、负债金额" w:id="337"/>
      <w:bookmarkEnd w:id="337"/>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pStyle w:val="Heading3"/>
        <w:spacing w:line="240" w:lineRule="auto" w:before="103"/>
        <w:ind w:right="0"/>
        <w:jc w:val="left"/>
        <w:rPr>
          <w:b w:val="0"/>
          <w:bCs w:val="0"/>
        </w:rPr>
      </w:pPr>
      <w:bookmarkStart w:name="3、长期股权投资" w:id="338"/>
      <w:bookmarkEnd w:id="33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39"/>
      <w:bookmarkEnd w:id="33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134"/>
        <w:gridCol w:w="992"/>
        <w:gridCol w:w="1276"/>
        <w:gridCol w:w="1134"/>
        <w:gridCol w:w="1061"/>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134"/>
        <w:gridCol w:w="992"/>
        <w:gridCol w:w="1276"/>
        <w:gridCol w:w="1134"/>
        <w:gridCol w:w="1061"/>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 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126,000,000.00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40,000,000.00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506" w:lineRule="auto" w:before="35"/>
        <w:ind w:right="7137"/>
        <w:jc w:val="left"/>
        <w:rPr>
          <w:rFonts w:ascii="宋体" w:hAnsi="宋体" w:cs="宋体" w:eastAsia="宋体" w:hint="default"/>
          <w:b w:val="0"/>
          <w:bCs w:val="0"/>
        </w:rPr>
      </w:pPr>
      <w:bookmarkStart w:name="（2）对联营、合营企业投资" w:id="340"/>
      <w:bookmarkEnd w:id="340"/>
      <w:r>
        <w:rPr>
          <w:b w:val="0"/>
          <w:bCs w:val="0"/>
        </w:rPr>
      </w:r>
      <w:r>
        <w:rPr/>
        <w:t>（</w:t>
      </w:r>
      <w:r>
        <w:rPr>
          <w:rFonts w:ascii="Times New Roman" w:hAnsi="Times New Roman" w:cs="Times New Roman" w:eastAsia="Times New Roman" w:hint="default"/>
        </w:rPr>
        <w:t>2</w:t>
      </w:r>
      <w:r>
        <w:rPr/>
        <w:t>）对联营、合营企业投资</w:t>
      </w:r>
      <w:r>
        <w:rPr>
          <w:w w:val="99"/>
        </w:rPr>
        <w:t> </w:t>
      </w:r>
      <w:r>
        <w:rPr>
          <w:rFonts w:ascii="宋体" w:hAnsi="宋体" w:cs="宋体" w:eastAsia="宋体" w:hint="default"/>
          <w:b w:val="0"/>
          <w:bCs w:val="0"/>
        </w:rPr>
        <w:t>无。</w:t>
      </w:r>
    </w:p>
    <w:p>
      <w:pPr>
        <w:pStyle w:val="Heading3"/>
        <w:spacing w:line="506" w:lineRule="auto" w:before="104"/>
        <w:ind w:right="8402"/>
        <w:jc w:val="left"/>
        <w:rPr>
          <w:rFonts w:ascii="宋体" w:hAnsi="宋体" w:cs="宋体" w:eastAsia="宋体" w:hint="default"/>
          <w:b w:val="0"/>
          <w:bCs w:val="0"/>
        </w:rPr>
      </w:pPr>
      <w:bookmarkStart w:name="（3）其他说明" w:id="341"/>
      <w:bookmarkEnd w:id="341"/>
      <w:r>
        <w:rPr>
          <w:b w:val="0"/>
          <w:bCs w:val="0"/>
        </w:rPr>
      </w:r>
      <w:r>
        <w:rPr/>
        <w:t>（</w:t>
      </w:r>
      <w:r>
        <w:rPr>
          <w:rFonts w:ascii="Times New Roman" w:hAnsi="Times New Roman" w:cs="Times New Roman" w:eastAsia="Times New Roman" w:hint="default"/>
        </w:rPr>
        <w:t>3</w:t>
      </w:r>
      <w:r>
        <w:rPr/>
        <w:t>）其他说明</w:t>
      </w:r>
      <w:r>
        <w:rPr>
          <w:w w:val="99"/>
        </w:rPr>
        <w:t> </w:t>
      </w:r>
      <w:r>
        <w:rPr>
          <w:rFonts w:ascii="宋体" w:hAnsi="宋体" w:cs="宋体" w:eastAsia="宋体" w:hint="default"/>
          <w:b w:val="0"/>
          <w:bCs w:val="0"/>
        </w:rPr>
        <w:t>无。</w:t>
      </w:r>
    </w:p>
    <w:p>
      <w:pPr>
        <w:pStyle w:val="Heading3"/>
        <w:spacing w:line="240" w:lineRule="auto" w:before="104"/>
        <w:ind w:right="0"/>
        <w:jc w:val="left"/>
        <w:rPr>
          <w:b w:val="0"/>
          <w:bCs w:val="0"/>
        </w:rPr>
      </w:pPr>
      <w:bookmarkStart w:name="4、营业收入和营业成本" w:id="342"/>
      <w:bookmarkEnd w:id="34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312,561,846.51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173,931,505.59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352,618,919.03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232,508,060.04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312,561,846.51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173,931,505.59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352,618,919.03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232,508,060.04</w:t>
            </w:r>
          </w:p>
        </w:tc>
      </w:tr>
    </w:tbl>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十五、补充资料" w:id="343"/>
      <w:bookmarkEnd w:id="343"/>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44"/>
      <w:bookmarkEnd w:id="34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706"/>
        <w:gridCol w:w="2197"/>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统一标准定额或定量享受的政府补助除外）</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5,342,951.28</w:t>
            </w:r>
          </w:p>
        </w:tc>
        <w:tc>
          <w:tcPr>
            <w:tcW w:w="21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-2,165,720.21</w:t>
            </w:r>
          </w:p>
        </w:tc>
        <w:tc>
          <w:tcPr>
            <w:tcW w:w="21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324,971.80</w:t>
            </w:r>
          </w:p>
        </w:tc>
        <w:tc>
          <w:tcPr>
            <w:tcW w:w="21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360.92</w:t>
            </w:r>
          </w:p>
        </w:tc>
        <w:tc>
          <w:tcPr>
            <w:tcW w:w="21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2,851,898.35</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6"/>
          <w:szCs w:val="6"/>
        </w:rPr>
      </w:pPr>
    </w:p>
    <w:p>
      <w:pPr>
        <w:pStyle w:val="BodyText"/>
        <w:spacing w:line="240" w:lineRule="auto" w:before="35"/>
        <w:ind w:left="15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非经常性损益》定义界定的非经常性损</w:t>
      </w:r>
    </w:p>
    <w:p>
      <w:pPr>
        <w:pStyle w:val="BodyText"/>
        <w:spacing w:line="328" w:lineRule="auto" w:before="110"/>
        <w:ind w:right="136"/>
        <w:jc w:val="left"/>
      </w:pPr>
      <w:r>
        <w:rPr/>
        <w:t>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spacing w:after="0" w:line="328" w:lineRule="auto"/>
        <w:jc w:val="left"/>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5,827,892.67</w:t>
            </w:r>
          </w:p>
        </w:tc>
        <w:tc>
          <w:tcPr>
            <w:tcW w:w="31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依据国家对软件行业的总体政策导向， 预期软件增值税退税的税收优惠政策将 在较长时期内保持稳定，故定义为经常 性损益。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净资产收益率及每股收益" w:id="345"/>
      <w:bookmarkEnd w:id="34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会计政策变更相关补充资料" w:id="346"/>
      <w:bookmarkEnd w:id="346"/>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BodyText"/>
        <w:spacing w:line="506" w:lineRule="auto"/>
        <w:ind w:right="5363"/>
        <w:jc w:val="left"/>
      </w:pPr>
      <w:r>
        <w:rPr/>
        <w:pict>
          <v:shape style="position:absolute;margin-left:56.34pt;margin-top:47.023674pt;width:481.9pt;height:330.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2"/>
                    <w:gridCol w:w="1500"/>
                    <w:gridCol w:w="1608"/>
                    <w:gridCol w:w="1447"/>
                    <w:gridCol w:w="3328"/>
                  </w:tblGrid>
                  <w:tr>
                    <w:trPr>
                      <w:trHeight w:val="665"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72" w:right="20" w:hanging="450"/>
                          <w:jc w:val="left"/>
                          <w:rPr>
                            <w:rFonts w:ascii="宋体" w:hAnsi="宋体" w:cs="宋体" w:eastAsia="宋体" w:hint="default"/>
                            <w:sz w:val="18"/>
                            <w:szCs w:val="18"/>
                          </w:rPr>
                        </w:pPr>
                        <w:r>
                          <w:rPr>
                            <w:rFonts w:ascii="宋体" w:hAnsi="宋体" w:cs="宋体" w:eastAsia="宋体" w:hint="default"/>
                            <w:sz w:val="18"/>
                            <w:szCs w:val="18"/>
                          </w:rPr>
                          <w:t>期末余额（或本期 金额）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617" w:right="0" w:hanging="615"/>
                          <w:jc w:val="left"/>
                          <w:rPr>
                            <w:rFonts w:ascii="宋体" w:hAnsi="宋体" w:cs="宋体" w:eastAsia="宋体" w:hint="default"/>
                            <w:sz w:val="18"/>
                            <w:szCs w:val="18"/>
                          </w:rPr>
                        </w:pPr>
                        <w:r>
                          <w:rPr>
                            <w:rFonts w:ascii="宋体" w:hAnsi="宋体" w:cs="宋体" w:eastAsia="宋体" w:hint="default"/>
                            <w:spacing w:val="-4"/>
                            <w:sz w:val="18"/>
                            <w:szCs w:val="18"/>
                          </w:rPr>
                          <w:t>期初余额（或上期金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65"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329,496,670.97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221,428,717.10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48.80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3"/>
                          <w:ind w:left="3" w:right="0"/>
                          <w:jc w:val="left"/>
                          <w:rPr>
                            <w:rFonts w:ascii="宋体" w:hAnsi="宋体" w:cs="宋体" w:eastAsia="宋体" w:hint="default"/>
                            <w:sz w:val="18"/>
                            <w:szCs w:val="18"/>
                          </w:rPr>
                        </w:pPr>
                        <w:r>
                          <w:rPr>
                            <w:rFonts w:ascii="宋体" w:hAnsi="宋体" w:cs="宋体" w:eastAsia="宋体" w:hint="default"/>
                            <w:spacing w:val="-2"/>
                            <w:sz w:val="18"/>
                            <w:szCs w:val="18"/>
                          </w:rPr>
                          <w:t>本期业绩增长，同时</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年以内的应收账款增</w:t>
                        </w:r>
                        <w:r>
                          <w:rPr>
                            <w:rFonts w:ascii="宋体" w:hAnsi="宋体" w:cs="宋体" w:eastAsia="宋体" w:hint="default"/>
                            <w:spacing w:val="-75"/>
                            <w:sz w:val="18"/>
                            <w:szCs w:val="18"/>
                          </w:rPr>
                          <w:t> </w:t>
                        </w:r>
                        <w:r>
                          <w:rPr>
                            <w:rFonts w:ascii="宋体" w:hAnsi="宋体" w:cs="宋体" w:eastAsia="宋体" w:hint="default"/>
                            <w:sz w:val="18"/>
                            <w:szCs w:val="18"/>
                          </w:rPr>
                          <w:t>加</w:t>
                        </w:r>
                      </w:p>
                    </w:tc>
                  </w:tr>
                  <w:tr>
                    <w:trPr>
                      <w:trHeight w:val="350"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61,322,431.14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15,812,663.54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287.80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集成项目增加引起支付的材料款增加</w:t>
                        </w:r>
                      </w:p>
                    </w:tc>
                  </w:tr>
                  <w:tr>
                    <w:trPr>
                      <w:trHeight w:val="365"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spacing w:val="-1"/>
                            <w:sz w:val="18"/>
                          </w:rPr>
                          <w:t>52,187,984.15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31"/>
                          <w:jc w:val="right"/>
                          <w:rPr>
                            <w:rFonts w:ascii="Times New Roman" w:hAnsi="Times New Roman" w:cs="Times New Roman" w:eastAsia="Times New Roman" w:hint="default"/>
                            <w:sz w:val="18"/>
                            <w:szCs w:val="18"/>
                          </w:rPr>
                        </w:pPr>
                        <w:r>
                          <w:rPr>
                            <w:rFonts w:ascii="Times New Roman"/>
                            <w:spacing w:val="-1"/>
                            <w:sz w:val="18"/>
                          </w:rPr>
                          <w:t>19,840,013.33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sz w:val="18"/>
                          </w:rPr>
                          <w:t>163.00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存在较多施工建设中项目</w:t>
                        </w:r>
                      </w:p>
                    </w:tc>
                  </w:tr>
                  <w:tr>
                    <w:trPr>
                      <w:trHeight w:val="350"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固定资产原价</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422,402,626.99</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215,191,866.21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96.30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蓝盾信息产业基地转入固定资产</w:t>
                        </w:r>
                      </w:p>
                    </w:tc>
                  </w:tr>
                  <w:tr>
                    <w:trPr>
                      <w:trHeight w:val="349"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87,490,313.83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49,970,393.38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75.10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资产增加引起的折旧增加</w:t>
                        </w:r>
                      </w:p>
                    </w:tc>
                  </w:tr>
                  <w:tr>
                    <w:trPr>
                      <w:trHeight w:val="366"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pacing w:val="-1"/>
                            <w:sz w:val="18"/>
                          </w:rPr>
                          <w:t>7,619,913.64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right"/>
                          <w:rPr>
                            <w:rFonts w:ascii="Times New Roman" w:hAnsi="Times New Roman" w:cs="Times New Roman" w:eastAsia="Times New Roman" w:hint="default"/>
                            <w:sz w:val="18"/>
                            <w:szCs w:val="18"/>
                          </w:rPr>
                        </w:pPr>
                        <w:r>
                          <w:rPr>
                            <w:rFonts w:ascii="Times New Roman"/>
                            <w:spacing w:val="-1"/>
                            <w:sz w:val="18"/>
                          </w:rPr>
                          <w:t>114,319,458.69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8"/>
                            <w:szCs w:val="18"/>
                          </w:rPr>
                        </w:pPr>
                        <w:r>
                          <w:rPr>
                            <w:rFonts w:ascii="Times New Roman"/>
                            <w:sz w:val="18"/>
                          </w:rPr>
                          <w:t>-93.30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 w:right="0"/>
                          <w:jc w:val="left"/>
                          <w:rPr>
                            <w:rFonts w:ascii="宋体" w:hAnsi="宋体" w:cs="宋体" w:eastAsia="宋体" w:hint="default"/>
                            <w:sz w:val="18"/>
                            <w:szCs w:val="18"/>
                          </w:rPr>
                        </w:pPr>
                        <w:r>
                          <w:rPr>
                            <w:rFonts w:ascii="宋体" w:hAnsi="宋体" w:cs="宋体" w:eastAsia="宋体" w:hint="default"/>
                            <w:sz w:val="18"/>
                            <w:szCs w:val="18"/>
                          </w:rPr>
                          <w:t>蓝盾信息产业基地转入固定资产</w:t>
                        </w:r>
                      </w:p>
                    </w:tc>
                  </w:tr>
                  <w:tr>
                    <w:trPr>
                      <w:trHeight w:val="349"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102,856,773.28</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61,606,271.02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67.00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研发的募投项目转入无形资产</w:t>
                        </w:r>
                      </w:p>
                    </w:tc>
                  </w:tr>
                  <w:tr>
                    <w:trPr>
                      <w:trHeight w:val="382"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8"/>
                            <w:szCs w:val="18"/>
                          </w:rPr>
                        </w:pPr>
                        <w:r>
                          <w:rPr>
                            <w:rFonts w:ascii="Times New Roman"/>
                            <w:spacing w:val="-1"/>
                            <w:sz w:val="18"/>
                          </w:rPr>
                          <w:t>7,148,608.34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8"/>
                            <w:szCs w:val="18"/>
                          </w:rPr>
                        </w:pPr>
                        <w:r>
                          <w:rPr>
                            <w:rFonts w:ascii="Times New Roman"/>
                            <w:spacing w:val="-1"/>
                            <w:sz w:val="18"/>
                          </w:rPr>
                          <w:t>3,867,990.64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8"/>
                            <w:szCs w:val="18"/>
                          </w:rPr>
                        </w:pPr>
                        <w:r>
                          <w:rPr>
                            <w:rFonts w:ascii="Times New Roman"/>
                            <w:sz w:val="18"/>
                          </w:rPr>
                          <w:t>84.80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left"/>
                          <w:rPr>
                            <w:rFonts w:ascii="宋体" w:hAnsi="宋体" w:cs="宋体" w:eastAsia="宋体" w:hint="default"/>
                            <w:sz w:val="18"/>
                            <w:szCs w:val="18"/>
                          </w:rPr>
                        </w:pPr>
                        <w:r>
                          <w:rPr>
                            <w:rFonts w:ascii="宋体" w:hAnsi="宋体" w:cs="宋体" w:eastAsia="宋体" w:hint="default"/>
                            <w:sz w:val="18"/>
                            <w:szCs w:val="18"/>
                          </w:rPr>
                          <w:t>应收账款增加引起的坏账准备增加所致</w:t>
                        </w:r>
                      </w:p>
                    </w:tc>
                  </w:tr>
                  <w:tr>
                    <w:trPr>
                      <w:trHeight w:val="679"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65,678,847.82</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39,532,972.00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66.10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蓝盾萝岗基地开始建设，预付的工程增加</w:t>
                        </w:r>
                      </w:p>
                    </w:tc>
                  </w:tr>
                  <w:tr>
                    <w:trPr>
                      <w:trHeight w:val="350"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223,213,027.00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162,900,000.00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37.00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子公司业务增长，增加借款</w:t>
                        </w:r>
                      </w:p>
                    </w:tc>
                  </w:tr>
                  <w:tr>
                    <w:trPr>
                      <w:trHeight w:val="350"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37,959,555.58</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13,806,725.02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174.90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本期以票据结算的应付账款增加</w:t>
                        </w:r>
                      </w:p>
                    </w:tc>
                  </w:tr>
                  <w:tr>
                    <w:trPr>
                      <w:trHeight w:val="365"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spacing w:val="-1"/>
                            <w:sz w:val="18"/>
                          </w:rPr>
                          <w:t>115,042,753.36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spacing w:val="-1"/>
                            <w:sz w:val="18"/>
                          </w:rPr>
                          <w:t>81,692,664.01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sz w:val="18"/>
                          </w:rPr>
                          <w:t>40.80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集成项目增加，应付的材料款增加</w:t>
                        </w:r>
                      </w:p>
                    </w:tc>
                  </w:tr>
                  <w:tr>
                    <w:trPr>
                      <w:trHeight w:val="665"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74,548,785.27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22,697,527.02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228.44</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3" w:right="69"/>
                          <w:jc w:val="left"/>
                          <w:rPr>
                            <w:rFonts w:ascii="宋体" w:hAnsi="宋体" w:cs="宋体" w:eastAsia="宋体" w:hint="default"/>
                            <w:sz w:val="18"/>
                            <w:szCs w:val="18"/>
                          </w:rPr>
                        </w:pPr>
                        <w:r>
                          <w:rPr>
                            <w:rFonts w:ascii="宋体" w:hAnsi="宋体" w:cs="宋体" w:eastAsia="宋体" w:hint="default"/>
                            <w:sz w:val="18"/>
                            <w:szCs w:val="18"/>
                          </w:rPr>
                          <w:t>下半年启动项目较多，未达到收入确认条 件</w:t>
                        </w:r>
                      </w:p>
                    </w:tc>
                  </w:tr>
                  <w:tr>
                    <w:trPr>
                      <w:trHeight w:val="348"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33,474,339.32</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16,419,856.25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103.90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收入增长引起的税费增加</w:t>
                        </w:r>
                      </w:p>
                    </w:tc>
                  </w:tr>
                </w:tbl>
                <w:p>
                  <w:pPr/>
                </w:p>
              </w:txbxContent>
            </v:textbox>
            <w10:wrap type="none"/>
          </v:shape>
        </w:pict>
      </w:r>
      <w:bookmarkStart w:name="4、其他" w:id="347"/>
      <w:bookmarkEnd w:id="347"/>
      <w:r>
        <w:rPr/>
      </w:r>
      <w:r>
        <w:rPr>
          <w:rFonts w:ascii="Times New Roman" w:hAnsi="Times New Roman" w:cs="Times New Roman" w:eastAsia="Times New Roman" w:hint="default"/>
          <w:b/>
          <w:bCs/>
        </w:rPr>
        <w:t>4</w:t>
      </w:r>
      <w:r>
        <w:rPr>
          <w:rFonts w:ascii="宋体" w:hAnsi="宋体" w:cs="宋体" w:eastAsia="宋体" w:hint="default"/>
          <w:b/>
          <w:bCs/>
        </w:rPr>
        <w:t>、其他</w:t>
      </w:r>
      <w:r>
        <w:rPr>
          <w:rFonts w:ascii="宋体" w:hAnsi="宋体" w:cs="宋体" w:eastAsia="宋体" w:hint="default"/>
          <w:b/>
          <w:bCs/>
          <w:spacing w:val="1"/>
          <w:w w:val="99"/>
        </w:rPr>
        <w:t> </w:t>
      </w:r>
      <w:r>
        <w:rPr/>
        <w:t>公司主要会计报表项目的异常情况及原因的说明</w:t>
      </w:r>
    </w:p>
    <w:p>
      <w:pPr>
        <w:spacing w:after="0" w:line="506" w:lineRule="auto"/>
        <w:jc w:val="left"/>
        <w:sectPr>
          <w:pgSz w:w="11910" w:h="16840"/>
          <w:pgMar w:header="0"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732"/>
        <w:gridCol w:w="1500"/>
        <w:gridCol w:w="1608"/>
        <w:gridCol w:w="1447"/>
        <w:gridCol w:w="3328"/>
      </w:tblGrid>
      <w:tr>
        <w:trPr>
          <w:trHeight w:val="665"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72" w:right="20" w:hanging="450"/>
              <w:jc w:val="left"/>
              <w:rPr>
                <w:rFonts w:ascii="宋体" w:hAnsi="宋体" w:cs="宋体" w:eastAsia="宋体" w:hint="default"/>
                <w:sz w:val="18"/>
                <w:szCs w:val="18"/>
              </w:rPr>
            </w:pPr>
            <w:r>
              <w:rPr>
                <w:rFonts w:ascii="宋体" w:hAnsi="宋体" w:cs="宋体" w:eastAsia="宋体" w:hint="default"/>
                <w:sz w:val="18"/>
                <w:szCs w:val="18"/>
              </w:rPr>
              <w:t>期末余额（或本期 金额）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617" w:right="0" w:hanging="615"/>
              <w:jc w:val="left"/>
              <w:rPr>
                <w:rFonts w:ascii="宋体" w:hAnsi="宋体" w:cs="宋体" w:eastAsia="宋体" w:hint="default"/>
                <w:sz w:val="18"/>
                <w:szCs w:val="18"/>
              </w:rPr>
            </w:pPr>
            <w:r>
              <w:rPr>
                <w:rFonts w:ascii="宋体" w:hAnsi="宋体" w:cs="宋体" w:eastAsia="宋体" w:hint="default"/>
                <w:spacing w:val="-4"/>
                <w:sz w:val="18"/>
                <w:szCs w:val="18"/>
              </w:rPr>
              <w:t>期初余额（或上期金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9"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42,234,419.72</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26,240,000.00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61.00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69"/>
              <w:jc w:val="left"/>
              <w:rPr>
                <w:rFonts w:ascii="宋体" w:hAnsi="宋体" w:cs="宋体" w:eastAsia="宋体" w:hint="default"/>
                <w:sz w:val="18"/>
                <w:szCs w:val="18"/>
              </w:rPr>
            </w:pPr>
            <w:r>
              <w:rPr>
                <w:rFonts w:ascii="宋体" w:hAnsi="宋体" w:cs="宋体" w:eastAsia="宋体" w:hint="default"/>
                <w:sz w:val="18"/>
                <w:szCs w:val="18"/>
              </w:rPr>
              <w:t>收到的政府补助大部分与资产有关，尚未 摊销确认收益</w:t>
            </w:r>
          </w:p>
        </w:tc>
      </w:tr>
      <w:tr>
        <w:trPr>
          <w:trHeight w:val="347"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524,904,499.06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395,366,353.03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32.76</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子公司业务大幅增长</w:t>
            </w:r>
          </w:p>
        </w:tc>
      </w:tr>
      <w:tr>
        <w:trPr>
          <w:trHeight w:val="348"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3,984,501.25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1,725,858.52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130.87</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收入增长引起的税费增加</w:t>
            </w:r>
          </w:p>
        </w:tc>
      </w:tr>
      <w:tr>
        <w:trPr>
          <w:trHeight w:val="659"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125,666,859.23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90,791,343.47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38.40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69"/>
              <w:jc w:val="left"/>
              <w:rPr>
                <w:rFonts w:ascii="宋体" w:hAnsi="宋体" w:cs="宋体" w:eastAsia="宋体" w:hint="default"/>
                <w:sz w:val="18"/>
                <w:szCs w:val="18"/>
              </w:rPr>
            </w:pPr>
            <w:r>
              <w:rPr>
                <w:rFonts w:ascii="宋体" w:hAnsi="宋体" w:cs="宋体" w:eastAsia="宋体" w:hint="default"/>
                <w:sz w:val="18"/>
                <w:szCs w:val="18"/>
              </w:rPr>
              <w:t>新增资产固定折旧、无形资产摊销形成的 费用增加</w:t>
            </w:r>
          </w:p>
        </w:tc>
      </w:tr>
      <w:tr>
        <w:trPr>
          <w:trHeight w:val="659"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14,252,365.25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7,074,660.22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101.50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69"/>
              <w:jc w:val="left"/>
              <w:rPr>
                <w:rFonts w:ascii="宋体" w:hAnsi="宋体" w:cs="宋体" w:eastAsia="宋体" w:hint="default"/>
                <w:sz w:val="18"/>
                <w:szCs w:val="18"/>
              </w:rPr>
            </w:pPr>
            <w:r>
              <w:rPr>
                <w:rFonts w:ascii="宋体" w:hAnsi="宋体" w:cs="宋体" w:eastAsia="宋体" w:hint="default"/>
                <w:sz w:val="18"/>
                <w:szCs w:val="18"/>
              </w:rPr>
              <w:t>银行借款增加，基建工程专门借款不再资 本化所致</w:t>
            </w:r>
          </w:p>
        </w:tc>
      </w:tr>
      <w:tr>
        <w:trPr>
          <w:trHeight w:val="348" w:hRule="exact"/>
        </w:trPr>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9,582,414.41</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6,073,067.73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57.80</w:t>
            </w:r>
          </w:p>
        </w:tc>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年以内的应收账款增加</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spacing w:line="240" w:lineRule="auto"/>
        <w:ind w:right="2423"/>
        <w:jc w:val="center"/>
        <w:rPr>
          <w:b w:val="0"/>
          <w:bCs w:val="0"/>
        </w:rPr>
      </w:pPr>
      <w:bookmarkStart w:name="第十节 备查文件目录" w:id="348"/>
      <w:bookmarkEnd w:id="348"/>
      <w:r>
        <w:rPr>
          <w:b w:val="0"/>
          <w:bCs w:val="0"/>
        </w:rPr>
      </w:r>
      <w:bookmarkStart w:name="_bookmark9" w:id="349"/>
      <w:bookmarkEnd w:id="349"/>
      <w:r>
        <w:rPr>
          <w:b w:val="0"/>
          <w:bCs w:val="0"/>
        </w:rPr>
      </w:r>
      <w:r>
        <w:rPr/>
        <w:t>第十节</w:t>
      </w:r>
      <w:r>
        <w:rPr>
          <w:spacing w:val="-7"/>
        </w:rPr>
        <w:t> </w:t>
      </w:r>
      <w:r>
        <w:rPr/>
        <w:t>备查文件目录</w:t>
      </w:r>
      <w:r>
        <w:rPr>
          <w:b w:val="0"/>
          <w:bCs w:val="0"/>
        </w:rPr>
      </w:r>
    </w:p>
    <w:p>
      <w:pPr>
        <w:spacing w:line="240" w:lineRule="auto" w:before="6"/>
        <w:rPr>
          <w:rFonts w:ascii="宋体" w:hAnsi="宋体" w:cs="宋体" w:eastAsia="宋体" w:hint="default"/>
          <w:b/>
          <w:bCs/>
          <w:sz w:val="47"/>
          <w:szCs w:val="47"/>
        </w:rPr>
      </w:pPr>
    </w:p>
    <w:p>
      <w:pPr>
        <w:pStyle w:val="BodyText"/>
        <w:spacing w:line="350" w:lineRule="auto"/>
        <w:ind w:right="0" w:firstLine="420"/>
        <w:jc w:val="left"/>
      </w:pPr>
      <w:r>
        <w:rPr>
          <w:spacing w:val="-1"/>
        </w:rPr>
        <w:t>一、载有公司法定代表人、主管会计工作负责人、公司会计机构负责人（会计主管人员）签名并盖章</w:t>
      </w:r>
      <w:r>
        <w:rPr/>
        <w:t> 的财务报表。</w:t>
      </w:r>
    </w:p>
    <w:p>
      <w:pPr>
        <w:pStyle w:val="BodyText"/>
        <w:spacing w:line="350" w:lineRule="auto" w:before="28"/>
        <w:ind w:left="573" w:right="1163"/>
        <w:jc w:val="left"/>
      </w:pPr>
      <w:r>
        <w:rPr/>
        <w:t>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2014</w:t>
      </w:r>
      <w:r>
        <w:rPr/>
        <w:t>年年度报告文本原件。</w:t>
      </w:r>
    </w:p>
    <w:p>
      <w:pPr>
        <w:pStyle w:val="BodyText"/>
        <w:spacing w:line="698" w:lineRule="auto" w:before="2"/>
        <w:ind w:left="573" w:right="5783"/>
        <w:jc w:val="left"/>
      </w:pPr>
      <w:r>
        <w:rPr/>
        <w:t>五、其他相关资料。 以上备查文件的备置地点：公司证券部</w:t>
      </w:r>
    </w:p>
    <w:sectPr>
      <w:pgSz w:w="11910" w:h="16840"/>
      <w:pgMar w:header="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717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17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17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17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17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717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17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717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17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17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717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717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176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717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717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175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717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3"/>
    </w:pPr>
    <w:rPr>
      <w:rFonts w:ascii="宋体" w:hAnsi="宋体" w:eastAsia="宋体"/>
      <w:b/>
      <w:bCs/>
      <w:sz w:val="21"/>
      <w:szCs w:val="21"/>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spacing w:before="26"/>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bluedon.com/" TargetMode="External"/><Relationship Id="rId10" Type="http://schemas.openxmlformats.org/officeDocument/2006/relationships/hyperlink" Target="mailto:stock@chinabluedon.cn" TargetMode="External"/><Relationship Id="rId11" Type="http://schemas.openxmlformats.org/officeDocument/2006/relationships/hyperlink" Target="mailto:lee_bluedon@163.com" TargetMode="External"/><Relationship Id="rId12" Type="http://schemas.openxmlformats.org/officeDocument/2006/relationships/hyperlink" Target="mailto:zeyan_xiao@163.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 TargetMode="Externa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image" Target="media/image2.png"/><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2020-05-06T19:24:34Z</dcterms:created>
  <dcterms:modified xsi:type="dcterms:W3CDTF">2020-05-06T19:24:34Z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Microsoft® Office Word 2007</vt:lpwstr>
  </property>
  <property fmtid="{D5CDD505-2E9C-101B-9397-08002B2CF9AE}" pid="4" name="LastSaved">
    <vt:filetime>2020-05-06T00:00:00Z</vt:filetime>
  </property>
</Properties>
</file>