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1598" w:lineRule="exact"/>
        <w:ind w:left="22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4682882" cy="10149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682882" cy="1014983"/>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0"/>
        <w:rPr>
          <w:rFonts w:ascii="Times New Roman" w:hAnsi="Times New Roman" w:cs="Times New Roman" w:eastAsia="Times New Roman" w:hint="default"/>
          <w:sz w:val="20"/>
          <w:szCs w:val="20"/>
        </w:rPr>
      </w:pPr>
    </w:p>
    <w:p>
      <w:pPr>
        <w:spacing w:before="130"/>
        <w:ind w:left="1535" w:right="1535" w:firstLine="0"/>
        <w:jc w:val="center"/>
        <w:rPr>
          <w:rFonts w:ascii="宋体" w:hAnsi="宋体" w:cs="宋体" w:eastAsia="宋体" w:hint="default"/>
          <w:sz w:val="36"/>
          <w:szCs w:val="36"/>
        </w:rPr>
      </w:pPr>
      <w:r>
        <w:rPr>
          <w:rFonts w:ascii="宋体" w:hAnsi="宋体" w:cs="宋体" w:eastAsia="宋体" w:hint="default"/>
          <w:b/>
          <w:bCs/>
          <w:sz w:val="36"/>
          <w:szCs w:val="36"/>
        </w:rPr>
        <w:t>蓝盾信息安全技术股份有限公司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44"/>
          <w:szCs w:val="44"/>
        </w:rPr>
      </w:pPr>
    </w:p>
    <w:p>
      <w:pPr>
        <w:spacing w:before="0"/>
        <w:ind w:left="1535" w:right="1536" w:firstLine="0"/>
        <w:jc w:val="center"/>
        <w:rPr>
          <w:rFonts w:ascii="宋体" w:hAnsi="宋体" w:cs="宋体" w:eastAsia="宋体" w:hint="default"/>
          <w:sz w:val="32"/>
          <w:szCs w:val="32"/>
        </w:rPr>
      </w:pPr>
      <w:bookmarkStart w:name="2015年年度报告" w:id="1"/>
      <w:bookmarkEnd w:id="1"/>
      <w:r>
        <w:rPr/>
      </w: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35"/>
          <w:szCs w:val="35"/>
        </w:rPr>
      </w:pPr>
    </w:p>
    <w:p>
      <w:pPr>
        <w:spacing w:before="0"/>
        <w:ind w:left="1535" w:right="15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877" w:footer="979" w:top="1100" w:bottom="1160" w:left="0" w:right="0"/>
          <w:pgNumType w:start="1"/>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Heading1"/>
        <w:spacing w:line="240" w:lineRule="auto"/>
        <w:ind w:left="3785" w:right="0"/>
        <w:jc w:val="left"/>
        <w:rPr>
          <w:b w:val="0"/>
          <w:bCs w:val="0"/>
        </w:rPr>
      </w:pPr>
      <w:bookmarkStart w:name="第一节 重要提示、目录和释义" w:id="2"/>
      <w:bookmarkEnd w:id="2"/>
      <w:r>
        <w:rPr>
          <w:b w:val="0"/>
          <w:bCs w:val="0"/>
        </w:rPr>
      </w:r>
      <w:bookmarkStart w:name="_bookmark0" w:id="3"/>
      <w:bookmarkEnd w:id="3"/>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225" w:firstLine="551"/>
        <w:jc w:val="both"/>
        <w:rPr>
          <w:rFonts w:ascii="宋体" w:hAnsi="宋体" w:cs="宋体" w:eastAsia="宋体" w:hint="default"/>
          <w:sz w:val="28"/>
          <w:szCs w:val="28"/>
        </w:rPr>
      </w:pPr>
      <w:r>
        <w:rPr>
          <w:rFonts w:ascii="宋体" w:hAnsi="宋体" w:cs="宋体" w:eastAsia="宋体" w:hint="default"/>
          <w:b/>
          <w:bCs/>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w w:val="95"/>
          <w:sz w:val="28"/>
          <w:szCs w:val="28"/>
        </w:rPr>
        <w:t>真实、准确、完整，不存在虚假记载、误导性陈述或重大遗漏，并承担个别和</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公司负责人柯宗贵、主管会计工作负责人魏树华及会计机构负责人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景丽声明：保证年度报告中财务报告的真实、准确、完整。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sz w:val="28"/>
          <w:szCs w:val="28"/>
        </w:rPr>
      </w:r>
    </w:p>
    <w:p>
      <w:pPr>
        <w:spacing w:line="410" w:lineRule="auto" w:before="86"/>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、投资并购及管理风险</w:t>
      </w:r>
      <w:r>
        <w:rPr>
          <w:rFonts w:ascii="宋体" w:hAnsi="宋体" w:cs="宋体" w:eastAsia="宋体" w:hint="default"/>
          <w:b/>
          <w:bCs/>
          <w:w w:val="99"/>
          <w:sz w:val="28"/>
          <w:szCs w:val="28"/>
        </w:rPr>
        <w:t> </w:t>
      </w:r>
      <w:r>
        <w:rPr>
          <w:rFonts w:ascii="宋体" w:hAnsi="宋体" w:cs="宋体" w:eastAsia="宋体" w:hint="default"/>
          <w:b/>
          <w:bCs/>
          <w:w w:val="95"/>
          <w:sz w:val="28"/>
          <w:szCs w:val="28"/>
        </w:rPr>
        <w:t>虽然公司近年的重组方案已实施完成或即将实施，但后续仍可能存在整合</w:t>
      </w:r>
      <w:r>
        <w:rPr>
          <w:rFonts w:ascii="宋体" w:hAnsi="宋体" w:cs="宋体" w:eastAsia="宋体" w:hint="default"/>
          <w:sz w:val="28"/>
          <w:szCs w:val="28"/>
        </w:rPr>
      </w:r>
    </w:p>
    <w:p>
      <w:pPr>
        <w:spacing w:line="408" w:lineRule="auto" w:before="59"/>
        <w:ind w:left="1133" w:right="1221" w:firstLine="0"/>
        <w:jc w:val="both"/>
        <w:rPr>
          <w:rFonts w:ascii="宋体" w:hAnsi="宋体" w:cs="宋体" w:eastAsia="宋体" w:hint="default"/>
          <w:sz w:val="28"/>
          <w:szCs w:val="28"/>
        </w:rPr>
      </w:pPr>
      <w:r>
        <w:rPr>
          <w:rFonts w:ascii="宋体" w:hAnsi="宋体" w:cs="宋体" w:eastAsia="宋体" w:hint="default"/>
          <w:b/>
          <w:bCs/>
          <w:w w:val="95"/>
          <w:sz w:val="28"/>
          <w:szCs w:val="28"/>
        </w:rPr>
        <w:t>效果不达预期风险、盈利预测实现风险、商誉减值风险、标的资产经营风险等</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多项风险因素。同时随着投资并购项目的增加，公司的子公司、孙公司逐渐增</w:t>
      </w:r>
      <w:r>
        <w:rPr>
          <w:rFonts w:ascii="宋体" w:hAnsi="宋体" w:cs="宋体" w:eastAsia="宋体" w:hint="default"/>
          <w:b/>
          <w:bCs/>
          <w:spacing w:val="44"/>
          <w:w w:val="95"/>
          <w:sz w:val="28"/>
          <w:szCs w:val="28"/>
        </w:rPr>
        <w:t> </w:t>
      </w:r>
      <w:r>
        <w:rPr>
          <w:rFonts w:ascii="宋体" w:hAnsi="宋体" w:cs="宋体" w:eastAsia="宋体" w:hint="default"/>
          <w:b/>
          <w:bCs/>
          <w:spacing w:val="44"/>
          <w:w w:val="95"/>
          <w:sz w:val="28"/>
          <w:szCs w:val="28"/>
        </w:rPr>
      </w:r>
      <w:r>
        <w:rPr>
          <w:rFonts w:ascii="宋体" w:hAnsi="宋体" w:cs="宋体" w:eastAsia="宋体" w:hint="default"/>
          <w:b/>
          <w:bCs/>
          <w:w w:val="95"/>
          <w:sz w:val="28"/>
          <w:szCs w:val="28"/>
        </w:rPr>
        <w:t>多，管理体系更加复杂，团队的稳定性、新业务领域的开拓风险等都将给公司</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sz w:val="28"/>
          <w:szCs w:val="28"/>
        </w:rPr>
        <w:t>管理带来新的挑战。</w:t>
      </w:r>
      <w:r>
        <w:rPr>
          <w:rFonts w:ascii="宋体" w:hAnsi="宋体" w:cs="宋体" w:eastAsia="宋体" w:hint="default"/>
          <w:sz w:val="28"/>
          <w:szCs w:val="28"/>
        </w:rPr>
      </w:r>
    </w:p>
    <w:p>
      <w:pPr>
        <w:spacing w:line="386" w:lineRule="auto" w:before="100"/>
        <w:ind w:left="1133" w:right="114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2</w:t>
      </w:r>
      <w:r>
        <w:rPr>
          <w:rFonts w:ascii="宋体" w:hAnsi="宋体" w:cs="宋体" w:eastAsia="宋体" w:hint="default"/>
          <w:b/>
          <w:bCs/>
          <w:spacing w:val="-2"/>
          <w:w w:val="95"/>
          <w:sz w:val="28"/>
          <w:szCs w:val="28"/>
        </w:rPr>
        <w:t>、固定资产折旧、无形资产摊销、限制性股票费用摊销给公司经营业绩造</w:t>
      </w:r>
      <w:r>
        <w:rPr>
          <w:rFonts w:ascii="宋体" w:hAnsi="宋体" w:cs="宋体" w:eastAsia="宋体" w:hint="default"/>
          <w:b/>
          <w:bCs/>
          <w:w w:val="99"/>
          <w:sz w:val="28"/>
          <w:szCs w:val="28"/>
        </w:rPr>
        <w:t> </w:t>
      </w:r>
      <w:r>
        <w:rPr>
          <w:rFonts w:ascii="宋体" w:hAnsi="宋体" w:cs="宋体" w:eastAsia="宋体" w:hint="default"/>
          <w:b/>
          <w:bCs/>
          <w:sz w:val="28"/>
          <w:szCs w:val="28"/>
        </w:rPr>
        <w:t>成的风险</w:t>
      </w:r>
      <w:r>
        <w:rPr>
          <w:rFonts w:ascii="宋体" w:hAnsi="宋体" w:cs="宋体" w:eastAsia="宋体" w:hint="default"/>
          <w:sz w:val="28"/>
          <w:szCs w:val="28"/>
        </w:rPr>
      </w:r>
    </w:p>
    <w:p>
      <w:pPr>
        <w:spacing w:line="408" w:lineRule="auto" w:before="126"/>
        <w:ind w:left="1133" w:right="1225" w:firstLine="562"/>
        <w:jc w:val="both"/>
        <w:rPr>
          <w:rFonts w:ascii="宋体" w:hAnsi="宋体" w:cs="宋体" w:eastAsia="宋体" w:hint="default"/>
          <w:sz w:val="28"/>
          <w:szCs w:val="28"/>
        </w:rPr>
      </w:pPr>
      <w:r>
        <w:rPr>
          <w:rFonts w:ascii="宋体" w:hAnsi="宋体" w:cs="宋体" w:eastAsia="宋体" w:hint="default"/>
          <w:b/>
          <w:bCs/>
          <w:w w:val="95"/>
          <w:sz w:val="28"/>
          <w:szCs w:val="28"/>
        </w:rPr>
        <w:t>公司募投项目已全部建成，每年将新增一定的固定资产折旧及无形资产摊</w:t>
      </w:r>
      <w:r>
        <w:rPr>
          <w:rFonts w:ascii="宋体" w:hAnsi="宋体" w:cs="宋体" w:eastAsia="宋体" w:hint="default"/>
          <w:b/>
          <w:bCs/>
          <w:w w:val="99"/>
          <w:sz w:val="28"/>
          <w:szCs w:val="28"/>
        </w:rPr>
        <w:t> </w:t>
      </w:r>
      <w:r>
        <w:rPr>
          <w:rFonts w:ascii="宋体" w:hAnsi="宋体" w:cs="宋体" w:eastAsia="宋体" w:hint="default"/>
          <w:b/>
          <w:bCs/>
          <w:w w:val="95"/>
          <w:sz w:val="28"/>
          <w:szCs w:val="28"/>
        </w:rPr>
        <w:t>销，虽然公司在对项目进行可行性研究时，已经充分考虑了折旧、摊销费用等</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因素，同时这些费用也可通过提升经营业绩和项目利润予以消化，但若因国家</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产业政策调整、市场需求变化等各种因素导致市场发生重大变化，使公司募投</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877" w:footer="979" w:top="1100" w:bottom="1160" w:left="0" w:right="0"/>
        </w:sectPr>
      </w:pPr>
    </w:p>
    <w:p>
      <w:pPr>
        <w:spacing w:line="240" w:lineRule="auto" w:before="12"/>
        <w:rPr>
          <w:rFonts w:ascii="宋体" w:hAnsi="宋体" w:cs="宋体" w:eastAsia="宋体" w:hint="default"/>
          <w:b/>
          <w:bCs/>
          <w:sz w:val="29"/>
          <w:szCs w:val="29"/>
        </w:rPr>
      </w:pPr>
    </w:p>
    <w:p>
      <w:pPr>
        <w:spacing w:line="408" w:lineRule="auto" w:before="13"/>
        <w:ind w:left="1133" w:right="1219" w:firstLine="0"/>
        <w:jc w:val="both"/>
        <w:rPr>
          <w:rFonts w:ascii="宋体" w:hAnsi="宋体" w:cs="宋体" w:eastAsia="宋体" w:hint="default"/>
          <w:sz w:val="28"/>
          <w:szCs w:val="28"/>
        </w:rPr>
      </w:pPr>
      <w:r>
        <w:rPr>
          <w:rFonts w:ascii="宋体" w:hAnsi="宋体" w:cs="宋体" w:eastAsia="宋体" w:hint="default"/>
          <w:b/>
          <w:bCs/>
          <w:w w:val="95"/>
          <w:sz w:val="28"/>
          <w:szCs w:val="28"/>
        </w:rPr>
        <w:t>项目不能如期产生效益或实际收益低于盈亏平衡点的收益，则新增的折旧、摊</w:t>
      </w:r>
      <w:r>
        <w:rPr>
          <w:rFonts w:ascii="宋体" w:hAnsi="宋体" w:cs="宋体" w:eastAsia="宋体" w:hint="default"/>
          <w:b/>
          <w:bCs/>
          <w:spacing w:val="46"/>
          <w:w w:val="95"/>
          <w:sz w:val="28"/>
          <w:szCs w:val="28"/>
        </w:rPr>
        <w:t> </w:t>
      </w:r>
      <w:r>
        <w:rPr>
          <w:rFonts w:ascii="宋体" w:hAnsi="宋体" w:cs="宋体" w:eastAsia="宋体" w:hint="default"/>
          <w:b/>
          <w:bCs/>
          <w:spacing w:val="46"/>
          <w:w w:val="95"/>
          <w:sz w:val="28"/>
          <w:szCs w:val="28"/>
        </w:rPr>
      </w:r>
      <w:r>
        <w:rPr>
          <w:rFonts w:ascii="宋体" w:hAnsi="宋体" w:cs="宋体" w:eastAsia="宋体" w:hint="default"/>
          <w:b/>
          <w:bCs/>
          <w:w w:val="95"/>
          <w:sz w:val="28"/>
          <w:szCs w:val="28"/>
        </w:rPr>
        <w:t>销费用将对公司的经营业绩造成不利影响。另外，公司即将实施限制性股票激</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励计划，若激励对象符合激励计划规定的解锁条件，则该等公允价值总额作为</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公司本次激励计划的总成本将在股权激励计划的实施过程中按照解锁比例分期</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sz w:val="28"/>
          <w:szCs w:val="28"/>
        </w:rPr>
        <w:t>确认，也将对公司的经营业绩造成一定影响。</w:t>
      </w:r>
      <w:r>
        <w:rPr>
          <w:rFonts w:ascii="宋体" w:hAnsi="宋体" w:cs="宋体" w:eastAsia="宋体" w:hint="default"/>
          <w:sz w:val="28"/>
          <w:szCs w:val="28"/>
        </w:rPr>
      </w:r>
    </w:p>
    <w:p>
      <w:pPr>
        <w:spacing w:line="410" w:lineRule="auto" w:before="10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、技术失密和核心技术人员流失的风险</w:t>
      </w:r>
      <w:r>
        <w:rPr>
          <w:rFonts w:ascii="宋体" w:hAnsi="宋体" w:cs="宋体" w:eastAsia="宋体" w:hint="default"/>
          <w:b/>
          <w:bCs/>
          <w:w w:val="99"/>
          <w:sz w:val="28"/>
          <w:szCs w:val="28"/>
        </w:rPr>
        <w:t> </w:t>
      </w:r>
      <w:r>
        <w:rPr>
          <w:rFonts w:ascii="宋体" w:hAnsi="宋体" w:cs="宋体" w:eastAsia="宋体" w:hint="default"/>
          <w:b/>
          <w:bCs/>
          <w:w w:val="95"/>
          <w:sz w:val="28"/>
          <w:szCs w:val="28"/>
        </w:rPr>
        <w:t>信息安全行业属知识密集型行业，行业内的市场竞争主要体现为产品科技</w:t>
      </w:r>
      <w:r>
        <w:rPr>
          <w:rFonts w:ascii="宋体" w:hAnsi="宋体" w:cs="宋体" w:eastAsia="宋体" w:hint="default"/>
          <w:sz w:val="28"/>
          <w:szCs w:val="28"/>
        </w:rPr>
      </w:r>
    </w:p>
    <w:p>
      <w:pPr>
        <w:spacing w:line="408" w:lineRule="auto" w:before="58"/>
        <w:ind w:left="1133" w:right="0"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含量和研发技术人员技术水平的竞争。由于公司的技术水平处于行业领先地位，</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z w:val="28"/>
          <w:szCs w:val="28"/>
        </w:rPr>
        <w:t>不排除出现竞争对手通过各种不正当手段窃取公司技术机密或争夺公司核心技</w:t>
      </w:r>
      <w:r>
        <w:rPr>
          <w:rFonts w:ascii="宋体" w:hAnsi="宋体" w:cs="宋体" w:eastAsia="宋体" w:hint="default"/>
          <w:b/>
          <w:bCs/>
          <w:w w:val="99"/>
          <w:sz w:val="28"/>
          <w:szCs w:val="28"/>
        </w:rPr>
        <w:t> </w:t>
      </w:r>
      <w:r>
        <w:rPr>
          <w:rFonts w:ascii="宋体" w:hAnsi="宋体" w:cs="宋体" w:eastAsia="宋体" w:hint="default"/>
          <w:b/>
          <w:bCs/>
          <w:sz w:val="28"/>
          <w:szCs w:val="28"/>
        </w:rPr>
        <w:t>术人员的情形。</w:t>
      </w:r>
      <w:r>
        <w:rPr>
          <w:rFonts w:ascii="宋体" w:hAnsi="宋体" w:cs="宋体" w:eastAsia="宋体" w:hint="default"/>
          <w:sz w:val="28"/>
          <w:szCs w:val="28"/>
        </w:rPr>
      </w:r>
    </w:p>
    <w:p>
      <w:pPr>
        <w:spacing w:line="410" w:lineRule="auto" w:before="10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、技术开发和升级滞后的风险</w:t>
      </w:r>
      <w:r>
        <w:rPr>
          <w:rFonts w:ascii="宋体" w:hAnsi="宋体" w:cs="宋体" w:eastAsia="宋体" w:hint="default"/>
          <w:b/>
          <w:bCs/>
          <w:w w:val="99"/>
          <w:sz w:val="28"/>
          <w:szCs w:val="28"/>
        </w:rPr>
        <w:t> </w:t>
      </w:r>
      <w:r>
        <w:rPr>
          <w:rFonts w:ascii="宋体" w:hAnsi="宋体" w:cs="宋体" w:eastAsia="宋体" w:hint="default"/>
          <w:b/>
          <w:bCs/>
          <w:w w:val="95"/>
          <w:sz w:val="28"/>
          <w:szCs w:val="28"/>
        </w:rPr>
        <w:t>信息安全领域涉及的专业技术门类较多、技术更新速度快、生命周期短，</w:t>
      </w:r>
      <w:r>
        <w:rPr>
          <w:rFonts w:ascii="宋体" w:hAnsi="宋体" w:cs="宋体" w:eastAsia="宋体" w:hint="default"/>
          <w:sz w:val="28"/>
          <w:szCs w:val="28"/>
        </w:rPr>
      </w:r>
    </w:p>
    <w:p>
      <w:pPr>
        <w:spacing w:line="408" w:lineRule="auto" w:before="58"/>
        <w:ind w:left="1133" w:right="1225" w:firstLine="0"/>
        <w:jc w:val="both"/>
        <w:rPr>
          <w:rFonts w:ascii="宋体" w:hAnsi="宋体" w:cs="宋体" w:eastAsia="宋体" w:hint="default"/>
          <w:sz w:val="28"/>
          <w:szCs w:val="28"/>
        </w:rPr>
      </w:pPr>
      <w:r>
        <w:rPr>
          <w:rFonts w:ascii="宋体" w:hAnsi="宋体" w:cs="宋体" w:eastAsia="宋体" w:hint="default"/>
          <w:b/>
          <w:bCs/>
          <w:w w:val="95"/>
          <w:sz w:val="28"/>
          <w:szCs w:val="28"/>
        </w:rPr>
        <w:t>云计算、虚拟化、大数据、物联网、移动互联网等新技术不断涌现，为了保持</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竞争优势，公司必须准确预测业内技术发展趋势，及时将成熟、实用、先进的</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技术用于自身产品的设计开发和技术升级。如果不能准确地把握行业技术的发</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w w:val="95"/>
          <w:sz w:val="28"/>
          <w:szCs w:val="28"/>
        </w:rPr>
        <w:t>展趋势，在技术开发方向的决策上发生失误，或不能及时将新技术运用于业务</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sz w:val="28"/>
          <w:szCs w:val="28"/>
        </w:rPr>
        <w:t>的开发和升级，公司将可能丧失在技术研发和市场的领先地位。</w:t>
      </w:r>
      <w:r>
        <w:rPr>
          <w:rFonts w:ascii="宋体" w:hAnsi="宋体" w:cs="宋体" w:eastAsia="宋体" w:hint="default"/>
          <w:sz w:val="28"/>
          <w:szCs w:val="28"/>
        </w:rPr>
      </w:r>
    </w:p>
    <w:p>
      <w:pPr>
        <w:spacing w:line="410" w:lineRule="auto" w:before="102"/>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、应收账款风险</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由于公司部分合同执行期及结算周期较长，应收账款数额增加，有可能存</w:t>
      </w:r>
      <w:r>
        <w:rPr>
          <w:rFonts w:ascii="宋体" w:hAnsi="宋体" w:cs="宋体" w:eastAsia="宋体" w:hint="default"/>
          <w:sz w:val="28"/>
          <w:szCs w:val="28"/>
        </w:rPr>
      </w:r>
    </w:p>
    <w:p>
      <w:pPr>
        <w:spacing w:before="60"/>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在坏账的风险。</w:t>
      </w:r>
      <w:r>
        <w:rPr>
          <w:rFonts w:ascii="宋体" w:hAnsi="宋体" w:cs="宋体" w:eastAsia="宋体" w:hint="default"/>
          <w:sz w:val="28"/>
          <w:szCs w:val="28"/>
        </w:rPr>
      </w:r>
    </w:p>
    <w:p>
      <w:pPr>
        <w:spacing w:line="240" w:lineRule="auto" w:before="10"/>
        <w:rPr>
          <w:rFonts w:ascii="宋体" w:hAnsi="宋体" w:cs="宋体" w:eastAsia="宋体" w:hint="default"/>
          <w:b/>
          <w:bCs/>
          <w:sz w:val="22"/>
          <w:szCs w:val="22"/>
        </w:rPr>
      </w:pPr>
    </w:p>
    <w:p>
      <w:pPr>
        <w:spacing w:line="410" w:lineRule="auto" w:before="0"/>
        <w:ind w:left="169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、人力成本上升的风险</w:t>
      </w:r>
      <w:r>
        <w:rPr>
          <w:rFonts w:ascii="宋体" w:hAnsi="宋体" w:cs="宋体" w:eastAsia="宋体" w:hint="default"/>
          <w:b/>
          <w:bCs/>
          <w:w w:val="99"/>
          <w:sz w:val="28"/>
          <w:szCs w:val="28"/>
        </w:rPr>
        <w:t> </w:t>
      </w:r>
      <w:r>
        <w:rPr>
          <w:rFonts w:ascii="宋体" w:hAnsi="宋体" w:cs="宋体" w:eastAsia="宋体" w:hint="default"/>
          <w:b/>
          <w:bCs/>
          <w:w w:val="95"/>
          <w:sz w:val="28"/>
          <w:szCs w:val="28"/>
        </w:rPr>
        <w:t>随着公司业务规模的不断扩大，所需人员团队不断扩张，整体工资费用也</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footerReference w:type="default" r:id="rId8"/>
          <w:pgSz w:w="11910" w:h="16840"/>
          <w:pgMar w:footer="979" w:header="877" w:top="1100" w:bottom="1160" w:left="0" w:right="0"/>
          <w:pgNumType w:start="3"/>
        </w:sectPr>
      </w:pPr>
    </w:p>
    <w:p>
      <w:pPr>
        <w:spacing w:line="240" w:lineRule="auto" w:before="12"/>
        <w:rPr>
          <w:rFonts w:ascii="宋体" w:hAnsi="宋体" w:cs="宋体" w:eastAsia="宋体" w:hint="default"/>
          <w:b/>
          <w:bCs/>
          <w:sz w:val="29"/>
          <w:szCs w:val="29"/>
        </w:rPr>
      </w:pPr>
    </w:p>
    <w:p>
      <w:pPr>
        <w:spacing w:line="410" w:lineRule="auto" w:before="13"/>
        <w:ind w:left="1133" w:right="0" w:firstLine="0"/>
        <w:jc w:val="left"/>
        <w:rPr>
          <w:rFonts w:ascii="宋体" w:hAnsi="宋体" w:cs="宋体" w:eastAsia="宋体" w:hint="default"/>
          <w:sz w:val="28"/>
          <w:szCs w:val="28"/>
        </w:rPr>
      </w:pPr>
      <w:r>
        <w:rPr>
          <w:rFonts w:ascii="宋体" w:hAnsi="宋体" w:cs="宋体" w:eastAsia="宋体" w:hint="default"/>
          <w:b/>
          <w:bCs/>
          <w:w w:val="95"/>
          <w:sz w:val="28"/>
          <w:szCs w:val="28"/>
        </w:rPr>
        <w:t>在不断上升，如公司员工总成本增幅与营业收入增幅不匹配，将可能对公司经</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sz w:val="28"/>
          <w:szCs w:val="28"/>
        </w:rPr>
        <w:t>营业绩产生一定影响。</w:t>
      </w:r>
      <w:r>
        <w:rPr>
          <w:rFonts w:ascii="宋体" w:hAnsi="宋体" w:cs="宋体" w:eastAsia="宋体" w:hint="default"/>
          <w:sz w:val="28"/>
          <w:szCs w:val="28"/>
        </w:rPr>
      </w:r>
    </w:p>
    <w:p>
      <w:pPr>
        <w:spacing w:before="9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970,685,034</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spacing w:val="-1"/>
          <w:w w:val="99"/>
          <w:sz w:val="28"/>
          <w:szCs w:val="28"/>
        </w:rPr>
        <w:t>0.03</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6"/>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股，不以资本公积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31"/>
        <w:ind w:left="1535" w:right="15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before="16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管理层讨论与分析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0762" w:val="right" w:leader="dot"/>
            </w:tabs>
            <w:spacing w:line="240" w:lineRule="auto" w:before="16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0762" w:val="right" w:leader="dot"/>
            </w:tabs>
            <w:spacing w:line="240" w:lineRule="auto" w:before="16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10"/>
        <w:rPr>
          <w:rFonts w:ascii="Times New Roman" w:hAnsi="Times New Roman" w:cs="Times New Roman" w:eastAsia="Times New Roman" w:hint="default"/>
          <w:b/>
          <w:bCs/>
          <w:sz w:val="25"/>
          <w:szCs w:val="25"/>
        </w:rPr>
      </w:pPr>
    </w:p>
    <w:p>
      <w:pPr>
        <w:spacing w:before="0"/>
        <w:ind w:left="1535" w:right="153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公司、本公司、母公司、蓝盾股份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柯宗庆、柯宗贵兄弟二人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蓝盾技术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蓝盾乐庚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华炜科技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广州华炜科技有限公司，公司全资子公司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蓝盾新微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汇青科技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广东汇青信息科技有限公司，公司的合资子公司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康美保险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康美健康保险股份有限公司，公司的参股子公司，设立中</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中经电商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中经汇通电子商务有限公司，公司并购标的之一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汇通宝支付有限责任公司，公司并购标的之一</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21"/>
              <w:jc w:val="left"/>
              <w:rPr>
                <w:rFonts w:ascii="宋体" w:hAnsi="宋体" w:cs="宋体" w:eastAsia="宋体" w:hint="default"/>
                <w:sz w:val="18"/>
                <w:szCs w:val="18"/>
              </w:rPr>
            </w:pPr>
            <w:r>
              <w:rPr>
                <w:rFonts w:ascii="宋体" w:hAnsi="宋体" w:cs="宋体" w:eastAsia="宋体" w:hint="default"/>
                <w:spacing w:val="-2"/>
                <w:sz w:val="18"/>
                <w:szCs w:val="18"/>
              </w:rPr>
              <w:t>蓝盾中植智慧安全产业基金，由公司及控股股东柯宗贵、投资机构中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植资本管理有限公司共同设立，拟募集规模不超过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亿元</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安全产品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用于保证信息安全的各种软件产品和相关的软硬一体化产品。</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安全服务</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21"/>
              <w:jc w:val="left"/>
              <w:rPr>
                <w:rFonts w:ascii="宋体" w:hAnsi="宋体" w:cs="宋体" w:eastAsia="宋体" w:hint="default"/>
                <w:sz w:val="18"/>
                <w:szCs w:val="18"/>
              </w:rPr>
            </w:pPr>
            <w:r>
              <w:rPr>
                <w:rFonts w:ascii="宋体" w:hAnsi="宋体" w:cs="宋体" w:eastAsia="宋体" w:hint="default"/>
                <w:spacing w:val="-2"/>
                <w:sz w:val="18"/>
                <w:szCs w:val="18"/>
              </w:rPr>
              <w:t>根据客户需求提供与信息安全相关的安全测评、技术支持、安全管理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咨询、系统维护、运营管理、安全培训、安全托管等内容。</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安全集成</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2"/>
              <w:ind w:left="27" w:right="-9"/>
              <w:jc w:val="both"/>
              <w:rPr>
                <w:rFonts w:ascii="宋体" w:hAnsi="宋体" w:cs="宋体" w:eastAsia="宋体" w:hint="default"/>
                <w:sz w:val="18"/>
                <w:szCs w:val="18"/>
              </w:rPr>
            </w:pPr>
            <w:r>
              <w:rPr>
                <w:rFonts w:ascii="宋体" w:hAnsi="宋体" w:cs="宋体" w:eastAsia="宋体" w:hint="default"/>
                <w:sz w:val="18"/>
                <w:szCs w:val="18"/>
              </w:rPr>
              <w:t>根据客户要求，为客户设置或组建能满足其个性化需求的信息安全系 统，提供从安全方案设计、方案实施、系统测试到系统验收的信息安 全整体解决方案，满足客户在系统集成中对信息安全的全方位需求。</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安全运营</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2"/>
              <w:ind w:left="27" w:right="21"/>
              <w:jc w:val="both"/>
              <w:rPr>
                <w:rFonts w:ascii="宋体" w:hAnsi="宋体" w:cs="宋体" w:eastAsia="宋体" w:hint="default"/>
                <w:sz w:val="18"/>
                <w:szCs w:val="18"/>
              </w:rPr>
            </w:pPr>
            <w:r>
              <w:rPr>
                <w:rFonts w:ascii="宋体" w:hAnsi="宋体" w:cs="宋体" w:eastAsia="宋体" w:hint="default"/>
                <w:spacing w:val="-2"/>
                <w:sz w:val="18"/>
                <w:szCs w:val="18"/>
              </w:rPr>
              <w:t>利用先进的云计算技术，搭建云安全综合运营平台，为客户提供诸如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网站安全防护等一系列服务，让客户得到</w:t>
            </w:r>
            <w:r>
              <w:rPr>
                <w:rFonts w:ascii="Times New Roman" w:hAnsi="Times New Roman" w:cs="Times New Roman" w:eastAsia="Times New Roman" w:hint="default"/>
                <w:sz w:val="18"/>
                <w:szCs w:val="18"/>
              </w:rPr>
              <w:t>"</w:t>
            </w:r>
            <w:r>
              <w:rPr>
                <w:rFonts w:ascii="宋体" w:hAnsi="宋体" w:cs="宋体" w:eastAsia="宋体" w:hint="default"/>
                <w:sz w:val="18"/>
                <w:szCs w:val="18"/>
              </w:rPr>
              <w:t>零部署</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零维护</w:t>
            </w:r>
            <w:r>
              <w:rPr>
                <w:rFonts w:ascii="Times New Roman" w:hAnsi="Times New Roman" w:cs="Times New Roman" w:eastAsia="Times New Roman" w:hint="default"/>
                <w:sz w:val="18"/>
                <w:szCs w:val="18"/>
              </w:rPr>
              <w:t>"</w:t>
            </w:r>
            <w:r>
              <w:rPr>
                <w:rFonts w:ascii="宋体" w:hAnsi="宋体" w:cs="宋体" w:eastAsia="宋体" w:hint="default"/>
                <w:sz w:val="18"/>
                <w:szCs w:val="18"/>
              </w:rPr>
              <w:t>等一站 式的智能安全防护体验。</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网络空间安全</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2"/>
              <w:ind w:left="27" w:right="22"/>
              <w:jc w:val="both"/>
              <w:rPr>
                <w:rFonts w:ascii="宋体" w:hAnsi="宋体" w:cs="宋体" w:eastAsia="宋体" w:hint="default"/>
                <w:sz w:val="18"/>
                <w:szCs w:val="18"/>
              </w:rPr>
            </w:pPr>
            <w:r>
              <w:rPr>
                <w:rFonts w:ascii="宋体" w:hAnsi="宋体" w:cs="宋体" w:eastAsia="宋体" w:hint="default"/>
                <w:spacing w:val="-2"/>
                <w:sz w:val="18"/>
                <w:szCs w:val="18"/>
              </w:rPr>
              <w:t>网络空间是人们运用信息通讯系统进行交互的空间，网络空间安全涉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及到在网络空间中的电子设备、电子信息系统、运行数据、系统应用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中存在的安全问题</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大安全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公司近年提出的产业发展战略，通过</w:t>
            </w:r>
            <w:r>
              <w:rPr>
                <w:rFonts w:ascii="Times New Roman" w:hAnsi="Times New Roman" w:cs="Times New Roman" w:eastAsia="Times New Roman" w:hint="default"/>
                <w:sz w:val="18"/>
                <w:szCs w:val="18"/>
              </w:rPr>
              <w:t>"</w:t>
            </w:r>
            <w:r>
              <w:rPr>
                <w:rFonts w:ascii="宋体" w:hAnsi="宋体" w:cs="宋体" w:eastAsia="宋体" w:hint="default"/>
                <w:sz w:val="18"/>
                <w:szCs w:val="18"/>
              </w:rPr>
              <w:t>内生</w:t>
            </w:r>
            <w:r>
              <w:rPr>
                <w:rFonts w:ascii="Times New Roman" w:hAnsi="Times New Roman" w:cs="Times New Roman" w:eastAsia="Times New Roman" w:hint="default"/>
                <w:sz w:val="18"/>
                <w:szCs w:val="18"/>
              </w:rPr>
              <w:t>+</w:t>
            </w:r>
            <w:r>
              <w:rPr>
                <w:rFonts w:ascii="宋体" w:hAnsi="宋体" w:cs="宋体" w:eastAsia="宋体" w:hint="default"/>
                <w:sz w:val="18"/>
                <w:szCs w:val="18"/>
              </w:rPr>
              <w:t>外延</w:t>
            </w:r>
            <w:r>
              <w:rPr>
                <w:rFonts w:ascii="Times New Roman" w:hAnsi="Times New Roman" w:cs="Times New Roman" w:eastAsia="Times New Roman" w:hint="default"/>
                <w:sz w:val="18"/>
                <w:szCs w:val="18"/>
              </w:rPr>
              <w:t>"</w:t>
            </w:r>
            <w:r>
              <w:rPr>
                <w:rFonts w:ascii="宋体" w:hAnsi="宋体" w:cs="宋体" w:eastAsia="宋体" w:hint="default"/>
                <w:sz w:val="18"/>
                <w:szCs w:val="18"/>
              </w:rPr>
              <w:t>双轮驱动的方式，</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83.6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986"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both"/>
                          <w:rPr>
                            <w:rFonts w:ascii="宋体" w:hAnsi="宋体" w:cs="宋体" w:eastAsia="宋体" w:hint="default"/>
                            <w:sz w:val="18"/>
                            <w:szCs w:val="18"/>
                          </w:rPr>
                        </w:pPr>
                        <w:r>
                          <w:rPr>
                            <w:rFonts w:ascii="宋体" w:hAnsi="宋体" w:cs="宋体" w:eastAsia="宋体" w:hint="default"/>
                            <w:sz w:val="18"/>
                            <w:szCs w:val="18"/>
                          </w:rPr>
                          <w:t>紧抓信息安全产业外延不断扩大的机遇，发展出以网络安全为核心， </w:t>
                        </w:r>
                        <w:r>
                          <w:rPr>
                            <w:rFonts w:ascii="宋体" w:hAnsi="宋体" w:cs="宋体" w:eastAsia="宋体" w:hint="default"/>
                            <w:spacing w:val="-2"/>
                            <w:sz w:val="18"/>
                            <w:szCs w:val="18"/>
                          </w:rPr>
                          <w:t>以物理军工安全为抓手，以移动互联网安全为跳板，兼顾新兴技术安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全的</w:t>
                        </w:r>
                        <w:r>
                          <w:rPr>
                            <w:rFonts w:ascii="Times New Roman" w:hAnsi="Times New Roman" w:cs="Times New Roman" w:eastAsia="Times New Roman" w:hint="default"/>
                            <w:sz w:val="18"/>
                            <w:szCs w:val="18"/>
                          </w:rPr>
                          <w:t>"</w:t>
                        </w:r>
                        <w:r>
                          <w:rPr>
                            <w:rFonts w:ascii="宋体" w:hAnsi="宋体" w:cs="宋体" w:eastAsia="宋体" w:hint="default"/>
                            <w:sz w:val="18"/>
                            <w:szCs w:val="18"/>
                          </w:rPr>
                          <w:t>大安全</w:t>
                        </w:r>
                        <w:r>
                          <w:rPr>
                            <w:rFonts w:ascii="Times New Roman" w:hAnsi="Times New Roman" w:cs="Times New Roman" w:eastAsia="Times New Roman" w:hint="default"/>
                            <w:sz w:val="18"/>
                            <w:szCs w:val="18"/>
                          </w:rPr>
                          <w:t>"</w:t>
                        </w:r>
                        <w:r>
                          <w:rPr>
                            <w:rFonts w:ascii="宋体" w:hAnsi="宋体" w:cs="宋体" w:eastAsia="宋体" w:hint="default"/>
                            <w:sz w:val="18"/>
                            <w:szCs w:val="18"/>
                          </w:rPr>
                          <w:t>产业生态体系</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智慧安全平台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公司首创的安全平台体系，该平台包含了智能分析引擎、智慧主动防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御、智慧自动内控等几大核心组织，解决了客户安全感知和安全体验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的痛点</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动立方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公司集多年研发经验提出的产品设计理念，即</w:t>
                        </w:r>
                        <w:r>
                          <w:rPr>
                            <w:rFonts w:ascii="Times New Roman" w:hAnsi="Times New Roman" w:cs="Times New Roman" w:eastAsia="Times New Roman" w:hint="default"/>
                            <w:sz w:val="18"/>
                            <w:szCs w:val="18"/>
                          </w:rPr>
                          <w:t>"</w:t>
                        </w:r>
                        <w:r>
                          <w:rPr>
                            <w:rFonts w:ascii="宋体" w:hAnsi="宋体" w:cs="宋体" w:eastAsia="宋体" w:hint="default"/>
                            <w:sz w:val="18"/>
                            <w:szCs w:val="18"/>
                          </w:rPr>
                          <w:t>主动、自动、联动</w:t>
                        </w:r>
                        <w:r>
                          <w:rPr>
                            <w:rFonts w:ascii="Times New Roman" w:hAnsi="Times New Roman" w:cs="Times New Roman" w:eastAsia="Times New Roman" w:hint="default"/>
                            <w:sz w:val="18"/>
                            <w:szCs w:val="18"/>
                          </w:rPr>
                          <w:t>"</w:t>
                        </w:r>
                        <w:r>
                          <w:rPr>
                            <w:rFonts w:ascii="宋体" w:hAnsi="宋体" w:cs="宋体" w:eastAsia="宋体" w:hint="default"/>
                            <w:sz w:val="18"/>
                            <w:szCs w:val="18"/>
                          </w:rPr>
                          <w:t>， 建立主动防御、自动响应、联动管理的网络安全防护体系</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蓝盾安全卫士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公司自主研发的首款移动互联网安全产品，集网银安全、数据安全、 </w:t>
                        </w:r>
                        <w:r>
                          <w:rPr>
                            <w:rFonts w:ascii="宋体" w:hAnsi="宋体" w:cs="宋体" w:eastAsia="宋体" w:hint="default"/>
                            <w:spacing w:val="-4"/>
                            <w:sz w:val="18"/>
                            <w:szCs w:val="18"/>
                          </w:rPr>
                          <w:t>隐私保护、通信安全、防垃圾短信、防骚扰电话、防吸费、手机加速</w:t>
                        </w:r>
                        <w:r>
                          <w:rPr>
                            <w:rFonts w:ascii="宋体" w:hAnsi="宋体" w:cs="宋体" w:eastAsia="宋体" w:hint="default"/>
                            <w:sz w:val="18"/>
                            <w:szCs w:val="18"/>
                          </w:rPr>
                          <w:t> 紧急求救等功能于一身</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第二代防火墙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第二代防火墙除具备传统防火墙的基本功能外，还具备应用流量识 </w:t>
                        </w:r>
                        <w:r>
                          <w:rPr>
                            <w:rFonts w:ascii="宋体" w:hAnsi="宋体" w:cs="宋体" w:eastAsia="宋体" w:hint="default"/>
                            <w:spacing w:val="-3"/>
                            <w:sz w:val="18"/>
                            <w:szCs w:val="18"/>
                          </w:rPr>
                          <w:t>别、应用层访问控制、</w:t>
                        </w:r>
                        <w:r>
                          <w:rPr>
                            <w:rFonts w:ascii="Times New Roman" w:hAnsi="Times New Roman" w:cs="Times New Roman" w:eastAsia="Times New Roman" w:hint="default"/>
                            <w:spacing w:val="-3"/>
                            <w:sz w:val="18"/>
                            <w:szCs w:val="18"/>
                          </w:rPr>
                          <w:t>Web</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攻击防护、恶意代码防护、信息泄露防护 和入侵防御等功能。</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云安全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通过网状的大量客户端对网络中软件行为的异常监测，获取互联网中</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木马、恶意程序的最新信息，推送到服务端进行自动分析和处理，再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把病毒和木马的解决方案分发到每一个客户端</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虚拟化技术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一种资源管理技术，是将计算机的各种实体资源，如服务器、网络、 </w:t>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切割的障碍，使用户可以比原本的组态更好的方式来应用这些资源</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SDN</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软件定义网络（</w:t>
                        </w:r>
                        <w:r>
                          <w:rPr>
                            <w:rFonts w:ascii="Times New Roman" w:hAnsi="Times New Roman" w:cs="Times New Roman" w:eastAsia="Times New Roman" w:hint="default"/>
                            <w:sz w:val="18"/>
                            <w:szCs w:val="18"/>
                          </w:rPr>
                          <w:t>Software </w:t>
                        </w:r>
                        <w:r>
                          <w:rPr>
                            <w:rFonts w:ascii="Times New Roman" w:hAnsi="Times New Roman" w:cs="Times New Roman" w:eastAsia="Times New Roman" w:hint="default"/>
                            <w:spacing w:val="-1"/>
                            <w:w w:val="99"/>
                            <w:sz w:val="18"/>
                            <w:szCs w:val="18"/>
                          </w:rPr>
                          <w:t>Defined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sz w:val="18"/>
                            <w:szCs w:val="18"/>
                          </w:rPr>
                          <w:t>Network,</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w w:val="99"/>
                            <w:sz w:val="18"/>
                            <w:szCs w:val="18"/>
                          </w:rPr>
                          <w:t>SDN</w:t>
                        </w:r>
                        <w:r>
                          <w:rPr>
                            <w:rFonts w:ascii="Times New Roman" w:hAnsi="Times New Roman" w:cs="Times New Roman" w:eastAsia="Times New Roman" w:hint="default"/>
                            <w:w w:val="99"/>
                            <w:sz w:val="18"/>
                            <w:szCs w:val="18"/>
                          </w:rPr>
                          <w:t> </w:t>
                        </w:r>
                        <w:r>
                          <w:rPr>
                            <w:rFonts w:ascii="宋体" w:hAnsi="宋体" w:cs="宋体" w:eastAsia="宋体" w:hint="default"/>
                            <w:spacing w:val="-10"/>
                            <w:sz w:val="18"/>
                            <w:szCs w:val="18"/>
                          </w:rPr>
                          <w:t>），是网络虚拟化的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一种实现方式，其核心技术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OpenFlow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通过将网络设备控制面与数据 </w:t>
                        </w:r>
                        <w:r>
                          <w:rPr>
                            <w:rFonts w:ascii="宋体" w:hAnsi="宋体" w:cs="宋体" w:eastAsia="宋体" w:hint="default"/>
                            <w:spacing w:val="-2"/>
                            <w:sz w:val="18"/>
                            <w:szCs w:val="18"/>
                          </w:rPr>
                          <w:t>面分离开来，从而实现了网络流量的灵活控制，使网络作为管道变得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更加智能</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量子通信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利用量子纠缠效应进行信息传递的一种新型的通讯方式</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量子密码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基于单个光子的应用和它们固有的量子属性开发的不可破解的密码 系统，因为在不干扰系统的情况下无法测定该系统的量子状态。</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等级保护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信息安全等级保护，是对信息和信息载体按照重要性等级分级别进行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保护的一种工作，包括定级、备案、安全建设和整改、信息安全等级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测评、信息安全检查五个阶段，要求不同安全等级的信息系统应具有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不同的安全保护能力</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分级保护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涉密信息系统分级保护，根据其涉密信息系统处理信息的最高密级， </w:t>
                        </w:r>
                        <w:r>
                          <w:rPr>
                            <w:rFonts w:ascii="宋体" w:hAnsi="宋体" w:cs="宋体" w:eastAsia="宋体" w:hint="default"/>
                            <w:spacing w:val="-3"/>
                            <w:sz w:val="18"/>
                            <w:szCs w:val="18"/>
                          </w:rPr>
                          <w:t>可以划分为秘密级、机密级和机密级（增强）、绝密级三个等级，是</w:t>
                        </w:r>
                        <w:r>
                          <w:rPr>
                            <w:rFonts w:ascii="宋体" w:hAnsi="宋体" w:cs="宋体" w:eastAsia="宋体" w:hint="default"/>
                            <w:sz w:val="18"/>
                            <w:szCs w:val="18"/>
                          </w:rPr>
                          <w:t> 等级保护在涉密领域的具体体现</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反扫描技术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目前普遍认为反扫描技术包括了防火墙技术、入侵检测技术、审计技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术、访问控制技术以及信息欺骗等其他技术，它们构成了一个完整的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网络安全防护体系，所防范的内容包括各类扫描、攻击在内的全方位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的网络破坏活动</w:t>
                        </w:r>
                      </w:p>
                    </w:tc>
                  </w:tr>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反向拍照技术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除了记录下攻击者的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地址，还能给黑客拍一个</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全身照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，将黑客主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机的特征信息（如主机名、用户名、</w:t>
                        </w:r>
                        <w:r>
                          <w:rPr>
                            <w:rFonts w:ascii="Times New Roman" w:hAnsi="Times New Roman" w:cs="Times New Roman" w:eastAsia="Times New Roman" w:hint="default"/>
                            <w:sz w:val="18"/>
                            <w:szCs w:val="18"/>
                          </w:rPr>
                          <w:t>MAC</w:t>
                        </w:r>
                        <w:r>
                          <w:rPr>
                            <w:rFonts w:ascii="宋体" w:hAnsi="宋体" w:cs="宋体" w:eastAsia="宋体" w:hint="default"/>
                            <w:sz w:val="18"/>
                            <w:szCs w:val="18"/>
                          </w:rPr>
                          <w:t>、操作系统名称、版本号</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44"/>
        <w:ind w:left="0" w:right="1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开放的端口、服务等）全部记录下来，防止黑客事后抵赖</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蜜罐技术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用真实的或虚拟的系统模拟一个或多个易受攻击的主机，给入侵者提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供一个容易攻击的目标，从而发现攻击者采用的手段</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智能制造</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先进制造发展的最新形态，集成了技术创新、模式创新和组织方式创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新的先进制造系统，是中国制造业转型升级的新方向、新趋势</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互联网发展的新业态，利用信息通信技术及互联网平台，让互联网与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传统行业进行深度融合，创造新的发展生态</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VTS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vessel traffic system</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的缩写）船舶交通管理系统</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电磁安防</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防止电磁场、电磁脉冲对各类信息、控制、通信和电子设备的攻击、 干扰和破坏，而采取的抑制防护的安全措施</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汽车后市场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指汽车销售以后，围绕汽车使用过程中的各种服务，它涵盖了消费者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买车后所需要的一切服务</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0"/>
              <w:jc w:val="left"/>
              <w:rPr>
                <w:rFonts w:ascii="宋体" w:hAnsi="宋体" w:cs="宋体" w:eastAsia="宋体" w:hint="default"/>
                <w:sz w:val="18"/>
                <w:szCs w:val="18"/>
              </w:rPr>
            </w:pPr>
            <w:r>
              <w:rPr>
                <w:rFonts w:ascii="宋体" w:hAnsi="宋体" w:cs="宋体" w:eastAsia="宋体" w:hint="default"/>
                <w:sz w:val="18"/>
                <w:szCs w:val="18"/>
              </w:rPr>
              <w:t>本次重组、本次交易、发行股份及支付现金 购买资产并募集配套资金暨关联交易事项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《蓝盾信息安全技术股份有限公司发行股份及支付现金购买资产并 </w:t>
            </w:r>
            <w:r>
              <w:rPr>
                <w:rFonts w:ascii="宋体" w:hAnsi="宋体" w:cs="宋体" w:eastAsia="宋体" w:hint="default"/>
                <w:spacing w:val="-3"/>
                <w:sz w:val="18"/>
                <w:szCs w:val="18"/>
              </w:rPr>
              <w:t>募集配套资金暨关联交易方案》，即公司以发行股份及支付现金的方</w:t>
            </w:r>
            <w:r>
              <w:rPr>
                <w:rFonts w:ascii="宋体" w:hAnsi="宋体" w:cs="宋体" w:eastAsia="宋体" w:hint="default"/>
                <w:sz w:val="18"/>
                <w:szCs w:val="18"/>
              </w:rPr>
              <w:t> 式购买中经电商和汇通宝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股权，同时募集配套资金事宜</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蓝盾信息安全技术股份有限公司限制性股票激励计划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保荐机构、独立财务顾问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3624" w:right="0"/>
        <w:jc w:val="left"/>
        <w:rPr>
          <w:b w:val="0"/>
          <w:bCs w:val="0"/>
        </w:rPr>
      </w:pPr>
      <w:bookmarkStart w:name="第二节 公司简介和主要财务指标" w:id="4"/>
      <w:bookmarkEnd w:id="4"/>
      <w:r>
        <w:rPr>
          <w:b w:val="0"/>
          <w:bCs w:val="0"/>
        </w:rPr>
      </w:r>
      <w:bookmarkStart w:name="_bookmark1" w:id="5"/>
      <w:bookmarkEnd w:id="5"/>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86094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6"/>
      <w:bookmarkEnd w:id="6"/>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300297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蓝盾股份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Bluedon Information Security Technologies</w:t>
            </w:r>
            <w:r>
              <w:rPr>
                <w:rFonts w:ascii="Times New Roman"/>
                <w:spacing w:val="-25"/>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BLUEDON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柯宗贵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510665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www.bluedon.com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stock@chinabluedon.cn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7"/>
      <w:bookmarkEnd w:id="7"/>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危永荧</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广州市天河区科韵路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号自编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栋</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020-85639340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lee_bluedon@163.com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weiyy@chinabluedon.cn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8"/>
      <w:bookmarkEnd w:id="8"/>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四、其他有关资料" w:id="9"/>
      <w:bookmarkEnd w:id="9"/>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范荣、吴朝辉</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6"/>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广东省广州市天河北路</w:t>
            </w:r>
          </w:p>
          <w:p>
            <w:pPr>
              <w:pStyle w:val="TableParagraph"/>
              <w:spacing w:line="240" w:lineRule="auto" w:before="7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4301-4316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张新强、陈家茂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2012-03-15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2015-12-31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广东省广州市天河北路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4301-4316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朱保力、凌鹏、许戈文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2015-03-09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2016-12-31</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广东省广州市天河北路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183-187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4301-4316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朱保力、凌鹏、何尔璇、林焕 荣</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2016-04-05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2017-12-31</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五、主要会计数据和财务指标" w:id="10"/>
      <w:bookmarkEnd w:id="10"/>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1,000,925,196.89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524,904,499.06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395,366,353.03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119,452,531.65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35,302,789.86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31,963,282.74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102,685,066.37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32,450,891.51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12,743,389.75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110,958,168.61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35,544,858.85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49,937,839.99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2,256,662,527.56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1,314,648,499.63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71.66%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1,088,703,880.98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1,242,745,944.76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713,228,490.23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680,865,700.37</w:t>
            </w:r>
          </w:p>
        </w:tc>
      </w:tr>
    </w:tbl>
    <w:p>
      <w:pPr>
        <w:spacing w:line="240" w:lineRule="auto" w:before="7"/>
        <w:rPr>
          <w:rFonts w:ascii="宋体" w:hAnsi="宋体" w:cs="宋体" w:eastAsia="宋体" w:hint="default"/>
          <w:sz w:val="6"/>
          <w:szCs w:val="6"/>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0"/>
        <w:rPr>
          <w:rFonts w:ascii="宋体" w:hAnsi="宋体" w:cs="宋体" w:eastAsia="宋体" w:hint="default"/>
          <w:sz w:val="14"/>
          <w:szCs w:val="14"/>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970,685,034</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0.1231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line="338" w:lineRule="auto" w:before="117"/>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公司是否存在最近两年连续亏损的情形</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134" w:right="0"/>
        <w:jc w:val="left"/>
        <w:rPr>
          <w:b w:val="0"/>
          <w:bCs w:val="0"/>
        </w:rPr>
      </w:pPr>
      <w:bookmarkStart w:name="六、分季度主要财务指标" w:id="11"/>
      <w:bookmarkEnd w:id="11"/>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149,673,031.76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180,506,623.21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240,344,120.59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430,401,421.33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10,297,213.74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20,616,093.43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34,148,985.36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54,390,239.12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4,872,929.45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17,104,222.77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23,473,265.00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57,234,649.15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-154,722,451.13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-20,200,645.89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-102,998,559.46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388,879,825.09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2"/>
      <w:bookmarkEnd w:id="12"/>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同时按照国际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1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2、同时按照境外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after="0" w:line="338"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-399.94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-2,363,337.31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20,851,379.35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5,342,951.28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24,188,000.00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-1,559,552.88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-2,165,720.21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-455,343.06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499,042.25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2,894,672.67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324,971.80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2,149,119.34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128,330.83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16,767,465.28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2,851,898.35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19,219,892.99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133"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0"/>
              <w:jc w:val="right"/>
              <w:rPr>
                <w:rFonts w:ascii="宋体" w:hAnsi="宋体" w:cs="宋体" w:eastAsia="宋体" w:hint="default"/>
                <w:sz w:val="18"/>
                <w:szCs w:val="18"/>
              </w:rPr>
            </w:pPr>
            <w:r>
              <w:rPr>
                <w:rFonts w:ascii="宋体" w:hAnsi="宋体" w:cs="宋体" w:eastAsia="宋体" w:hint="default"/>
                <w:sz w:val="18"/>
                <w:szCs w:val="18"/>
              </w:rPr>
              <w:t>增值税退税补贴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11,470,329.14</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依据国家对软件行业的总体政策导向，预期软件增值税退税的税 收优惠政策将在较长时期内保持稳定，故定义为经常性损益。</w:t>
            </w:r>
          </w:p>
        </w:tc>
      </w:tr>
    </w:tbl>
    <w:p>
      <w:pPr>
        <w:spacing w:after="0" w:line="319"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535"/>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5"/>
        <w:rPr>
          <w:rFonts w:ascii="宋体" w:hAnsi="宋体" w:cs="宋体" w:eastAsia="宋体" w:hint="default"/>
          <w:b/>
          <w:bCs/>
          <w:sz w:val="31"/>
          <w:szCs w:val="31"/>
        </w:rPr>
      </w:pPr>
    </w:p>
    <w:p>
      <w:pPr>
        <w:pStyle w:val="BodyText"/>
        <w:spacing w:line="345" w:lineRule="auto"/>
        <w:ind w:right="1131" w:firstLine="420"/>
        <w:jc w:val="both"/>
      </w:pPr>
      <w:r>
        <w:rPr>
          <w:spacing w:val="-1"/>
        </w:rPr>
        <w:t>公司成立于</w:t>
      </w:r>
      <w:r>
        <w:rPr>
          <w:rFonts w:ascii="Times New Roman" w:hAnsi="Times New Roman" w:cs="Times New Roman" w:eastAsia="Times New Roman" w:hint="default"/>
          <w:spacing w:val="-1"/>
        </w:rPr>
        <w:t>1999</w:t>
      </w:r>
      <w:r>
        <w:rPr>
          <w:spacing w:val="-1"/>
        </w:rPr>
        <w:t>年，成立以来一直专注于网络信息安全领域，以“国际一流的信息安全企业”为战略</w:t>
      </w:r>
      <w:r>
        <w:rPr/>
        <w:t> </w:t>
      </w:r>
      <w:r>
        <w:rPr>
          <w:spacing w:val="-1"/>
        </w:rPr>
        <w:t>远景，致力于成为我国智慧安全的领导者。公司构建了以安全产品为基础，覆盖安全集成、安全服务、安</w:t>
      </w:r>
      <w:r>
        <w:rPr>
          <w:spacing w:val="-83"/>
        </w:rPr>
        <w:t> </w:t>
      </w:r>
      <w:r>
        <w:rPr>
          <w:spacing w:val="-83"/>
        </w:rPr>
      </w:r>
      <w:r>
        <w:rPr>
          <w:spacing w:val="-1"/>
        </w:rPr>
        <w:t>全运营的完整业务生态，凭借安全产品、安全集成、安全服务、安全运营“四位一体”联动发展的经营模</w:t>
      </w:r>
      <w:r>
        <w:rPr>
          <w:spacing w:val="-83"/>
        </w:rPr>
        <w:t> </w:t>
      </w:r>
      <w:r>
        <w:rPr>
          <w:spacing w:val="-83"/>
        </w:rPr>
      </w:r>
      <w:r>
        <w:rPr>
          <w:spacing w:val="-1"/>
        </w:rPr>
        <w:t>式，为各大行业客户提供一站式的信息安全整体解决方案。同时，公司也瞄准了信息安全外延不断扩大的</w:t>
      </w:r>
      <w:r>
        <w:rPr>
          <w:spacing w:val="-83"/>
        </w:rPr>
        <w:t> </w:t>
      </w:r>
      <w:r>
        <w:rPr>
          <w:spacing w:val="-83"/>
        </w:rPr>
      </w:r>
      <w:r>
        <w:rPr>
          <w:spacing w:val="-1"/>
        </w:rPr>
        <w:t>趋势，通过收购国内领先的电磁安防厂商华炜科技快速进入物理安全领域，积极构建“大安全”产业生态</w:t>
      </w:r>
      <w:r>
        <w:rPr>
          <w:spacing w:val="-86"/>
        </w:rPr>
        <w:t> </w:t>
      </w:r>
      <w:r>
        <w:rPr>
          <w:spacing w:val="-86"/>
        </w:rPr>
      </w:r>
      <w:r>
        <w:rPr/>
        <w:t>版图。</w:t>
      </w:r>
    </w:p>
    <w:p>
      <w:pPr>
        <w:pStyle w:val="BodyText"/>
        <w:spacing w:line="240" w:lineRule="auto" w:before="73"/>
        <w:ind w:left="1553" w:right="0"/>
        <w:jc w:val="left"/>
      </w:pPr>
      <w:r>
        <w:rPr/>
        <w:t>报告期内，公司的主营业务所涉及的产品和服务主要包括以下几方面：</w:t>
      </w:r>
    </w:p>
    <w:p>
      <w:pPr>
        <w:pStyle w:val="BodyText"/>
        <w:spacing w:line="384" w:lineRule="auto" w:before="164"/>
        <w:ind w:left="1553" w:right="0"/>
        <w:jc w:val="left"/>
      </w:pPr>
      <w:r>
        <w:rPr/>
        <w:t>（一）安全及安防产品 </w:t>
      </w:r>
      <w:r>
        <w:rPr>
          <w:spacing w:val="-1"/>
        </w:rPr>
        <w:t>信息安全产品方面，公司创建性地提出了“主动、自动、联动”的“动立方”产品理念，并形成了完</w:t>
      </w:r>
    </w:p>
    <w:p>
      <w:pPr>
        <w:pStyle w:val="BodyText"/>
        <w:spacing w:line="336" w:lineRule="auto"/>
        <w:ind w:right="1111"/>
        <w:jc w:val="both"/>
      </w:pPr>
      <w:r>
        <w:rPr/>
        <w:t>整的“智慧安全”产品体系，目前拥有边界安全、应用安全、移动安全、安全审计、安全管理等</w:t>
      </w:r>
      <w:r>
        <w:rPr>
          <w:rFonts w:ascii="Times New Roman" w:hAnsi="Times New Roman" w:cs="Times New Roman" w:eastAsia="Times New Roman" w:hint="default"/>
        </w:rPr>
        <w:t>5</w:t>
      </w:r>
      <w:r>
        <w:rPr/>
        <w:t>大类别</w:t>
      </w:r>
      <w:r>
        <w:rPr>
          <w:spacing w:val="-24"/>
        </w:rPr>
        <w:t> </w:t>
      </w:r>
      <w:r>
        <w:rPr>
          <w:rFonts w:ascii="Times New Roman" w:hAnsi="Times New Roman" w:cs="Times New Roman" w:eastAsia="Times New Roman" w:hint="default"/>
        </w:rPr>
        <w:t>60</w:t>
      </w:r>
      <w:r>
        <w:rPr/>
        <w:t>大系列</w:t>
      </w:r>
      <w:r>
        <w:rPr>
          <w:rFonts w:ascii="Times New Roman" w:hAnsi="Times New Roman" w:cs="Times New Roman" w:eastAsia="Times New Roman" w:hint="default"/>
        </w:rPr>
        <w:t>100</w:t>
      </w:r>
      <w:r>
        <w:rPr/>
        <w:t>多个型号的产品，各项产品均通过国家公安、安全、保密、军队等权威主管部门检测认证；</w:t>
      </w:r>
      <w:r>
        <w:rPr>
          <w:spacing w:val="-35"/>
        </w:rPr>
        <w:t> </w:t>
      </w:r>
      <w:r>
        <w:rPr>
          <w:spacing w:val="-35"/>
        </w:rPr>
      </w:r>
      <w:r>
        <w:rPr/>
        <w:t>电磁安防产品方面，公司主要专注于为军工及航空航天、轨道交通、通信等专业特种领域开发定制产品， 能够提供防护元件、防护产品、防护装置、接地产品、防护组件、组合产品等全系列产品。</w:t>
      </w:r>
    </w:p>
    <w:p>
      <w:pPr>
        <w:pStyle w:val="BodyText"/>
        <w:spacing w:line="384" w:lineRule="auto" w:before="81"/>
        <w:ind w:left="1553" w:right="0"/>
        <w:jc w:val="left"/>
      </w:pPr>
      <w:r>
        <w:rPr/>
        <w:t>（二）安全及安防集成 </w:t>
      </w:r>
      <w:r>
        <w:rPr>
          <w:spacing w:val="3"/>
        </w:rPr>
        <w:t>随着我国信息化及互联网化的深入发展，客户对信息安全的需求已不仅仅停留在安全产品堆叠的层</w:t>
      </w:r>
    </w:p>
    <w:p>
      <w:pPr>
        <w:pStyle w:val="BodyText"/>
        <w:spacing w:line="350" w:lineRule="auto"/>
        <w:ind w:right="1109"/>
        <w:jc w:val="both"/>
      </w:pPr>
      <w:r>
        <w:rPr>
          <w:spacing w:val="-1"/>
        </w:rPr>
        <w:t>面，更需要把安全作为系统搭建的基础及核心考虑因素之一，从而构建智能、联动、全面、可感知的整体</w:t>
      </w:r>
      <w:r>
        <w:rPr>
          <w:spacing w:val="-83"/>
        </w:rPr>
        <w:t> </w:t>
      </w:r>
      <w:r>
        <w:rPr>
          <w:spacing w:val="-83"/>
        </w:rPr>
      </w:r>
      <w:r>
        <w:rPr/>
        <w:t>安全防护体系。公司作为国内最早的信息安全解决方案提供商之一，目前已在政府、教育、应急、军工、</w:t>
      </w:r>
      <w:r>
        <w:rPr/>
        <w:t> </w:t>
      </w:r>
      <w:r>
        <w:rPr>
          <w:spacing w:val="-1"/>
        </w:rPr>
        <w:t>医疗、电信、金融、交通、电力、制造业等十多个行业形成成熟的一站式安全解决方案，并通过行业化营</w:t>
      </w:r>
      <w:r>
        <w:rPr>
          <w:spacing w:val="-83"/>
        </w:rPr>
        <w:t> </w:t>
      </w:r>
      <w:r>
        <w:rPr>
          <w:spacing w:val="-83"/>
        </w:rPr>
      </w:r>
      <w:r>
        <w:rPr/>
        <w:t>销的方式，在各大行业迅速渗透。</w:t>
      </w:r>
    </w:p>
    <w:p>
      <w:pPr>
        <w:pStyle w:val="BodyText"/>
        <w:spacing w:line="384" w:lineRule="auto" w:before="69"/>
        <w:ind w:left="1553" w:right="1018"/>
        <w:jc w:val="left"/>
      </w:pPr>
      <w:r>
        <w:rPr/>
        <w:t>（三）安全及安防服务 </w:t>
      </w:r>
      <w:r>
        <w:rPr>
          <w:spacing w:val="-3"/>
        </w:rPr>
        <w:t>信息安全服务方面，公司根据客户的实际需求，提供包括分级保护、等级保护、安全咨询、安全评估、</w:t>
      </w:r>
    </w:p>
    <w:p>
      <w:pPr>
        <w:pStyle w:val="BodyText"/>
        <w:spacing w:line="343" w:lineRule="auto"/>
        <w:ind w:right="1130"/>
        <w:jc w:val="both"/>
      </w:pPr>
      <w:r>
        <w:rPr>
          <w:spacing w:val="-1"/>
        </w:rPr>
        <w:t>安全加固、安全培训、安全巡检、应急响应、策略管理、安全托管监控等全方位的专业安全服务；电磁安</w:t>
      </w:r>
      <w:r>
        <w:rPr>
          <w:spacing w:val="-82"/>
        </w:rPr>
        <w:t> </w:t>
      </w:r>
      <w:r>
        <w:rPr>
          <w:spacing w:val="-82"/>
        </w:rPr>
      </w:r>
      <w:r>
        <w:rPr>
          <w:spacing w:val="-1"/>
        </w:rPr>
        <w:t>防服务方面，公司能够提供防护工程设计、防护工程施工、防护系统监测、电磁辐射监测、雷电预警、风</w:t>
      </w:r>
      <w:r>
        <w:rPr>
          <w:spacing w:val="-83"/>
        </w:rPr>
        <w:t> </w:t>
      </w:r>
      <w:r>
        <w:rPr>
          <w:spacing w:val="-83"/>
        </w:rPr>
      </w:r>
      <w:r>
        <w:rPr/>
        <w:t>险评估等电磁安防工程服务。此外，公司作为国际云安全联盟成员之一，探索出了以</w:t>
      </w:r>
      <w:r>
        <w:rPr>
          <w:rFonts w:ascii="Times New Roman" w:hAnsi="Times New Roman" w:cs="Times New Roman" w:eastAsia="Times New Roman" w:hint="default"/>
        </w:rPr>
        <w:t>CloudFence</w:t>
      </w:r>
      <w:r>
        <w:rPr/>
        <w:t>云防线平</w:t>
      </w:r>
      <w:r>
        <w:rPr>
          <w:spacing w:val="-96"/>
        </w:rPr>
        <w:t> </w:t>
      </w:r>
      <w:r>
        <w:rPr>
          <w:spacing w:val="-96"/>
        </w:rPr>
      </w:r>
      <w:r>
        <w:rPr/>
        <w:t>台为首的安全运营模式，服务于政府、电信等行业客户。</w:t>
      </w:r>
    </w:p>
    <w:p>
      <w:pPr>
        <w:spacing w:after="0" w:line="343" w:lineRule="auto"/>
        <w:jc w:val="both"/>
        <w:sectPr>
          <w:pgSz w:w="11910" w:h="16840"/>
          <w:pgMar w:header="877" w:footer="979" w:top="1100" w:bottom="1160" w:left="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3"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spacing w:before="44"/>
        <w:ind w:left="0" w:right="1140" w:firstLine="0"/>
        <w:jc w:val="right"/>
        <w:rPr>
          <w:rFonts w:ascii="宋体" w:hAnsi="宋体" w:cs="宋体" w:eastAsia="宋体" w:hint="default"/>
          <w:sz w:val="18"/>
          <w:szCs w:val="18"/>
        </w:rPr>
      </w:pPr>
      <w:r>
        <w:rPr/>
        <w:pict>
          <v:shape style="position:absolute;margin-left:56.459999pt;margin-top:-146.188263pt;width:479.2pt;height:165.9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008"/>
                  </w:tblGrid>
                  <w:tr>
                    <w:trPr>
                      <w:trHeight w:val="186"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8"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日，中国证监会向公司出具《关于核准蓝盾信息安全技术股份有限公司向张远鹏等发行 </w:t>
                        </w:r>
                        <w:r>
                          <w:rPr>
                            <w:rFonts w:ascii="宋体" w:hAnsi="宋体" w:cs="宋体" w:eastAsia="宋体" w:hint="default"/>
                            <w:spacing w:val="-3"/>
                            <w:sz w:val="18"/>
                            <w:szCs w:val="18"/>
                          </w:rPr>
                          <w:t>股份购买资产并募集配套资金的批复》（证监许可【</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356</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号），公司以发行股份及支付现金的方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式收购华炜科技</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的股权，交易总对价为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亿元。报告期内，上述标的资产的工商过户手续已办 理完毕，公司持有华炜科技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8" w:type="dxa"/>
                        <w:vMerge/>
                        <w:tcBorders>
                          <w:left w:val="single" w:sz="9" w:space="0" w:color="D2D2D2"/>
                          <w:right w:val="single" w:sz="4" w:space="0" w:color="000000"/>
                        </w:tcBorders>
                      </w:tcPr>
                      <w:p>
                        <w:pPr/>
                      </w:p>
                    </w:tc>
                  </w:tr>
                  <w:tr>
                    <w:trPr>
                      <w:trHeight w:val="473"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8" w:type="dxa"/>
                        <w:vMerge/>
                        <w:tcBorders>
                          <w:left w:val="single" w:sz="9" w:space="0" w:color="D2D2D2"/>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本报告期末固定资产比期初增长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，主要是华炜科技在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月纳入合并范围。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本报告期末无形资产比期初增长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13.47%</w:t>
                        </w:r>
                        <w:r>
                          <w:rPr>
                            <w:rFonts w:ascii="宋体" w:hAnsi="宋体" w:cs="宋体" w:eastAsia="宋体" w:hint="default"/>
                            <w:sz w:val="18"/>
                            <w:szCs w:val="18"/>
                          </w:rPr>
                          <w:t>，主要是华炜科技在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月纳入合并范围。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本报告期末在建工程比期初增长</w:t>
                        </w:r>
                        <w:r>
                          <w:rPr>
                            <w:rFonts w:ascii="宋体" w:hAnsi="宋体" w:cs="宋体" w:eastAsia="宋体" w:hint="default"/>
                            <w:spacing w:val="-30"/>
                            <w:sz w:val="18"/>
                            <w:szCs w:val="18"/>
                          </w:rPr>
                          <w:t> </w:t>
                        </w:r>
                        <w:r>
                          <w:rPr>
                            <w:rFonts w:ascii="Times New Roman" w:hAnsi="Times New Roman" w:cs="Times New Roman" w:eastAsia="Times New Roman" w:hint="default"/>
                            <w:spacing w:val="-4"/>
                            <w:sz w:val="18"/>
                            <w:szCs w:val="18"/>
                          </w:rPr>
                          <w:t>2448.59%</w:t>
                        </w:r>
                        <w:r>
                          <w:rPr>
                            <w:rFonts w:ascii="宋体" w:hAnsi="宋体" w:cs="宋体" w:eastAsia="宋体" w:hint="default"/>
                            <w:spacing w:val="-4"/>
                            <w:sz w:val="18"/>
                            <w:szCs w:val="18"/>
                          </w:rPr>
                          <w:t>，主要是由于蓝盾信息安全产业园（萝岗基地）的投入增加</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3"/>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31"/>
          <w:szCs w:val="31"/>
        </w:rPr>
      </w:pPr>
    </w:p>
    <w:p>
      <w:pPr>
        <w:pStyle w:val="BodyText"/>
        <w:spacing w:line="350" w:lineRule="auto"/>
        <w:ind w:right="1026" w:firstLine="420"/>
        <w:jc w:val="both"/>
      </w:pPr>
      <w:r>
        <w:rPr/>
        <w:t>公司经过十多年的积累和沉淀，目前已成为华南地区的信息安全龙头企业，业务区域及品牌影响力也 </w:t>
      </w:r>
      <w:r>
        <w:rPr>
          <w:spacing w:val="-1"/>
        </w:rPr>
        <w:t>在全国范围内不断扩大和提升。公司在业内首创了“智慧安全平台”，逐步成为我国智慧安全领域的领导</w:t>
      </w:r>
      <w:r>
        <w:rPr>
          <w:spacing w:val="-94"/>
        </w:rPr>
        <w:t> </w:t>
      </w:r>
      <w:r>
        <w:rPr>
          <w:spacing w:val="-94"/>
        </w:rPr>
      </w:r>
      <w:r>
        <w:rPr>
          <w:spacing w:val="-3"/>
        </w:rPr>
        <w:t>厂商，加上在新兴技术领域的不断创新，公司的核心竞争力得到持续的巩固和提升，主要体现在以下方面：</w:t>
      </w:r>
    </w:p>
    <w:p>
      <w:pPr>
        <w:pStyle w:val="BodyText"/>
        <w:spacing w:line="384" w:lineRule="auto" w:before="69"/>
        <w:ind w:left="1553" w:right="0"/>
        <w:jc w:val="left"/>
      </w:pPr>
      <w:r>
        <w:rPr/>
        <w:t>（一）“大安全”产业战略优势 </w:t>
      </w:r>
      <w:r>
        <w:rPr>
          <w:spacing w:val="-1"/>
        </w:rPr>
        <w:t>公司近年提出“大安全”产业发展战略，通过投资设立及外延并购等方式，紧抓信息安全产业外延不</w:t>
      </w:r>
    </w:p>
    <w:p>
      <w:pPr>
        <w:pStyle w:val="BodyText"/>
        <w:spacing w:line="350" w:lineRule="auto"/>
        <w:ind w:right="1024"/>
        <w:jc w:val="left"/>
      </w:pPr>
      <w:r>
        <w:rPr/>
        <w:t>断扩大的机遇，无论是在传统的网络安全领域还是新兴的产业发展方向，均进行了积极布局，业务方向、 </w:t>
      </w:r>
      <w:r>
        <w:rPr>
          <w:spacing w:val="-3"/>
        </w:rPr>
        <w:t>业务区域及市场空间得以迅速扩大。公司未来将继续以集团化的思路运作，不断强化各子公司的优势领域，</w:t>
      </w:r>
      <w:r>
        <w:rPr>
          <w:spacing w:val="-92"/>
        </w:rPr>
        <w:t> </w:t>
      </w:r>
      <w:r>
        <w:rPr>
          <w:spacing w:val="-92"/>
        </w:rPr>
      </w:r>
      <w:r>
        <w:rPr>
          <w:spacing w:val="-3"/>
        </w:rPr>
        <w:t>加强子公司之间的技术和业务联动，及时研判行业发展趋势，持续推进外延并购布局，充分发挥“大安全”</w:t>
      </w:r>
      <w:r>
        <w:rPr>
          <w:spacing w:val="-95"/>
        </w:rPr>
        <w:t> </w:t>
      </w:r>
      <w:r>
        <w:rPr>
          <w:spacing w:val="-95"/>
        </w:rPr>
      </w:r>
      <w:r>
        <w:rPr/>
        <w:t>产业发展战略带来的先发优势。</w:t>
      </w:r>
    </w:p>
    <w:p>
      <w:pPr>
        <w:pStyle w:val="BodyText"/>
        <w:spacing w:line="384" w:lineRule="auto" w:before="28"/>
        <w:ind w:left="1554" w:right="0"/>
        <w:jc w:val="left"/>
      </w:pPr>
      <w:r>
        <w:rPr/>
        <w:t>（二）技术研发优势 </w:t>
      </w:r>
      <w:r>
        <w:rPr>
          <w:spacing w:val="-1"/>
        </w:rPr>
        <w:t>公司始终以自主创新为发展源动力，以技术研发领先优势抢占市场，经过十多年的探索和积累，已掌</w:t>
      </w:r>
    </w:p>
    <w:p>
      <w:pPr>
        <w:pStyle w:val="BodyText"/>
        <w:spacing w:line="240" w:lineRule="auto"/>
        <w:ind w:left="1134" w:right="0"/>
        <w:jc w:val="left"/>
      </w:pPr>
      <w:r>
        <w:rPr/>
        <w:t>握了信息安全领域内的主要核心技术。截至报告期末，蓝盾股份拥有专利 </w:t>
      </w:r>
      <w:r>
        <w:rPr>
          <w:rFonts w:ascii="Times New Roman" w:hAnsi="Times New Roman" w:cs="Times New Roman" w:eastAsia="Times New Roman" w:hint="default"/>
        </w:rPr>
        <w:t>19 </w:t>
      </w:r>
      <w:r>
        <w:rPr/>
        <w:t>项，软件著作权 </w:t>
      </w:r>
      <w:r>
        <w:rPr>
          <w:rFonts w:ascii="Times New Roman" w:hAnsi="Times New Roman" w:cs="Times New Roman" w:eastAsia="Times New Roman" w:hint="default"/>
        </w:rPr>
        <w:t>125</w:t>
      </w:r>
      <w:r>
        <w:rPr>
          <w:rFonts w:ascii="Times New Roman" w:hAnsi="Times New Roman" w:cs="Times New Roman" w:eastAsia="Times New Roman" w:hint="default"/>
          <w:spacing w:val="-24"/>
        </w:rPr>
        <w:t> </w:t>
      </w:r>
      <w:r>
        <w:rPr/>
        <w:t>项；蓝</w:t>
      </w:r>
    </w:p>
    <w:p>
      <w:pPr>
        <w:pStyle w:val="BodyText"/>
        <w:spacing w:line="343" w:lineRule="auto" w:before="109"/>
        <w:ind w:right="1131"/>
        <w:jc w:val="both"/>
      </w:pPr>
      <w:r>
        <w:rPr/>
        <w:t>盾技术拥有专利</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项，软件著作权</w:t>
      </w:r>
      <w:r>
        <w:rPr>
          <w:spacing w:val="-57"/>
        </w:rPr>
        <w:t> </w:t>
      </w:r>
      <w:r>
        <w:rPr>
          <w:rFonts w:ascii="Times New Roman" w:hAnsi="Times New Roman" w:cs="Times New Roman" w:eastAsia="Times New Roman" w:hint="default"/>
        </w:rPr>
        <w:t>111</w:t>
      </w:r>
      <w:r>
        <w:rPr>
          <w:rFonts w:ascii="Times New Roman" w:hAnsi="Times New Roman" w:cs="Times New Roman" w:eastAsia="Times New Roman" w:hint="default"/>
          <w:spacing w:val="-4"/>
        </w:rPr>
        <w:t> </w:t>
      </w:r>
      <w:r>
        <w:rPr/>
        <w:t>项；华炜科技拥有专利</w:t>
      </w:r>
      <w:r>
        <w:rPr>
          <w:spacing w:val="-56"/>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项，软件著作权</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项。公司目前掌握的 </w:t>
      </w:r>
      <w:r>
        <w:rPr>
          <w:spacing w:val="-1"/>
        </w:rPr>
        <w:t>主要技术处于国内领先地位，凭借领先的技术实力，公司先后承担并实施了包括国家公安部科技攻关项目</w:t>
      </w:r>
      <w:r>
        <w:rPr>
          <w:spacing w:val="-81"/>
        </w:rPr>
        <w:t> </w:t>
      </w:r>
      <w:r>
        <w:rPr>
          <w:spacing w:val="-81"/>
        </w:rPr>
      </w:r>
      <w:r>
        <w:rPr>
          <w:spacing w:val="-1"/>
        </w:rPr>
        <w:t>在内的数十项国家级、部级、省市区级的重点信息安全科研项目，并为国家公安部等部委制定行业技术标</w:t>
      </w:r>
      <w:r>
        <w:rPr>
          <w:spacing w:val="-83"/>
        </w:rPr>
        <w:t> </w:t>
      </w:r>
      <w:r>
        <w:rPr>
          <w:spacing w:val="-83"/>
        </w:rPr>
      </w:r>
      <w:r>
        <w:rPr/>
        <w:t>准发挥了重要作用。</w:t>
      </w:r>
    </w:p>
    <w:p>
      <w:pPr>
        <w:pStyle w:val="BodyText"/>
        <w:spacing w:line="240" w:lineRule="auto" w:before="75"/>
        <w:ind w:left="1553" w:right="0"/>
        <w:jc w:val="left"/>
      </w:pPr>
      <w:r>
        <w:rPr/>
        <w:t>（三）专业资质优势</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3" w:lineRule="auto" w:before="35"/>
        <w:ind w:right="1130" w:firstLine="420"/>
        <w:jc w:val="both"/>
      </w:pPr>
      <w:r>
        <w:rPr>
          <w:spacing w:val="-1"/>
        </w:rPr>
        <w:t>作为专业技术要求极高的行业，获得资质或许可的多少是衡量信息安全企业竞争实力的重要标准，报</w:t>
      </w:r>
      <w:r>
        <w:rPr/>
        <w:t> </w:t>
      </w:r>
      <w:r>
        <w:rPr>
          <w:spacing w:val="-1"/>
        </w:rPr>
        <w:t>告期末，公司凭借领先的技术优势及丰富的案例优势，已拥有商用密码产品生产定点单位证书、军队网络</w:t>
      </w:r>
      <w:r>
        <w:rPr>
          <w:spacing w:val="-83"/>
        </w:rPr>
        <w:t> </w:t>
      </w:r>
      <w:r>
        <w:rPr>
          <w:spacing w:val="-83"/>
        </w:rPr>
      </w:r>
      <w:r>
        <w:rPr>
          <w:spacing w:val="-1"/>
        </w:rPr>
        <w:t>采购信息发布资格认证、国军标质量管理体系认证证书、涉密信息系统产品检测证书</w:t>
      </w:r>
      <w:r>
        <w:rPr>
          <w:rFonts w:ascii="Times New Roman" w:hAnsi="Times New Roman" w:cs="Times New Roman" w:eastAsia="Times New Roman" w:hint="default"/>
          <w:spacing w:val="-1"/>
        </w:rPr>
        <w:t>13</w:t>
      </w:r>
      <w:r>
        <w:rPr>
          <w:spacing w:val="-1"/>
        </w:rPr>
        <w:t>项、军用信息安全</w:t>
      </w:r>
      <w:r>
        <w:rPr>
          <w:spacing w:val="-81"/>
        </w:rPr>
        <w:t> </w:t>
      </w:r>
      <w:r>
        <w:rPr>
          <w:spacing w:val="-81"/>
        </w:rPr>
      </w:r>
      <w:r>
        <w:rPr>
          <w:spacing w:val="-1"/>
        </w:rPr>
        <w:t>产品认证证书</w:t>
      </w:r>
      <w:r>
        <w:rPr>
          <w:rFonts w:ascii="Times New Roman" w:hAnsi="Times New Roman" w:cs="Times New Roman" w:eastAsia="Times New Roman" w:hint="default"/>
          <w:spacing w:val="-1"/>
        </w:rPr>
        <w:t>10</w:t>
      </w:r>
      <w:r>
        <w:rPr>
          <w:spacing w:val="-1"/>
        </w:rPr>
        <w:t>项、产品销售许可证</w:t>
      </w:r>
      <w:r>
        <w:rPr>
          <w:rFonts w:ascii="Times New Roman" w:hAnsi="Times New Roman" w:cs="Times New Roman" w:eastAsia="Times New Roman" w:hint="default"/>
          <w:spacing w:val="-1"/>
        </w:rPr>
        <w:t>28</w:t>
      </w:r>
      <w:r>
        <w:rPr>
          <w:spacing w:val="-1"/>
        </w:rPr>
        <w:t>项、中国信息安全认证中心产品认证证书</w:t>
      </w:r>
      <w:r>
        <w:rPr>
          <w:rFonts w:ascii="Times New Roman" w:hAnsi="Times New Roman" w:cs="Times New Roman" w:eastAsia="Times New Roman" w:hint="default"/>
          <w:spacing w:val="-1"/>
        </w:rPr>
        <w:t>11</w:t>
      </w:r>
      <w:r>
        <w:rPr>
          <w:spacing w:val="-1"/>
        </w:rPr>
        <w:t>项、广东省高新技术产</w:t>
      </w:r>
      <w:r>
        <w:rPr>
          <w:spacing w:val="-83"/>
        </w:rPr>
        <w:t> </w:t>
      </w:r>
      <w:r>
        <w:rPr>
          <w:spacing w:val="-83"/>
        </w:rPr>
      </w:r>
      <w:r>
        <w:rPr/>
        <w:t>品证书</w:t>
      </w:r>
      <w:r>
        <w:rPr>
          <w:rFonts w:ascii="Times New Roman" w:hAnsi="Times New Roman" w:cs="Times New Roman" w:eastAsia="Times New Roman" w:hint="default"/>
        </w:rPr>
        <w:t>9</w:t>
      </w:r>
      <w:r>
        <w:rPr/>
        <w:t>项、中国节能产品认证证书</w:t>
      </w:r>
      <w:r>
        <w:rPr>
          <w:rFonts w:ascii="Times New Roman" w:hAnsi="Times New Roman" w:cs="Times New Roman" w:eastAsia="Times New Roman" w:hint="default"/>
        </w:rPr>
        <w:t>11</w:t>
      </w:r>
      <w:r>
        <w:rPr/>
        <w:t>项，并取得了计算机信息系统安全服务一级资质证书、信息系统集</w:t>
      </w:r>
      <w:r>
        <w:rPr>
          <w:spacing w:val="-35"/>
        </w:rPr>
        <w:t> </w:t>
      </w:r>
      <w:r>
        <w:rPr>
          <w:spacing w:val="-35"/>
        </w:rPr>
      </w:r>
      <w:r>
        <w:rPr>
          <w:spacing w:val="-1"/>
        </w:rPr>
        <w:t>成及服务一级资质证书、中国国家强制性产品认证证书、涉密计算机信息系统集成乙级证书、信息安全一</w:t>
      </w:r>
      <w:r>
        <w:rPr>
          <w:spacing w:val="-83"/>
        </w:rPr>
        <w:t> </w:t>
      </w:r>
      <w:r>
        <w:rPr>
          <w:spacing w:val="-83"/>
        </w:rPr>
      </w:r>
      <w:r>
        <w:rPr>
          <w:spacing w:val="-1"/>
        </w:rPr>
        <w:t>级应急处理服务资质证书、信息安全一级风险评估服务资质证书、国家信息安全测评信息安全服务资质证</w:t>
      </w:r>
      <w:r>
        <w:rPr>
          <w:spacing w:val="-81"/>
        </w:rPr>
        <w:t> </w:t>
      </w:r>
      <w:r>
        <w:rPr>
          <w:spacing w:val="-81"/>
        </w:rPr>
      </w:r>
      <w:r>
        <w:rPr>
          <w:spacing w:val="-5"/>
        </w:rPr>
        <w:t>书（安全工程类一级）、通信网络安全服务能力评定证书（安全设计与集成一级）、工程设计资质证书（建</w:t>
      </w:r>
      <w:r>
        <w:rPr/>
        <w:t> </w:t>
      </w:r>
      <w:r>
        <w:rPr>
          <w:spacing w:val="-5"/>
        </w:rPr>
        <w:t>筑智能化系统设计专项乙级）、安全生产许可证（建筑施工）、广东省安全技术防范系统设计、施工、维修</w:t>
      </w:r>
      <w:r>
        <w:rPr/>
        <w:t> </w:t>
      </w:r>
      <w:r>
        <w:rPr>
          <w:spacing w:val="-1"/>
        </w:rPr>
        <w:t>资格一级证书等业务资质，基本获得了包括信息安全产品、信息安全集成及信息安全服务在内的所有业务</w:t>
      </w:r>
      <w:r>
        <w:rPr>
          <w:spacing w:val="-81"/>
        </w:rPr>
        <w:t> </w:t>
      </w:r>
      <w:r>
        <w:rPr>
          <w:spacing w:val="-81"/>
        </w:rPr>
      </w:r>
      <w:r>
        <w:rPr/>
        <w:t>类别的较高级别资质或许可，成为业内资质或许可最齐全的企业之一。</w:t>
      </w:r>
    </w:p>
    <w:p>
      <w:pPr>
        <w:pStyle w:val="BodyText"/>
        <w:spacing w:line="384" w:lineRule="auto" w:before="75"/>
        <w:ind w:left="1554" w:right="0"/>
        <w:jc w:val="left"/>
      </w:pPr>
      <w:r>
        <w:rPr/>
        <w:t>（四）客户资源优势 </w:t>
      </w:r>
      <w:r>
        <w:rPr>
          <w:spacing w:val="-1"/>
        </w:rPr>
        <w:t>信息安全行业的特殊性决定了下游客户对信息安全提供商存在一定的依赖性，且随着社会各界对信息</w:t>
      </w:r>
    </w:p>
    <w:p>
      <w:pPr>
        <w:pStyle w:val="BodyText"/>
        <w:spacing w:line="350" w:lineRule="auto"/>
        <w:ind w:left="1134" w:right="1131"/>
        <w:jc w:val="both"/>
      </w:pPr>
      <w:r>
        <w:rPr>
          <w:spacing w:val="-1"/>
        </w:rPr>
        <w:t>安全要求的提高，下游客户在信息安全系统建设及升级过程中会对安全产品、安全集成及安全服务产生交</w:t>
      </w:r>
      <w:r>
        <w:rPr>
          <w:spacing w:val="-81"/>
        </w:rPr>
        <w:t> </w:t>
      </w:r>
      <w:r>
        <w:rPr>
          <w:spacing w:val="-81"/>
        </w:rPr>
      </w:r>
      <w:r>
        <w:rPr>
          <w:spacing w:val="-1"/>
        </w:rPr>
        <w:t>叉消费和重复消费，形成信息安全领域的持续性投入。公司现有的客户资源既是稳定的业务来源，也是宣</w:t>
      </w:r>
      <w:r>
        <w:rPr>
          <w:spacing w:val="-82"/>
        </w:rPr>
        <w:t> </w:t>
      </w:r>
      <w:r>
        <w:rPr>
          <w:spacing w:val="-82"/>
        </w:rPr>
      </w:r>
      <w:r>
        <w:rPr>
          <w:spacing w:val="-1"/>
        </w:rPr>
        <w:t>传品牌、扩大影响力的最好载体，有利于新市场及新客户的开拓，为公司的持续盈利提供了重要保障。公</w:t>
      </w:r>
      <w:r>
        <w:rPr>
          <w:spacing w:val="-85"/>
        </w:rPr>
        <w:t> </w:t>
      </w:r>
      <w:r>
        <w:rPr>
          <w:spacing w:val="-85"/>
        </w:rPr>
      </w:r>
      <w:r>
        <w:rPr>
          <w:spacing w:val="-1"/>
        </w:rPr>
        <w:t>司的客户资源遍布全国各地十多个行业上万家客户群体，是业内服务行业最广、服务客户数量最多的厂商</w:t>
      </w:r>
      <w:r>
        <w:rPr>
          <w:spacing w:val="-81"/>
        </w:rPr>
        <w:t> </w:t>
      </w:r>
      <w:r>
        <w:rPr>
          <w:spacing w:val="-81"/>
        </w:rPr>
      </w:r>
      <w:r>
        <w:rPr>
          <w:spacing w:val="-1"/>
        </w:rPr>
        <w:t>之一。同时，公司在成熟的安全解决方案的基础上，通过大范围铺设渠道，有效提升了营销效率，客户资</w:t>
      </w:r>
      <w:r>
        <w:rPr>
          <w:spacing w:val="-83"/>
        </w:rPr>
        <w:t> </w:t>
      </w:r>
      <w:r>
        <w:rPr>
          <w:spacing w:val="-83"/>
        </w:rPr>
      </w:r>
      <w:r>
        <w:rPr/>
        <w:t>源也得到进一步提升。</w:t>
      </w:r>
    </w:p>
    <w:p>
      <w:pPr>
        <w:pStyle w:val="BodyText"/>
        <w:spacing w:line="384" w:lineRule="auto" w:before="67"/>
        <w:ind w:left="1554" w:right="0"/>
        <w:jc w:val="left"/>
      </w:pPr>
      <w:r>
        <w:rPr/>
        <w:t>（五）人才团队优势 </w:t>
      </w:r>
      <w:r>
        <w:rPr>
          <w:spacing w:val="-1"/>
        </w:rPr>
        <w:t>公司非常注重人才团队的建设，目前已建立起一支技术精湛、经验丰富、业务熟练、结构合理、团结</w:t>
      </w:r>
    </w:p>
    <w:p>
      <w:pPr>
        <w:pStyle w:val="BodyText"/>
        <w:spacing w:line="340" w:lineRule="auto"/>
        <w:ind w:right="0"/>
        <w:jc w:val="left"/>
      </w:pPr>
      <w:r>
        <w:rPr>
          <w:spacing w:val="-6"/>
        </w:rPr>
        <w:t>协作的研发、销售和管理团队。截至报告期末，公司共有员工</w:t>
      </w:r>
      <w:r>
        <w:rPr>
          <w:rFonts w:ascii="Times New Roman" w:hAnsi="Times New Roman" w:cs="Times New Roman" w:eastAsia="Times New Roman" w:hint="default"/>
          <w:spacing w:val="-6"/>
        </w:rPr>
        <w:t>961</w:t>
      </w:r>
      <w:r>
        <w:rPr>
          <w:spacing w:val="-6"/>
        </w:rPr>
        <w:t>人，其中</w:t>
      </w:r>
      <w:r>
        <w:rPr>
          <w:rFonts w:ascii="Times New Roman" w:hAnsi="Times New Roman" w:cs="Times New Roman" w:eastAsia="Times New Roman" w:hint="default"/>
          <w:spacing w:val="-6"/>
        </w:rPr>
        <w:t>45%</w:t>
      </w:r>
      <w:r>
        <w:rPr>
          <w:spacing w:val="-6"/>
        </w:rPr>
        <w:t>以上为技术研发人员，近</w:t>
      </w:r>
      <w:r>
        <w:rPr>
          <w:rFonts w:ascii="Times New Roman" w:hAnsi="Times New Roman" w:cs="Times New Roman" w:eastAsia="Times New Roman" w:hint="default"/>
          <w:spacing w:val="-6"/>
        </w:rPr>
        <w:t>60%</w:t>
      </w:r>
      <w:r>
        <w:rPr>
          <w:rFonts w:ascii="Times New Roman" w:hAnsi="Times New Roman" w:cs="Times New Roman" w:eastAsia="Times New Roman" w:hint="default"/>
          <w:spacing w:val="-18"/>
        </w:rPr>
        <w:t> </w:t>
      </w:r>
      <w:r>
        <w:rPr>
          <w:spacing w:val="-1"/>
        </w:rPr>
        <w:t>的技术研发人员具有</w:t>
      </w:r>
      <w:r>
        <w:rPr>
          <w:rFonts w:ascii="Times New Roman" w:hAnsi="Times New Roman" w:cs="Times New Roman" w:eastAsia="Times New Roman" w:hint="default"/>
          <w:spacing w:val="-1"/>
        </w:rPr>
        <w:t>3</w:t>
      </w:r>
      <w:r>
        <w:rPr>
          <w:spacing w:val="-1"/>
        </w:rPr>
        <w:t>年以上的信息安全系统软硬件技术开发经验，可承担信息安全技术及产品研究开发、</w:t>
      </w:r>
      <w:r>
        <w:rPr>
          <w:spacing w:val="-82"/>
        </w:rPr>
        <w:t> </w:t>
      </w:r>
      <w:r>
        <w:rPr>
          <w:spacing w:val="-82"/>
        </w:rPr>
      </w:r>
      <w:r>
        <w:rPr/>
        <w:t>安全方案设计及实施、工程设计与施工等多类型任务，同时在互联网及移动互联网应用方面也储备了大量</w:t>
      </w:r>
      <w:r>
        <w:rPr/>
        <w:t> 的技术人才。同时，公司的核心技术、业务团队稳定，公司也通过实施员工持股计划、股权激励计划等激 励机制以及科学合理的薪酬机制，为公司培养和引进优秀人才打下了良好的基础。</w:t>
      </w:r>
    </w:p>
    <w:p>
      <w:pPr>
        <w:pStyle w:val="BodyText"/>
        <w:spacing w:line="384" w:lineRule="auto" w:before="77"/>
        <w:ind w:left="1553" w:right="0"/>
        <w:jc w:val="left"/>
      </w:pPr>
      <w:r>
        <w:rPr/>
        <w:t>（六）综合服务能力优势 </w:t>
      </w:r>
      <w:r>
        <w:rPr>
          <w:spacing w:val="-6"/>
        </w:rPr>
        <w:t>公司以客户需求为导向，在发展过程中逐步形成了涵盖安全产品、安全集成、安全服务及安全运营“四</w:t>
      </w:r>
    </w:p>
    <w:p>
      <w:pPr>
        <w:pStyle w:val="BodyText"/>
        <w:spacing w:line="350" w:lineRule="auto"/>
        <w:ind w:right="1131"/>
        <w:jc w:val="both"/>
      </w:pPr>
      <w:r>
        <w:rPr>
          <w:spacing w:val="-1"/>
        </w:rPr>
        <w:t>位一体”的完整业务体系，各业务模块相互促进、共同发展，形成了较强的综合服务能力，基本覆盖了不</w:t>
      </w:r>
      <w:r>
        <w:rPr>
          <w:spacing w:val="-83"/>
        </w:rPr>
        <w:t> </w:t>
      </w:r>
      <w:r>
        <w:rPr>
          <w:spacing w:val="-83"/>
        </w:rPr>
      </w:r>
      <w:r>
        <w:rPr>
          <w:spacing w:val="-1"/>
        </w:rPr>
        <w:t>同行业客户及客户不同发展阶段的信息安全需求，极大地增强了公司的综合竞争力。公司作为国内领先的</w:t>
      </w:r>
      <w:r>
        <w:rPr>
          <w:spacing w:val="-81"/>
        </w:rPr>
        <w:t> </w:t>
      </w:r>
      <w:r>
        <w:rPr>
          <w:spacing w:val="-81"/>
        </w:rPr>
      </w:r>
      <w:r>
        <w:rPr>
          <w:spacing w:val="-1"/>
        </w:rPr>
        <w:t>信息安全企业，其技术能力及综合服务能力也得到了中央政府部门的肯定，连续入围了中央国家机关政府</w:t>
      </w:r>
      <w:r>
        <w:rPr>
          <w:spacing w:val="-81"/>
        </w:rPr>
        <w:t> </w:t>
      </w:r>
      <w:r>
        <w:rPr>
          <w:spacing w:val="-81"/>
        </w:rPr>
      </w:r>
      <w:r>
        <w:rPr/>
        <w:t>集中采购信息类产品协议供货采购名录，有助于公司在全国范围内快速进行业务拓展。</w:t>
      </w:r>
    </w:p>
    <w:p>
      <w:pPr>
        <w:spacing w:after="0" w:line="350"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5"/>
        <w:jc w:val="center"/>
        <w:rPr>
          <w:b w:val="0"/>
          <w:bCs w:val="0"/>
        </w:rPr>
      </w:pPr>
      <w:bookmarkStart w:name="第四节 管理层讨论与分析" w:id="23"/>
      <w:bookmarkEnd w:id="23"/>
      <w:r>
        <w:rPr>
          <w:b w:val="0"/>
          <w:bCs w:val="0"/>
        </w:rPr>
      </w:r>
      <w:bookmarkStart w:name="_bookmark3" w:id="24"/>
      <w:bookmarkEnd w:id="24"/>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31"/>
          <w:szCs w:val="31"/>
        </w:rPr>
      </w:pPr>
    </w:p>
    <w:p>
      <w:pPr>
        <w:pStyle w:val="BodyText"/>
        <w:spacing w:line="340" w:lineRule="auto"/>
        <w:ind w:right="1016"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年，信息安全领域的历史性机遇逐步显现，公司在行业快速发展的东风下，有效实施了年度经营 计划，实现了经营业绩的快速增长。公司持续推进“大安全”产业发展战略，不断加快内生增长及外延扩 张步伐，积极开拓市场，大举研发创新，形成和巩固了公司“智慧安全领导者”的市场地位。报告期内， 公司实现营业收入</w:t>
      </w:r>
      <w:r>
        <w:rPr>
          <w:spacing w:val="-49"/>
        </w:rPr>
        <w:t> </w:t>
      </w:r>
      <w:r>
        <w:rPr>
          <w:rFonts w:ascii="Times New Roman" w:hAnsi="Times New Roman" w:cs="Times New Roman" w:eastAsia="Times New Roman" w:hint="default"/>
        </w:rPr>
        <w:t>100,092.52</w:t>
      </w:r>
      <w:r>
        <w:rPr>
          <w:rFonts w:ascii="Times New Roman" w:hAnsi="Times New Roman" w:cs="Times New Roman" w:eastAsia="Times New Roman" w:hint="default"/>
          <w:spacing w:val="3"/>
        </w:rPr>
        <w:t> </w:t>
      </w:r>
      <w:r>
        <w:rPr>
          <w:spacing w:val="-7"/>
        </w:rPr>
        <w:t>万元，同比增长</w:t>
      </w:r>
      <w:r>
        <w:rPr>
          <w:spacing w:val="-49"/>
        </w:rPr>
        <w:t> </w:t>
      </w:r>
      <w:r>
        <w:rPr>
          <w:rFonts w:ascii="Times New Roman" w:hAnsi="Times New Roman" w:cs="Times New Roman" w:eastAsia="Times New Roman" w:hint="default"/>
          <w:spacing w:val="-3"/>
        </w:rPr>
        <w:t>90.69%</w:t>
      </w:r>
      <w:r>
        <w:rPr>
          <w:spacing w:val="-3"/>
        </w:rPr>
        <w:t>；实现归属于上市公司股东的净利润</w:t>
      </w:r>
      <w:r>
        <w:rPr>
          <w:spacing w:val="-49"/>
        </w:rPr>
        <w:t> </w:t>
      </w:r>
      <w:r>
        <w:rPr>
          <w:rFonts w:ascii="Times New Roman" w:hAnsi="Times New Roman" w:cs="Times New Roman" w:eastAsia="Times New Roman" w:hint="default"/>
        </w:rPr>
        <w:t>11,945.25</w:t>
      </w:r>
      <w:r>
        <w:rPr>
          <w:rFonts w:ascii="Times New Roman" w:hAnsi="Times New Roman" w:cs="Times New Roman" w:eastAsia="Times New Roman" w:hint="default"/>
          <w:spacing w:val="3"/>
        </w:rPr>
        <w:t> </w:t>
      </w:r>
      <w:r>
        <w:rPr/>
        <w:t>万元， 同比增长</w:t>
      </w:r>
      <w:r>
        <w:rPr>
          <w:spacing w:val="-52"/>
        </w:rPr>
        <w:t> </w:t>
      </w:r>
      <w:r>
        <w:rPr>
          <w:rFonts w:ascii="Times New Roman" w:hAnsi="Times New Roman" w:cs="Times New Roman" w:eastAsia="Times New Roman" w:hint="default"/>
        </w:rPr>
        <w:t>238.37%</w:t>
      </w:r>
      <w:r>
        <w:rPr/>
        <w:t>。</w:t>
      </w:r>
    </w:p>
    <w:p>
      <w:pPr>
        <w:pStyle w:val="BodyText"/>
        <w:spacing w:line="240" w:lineRule="auto" w:before="51"/>
        <w:ind w:left="1553" w:right="0"/>
        <w:jc w:val="left"/>
      </w:pPr>
      <w:r>
        <w:rPr/>
        <w:t>报告期内，公司运营情况如下：</w:t>
      </w:r>
    </w:p>
    <w:p>
      <w:pPr>
        <w:pStyle w:val="Heading3"/>
        <w:spacing w:line="240" w:lineRule="auto" w:before="165"/>
        <w:ind w:left="1556" w:right="0"/>
        <w:jc w:val="left"/>
        <w:rPr>
          <w:b w:val="0"/>
          <w:bCs w:val="0"/>
        </w:rPr>
      </w:pPr>
      <w:r>
        <w:rPr/>
        <w:t>（一）研发创新方面</w:t>
      </w:r>
      <w:r>
        <w:rPr>
          <w:b w:val="0"/>
          <w:bCs w:val="0"/>
        </w:rPr>
      </w:r>
    </w:p>
    <w:p>
      <w:pPr>
        <w:pStyle w:val="BodyText"/>
        <w:spacing w:line="240" w:lineRule="auto" w:before="165"/>
        <w:ind w:left="1553" w:right="0"/>
        <w:jc w:val="left"/>
      </w:pPr>
      <w:r>
        <w:rPr>
          <w:rFonts w:ascii="Times New Roman" w:hAnsi="Times New Roman" w:cs="Times New Roman" w:eastAsia="Times New Roman" w:hint="default"/>
        </w:rPr>
        <w:t>1</w:t>
      </w:r>
      <w:r>
        <w:rPr/>
        <w:t>、持续加大研发投入。报告期内，公司研发投入金额为</w:t>
      </w:r>
      <w:r>
        <w:rPr>
          <w:spacing w:val="-54"/>
        </w:rPr>
        <w:t> </w:t>
      </w:r>
      <w:r>
        <w:rPr>
          <w:rFonts w:ascii="Times New Roman" w:hAnsi="Times New Roman" w:cs="Times New Roman" w:eastAsia="Times New Roman" w:hint="default"/>
        </w:rPr>
        <w:t>9,151.10</w:t>
      </w:r>
      <w:r>
        <w:rPr>
          <w:rFonts w:ascii="Times New Roman" w:hAnsi="Times New Roman" w:cs="Times New Roman" w:eastAsia="Times New Roman" w:hint="default"/>
          <w:spacing w:val="-2"/>
        </w:rPr>
        <w:t> </w:t>
      </w:r>
      <w:r>
        <w:rPr/>
        <w:t>万元，较上年增长</w:t>
      </w:r>
      <w:r>
        <w:rPr>
          <w:spacing w:val="-54"/>
        </w:rPr>
        <w:t> </w:t>
      </w:r>
      <w:r>
        <w:rPr>
          <w:rFonts w:ascii="Times New Roman" w:hAnsi="Times New Roman" w:cs="Times New Roman" w:eastAsia="Times New Roman" w:hint="default"/>
        </w:rPr>
        <w:t>24.90%</w:t>
      </w:r>
      <w:r>
        <w:rPr/>
        <w:t>。</w:t>
      </w:r>
    </w:p>
    <w:p>
      <w:pPr>
        <w:pStyle w:val="BodyText"/>
        <w:spacing w:line="340" w:lineRule="auto" w:before="148"/>
        <w:ind w:right="1024" w:firstLine="420"/>
        <w:jc w:val="left"/>
      </w:pPr>
      <w:r>
        <w:rPr>
          <w:rFonts w:ascii="Times New Roman" w:hAnsi="Times New Roman" w:cs="Times New Roman" w:eastAsia="Times New Roman" w:hint="default"/>
        </w:rPr>
        <w:t>2</w:t>
      </w:r>
      <w:r>
        <w:rPr/>
        <w:t>、积极探索新兴技术方向。报告期内，公司在不断完善、升级原有产品体系的基础上，在云计算、 大数据、虚拟化、</w:t>
      </w:r>
      <w:r>
        <w:rPr>
          <w:rFonts w:ascii="Times New Roman" w:hAnsi="Times New Roman" w:cs="Times New Roman" w:eastAsia="Times New Roman" w:hint="default"/>
        </w:rPr>
        <w:t>SDN</w:t>
      </w:r>
      <w:r>
        <w:rPr/>
        <w:t>、高并发、分布式平台架构、</w:t>
      </w:r>
      <w:r>
        <w:rPr>
          <w:rFonts w:ascii="Times New Roman" w:hAnsi="Times New Roman" w:cs="Times New Roman" w:eastAsia="Times New Roman" w:hint="default"/>
        </w:rPr>
        <w:t>WIFI</w:t>
      </w:r>
      <w:r>
        <w:rPr>
          <w:rFonts w:ascii="Times New Roman" w:hAnsi="Times New Roman" w:cs="Times New Roman" w:eastAsia="Times New Roman" w:hint="default"/>
          <w:spacing w:val="-13"/>
        </w:rPr>
        <w:t> </w:t>
      </w:r>
      <w:r>
        <w:rPr/>
        <w:t>审计、移动安全、量子密码、工业</w:t>
      </w:r>
      <w:r>
        <w:rPr>
          <w:spacing w:val="-65"/>
        </w:rPr>
        <w:t> </w:t>
      </w:r>
      <w:r>
        <w:rPr>
          <w:rFonts w:ascii="Times New Roman" w:hAnsi="Times New Roman" w:cs="Times New Roman" w:eastAsia="Times New Roman" w:hint="default"/>
        </w:rPr>
        <w:t>4.0</w:t>
      </w:r>
      <w:r>
        <w:rPr>
          <w:rFonts w:ascii="Times New Roman" w:hAnsi="Times New Roman" w:cs="Times New Roman" w:eastAsia="Times New Roman" w:hint="default"/>
          <w:spacing w:val="-13"/>
        </w:rPr>
        <w:t> </w:t>
      </w:r>
      <w:r>
        <w:rPr/>
        <w:t>安全等新 兴技术方向上积极投入研发力量，并在实际项目中逐步得到应用。其中，公司首款自主研发的移动安全产 </w:t>
      </w:r>
      <w:r>
        <w:rPr>
          <w:spacing w:val="-3"/>
        </w:rPr>
        <w:t>品“蓝盾安全卫士”正式上线并获得公安部颁发的销售许可证，该产品集网银安全、数据安全、隐私保护、</w:t>
      </w:r>
      <w:r>
        <w:rPr>
          <w:spacing w:val="-94"/>
        </w:rPr>
        <w:t> </w:t>
      </w:r>
      <w:r>
        <w:rPr>
          <w:spacing w:val="-94"/>
        </w:rPr>
      </w:r>
      <w:r>
        <w:rPr/>
        <w:t>通信安全、防垃圾短信、防骚扰电话、防吸费、手机加速、紧急求救等功能于一身，为公司产品进入移动</w:t>
      </w:r>
      <w:r>
        <w:rPr/>
        <w:t> 互联网安全领域奠定了良好基础。此外，公司还相继与国内知名高校成立了工业 </w:t>
      </w:r>
      <w:r>
        <w:rPr>
          <w:rFonts w:ascii="Times New Roman" w:hAnsi="Times New Roman" w:cs="Times New Roman" w:eastAsia="Times New Roman" w:hint="default"/>
        </w:rPr>
        <w:t>4.0</w:t>
      </w:r>
      <w:r>
        <w:rPr>
          <w:rFonts w:ascii="Times New Roman" w:hAnsi="Times New Roman" w:cs="Times New Roman" w:eastAsia="Times New Roman" w:hint="default"/>
          <w:spacing w:val="-22"/>
        </w:rPr>
        <w:t> </w:t>
      </w:r>
      <w:r>
        <w:rPr/>
        <w:t>安全实验室及量子密 码联合实验室，有助于公司在相关领域进行产品化探索。</w:t>
      </w:r>
    </w:p>
    <w:p>
      <w:pPr>
        <w:pStyle w:val="BodyText"/>
        <w:spacing w:line="345" w:lineRule="auto" w:before="77"/>
        <w:ind w:right="1024" w:firstLine="420"/>
        <w:jc w:val="left"/>
      </w:pPr>
      <w:r>
        <w:rPr>
          <w:rFonts w:ascii="Times New Roman" w:hAnsi="Times New Roman" w:cs="Times New Roman" w:eastAsia="Times New Roman" w:hint="default"/>
        </w:rPr>
        <w:t>3</w:t>
      </w:r>
      <w:r>
        <w:rPr/>
        <w:t>、形成智慧安全平台体系。报告期内，公司根据“主动、自动、联动”的“动立方”产品理念，着 </w:t>
      </w:r>
      <w:r>
        <w:rPr>
          <w:spacing w:val="-3"/>
        </w:rPr>
        <w:t>力推进产品平台化，除进一步完善安全管理平台、大数据安全管理平台、业务监控平台、教育实训平台外，</w:t>
      </w:r>
      <w:r>
        <w:rPr>
          <w:spacing w:val="-95"/>
        </w:rPr>
        <w:t> </w:t>
      </w:r>
      <w:r>
        <w:rPr>
          <w:spacing w:val="-95"/>
        </w:rPr>
      </w:r>
      <w:r>
        <w:rPr>
          <w:spacing w:val="-1"/>
        </w:rPr>
        <w:t>还在国内首创了“智慧安全平台”，该平台包含了智能分析引擎、智慧主动防御、智慧自动内控等几大核</w:t>
      </w:r>
      <w:r>
        <w:rPr>
          <w:spacing w:val="-94"/>
        </w:rPr>
        <w:t> </w:t>
      </w:r>
      <w:r>
        <w:rPr>
          <w:spacing w:val="-94"/>
        </w:rPr>
      </w:r>
      <w:r>
        <w:rPr>
          <w:spacing w:val="-3"/>
        </w:rPr>
        <w:t>心组织，并使用了反扫描技术、蜜罐技术、反向拍照技术、安全仿真机器人技术、大数据智能分析等技术，</w:t>
      </w:r>
      <w:r>
        <w:rPr>
          <w:spacing w:val="-94"/>
        </w:rPr>
        <w:t> </w:t>
      </w:r>
      <w:r>
        <w:rPr>
          <w:spacing w:val="-94"/>
        </w:rPr>
      </w:r>
      <w:r>
        <w:rPr/>
        <w:t>有效解决了客户安全感知和安全体验方面的痛点。</w:t>
      </w:r>
    </w:p>
    <w:p>
      <w:pPr>
        <w:pStyle w:val="BodyText"/>
        <w:spacing w:line="343" w:lineRule="auto" w:before="73"/>
        <w:ind w:left="1134" w:right="1133" w:firstLine="420"/>
        <w:jc w:val="both"/>
      </w:pPr>
      <w:r>
        <w:rPr>
          <w:rFonts w:ascii="Times New Roman" w:hAnsi="Times New Roman" w:cs="Times New Roman" w:eastAsia="Times New Roman" w:hint="default"/>
        </w:rPr>
        <w:t>4</w:t>
      </w:r>
      <w:r>
        <w:rPr/>
        <w:t>、加强重点行业产品的研发整合。报告期内，公司根据实际业务需求，针对重点行业的相关产品进 </w:t>
      </w:r>
      <w:r>
        <w:rPr>
          <w:spacing w:val="-1"/>
        </w:rPr>
        <w:t>行了进一步研发整合。如针对保密行业，形成了内网保密系统、保密检查系统、接入保密检测器、互联网</w:t>
      </w:r>
      <w:r>
        <w:rPr>
          <w:spacing w:val="-83"/>
        </w:rPr>
        <w:t> </w:t>
      </w:r>
      <w:r>
        <w:rPr>
          <w:spacing w:val="-83"/>
        </w:rPr>
      </w:r>
      <w:r>
        <w:rPr>
          <w:spacing w:val="-1"/>
        </w:rPr>
        <w:t>门户网站检查系统等系统体系；针对教育行业，形成了云安全实训平台、网络安全竞赛平台、安全研发平</w:t>
      </w:r>
      <w:r>
        <w:rPr>
          <w:spacing w:val="-86"/>
        </w:rPr>
        <w:t> </w:t>
      </w:r>
      <w:r>
        <w:rPr>
          <w:spacing w:val="-86"/>
        </w:rPr>
      </w:r>
      <w:r>
        <w:rPr/>
        <w:t>台、渗透平台等平台体系。</w:t>
      </w:r>
    </w:p>
    <w:p>
      <w:pPr>
        <w:pStyle w:val="BodyText"/>
        <w:spacing w:line="331" w:lineRule="auto" w:before="75"/>
        <w:ind w:right="1130" w:firstLine="420"/>
        <w:jc w:val="both"/>
      </w:pPr>
      <w:r>
        <w:rPr>
          <w:rFonts w:ascii="Times New Roman" w:hAnsi="Times New Roman" w:cs="Times New Roman" w:eastAsia="Times New Roman" w:hint="default"/>
        </w:rPr>
        <w:t>5</w:t>
      </w:r>
      <w:r>
        <w:rPr/>
        <w:t>、知识产权成果丰富。报告期内，公司新增专利</w:t>
      </w:r>
      <w:r>
        <w:rPr>
          <w:rFonts w:ascii="Times New Roman" w:hAnsi="Times New Roman" w:cs="Times New Roman" w:eastAsia="Times New Roman" w:hint="default"/>
        </w:rPr>
        <w:t>5</w:t>
      </w:r>
      <w:r>
        <w:rPr/>
        <w:t>项，新增软件著作权</w:t>
      </w:r>
      <w:r>
        <w:rPr>
          <w:rFonts w:ascii="Times New Roman" w:hAnsi="Times New Roman" w:cs="Times New Roman" w:eastAsia="Times New Roman" w:hint="default"/>
        </w:rPr>
        <w:t>2</w:t>
      </w:r>
      <w:r>
        <w:rPr/>
        <w:t>项；子公司蓝盾技术新增软 件著作权</w:t>
      </w:r>
      <w:r>
        <w:rPr>
          <w:rFonts w:ascii="Times New Roman" w:hAnsi="Times New Roman" w:cs="Times New Roman" w:eastAsia="Times New Roman" w:hint="default"/>
        </w:rPr>
        <w:t>4</w:t>
      </w:r>
      <w:r>
        <w:rPr/>
        <w:t>项；子公司华炜科技新增专利</w:t>
      </w:r>
      <w:r>
        <w:rPr>
          <w:rFonts w:ascii="Times New Roman" w:hAnsi="Times New Roman" w:cs="Times New Roman" w:eastAsia="Times New Roman" w:hint="default"/>
        </w:rPr>
        <w:t>7</w:t>
      </w:r>
      <w:r>
        <w:rPr/>
        <w:t>项，新增软件著作权</w:t>
      </w:r>
      <w:r>
        <w:rPr>
          <w:rFonts w:ascii="Times New Roman" w:hAnsi="Times New Roman" w:cs="Times New Roman" w:eastAsia="Times New Roman" w:hint="default"/>
        </w:rPr>
        <w:t>3</w:t>
      </w:r>
      <w:r>
        <w:rPr/>
        <w:t>项。截至报告期末，蓝盾股份拥有专利</w:t>
      </w:r>
      <w:r>
        <w:rPr>
          <w:rFonts w:ascii="Times New Roman" w:hAnsi="Times New Roman" w:cs="Times New Roman" w:eastAsia="Times New Roman" w:hint="default"/>
        </w:rPr>
        <w:t>19</w:t>
      </w:r>
      <w:r>
        <w:rPr>
          <w:rFonts w:ascii="Times New Roman" w:hAnsi="Times New Roman" w:cs="Times New Roman" w:eastAsia="Times New Roman" w:hint="default"/>
          <w:spacing w:val="22"/>
        </w:rPr>
        <w:t> </w:t>
      </w:r>
      <w:r>
        <w:rPr>
          <w:spacing w:val="-3"/>
        </w:rPr>
        <w:t>项，软件著作权</w:t>
      </w:r>
      <w:r>
        <w:rPr>
          <w:rFonts w:ascii="Times New Roman" w:hAnsi="Times New Roman" w:cs="Times New Roman" w:eastAsia="Times New Roman" w:hint="default"/>
          <w:spacing w:val="-3"/>
        </w:rPr>
        <w:t>125</w:t>
      </w:r>
      <w:r>
        <w:rPr>
          <w:spacing w:val="-3"/>
        </w:rPr>
        <w:t>项；蓝盾技术拥有专利</w:t>
      </w:r>
      <w:r>
        <w:rPr>
          <w:rFonts w:ascii="Times New Roman" w:hAnsi="Times New Roman" w:cs="Times New Roman" w:eastAsia="Times New Roman" w:hint="default"/>
          <w:spacing w:val="-3"/>
        </w:rPr>
        <w:t>1</w:t>
      </w:r>
      <w:r>
        <w:rPr>
          <w:spacing w:val="-3"/>
        </w:rPr>
        <w:t>项，软件著作权</w:t>
      </w:r>
      <w:r>
        <w:rPr>
          <w:rFonts w:ascii="Times New Roman" w:hAnsi="Times New Roman" w:cs="Times New Roman" w:eastAsia="Times New Roman" w:hint="default"/>
          <w:spacing w:val="-3"/>
        </w:rPr>
        <w:t>111</w:t>
      </w:r>
      <w:r>
        <w:rPr>
          <w:spacing w:val="-3"/>
        </w:rPr>
        <w:t>项；华炜科技拥有专利</w:t>
      </w:r>
      <w:r>
        <w:rPr>
          <w:rFonts w:ascii="Times New Roman" w:hAnsi="Times New Roman" w:cs="Times New Roman" w:eastAsia="Times New Roman" w:hint="default"/>
          <w:spacing w:val="-3"/>
        </w:rPr>
        <w:t>50</w:t>
      </w:r>
      <w:r>
        <w:rPr>
          <w:spacing w:val="-3"/>
        </w:rPr>
        <w:t>项，软件著作权</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0"/>
        </w:rPr>
        <w:t> </w:t>
      </w:r>
      <w:r>
        <w:rPr/>
        <w:t>项。</w:t>
      </w:r>
    </w:p>
    <w:p>
      <w:pPr>
        <w:spacing w:after="0" w:line="331" w:lineRule="auto"/>
        <w:jc w:val="both"/>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3"/>
        <w:spacing w:line="240" w:lineRule="auto" w:before="35"/>
        <w:ind w:left="1556" w:right="0"/>
        <w:jc w:val="left"/>
        <w:rPr>
          <w:b w:val="0"/>
          <w:bCs w:val="0"/>
        </w:rPr>
      </w:pPr>
      <w:r>
        <w:rPr/>
        <w:t>（二）市场拓展方面</w:t>
      </w:r>
      <w:r>
        <w:rPr>
          <w:b w:val="0"/>
          <w:bCs w:val="0"/>
        </w:rPr>
      </w:r>
    </w:p>
    <w:p>
      <w:pPr>
        <w:pStyle w:val="BodyText"/>
        <w:spacing w:line="240" w:lineRule="auto" w:before="164"/>
        <w:ind w:left="1553" w:right="0"/>
        <w:jc w:val="left"/>
      </w:pPr>
      <w:r>
        <w:rPr>
          <w:rFonts w:ascii="Times New Roman" w:hAnsi="Times New Roman" w:cs="Times New Roman" w:eastAsia="Times New Roman" w:hint="default"/>
        </w:rPr>
        <w:t>1</w:t>
      </w:r>
      <w:r>
        <w:rPr/>
        <w:t>、销售业绩大幅提升。报告期内，公司实现营业收入</w:t>
      </w:r>
      <w:r>
        <w:rPr>
          <w:spacing w:val="-54"/>
        </w:rPr>
        <w:t> </w:t>
      </w:r>
      <w:r>
        <w:rPr>
          <w:rFonts w:ascii="Times New Roman" w:hAnsi="Times New Roman" w:cs="Times New Roman" w:eastAsia="Times New Roman" w:hint="default"/>
        </w:rPr>
        <w:t>100,092.52</w:t>
      </w:r>
      <w:r>
        <w:rPr>
          <w:rFonts w:ascii="Times New Roman" w:hAnsi="Times New Roman" w:cs="Times New Roman" w:eastAsia="Times New Roman" w:hint="default"/>
          <w:spacing w:val="-2"/>
        </w:rPr>
        <w:t> </w:t>
      </w:r>
      <w:r>
        <w:rPr/>
        <w:t>万元，同比增长</w:t>
      </w:r>
      <w:r>
        <w:rPr>
          <w:spacing w:val="-54"/>
        </w:rPr>
        <w:t> </w:t>
      </w:r>
      <w:r>
        <w:rPr>
          <w:rFonts w:ascii="Times New Roman" w:hAnsi="Times New Roman" w:cs="Times New Roman" w:eastAsia="Times New Roman" w:hint="default"/>
        </w:rPr>
        <w:t>90.69%</w:t>
      </w:r>
      <w:r>
        <w:rPr/>
        <w:t>。</w:t>
      </w:r>
    </w:p>
    <w:p>
      <w:pPr>
        <w:pStyle w:val="BodyText"/>
        <w:spacing w:line="345" w:lineRule="auto" w:before="150"/>
        <w:ind w:right="1109" w:firstLine="420"/>
        <w:jc w:val="right"/>
      </w:pPr>
      <w:r>
        <w:rPr>
          <w:rFonts w:ascii="Times New Roman" w:hAnsi="Times New Roman" w:cs="Times New Roman" w:eastAsia="Times New Roman" w:hint="default"/>
        </w:rPr>
        <w:t>2</w:t>
      </w:r>
      <w:r>
        <w:rPr/>
        <w:t>、重点行业的案例效应不断深化。行业化营销是公司切入重点行业的重要方式，而在相关行业的典 </w:t>
      </w:r>
      <w:r>
        <w:rPr>
          <w:spacing w:val="-1"/>
        </w:rPr>
        <w:t>型案例则是公司抢占市场的有力武器，报告期内，公司在多个重点行业形成了典型案例，而这种案例效应</w:t>
      </w:r>
      <w:r>
        <w:rPr/>
        <w:t> </w:t>
      </w:r>
      <w:r>
        <w:rPr>
          <w:spacing w:val="-1"/>
        </w:rPr>
        <w:t>也在持续发挥着作用。如在分级保护领域，公司重点推进广东省内的检察院、纪委、机要局等分级保护项</w:t>
      </w:r>
      <w:r>
        <w:rPr/>
        <w:t> </w:t>
      </w:r>
      <w:r>
        <w:rPr>
          <w:spacing w:val="-1"/>
        </w:rPr>
        <w:t>目，该等项目一般体量较大，未来分级保护项目也将在全国各省市全面开展；在教育行业，乘着“网络空</w:t>
      </w:r>
      <w:r>
        <w:rPr/>
        <w:t> </w:t>
      </w:r>
      <w:r>
        <w:rPr>
          <w:spacing w:val="-1"/>
        </w:rPr>
        <w:t>间安全”升级为一级学科的东风，公司与国内众多高校、职校展开合作，建设了一批信息安全实验室，举</w:t>
      </w:r>
      <w:r>
        <w:rPr/>
        <w:t> </w:t>
      </w:r>
      <w:r>
        <w:rPr>
          <w:spacing w:val="-1"/>
        </w:rPr>
        <w:t>办了一系列信息安全攻防大赛，安全实验室项目预计也将在今后数年迎来建设高峰期；在应急行业，公司</w:t>
      </w:r>
      <w:r>
        <w:rPr/>
        <w:t> </w:t>
      </w:r>
      <w:r>
        <w:rPr>
          <w:spacing w:val="-1"/>
        </w:rPr>
        <w:t>陆续切入省、地市、区县各级政府应急平台项目，并逐步推进安全生产应急、三防应急等项目；在公安行</w:t>
      </w:r>
      <w:r>
        <w:rPr/>
        <w:t> 业，除了大量传统的网络安全产品和安全集成需求外，公司还在公安警务云项目等方面形成了典型案例。</w:t>
      </w:r>
    </w:p>
    <w:p>
      <w:pPr>
        <w:pStyle w:val="BodyText"/>
        <w:spacing w:line="333" w:lineRule="auto" w:before="73"/>
        <w:ind w:right="1130" w:firstLine="420"/>
        <w:jc w:val="both"/>
      </w:pPr>
      <w:r>
        <w:rPr>
          <w:rFonts w:ascii="Times New Roman" w:hAnsi="Times New Roman" w:cs="Times New Roman" w:eastAsia="Times New Roman" w:hint="default"/>
        </w:rPr>
        <w:t>3</w:t>
      </w:r>
      <w:r>
        <w:rPr/>
        <w:t>、渠道销售模式全面铺开。根据信息安全行业的特点，报告期内，公司在广东省外全面推行渠道销 售模式，签约的渠道数量超过 </w:t>
      </w:r>
      <w:r>
        <w:rPr>
          <w:rFonts w:ascii="Times New Roman" w:hAnsi="Times New Roman" w:cs="Times New Roman" w:eastAsia="Times New Roman" w:hint="default"/>
        </w:rPr>
        <w:t>65</w:t>
      </w:r>
      <w:r>
        <w:rPr>
          <w:rFonts w:ascii="Times New Roman" w:hAnsi="Times New Roman" w:cs="Times New Roman" w:eastAsia="Times New Roman" w:hint="default"/>
          <w:spacing w:val="30"/>
        </w:rPr>
        <w:t> </w:t>
      </w:r>
      <w:r>
        <w:rPr/>
        <w:t>家，并在销售业绩上取得了显著的效果。在该种营销模式下，公司在省 </w:t>
      </w:r>
      <w:r>
        <w:rPr>
          <w:spacing w:val="-1"/>
        </w:rPr>
        <w:t>外实行大区制管理，在各行业和区域深化推进网格化管理，营销效率得到了较快提升。报告期内，公司的</w:t>
      </w:r>
      <w:r>
        <w:rPr>
          <w:spacing w:val="-84"/>
        </w:rPr>
        <w:t> </w:t>
      </w:r>
      <w:r>
        <w:rPr>
          <w:spacing w:val="-84"/>
        </w:rPr>
      </w:r>
      <w:r>
        <w:rPr/>
        <w:t>安全产品收入达到</w:t>
      </w:r>
      <w:r>
        <w:rPr>
          <w:spacing w:val="-42"/>
        </w:rPr>
        <w:t> </w:t>
      </w:r>
      <w:r>
        <w:rPr>
          <w:rFonts w:ascii="Times New Roman" w:hAnsi="Times New Roman" w:cs="Times New Roman" w:eastAsia="Times New Roman" w:hint="default"/>
        </w:rPr>
        <w:t>31,888.46</w:t>
      </w:r>
      <w:r>
        <w:rPr>
          <w:rFonts w:ascii="Times New Roman" w:hAnsi="Times New Roman" w:cs="Times New Roman" w:eastAsia="Times New Roman" w:hint="default"/>
          <w:spacing w:val="10"/>
        </w:rPr>
        <w:t> </w:t>
      </w:r>
      <w:r>
        <w:rPr/>
        <w:t>万元，同比增长</w:t>
      </w:r>
      <w:r>
        <w:rPr>
          <w:spacing w:val="-42"/>
        </w:rPr>
        <w:t> </w:t>
      </w:r>
      <w:r>
        <w:rPr>
          <w:rFonts w:ascii="Times New Roman" w:hAnsi="Times New Roman" w:cs="Times New Roman" w:eastAsia="Times New Roman" w:hint="default"/>
        </w:rPr>
        <w:t>245.08%</w:t>
      </w:r>
      <w:r>
        <w:rPr/>
        <w:t>，占公司总收入的比例达到了</w:t>
      </w:r>
      <w:r>
        <w:rPr>
          <w:spacing w:val="-42"/>
        </w:rPr>
        <w:t> </w:t>
      </w:r>
      <w:r>
        <w:rPr>
          <w:rFonts w:ascii="Times New Roman" w:hAnsi="Times New Roman" w:cs="Times New Roman" w:eastAsia="Times New Roman" w:hint="default"/>
        </w:rPr>
        <w:t>31.86%</w:t>
      </w:r>
      <w:r>
        <w:rPr/>
        <w:t>；而来自华南 以外区域的收入占比也从上年的 </w:t>
      </w:r>
      <w:r>
        <w:rPr>
          <w:rFonts w:ascii="Times New Roman" w:hAnsi="Times New Roman" w:cs="Times New Roman" w:eastAsia="Times New Roman" w:hint="default"/>
        </w:rPr>
        <w:t>13.76%</w:t>
      </w:r>
      <w:r>
        <w:rPr/>
        <w:t>明显提升至</w:t>
      </w:r>
      <w:r>
        <w:rPr>
          <w:spacing w:val="-59"/>
        </w:rPr>
        <w:t> </w:t>
      </w:r>
      <w:r>
        <w:rPr>
          <w:rFonts w:ascii="Times New Roman" w:hAnsi="Times New Roman" w:cs="Times New Roman" w:eastAsia="Times New Roman" w:hint="default"/>
        </w:rPr>
        <w:t>21.32%</w:t>
      </w:r>
      <w:r>
        <w:rPr/>
        <w:t>。此外，借助子公司华炜科技在国防军工、轨 道交通等行业渠道，公司的安全产品也切入到部分军队总部项目。</w:t>
      </w:r>
    </w:p>
    <w:p>
      <w:pPr>
        <w:pStyle w:val="BodyText"/>
        <w:spacing w:line="336" w:lineRule="auto" w:before="83"/>
        <w:ind w:right="1130" w:firstLine="420"/>
        <w:jc w:val="both"/>
      </w:pPr>
      <w:r>
        <w:rPr>
          <w:rFonts w:ascii="Times New Roman" w:hAnsi="Times New Roman" w:cs="Times New Roman" w:eastAsia="Times New Roman" w:hint="default"/>
        </w:rPr>
        <w:t>4</w:t>
      </w:r>
      <w:r>
        <w:rPr/>
        <w:t>、入围中直机关及中央政府集中采购项目。报告期内，子公司蓝盾技术多款产品相继入围了中共中 央直属机关</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年信息类产品政府采购协议供货采购项目及中央国家机关政府集中采购</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年信息类产 </w:t>
      </w:r>
      <w:r>
        <w:rPr>
          <w:spacing w:val="-1"/>
        </w:rPr>
        <w:t>品协议供货采购项目，显示出中央国家机关对公司技术实力的肯定，相关集中采购名录往往是地方政府采</w:t>
      </w:r>
      <w:r>
        <w:rPr>
          <w:spacing w:val="-81"/>
        </w:rPr>
        <w:t> </w:t>
      </w:r>
      <w:r>
        <w:rPr>
          <w:spacing w:val="-81"/>
        </w:rPr>
      </w:r>
      <w:r>
        <w:rPr/>
        <w:t>购的风向标，对公司安全产品和解决方案进入总部级项目及重点的地方级项目具有重要意义。</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3"/>
        <w:spacing w:line="240" w:lineRule="auto"/>
        <w:ind w:left="1556" w:right="0"/>
        <w:jc w:val="left"/>
        <w:rPr>
          <w:b w:val="0"/>
          <w:bCs w:val="0"/>
        </w:rPr>
      </w:pPr>
      <w:r>
        <w:rPr/>
        <w:t>（三）投资并购方面</w:t>
      </w:r>
      <w:r>
        <w:rPr>
          <w:b w:val="0"/>
          <w:bCs w:val="0"/>
        </w:rPr>
      </w:r>
    </w:p>
    <w:p>
      <w:pPr>
        <w:pStyle w:val="BodyText"/>
        <w:spacing w:line="240" w:lineRule="auto" w:before="164"/>
        <w:ind w:left="1553" w:right="0"/>
        <w:jc w:val="left"/>
      </w:pPr>
      <w:r>
        <w:rPr>
          <w:rFonts w:ascii="Times New Roman" w:hAnsi="Times New Roman" w:cs="Times New Roman" w:eastAsia="Times New Roman" w:hint="default"/>
        </w:rPr>
        <w:t>1</w:t>
      </w:r>
      <w:r>
        <w:rPr/>
        <w:t>、完成与华炜科技的重组实施工作，实现并表。报告期内，公司发行股份及支付现金购买华炜科技</w:t>
      </w:r>
    </w:p>
    <w:p>
      <w:pPr>
        <w:pStyle w:val="BodyText"/>
        <w:spacing w:line="336" w:lineRule="auto" w:before="110"/>
        <w:ind w:right="1131"/>
        <w:jc w:val="both"/>
      </w:pPr>
      <w:r>
        <w:rPr>
          <w:rFonts w:ascii="Times New Roman" w:hAnsi="Times New Roman" w:cs="Times New Roman" w:eastAsia="Times New Roman" w:hint="default"/>
        </w:rPr>
        <w:t>100%</w:t>
      </w:r>
      <w:r>
        <w:rPr/>
        <w:t>股权的重组方案获得中国证监会核准，公司有序推进该重组方案的实施工作，华炜科技自 </w:t>
      </w:r>
      <w:r>
        <w:rPr>
          <w:rFonts w:ascii="Times New Roman" w:hAnsi="Times New Roman" w:cs="Times New Roman" w:eastAsia="Times New Roman" w:hint="default"/>
        </w:rPr>
        <w:t>2015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w w:val="99"/>
        </w:rPr>
        <w:t> </w:t>
      </w:r>
      <w:r>
        <w:rPr>
          <w:spacing w:val="-1"/>
        </w:rPr>
        <w:t>月起正式纳入公司合并报表范围，推动了公司报告期营业收入和净利润的增长，而华炜科技也顺利达成了</w:t>
      </w:r>
      <w:r>
        <w:rPr>
          <w:spacing w:val="-82"/>
        </w:rPr>
        <w:t> </w:t>
      </w:r>
      <w:r>
        <w:rPr>
          <w:spacing w:val="-82"/>
        </w:rPr>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spacing w:val="-2"/>
        </w:rPr>
        <w:t>年的业绩承诺。同时，公司积极推进与华炜科技的整合工作，在业务渠道、技术研发、资质申请等方</w:t>
      </w:r>
      <w:r>
        <w:rPr>
          <w:w w:val="99"/>
        </w:rPr>
        <w:t> </w:t>
      </w:r>
      <w:r>
        <w:rPr/>
        <w:t>面的协同效应也逐步显现。</w:t>
      </w:r>
    </w:p>
    <w:p>
      <w:pPr>
        <w:pStyle w:val="BodyText"/>
        <w:spacing w:line="336" w:lineRule="auto" w:before="80"/>
        <w:ind w:right="1016" w:firstLine="420"/>
        <w:jc w:val="left"/>
      </w:pPr>
      <w:r>
        <w:rPr>
          <w:rFonts w:ascii="Times New Roman" w:hAnsi="Times New Roman" w:cs="Times New Roman" w:eastAsia="Times New Roman" w:hint="default"/>
        </w:rPr>
        <w:t>2</w:t>
      </w:r>
      <w:r>
        <w:rPr/>
        <w:t>、推进与中经电商及汇通宝的重组项目。报告期内，公司再次因筹划重大资产重组停牌，本次拟以 发行股份及支付现金的方式收购中经电商和汇通宝</w:t>
      </w:r>
      <w:r>
        <w:rPr>
          <w:spacing w:val="-49"/>
        </w:rPr>
        <w:t> </w:t>
      </w:r>
      <w:r>
        <w:rPr>
          <w:rFonts w:ascii="Times New Roman" w:hAnsi="Times New Roman" w:cs="Times New Roman" w:eastAsia="Times New Roman" w:hint="default"/>
          <w:spacing w:val="-6"/>
        </w:rPr>
        <w:t>100%</w:t>
      </w:r>
      <w:r>
        <w:rPr>
          <w:spacing w:val="-6"/>
        </w:rPr>
        <w:t>股权，交易总对价为</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spacing w:val="-7"/>
        </w:rPr>
        <w:t>亿元。截至本报告披露日，</w:t>
      </w:r>
      <w:r>
        <w:rPr/>
        <w:t> 公司已取得中国证监会《关于核准蓝盾信息安全技术股份有限公司向中经汇通有限责任公司发行股份购买 </w:t>
      </w:r>
      <w:r>
        <w:rPr>
          <w:spacing w:val="-4"/>
        </w:rPr>
        <w:t>资产并募集配套资金的批复》（证监许可【</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616</w:t>
      </w:r>
      <w:r>
        <w:rPr>
          <w:rFonts w:ascii="Times New Roman" w:hAnsi="Times New Roman" w:cs="Times New Roman" w:eastAsia="Times New Roman" w:hint="default"/>
          <w:spacing w:val="33"/>
        </w:rPr>
        <w:t> </w:t>
      </w:r>
      <w:r>
        <w:rPr>
          <w:spacing w:val="-5"/>
        </w:rPr>
        <w:t>号），相关资产的过户事宜正在办理之中。根据中经</w:t>
      </w:r>
      <w:r>
        <w:rPr>
          <w:spacing w:val="-101"/>
        </w:rPr>
        <w:t> </w:t>
      </w:r>
      <w:r>
        <w:rPr>
          <w:spacing w:val="-101"/>
        </w:rPr>
      </w:r>
      <w:r>
        <w:rPr/>
        <w:t>电商及汇通宝</w:t>
      </w:r>
      <w:r>
        <w:rPr>
          <w:spacing w:val="-6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年来的发展趋势，重组完成后，将有望显著增强公司的盈利能力，加速推进“大安全”</w:t>
      </w:r>
    </w:p>
    <w:p>
      <w:pPr>
        <w:spacing w:after="0" w:line="336"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产业发展战略。</w:t>
      </w:r>
    </w:p>
    <w:p>
      <w:pPr>
        <w:pStyle w:val="BodyText"/>
        <w:spacing w:line="333" w:lineRule="auto" w:before="165"/>
        <w:ind w:right="1024" w:firstLine="420"/>
        <w:jc w:val="left"/>
      </w:pPr>
      <w:r>
        <w:rPr>
          <w:rFonts w:ascii="Times New Roman" w:hAnsi="Times New Roman" w:cs="Times New Roman" w:eastAsia="Times New Roman" w:hint="default"/>
        </w:rPr>
        <w:t>3</w:t>
      </w:r>
      <w:r>
        <w:rPr/>
        <w:t>、增资及投资设立多家子公司。报告期内，根据业务拓展需要，公司以自有资金</w:t>
      </w:r>
      <w:r>
        <w:rPr>
          <w:rFonts w:ascii="Times New Roman" w:hAnsi="Times New Roman" w:cs="Times New Roman" w:eastAsia="Times New Roman" w:hint="default"/>
        </w:rPr>
        <w:t>5,000</w:t>
      </w:r>
      <w:r>
        <w:rPr/>
        <w:t>万元对全资子 公司蓝盾技术进行了增资，其注册资本增加至</w:t>
      </w:r>
      <w:r>
        <w:rPr>
          <w:rFonts w:ascii="Times New Roman" w:hAnsi="Times New Roman" w:cs="Times New Roman" w:eastAsia="Times New Roman" w:hint="default"/>
        </w:rPr>
        <w:t>2</w:t>
      </w:r>
      <w:r>
        <w:rPr/>
        <w:t>亿元，蓝盾技术作为公司的业务主体之一，其项目拓展能</w:t>
      </w:r>
      <w:r>
        <w:rPr>
          <w:spacing w:val="-30"/>
        </w:rPr>
        <w:t> </w:t>
      </w:r>
      <w:r>
        <w:rPr>
          <w:spacing w:val="-30"/>
        </w:rPr>
      </w:r>
      <w:r>
        <w:rPr>
          <w:spacing w:val="-2"/>
        </w:rPr>
        <w:t>力获得大幅提升，</w:t>
      </w:r>
      <w:r>
        <w:rPr>
          <w:rFonts w:ascii="Times New Roman" w:hAnsi="Times New Roman" w:cs="Times New Roman" w:eastAsia="Times New Roman" w:hint="default"/>
          <w:spacing w:val="-2"/>
        </w:rPr>
        <w:t>2015</w:t>
      </w:r>
      <w:r>
        <w:rPr>
          <w:spacing w:val="-2"/>
        </w:rPr>
        <w:t>年实现营业收入</w:t>
      </w:r>
      <w:r>
        <w:rPr>
          <w:rFonts w:ascii="Times New Roman" w:hAnsi="Times New Roman" w:cs="Times New Roman" w:eastAsia="Times New Roman" w:hint="default"/>
          <w:spacing w:val="-2"/>
        </w:rPr>
        <w:t>5.54</w:t>
      </w:r>
      <w:r>
        <w:rPr>
          <w:spacing w:val="-2"/>
        </w:rPr>
        <w:t>亿元，同比增长</w:t>
      </w:r>
      <w:r>
        <w:rPr>
          <w:rFonts w:ascii="Times New Roman" w:hAnsi="Times New Roman" w:cs="Times New Roman" w:eastAsia="Times New Roman" w:hint="default"/>
          <w:spacing w:val="-2"/>
        </w:rPr>
        <w:t>122.35%</w:t>
      </w:r>
      <w:r>
        <w:rPr>
          <w:spacing w:val="-2"/>
        </w:rPr>
        <w:t>；报告期内，为支持控股子公司蓝盾乐</w:t>
      </w:r>
      <w:r>
        <w:rPr>
          <w:spacing w:val="-94"/>
        </w:rPr>
        <w:t> </w:t>
      </w:r>
      <w:r>
        <w:rPr>
          <w:spacing w:val="-94"/>
        </w:rPr>
      </w:r>
      <w:r>
        <w:rPr>
          <w:spacing w:val="6"/>
        </w:rPr>
        <w:t>庚在应急领域的业务拓展，公司以自有资金</w:t>
      </w:r>
      <w:r>
        <w:rPr>
          <w:rFonts w:ascii="Times New Roman" w:hAnsi="Times New Roman" w:cs="Times New Roman" w:eastAsia="Times New Roman" w:hint="default"/>
          <w:spacing w:val="6"/>
        </w:rPr>
        <w:t>1,200</w:t>
      </w:r>
      <w:r>
        <w:rPr>
          <w:spacing w:val="6"/>
        </w:rPr>
        <w:t>万元对其进行了增资，蓝盾乐庚</w:t>
      </w:r>
      <w:r>
        <w:rPr>
          <w:rFonts w:ascii="Times New Roman" w:hAnsi="Times New Roman" w:cs="Times New Roman" w:eastAsia="Times New Roman" w:hint="default"/>
          <w:spacing w:val="6"/>
        </w:rPr>
        <w:t>2015</w:t>
      </w:r>
      <w:r>
        <w:rPr>
          <w:spacing w:val="6"/>
        </w:rPr>
        <w:t>年实现营业收入</w:t>
      </w:r>
      <w:r>
        <w:rPr>
          <w:spacing w:val="-70"/>
        </w:rPr>
        <w:t> </w:t>
      </w:r>
      <w:r>
        <w:rPr>
          <w:spacing w:val="-70"/>
        </w:rPr>
      </w:r>
      <w:r>
        <w:rPr>
          <w:rFonts w:ascii="Times New Roman" w:hAnsi="Times New Roman" w:cs="Times New Roman" w:eastAsia="Times New Roman" w:hint="default"/>
        </w:rPr>
        <w:t>3057.74</w:t>
      </w:r>
      <w:r>
        <w:rPr/>
        <w:t>万元，同比增长</w:t>
      </w:r>
      <w:r>
        <w:rPr>
          <w:rFonts w:ascii="Times New Roman" w:hAnsi="Times New Roman" w:cs="Times New Roman" w:eastAsia="Times New Roman" w:hint="default"/>
        </w:rPr>
        <w:t>97.36%</w:t>
      </w:r>
      <w:r>
        <w:rPr/>
        <w:t>；报告期内，公司分别投资</w:t>
      </w:r>
      <w:r>
        <w:rPr>
          <w:rFonts w:ascii="Times New Roman" w:hAnsi="Times New Roman" w:cs="Times New Roman" w:eastAsia="Times New Roman" w:hint="default"/>
        </w:rPr>
        <w:t>1,000</w:t>
      </w:r>
      <w:r>
        <w:rPr/>
        <w:t>万元在北京、广西、深圳三地设立全资子</w:t>
      </w:r>
      <w:r>
        <w:rPr>
          <w:spacing w:val="-50"/>
        </w:rPr>
        <w:t> </w:t>
      </w:r>
      <w:r>
        <w:rPr>
          <w:spacing w:val="-50"/>
        </w:rPr>
      </w:r>
      <w:r>
        <w:rPr/>
        <w:t>公司，以便在当地独立开展经营活动，拓展全国化业务布局；报告期内，公司以自有资金</w:t>
      </w:r>
      <w:r>
        <w:rPr>
          <w:rFonts w:ascii="Times New Roman" w:hAnsi="Times New Roman" w:cs="Times New Roman" w:eastAsia="Times New Roman" w:hint="default"/>
        </w:rPr>
        <w:t>750</w:t>
      </w:r>
      <w:r>
        <w:rPr/>
        <w:t>万元投资设</w:t>
      </w:r>
      <w:r>
        <w:rPr>
          <w:spacing w:val="-27"/>
        </w:rPr>
        <w:t> </w:t>
      </w:r>
      <w:r>
        <w:rPr>
          <w:spacing w:val="-27"/>
        </w:rPr>
      </w:r>
      <w:r>
        <w:rPr/>
        <w:t>立蓝盾新微，占该公司</w:t>
      </w:r>
      <w:r>
        <w:rPr>
          <w:rFonts w:ascii="Times New Roman" w:hAnsi="Times New Roman" w:cs="Times New Roman" w:eastAsia="Times New Roman" w:hint="default"/>
        </w:rPr>
        <w:t>75%</w:t>
      </w:r>
      <w:r>
        <w:rPr/>
        <w:t>的股权，蓝盾新微在报告期内已完成</w:t>
      </w:r>
      <w:r>
        <w:rPr>
          <w:rFonts w:ascii="Times New Roman" w:hAnsi="Times New Roman" w:cs="Times New Roman" w:eastAsia="Times New Roman" w:hint="default"/>
        </w:rPr>
        <w:t>VTS</w:t>
      </w:r>
      <w:r>
        <w:rPr/>
        <w:t>雷达产品的研发设计工作，公司将藉</w:t>
      </w:r>
      <w:r>
        <w:rPr>
          <w:spacing w:val="-74"/>
        </w:rPr>
        <w:t> </w:t>
      </w:r>
      <w:r>
        <w:rPr>
          <w:spacing w:val="-74"/>
        </w:rPr>
      </w:r>
      <w:r>
        <w:rPr>
          <w:spacing w:val="-2"/>
        </w:rPr>
        <w:t>此进入海洋安全防御领域；报告期内，公司以自有资金</w:t>
      </w:r>
      <w:r>
        <w:rPr>
          <w:rFonts w:ascii="Times New Roman" w:hAnsi="Times New Roman" w:cs="Times New Roman" w:eastAsia="Times New Roman" w:hint="default"/>
          <w:spacing w:val="-2"/>
        </w:rPr>
        <w:t>500</w:t>
      </w:r>
      <w:r>
        <w:rPr>
          <w:spacing w:val="-2"/>
        </w:rPr>
        <w:t>万元投资设立汇青科技，占该公司</w:t>
      </w:r>
      <w:r>
        <w:rPr>
          <w:rFonts w:ascii="Times New Roman" w:hAnsi="Times New Roman" w:cs="Times New Roman" w:eastAsia="Times New Roman" w:hint="default"/>
          <w:spacing w:val="-2"/>
        </w:rPr>
        <w:t>50%</w:t>
      </w:r>
      <w:r>
        <w:rPr>
          <w:spacing w:val="-2"/>
        </w:rPr>
        <w:t>股权，汇</w:t>
      </w:r>
      <w:r>
        <w:rPr>
          <w:spacing w:val="-100"/>
        </w:rPr>
        <w:t> </w:t>
      </w:r>
      <w:r>
        <w:rPr>
          <w:spacing w:val="-100"/>
        </w:rPr>
      </w:r>
      <w:r>
        <w:rPr>
          <w:spacing w:val="-3"/>
        </w:rPr>
        <w:t>青科技专注于青年大数据终端应用产品开发及相关业务，已承接广东志愿者（志愿时）信息管理服务平台、</w:t>
      </w:r>
      <w:r>
        <w:rPr>
          <w:spacing w:val="-90"/>
        </w:rPr>
        <w:t> </w:t>
      </w:r>
      <w:r>
        <w:rPr>
          <w:spacing w:val="-90"/>
        </w:rPr>
      </w:r>
      <w:r>
        <w:rPr/>
        <w:t>广东青年之声互动社交综合服务平台、广东青年大数据交互中心等项目的需求调研、开发升级、运营维护</w:t>
      </w:r>
      <w:r>
        <w:rPr/>
        <w:t> 等工作；此外，公司拟以自有资金</w:t>
      </w:r>
      <w:r>
        <w:rPr>
          <w:rFonts w:ascii="Times New Roman" w:hAnsi="Times New Roman" w:cs="Times New Roman" w:eastAsia="Times New Roman" w:hint="default"/>
        </w:rPr>
        <w:t>7,450</w:t>
      </w:r>
      <w:r>
        <w:rPr/>
        <w:t>万元发起设立康美保险，占其</w:t>
      </w:r>
      <w:r>
        <w:rPr>
          <w:rFonts w:ascii="Times New Roman" w:hAnsi="Times New Roman" w:cs="Times New Roman" w:eastAsia="Times New Roman" w:hint="default"/>
        </w:rPr>
        <w:t>14.9%</w:t>
      </w:r>
      <w:r>
        <w:rPr/>
        <w:t>的股权，在“健康中国”的大</w:t>
      </w:r>
      <w:r>
        <w:rPr>
          <w:spacing w:val="-97"/>
        </w:rPr>
        <w:t> </w:t>
      </w:r>
      <w:r>
        <w:rPr>
          <w:spacing w:val="-97"/>
        </w:rPr>
      </w:r>
      <w:r>
        <w:rPr>
          <w:spacing w:val="-3"/>
        </w:rPr>
        <w:t>背景下，康美保险主要专注于健康保险业务，截至本报告披露日，康美保险正在办理相关筹建、设立事宜。</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3"/>
        <w:spacing w:line="240" w:lineRule="auto"/>
        <w:ind w:left="1556" w:right="0"/>
        <w:jc w:val="left"/>
        <w:rPr>
          <w:b w:val="0"/>
          <w:bCs w:val="0"/>
        </w:rPr>
      </w:pPr>
      <w:r>
        <w:rPr/>
        <w:t>（四）公司管理方面</w:t>
      </w:r>
      <w:r>
        <w:rPr>
          <w:b w:val="0"/>
          <w:bCs w:val="0"/>
        </w:rPr>
      </w:r>
    </w:p>
    <w:p>
      <w:pPr>
        <w:pStyle w:val="BodyText"/>
        <w:spacing w:line="340" w:lineRule="auto" w:before="164"/>
        <w:ind w:left="1134" w:right="0" w:firstLine="420"/>
        <w:jc w:val="left"/>
      </w:pPr>
      <w:r>
        <w:rPr>
          <w:rFonts w:ascii="Times New Roman" w:hAnsi="Times New Roman" w:cs="Times New Roman" w:eastAsia="Times New Roman" w:hint="default"/>
          <w:spacing w:val="-1"/>
        </w:rPr>
        <w:t>1</w:t>
      </w:r>
      <w:r>
        <w:rPr>
          <w:spacing w:val="-1"/>
        </w:rPr>
        <w:t>、实施员工持股计划，控股股东及高管完成增持计划。报告期内，公司实施了第一期员工持股计划，</w:t>
      </w:r>
      <w:r>
        <w:rPr/>
        <w:t> 参与对象主要为公司董事、监事、高级管理人员及部分核心研发、管理人员，有利于公司核心管理团队的 稳定，统一公司、股东及员工利益；同时，公司控股股东及部分董事、监事、高级管理人员基于对公司未 来发展前景的信心以及对公司价值的认可，在报告期内完成了增持计划，增持金额合计为</w:t>
      </w:r>
      <w:r>
        <w:rPr>
          <w:spacing w:val="-52"/>
        </w:rPr>
        <w:t> </w:t>
      </w:r>
      <w:r>
        <w:rPr>
          <w:rFonts w:ascii="Times New Roman" w:hAnsi="Times New Roman" w:cs="Times New Roman" w:eastAsia="Times New Roman" w:hint="default"/>
        </w:rPr>
        <w:t>2,001.81</w:t>
      </w:r>
      <w:r>
        <w:rPr>
          <w:rFonts w:ascii="Times New Roman" w:hAnsi="Times New Roman" w:cs="Times New Roman" w:eastAsia="Times New Roman" w:hint="default"/>
          <w:spacing w:val="-1"/>
        </w:rPr>
        <w:t> </w:t>
      </w:r>
      <w:r>
        <w:rPr/>
        <w:t>万元， 该次增持有利于维护公司全体股东利益，促进公司健康、持续地发展。</w:t>
      </w:r>
    </w:p>
    <w:p>
      <w:pPr>
        <w:pStyle w:val="BodyText"/>
        <w:spacing w:line="340" w:lineRule="auto" w:before="76"/>
        <w:ind w:left="1134" w:right="1130" w:firstLine="420"/>
        <w:jc w:val="both"/>
      </w:pPr>
      <w:r>
        <w:rPr>
          <w:rFonts w:ascii="Times New Roman" w:hAnsi="Times New Roman" w:cs="Times New Roman" w:eastAsia="Times New Roman" w:hint="default"/>
        </w:rPr>
        <w:t>2</w:t>
      </w:r>
      <w:r>
        <w:rPr/>
        <w:t>、运用多种融资方式保障公司拥有充足的运营资金。由于公司业务规模增长迅猛，加上信息安全产 </w:t>
      </w:r>
      <w:r>
        <w:rPr>
          <w:spacing w:val="-1"/>
        </w:rPr>
        <w:t>业园等项目建设，公司所需的运营资金增多。报告期内，除了通过银行授信融资，公司也推行了各种再融</w:t>
      </w:r>
      <w:r>
        <w:rPr>
          <w:spacing w:val="-86"/>
        </w:rPr>
        <w:t> </w:t>
      </w:r>
      <w:r>
        <w:rPr>
          <w:spacing w:val="-86"/>
        </w:rPr>
      </w:r>
      <w:r>
        <w:rPr/>
        <w:t>资方式，如通过非公开发行股票募集配套资金</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亿元，通过非公开发行公司债券募集资金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亿元。以上 </w:t>
      </w:r>
      <w:r>
        <w:rPr>
          <w:spacing w:val="-1"/>
        </w:rPr>
        <w:t>融资渠道保障了公司拥有较充足的运营资金，为公司进一步扩大业务规模、积极进行对外投资创造了有利</w:t>
      </w:r>
      <w:r>
        <w:rPr>
          <w:spacing w:val="-81"/>
        </w:rPr>
        <w:t> </w:t>
      </w:r>
      <w:r>
        <w:rPr>
          <w:spacing w:val="-81"/>
        </w:rPr>
      </w:r>
      <w:r>
        <w:rPr/>
        <w:t>条件。</w:t>
      </w:r>
    </w:p>
    <w:p>
      <w:pPr>
        <w:pStyle w:val="BodyText"/>
        <w:spacing w:line="345" w:lineRule="auto" w:before="76"/>
        <w:ind w:left="1134" w:right="1131" w:firstLine="420"/>
        <w:jc w:val="both"/>
      </w:pPr>
      <w:r>
        <w:rPr>
          <w:rFonts w:ascii="Times New Roman" w:hAnsi="Times New Roman" w:cs="Times New Roman" w:eastAsia="Times New Roman" w:hint="default"/>
        </w:rPr>
        <w:t>3</w:t>
      </w:r>
      <w:r>
        <w:rPr/>
        <w:t>、积极开展员工培训，不断完善薪酬机制。报告期内，公司进行了系统性的产品培训及其他各类业 </w:t>
      </w:r>
      <w:r>
        <w:rPr>
          <w:spacing w:val="-1"/>
        </w:rPr>
        <w:t>务培训，员工的整体业务水平大幅提高，研发人员、销售人员及售前人员之间的紧密度不断提升，同时公</w:t>
      </w:r>
      <w:r>
        <w:rPr>
          <w:spacing w:val="-86"/>
        </w:rPr>
        <w:t> </w:t>
      </w:r>
      <w:r>
        <w:rPr>
          <w:spacing w:val="-86"/>
        </w:rPr>
      </w:r>
      <w:r>
        <w:rPr>
          <w:spacing w:val="-1"/>
        </w:rPr>
        <w:t>司也定期对营销渠道进行培训，为销售业绩的快速提升打下了良好基础；随着公司营销模式的升级，公司</w:t>
      </w:r>
      <w:r>
        <w:rPr>
          <w:spacing w:val="-83"/>
        </w:rPr>
        <w:t> </w:t>
      </w:r>
      <w:r>
        <w:rPr>
          <w:spacing w:val="-83"/>
        </w:rPr>
      </w:r>
      <w:r>
        <w:rPr>
          <w:spacing w:val="-1"/>
        </w:rPr>
        <w:t>对员工特别是营销人员的薪酬机制及绩效考核机制进行了科学合理的改革、完善，并且应用国际成熟的营</w:t>
      </w:r>
      <w:r>
        <w:rPr>
          <w:spacing w:val="-81"/>
        </w:rPr>
        <w:t> </w:t>
      </w:r>
      <w:r>
        <w:rPr>
          <w:spacing w:val="-81"/>
        </w:rPr>
      </w:r>
      <w:r>
        <w:rPr/>
        <w:t>销管理体系，使所有销售数据可视可控，提升了营销效率，有利于销售目标的达成。</w:t>
      </w:r>
    </w:p>
    <w:p>
      <w:pPr>
        <w:pStyle w:val="BodyText"/>
        <w:spacing w:line="336" w:lineRule="auto" w:before="72"/>
        <w:ind w:left="1134" w:right="1023" w:firstLine="420"/>
        <w:jc w:val="left"/>
      </w:pPr>
      <w:r>
        <w:rPr>
          <w:rFonts w:ascii="Times New Roman" w:hAnsi="Times New Roman" w:cs="Times New Roman" w:eastAsia="Times New Roman" w:hint="default"/>
        </w:rPr>
        <w:t>4</w:t>
      </w:r>
      <w:r>
        <w:rPr/>
        <w:t>、加强投资者关系管理，打造良好的品牌形象。公司十分注重股东利益，报告期内，公司实施了两 </w:t>
      </w:r>
      <w:r>
        <w:rPr>
          <w:spacing w:val="-3"/>
        </w:rPr>
        <w:t>期利润分配方案，使公司股东获得了合理的回报；公司持续加强投资者关系管理，保持各种沟通渠道畅通，</w:t>
      </w:r>
      <w:r>
        <w:rPr>
          <w:spacing w:val="-90"/>
        </w:rPr>
        <w:t> </w:t>
      </w:r>
      <w:r>
        <w:rPr>
          <w:spacing w:val="-90"/>
        </w:rPr>
      </w:r>
      <w:r>
        <w:rPr/>
        <w:t>报告期内公司共接待机构投资者调研 </w:t>
      </w:r>
      <w:r>
        <w:rPr>
          <w:rFonts w:ascii="Times New Roman" w:hAnsi="Times New Roman" w:cs="Times New Roman" w:eastAsia="Times New Roman" w:hint="default"/>
        </w:rPr>
        <w:t>14</w:t>
      </w:r>
      <w:r>
        <w:rPr>
          <w:rFonts w:ascii="Times New Roman" w:hAnsi="Times New Roman" w:cs="Times New Roman" w:eastAsia="Times New Roman" w:hint="default"/>
          <w:spacing w:val="30"/>
        </w:rPr>
        <w:t> </w:t>
      </w:r>
      <w:r>
        <w:rPr/>
        <w:t>场，并能及时发布调研沟通情况记录；报告期内，公司加入了中 国网络安全产业联盟，并当选为该联盟的常务理事单位，同时公司参加了第二届世界互联网大会、第三届</w:t>
      </w:r>
    </w:p>
    <w:p>
      <w:pPr>
        <w:spacing w:after="0" w:line="336"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right="1111"/>
        <w:jc w:val="left"/>
      </w:pPr>
      <w:r>
        <w:rPr>
          <w:spacing w:val="-3"/>
        </w:rPr>
        <w:t>云安全联盟亚太年会、</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9"/>
        </w:rPr>
        <w:t> </w:t>
      </w:r>
      <w:r>
        <w:rPr/>
        <w:t>广东省大数据应用与安全高峰论坛、第十六届中国信息安全大会等一系列高端 会议和论坛，品牌知名度和影响力得到极大提升。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
        <w:rPr>
          <w:rFonts w:ascii="宋体" w:hAnsi="宋体" w:cs="宋体" w:eastAsia="宋体" w:hint="default"/>
          <w:b/>
          <w:bCs/>
          <w:sz w:val="23"/>
          <w:szCs w:val="23"/>
        </w:rPr>
      </w:pPr>
    </w:p>
    <w:p>
      <w:pPr>
        <w:spacing w:line="491" w:lineRule="auto" w:before="0"/>
        <w:ind w:left="113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38"/>
        <w:ind w:left="1133"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1"/>
        <w:gridCol w:w="1598"/>
      </w:tblGrid>
      <w:tr>
        <w:trPr>
          <w:trHeight w:val="1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5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pacing w:val="-1"/>
                <w:sz w:val="18"/>
              </w:rPr>
              <w:t>1,000,925,196.89</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8"/>
              <w:jc w:val="right"/>
              <w:rPr>
                <w:rFonts w:ascii="Times New Roman" w:hAnsi="Times New Roman" w:cs="Times New Roman" w:eastAsia="Times New Roman" w:hint="default"/>
                <w:sz w:val="18"/>
                <w:szCs w:val="18"/>
              </w:rPr>
            </w:pPr>
            <w:r>
              <w:rPr>
                <w:rFonts w:ascii="Times New Roman"/>
                <w:spacing w:val="-1"/>
                <w:sz w:val="18"/>
              </w:rPr>
              <w:t>524,904,499.06</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90.69%</w:t>
            </w:r>
          </w:p>
        </w:tc>
      </w:tr>
      <w:tr>
        <w:trPr>
          <w:trHeight w:val="31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256,303,553.68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206,737,113.75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39.39%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23.98%</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377,253,495.23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246,584,884.74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46.98%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52.99%</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76,539,278.19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28,855,751.04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5.50%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165.25%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127,021,787.30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18,219,588.09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597.17%</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33,879,544.85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2,629,555.25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0.50%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1,188.41%</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64,257,962.33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铁路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26,957,415.08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6,141,349.48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32,570,810.75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21,877,606.19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48.88%</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安全及安防产品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318,884,575.23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92,407,941.15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17.60%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245.08%</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安全及安防集成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634,077,465.10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398,425,728.30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75.90%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59.15%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安全及安防服务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47,963,156.56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34,070,829.61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40.77%</w:t>
            </w:r>
          </w:p>
        </w:tc>
      </w:tr>
      <w:tr>
        <w:trPr>
          <w:trHeight w:val="32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6,771,731.58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1,771,230.75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0.34%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282.32%</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50,114,948.96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8,550,050.56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486.14%</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103,671,502.54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25,535,022.57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4.86%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306.00%</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787,498,702.66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452,654,821.08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86.24%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73.97%</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20,828,398.97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27,238,707.59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5.19%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-23.53%</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15,855,696.38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6,702,835.84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136.55%</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15,690,008.05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2,451,830.67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0.47%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539.93%</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494,207.75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18"/>
          <w:szCs w:val="18"/>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256,303,553.68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177,539,764.34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0.87%</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377,253,495.23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217,171,677.00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77.25%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-7.88%</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127,021,787.30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55,757,754.53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597.17%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932.32%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-14.25%</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安全及安防产品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318,884,575.23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116,468,760.34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245.08%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386.27%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-10.64%</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安全及安防集成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634,077,465.10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483,995,144.32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79.15%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-8.52%</w:t>
            </w:r>
          </w:p>
        </w:tc>
      </w:tr>
      <w:tr>
        <w:trPr>
          <w:trHeight w:val="32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103,671,502.54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56,162,879.64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297.27%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1.19%</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787,498,702.67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488,323,137.87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82.36%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-2.88%</w:t>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line="240" w:lineRule="auto" w:before="7"/>
        <w:rPr>
          <w:rFonts w:ascii="宋体" w:hAnsi="宋体" w:cs="宋体" w:eastAsia="宋体" w:hint="default"/>
          <w:sz w:val="14"/>
          <w:szCs w:val="14"/>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3"/>
          <w:szCs w:val="23"/>
        </w:rPr>
      </w:pPr>
    </w:p>
    <w:p>
      <w:pPr>
        <w:pStyle w:val="Heading3"/>
        <w:spacing w:line="240" w:lineRule="auto"/>
        <w:ind w:left="1133"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1"/>
          <w:szCs w:val="21"/>
        </w:rPr>
      </w:pPr>
    </w:p>
    <w:p>
      <w:pPr>
        <w:pStyle w:val="Heading3"/>
        <w:spacing w:line="240" w:lineRule="auto"/>
        <w:ind w:left="1133"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18"/>
          <w:szCs w:val="1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560"/>
        <w:gridCol w:w="1702"/>
        <w:gridCol w:w="1559"/>
        <w:gridCol w:w="1417"/>
        <w:gridCol w:w="1418"/>
        <w:gridCol w:w="1843"/>
      </w:tblGrid>
      <w:tr>
        <w:trPr>
          <w:trHeight w:val="324"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政府机关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177,539,764.34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28.63%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145,001,843.81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47.28%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22.44%</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系统集成商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217,171,677.00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35.03%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122,521,420.87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39.95%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77.25%</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教育机构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52,187,172.96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19,822,888.40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163.27%</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制造贸易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55,757,754.53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5,401,212.03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932.32%</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电信业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17,810,864.39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2.87%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1,665,500.44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969.40%</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54,389,911.59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铁路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18,250,649.54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4,032,902.92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22,877,091.05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12,289,639.82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86.15%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560"/>
        <w:gridCol w:w="1702"/>
        <w:gridCol w:w="1559"/>
        <w:gridCol w:w="1417"/>
        <w:gridCol w:w="1418"/>
        <w:gridCol w:w="1843"/>
      </w:tblGrid>
      <w:tr>
        <w:trPr>
          <w:trHeight w:val="32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843"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安全及安防产品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116,468,760.34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23,915,634.55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387.00%</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安全及安防集成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483,995,144.32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78.06%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270,163,867.43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88.09%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79.15%</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安全及安防服务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19,553,883.65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12,623,003.39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54.91%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19"/>
        <w:ind w:left="1556" w:right="0"/>
        <w:jc w:val="left"/>
      </w:pPr>
      <w:r>
        <w:rPr/>
        <w:t>详见第十节财务报告第八项合并范围的变更。</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1"/>
          <w:szCs w:val="21"/>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0"/>
        <w:rPr>
          <w:rFonts w:ascii="宋体" w:hAnsi="宋体" w:cs="宋体" w:eastAsia="宋体" w:hint="default"/>
          <w:b/>
          <w:bCs/>
          <w:sz w:val="32"/>
          <w:szCs w:val="32"/>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32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90,042,535.46</w:t>
            </w:r>
          </w:p>
        </w:tc>
      </w:tr>
      <w:tr>
        <w:trPr>
          <w:trHeight w:val="32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9.00%</w:t>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779"/>
        <w:gridCol w:w="3313"/>
        <w:gridCol w:w="2322"/>
        <w:gridCol w:w="3143"/>
      </w:tblGrid>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中国石化销售有限公司华南分公司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26,752,136.74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2.68%</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国睿科技股份有限公司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21,996,819.67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2.20%</w:t>
            </w:r>
          </w:p>
        </w:tc>
      </w:tr>
      <w:tr>
        <w:trPr>
          <w:trHeight w:val="32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东安县公安局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15,022,226.50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1.50%</w:t>
            </w:r>
          </w:p>
        </w:tc>
      </w:tr>
      <w:tr>
        <w:trPr>
          <w:trHeight w:val="32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广东省公安厅</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13,539,475.63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1.35%</w:t>
            </w:r>
          </w:p>
        </w:tc>
      </w:tr>
      <w:tr>
        <w:trPr>
          <w:trHeight w:val="330"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6" w:space="0" w:color="D2D2D2"/>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广西壮族自治区水文化资源局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12,731,876.92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1.27%</w:t>
            </w:r>
          </w:p>
        </w:tc>
      </w:tr>
      <w:tr>
        <w:trPr>
          <w:trHeight w:val="310"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pacing w:val="-1"/>
                <w:sz w:val="18"/>
              </w:rPr>
              <w:t>90,042,535.46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z w:val="18"/>
              </w:rPr>
              <w:t>9.00%</w:t>
            </w:r>
          </w:p>
        </w:tc>
      </w:tr>
    </w:tbl>
    <w:p>
      <w:pPr>
        <w:spacing w:line="240" w:lineRule="auto" w:before="8"/>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32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88,230,047.13</w:t>
            </w:r>
          </w:p>
        </w:tc>
      </w:tr>
      <w:tr>
        <w:trPr>
          <w:trHeight w:val="32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20.29%</w:t>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南京恩瑞特实业有限公司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30,995,395.00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7.13%</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深圳市振华微电子有限公司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25,373,432.00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5.84%</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重庆亚高贸易股份有限公司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11,310,914.53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2.60%</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北大方正华南销售有限公司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10,388,299.16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2.39%</w:t>
            </w:r>
          </w:p>
        </w:tc>
      </w:tr>
      <w:tr>
        <w:trPr>
          <w:trHeight w:val="32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广州芯戈计算机科技有限公司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10,162,006.44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2.34%</w:t>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88,230,047.13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20.29%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2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557" w:right="0"/>
              <w:jc w:val="left"/>
              <w:rPr>
                <w:rFonts w:ascii="Times New Roman" w:hAnsi="Times New Roman" w:cs="Times New Roman" w:eastAsia="Times New Roman" w:hint="default"/>
                <w:sz w:val="18"/>
                <w:szCs w:val="18"/>
              </w:rPr>
            </w:pPr>
            <w:r>
              <w:rPr>
                <w:rFonts w:ascii="Times New Roman"/>
                <w:sz w:val="18"/>
              </w:rPr>
              <w:t>39,387,721.84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70" w:right="0"/>
              <w:jc w:val="left"/>
              <w:rPr>
                <w:rFonts w:ascii="Times New Roman" w:hAnsi="Times New Roman" w:cs="Times New Roman" w:eastAsia="Times New Roman" w:hint="default"/>
                <w:sz w:val="18"/>
                <w:szCs w:val="18"/>
              </w:rPr>
            </w:pPr>
            <w:r>
              <w:rPr>
                <w:rFonts w:ascii="Times New Roman"/>
                <w:sz w:val="18"/>
              </w:rPr>
              <w:t>32,532,332.62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3" w:right="0"/>
              <w:jc w:val="left"/>
              <w:rPr>
                <w:rFonts w:ascii="Times New Roman" w:hAnsi="Times New Roman" w:cs="Times New Roman" w:eastAsia="Times New Roman" w:hint="default"/>
                <w:sz w:val="18"/>
                <w:szCs w:val="18"/>
              </w:rPr>
            </w:pPr>
            <w:r>
              <w:rPr>
                <w:rFonts w:ascii="Times New Roman"/>
                <w:sz w:val="18"/>
              </w:rPr>
              <w:t>21.07%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2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3" w:space="0" w:color="D2D2D2"/>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7" w:right="0"/>
              <w:jc w:val="left"/>
              <w:rPr>
                <w:rFonts w:ascii="Times New Roman" w:hAnsi="Times New Roman" w:cs="Times New Roman" w:eastAsia="Times New Roman" w:hint="default"/>
                <w:sz w:val="18"/>
                <w:szCs w:val="18"/>
              </w:rPr>
            </w:pPr>
            <w:r>
              <w:rPr>
                <w:rFonts w:ascii="Times New Roman"/>
                <w:sz w:val="18"/>
              </w:rPr>
              <w:t>174,323,165.55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125,666,859.23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38.72%</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固定折旧、无形资产摊销形成的费用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增加，以及费用化的研发投入增加</w:t>
            </w:r>
          </w:p>
        </w:tc>
      </w:tr>
      <w:tr>
        <w:trPr>
          <w:trHeight w:val="436"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3"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2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57" w:right="0"/>
              <w:jc w:val="left"/>
              <w:rPr>
                <w:rFonts w:ascii="Times New Roman" w:hAnsi="Times New Roman" w:cs="Times New Roman" w:eastAsia="Times New Roman" w:hint="default"/>
                <w:sz w:val="18"/>
                <w:szCs w:val="18"/>
              </w:rPr>
            </w:pPr>
            <w:r>
              <w:rPr>
                <w:rFonts w:ascii="Times New Roman"/>
                <w:sz w:val="18"/>
              </w:rPr>
              <w:t>24,883,243.07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14,252,365.25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74.59%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2"/>
                <w:sz w:val="18"/>
                <w:szCs w:val="18"/>
              </w:rPr>
              <w:t>银行借款增加，基建工程专门借款不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再资本化所致</w:t>
            </w:r>
          </w:p>
        </w:tc>
      </w:tr>
      <w:tr>
        <w:trPr>
          <w:trHeight w:val="436"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3"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48" w:lineRule="auto" w:before="129"/>
        <w:ind w:right="0" w:firstLine="420"/>
        <w:jc w:val="left"/>
      </w:pPr>
      <w:r>
        <w:rPr>
          <w:spacing w:val="-1"/>
        </w:rPr>
        <w:t>通过持续加大研发创新力度和市场拓展力度，公司产品和技术不断创新，核心竞争力进一步提升，主</w:t>
      </w:r>
      <w:r>
        <w:rPr/>
        <w:t> 要表现如下：</w:t>
      </w:r>
    </w:p>
    <w:p>
      <w:pPr>
        <w:pStyle w:val="BodyText"/>
        <w:spacing w:line="328" w:lineRule="auto" w:before="31"/>
        <w:ind w:right="0" w:firstLine="420"/>
        <w:jc w:val="left"/>
      </w:pPr>
      <w:r>
        <w:rPr/>
        <w:t>无形资产情况：报告期内，公司新增专利</w:t>
      </w:r>
      <w:r>
        <w:rPr>
          <w:rFonts w:ascii="Times New Roman" w:hAnsi="Times New Roman" w:cs="Times New Roman" w:eastAsia="Times New Roman" w:hint="default"/>
        </w:rPr>
        <w:t>5</w:t>
      </w:r>
      <w:r>
        <w:rPr/>
        <w:t>项，新增软件著作权</w:t>
      </w:r>
      <w:r>
        <w:rPr>
          <w:rFonts w:ascii="Times New Roman" w:hAnsi="Times New Roman" w:cs="Times New Roman" w:eastAsia="Times New Roman" w:hint="default"/>
        </w:rPr>
        <w:t>2</w:t>
      </w:r>
      <w:r>
        <w:rPr/>
        <w:t>项，子公司蓝盾技术新增软件著作权 </w:t>
      </w:r>
      <w:r>
        <w:rPr>
          <w:rFonts w:ascii="Times New Roman" w:hAnsi="Times New Roman" w:cs="Times New Roman" w:eastAsia="Times New Roman" w:hint="default"/>
          <w:spacing w:val="-1"/>
        </w:rPr>
        <w:t>4</w:t>
      </w:r>
      <w:r>
        <w:rPr>
          <w:spacing w:val="-1"/>
        </w:rPr>
        <w:t>项，子公司华炜科技新增专利</w:t>
      </w:r>
      <w:r>
        <w:rPr>
          <w:rFonts w:ascii="宋体" w:hAnsi="宋体" w:cs="宋体" w:eastAsia="宋体" w:hint="default"/>
          <w:spacing w:val="-1"/>
        </w:rPr>
        <w:t>7</w:t>
      </w:r>
      <w:r>
        <w:rPr>
          <w:spacing w:val="-1"/>
        </w:rPr>
        <w:t>项，新增软件著作权</w:t>
      </w:r>
      <w:r>
        <w:rPr>
          <w:rFonts w:ascii="宋体" w:hAnsi="宋体" w:cs="宋体" w:eastAsia="宋体" w:hint="default"/>
          <w:spacing w:val="-1"/>
        </w:rPr>
        <w:t>3</w:t>
      </w:r>
      <w:r>
        <w:rPr>
          <w:spacing w:val="-1"/>
        </w:rPr>
        <w:t>项。截至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日，蓝盾股份拥有专利</w:t>
      </w:r>
      <w:r>
        <w:rPr>
          <w:rFonts w:ascii="Times New Roman" w:hAnsi="Times New Roman" w:cs="Times New Roman" w:eastAsia="Times New Roman" w:hint="default"/>
          <w:spacing w:val="-1"/>
        </w:rPr>
        <w:t>19</w:t>
      </w:r>
      <w:r>
        <w:rPr>
          <w:spacing w:val="-1"/>
        </w:rPr>
        <w:t>项，</w:t>
      </w:r>
      <w:r>
        <w:rPr>
          <w:spacing w:val="-86"/>
        </w:rPr>
        <w:t> </w:t>
      </w:r>
      <w:r>
        <w:rPr>
          <w:spacing w:val="-1"/>
        </w:rPr>
        <w:t>软件著作权</w:t>
      </w:r>
      <w:r>
        <w:rPr>
          <w:rFonts w:ascii="Times New Roman" w:hAnsi="Times New Roman" w:cs="Times New Roman" w:eastAsia="Times New Roman" w:hint="default"/>
          <w:spacing w:val="-1"/>
        </w:rPr>
        <w:t>125</w:t>
      </w:r>
      <w:r>
        <w:rPr>
          <w:spacing w:val="-1"/>
        </w:rPr>
        <w:t>项；蓝盾技术拥有专利</w:t>
      </w:r>
      <w:r>
        <w:rPr>
          <w:rFonts w:ascii="Times New Roman" w:hAnsi="Times New Roman" w:cs="Times New Roman" w:eastAsia="Times New Roman" w:hint="default"/>
          <w:spacing w:val="-1"/>
        </w:rPr>
        <w:t>1</w:t>
      </w:r>
      <w:r>
        <w:rPr>
          <w:spacing w:val="-1"/>
        </w:rPr>
        <w:t>项，软件著作权</w:t>
      </w:r>
      <w:r>
        <w:rPr>
          <w:rFonts w:ascii="Times New Roman" w:hAnsi="Times New Roman" w:cs="Times New Roman" w:eastAsia="Times New Roman" w:hint="default"/>
          <w:spacing w:val="-1"/>
        </w:rPr>
        <w:t>111</w:t>
      </w:r>
      <w:r>
        <w:rPr>
          <w:spacing w:val="-1"/>
        </w:rPr>
        <w:t>项；华炜科技拥有专利</w:t>
      </w:r>
      <w:r>
        <w:rPr>
          <w:rFonts w:ascii="宋体" w:hAnsi="宋体" w:cs="宋体" w:eastAsia="宋体" w:hint="default"/>
          <w:spacing w:val="-1"/>
        </w:rPr>
        <w:t>50</w:t>
      </w:r>
      <w:r>
        <w:rPr>
          <w:spacing w:val="-1"/>
        </w:rPr>
        <w:t>项，软件著作权</w:t>
      </w:r>
      <w:r>
        <w:rPr>
          <w:rFonts w:ascii="宋体" w:hAnsi="宋体" w:cs="宋体" w:eastAsia="宋体" w:hint="default"/>
          <w:spacing w:val="-1"/>
        </w:rPr>
        <w:t>11</w:t>
      </w:r>
      <w:r>
        <w:rPr>
          <w:spacing w:val="-1"/>
        </w:rPr>
        <w:t>项。</w:t>
      </w:r>
    </w:p>
    <w:p>
      <w:pPr>
        <w:pStyle w:val="BodyText"/>
        <w:spacing w:line="240" w:lineRule="auto" w:before="24"/>
        <w:ind w:left="1553" w:right="0"/>
        <w:jc w:val="left"/>
      </w:pPr>
      <w:r>
        <w:rPr/>
        <w:t>报告期内，公司研发支出总额</w:t>
      </w:r>
      <w:r>
        <w:rPr>
          <w:rFonts w:ascii="Times New Roman" w:hAnsi="Times New Roman" w:cs="Times New Roman" w:eastAsia="Times New Roman" w:hint="default"/>
        </w:rPr>
        <w:t>9,151.10</w:t>
      </w:r>
      <w:r>
        <w:rPr/>
        <w:t>万元，其中：资本化金额为</w:t>
      </w:r>
      <w:r>
        <w:rPr>
          <w:rFonts w:ascii="Times New Roman" w:hAnsi="Times New Roman" w:cs="Times New Roman" w:eastAsia="Times New Roman" w:hint="default"/>
        </w:rPr>
        <w:t>882.23</w:t>
      </w:r>
      <w:r>
        <w:rPr/>
        <w:t>万元，占研发支出总额</w:t>
      </w:r>
      <w:r>
        <w:rPr>
          <w:rFonts w:ascii="Times New Roman" w:hAnsi="Times New Roman" w:cs="Times New Roman" w:eastAsia="Times New Roman" w:hint="default"/>
        </w:rPr>
        <w:t>9.64%</w:t>
      </w:r>
      <w:r>
        <w:rPr/>
        <w:t>。</w:t>
      </w:r>
    </w:p>
    <w:p>
      <w:pPr>
        <w:spacing w:line="240" w:lineRule="auto" w:before="2"/>
        <w:rPr>
          <w:rFonts w:ascii="宋体" w:hAnsi="宋体" w:cs="宋体" w:eastAsia="宋体" w:hint="default"/>
          <w:sz w:val="22"/>
          <w:szCs w:val="22"/>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298</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43.13%</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91,510,986.69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73,265,297.46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81,724,503.32</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20.67%</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8,822,343.78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10,287,976.83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42,540,403.77</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52.05%</w:t>
            </w:r>
          </w:p>
        </w:tc>
      </w:tr>
      <w:tr>
        <w:trPr>
          <w:trHeight w:val="55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133.05%</w:t>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240" w:lineRule="auto" w:before="7"/>
        <w:rPr>
          <w:rFonts w:ascii="宋体" w:hAnsi="宋体" w:cs="宋体" w:eastAsia="宋体" w:hint="default"/>
          <w:sz w:val="15"/>
          <w:szCs w:val="15"/>
        </w:rPr>
      </w:pPr>
    </w:p>
    <w:p>
      <w:pPr>
        <w:spacing w:line="422"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6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3"/>
        <w:spacing w:line="240" w:lineRule="auto" w:before="35"/>
        <w:ind w:left="1133"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1,011,139,659.70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594,058,633.44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70.21%</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900,181,491.09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558,513,774.59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61.17%</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110,958,168.61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35,544,858.85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212.16%</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151,388,928.27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1,314.85%</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399,329,724.39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134,677,633.41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196.51%</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-247,940,796.12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-123,977,633.41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99.99%</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939,623,220.55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249,074,290.59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277.25%</w:t>
            </w:r>
          </w:p>
        </w:tc>
      </w:tr>
      <w:tr>
        <w:trPr>
          <w:trHeight w:val="32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627,349,653.97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224,276,144.24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179.72%</w:t>
            </w:r>
          </w:p>
        </w:tc>
      </w:tr>
      <w:tr>
        <w:trPr>
          <w:trHeight w:val="557"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312,273,566.58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24,798,146.35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1,159.26%</w:t>
            </w:r>
          </w:p>
        </w:tc>
      </w:tr>
      <w:tr>
        <w:trPr>
          <w:trHeight w:val="32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175,266,946.66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-63,634,628.21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-375.43%</w:t>
            </w:r>
            <w:r>
              <w:rPr>
                <w:rFonts w:ascii="Times New Roman"/>
                <w:sz w:val="18"/>
              </w:rPr>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240" w:lineRule="auto" w:before="7"/>
        <w:rPr>
          <w:rFonts w:ascii="宋体" w:hAnsi="宋体" w:cs="宋体" w:eastAsia="宋体" w:hint="default"/>
          <w:sz w:val="15"/>
          <w:szCs w:val="15"/>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1" w:lineRule="auto" w:before="156"/>
        <w:ind w:left="1134" w:right="1169"/>
        <w:jc w:val="left"/>
      </w:pPr>
      <w:r>
        <w:rPr/>
        <w:t>（</w:t>
      </w:r>
      <w:r>
        <w:rPr>
          <w:rFonts w:ascii="宋体" w:hAnsi="宋体" w:cs="宋体" w:eastAsia="宋体" w:hint="default"/>
        </w:rPr>
        <w:t>1</w:t>
      </w:r>
      <w:r>
        <w:rPr/>
        <w:t>）经营活动产生的现金流量净额同比增长</w:t>
      </w:r>
      <w:r>
        <w:rPr>
          <w:spacing w:val="-56"/>
        </w:rPr>
        <w:t> </w:t>
      </w:r>
      <w:r>
        <w:rPr>
          <w:rFonts w:ascii="Times New Roman" w:hAnsi="Times New Roman" w:cs="Times New Roman" w:eastAsia="Times New Roman" w:hint="default"/>
        </w:rPr>
        <w:t>212.16%</w:t>
      </w:r>
      <w:r>
        <w:rPr/>
        <w:t>，其中经营活动现金流入同比增长</w:t>
      </w:r>
      <w:r>
        <w:rPr>
          <w:spacing w:val="-56"/>
        </w:rPr>
        <w:t> </w:t>
      </w:r>
      <w:r>
        <w:rPr>
          <w:rFonts w:ascii="Times New Roman" w:hAnsi="Times New Roman" w:cs="Times New Roman" w:eastAsia="Times New Roman" w:hint="default"/>
        </w:rPr>
        <w:t>70.21%</w:t>
      </w:r>
      <w:r>
        <w:rPr/>
        <w:t>，经营活 动现金流出同比增长</w:t>
      </w:r>
      <w:r>
        <w:rPr>
          <w:spacing w:val="-54"/>
        </w:rPr>
        <w:t> </w:t>
      </w:r>
      <w:r>
        <w:rPr>
          <w:rFonts w:ascii="Times New Roman" w:hAnsi="Times New Roman" w:cs="Times New Roman" w:eastAsia="Times New Roman" w:hint="default"/>
        </w:rPr>
        <w:t>61.17%</w:t>
      </w:r>
      <w:r>
        <w:rPr/>
        <w:t>，主要系报告期公司营业规模进一步扩大所致。</w:t>
      </w:r>
    </w:p>
    <w:p>
      <w:pPr>
        <w:pStyle w:val="BodyText"/>
        <w:spacing w:line="328" w:lineRule="auto" w:before="21"/>
        <w:ind w:left="1134" w:right="1128"/>
        <w:jc w:val="left"/>
      </w:pPr>
      <w:r>
        <w:rPr/>
        <w:t>（</w:t>
      </w:r>
      <w:r>
        <w:rPr>
          <w:rFonts w:ascii="宋体" w:hAnsi="宋体" w:cs="宋体" w:eastAsia="宋体" w:hint="default"/>
        </w:rPr>
        <w:t>2</w:t>
      </w:r>
      <w:r>
        <w:rPr/>
        <w:t>）投资活动产生的现金流量净额同比增长</w:t>
      </w:r>
      <w:r>
        <w:rPr>
          <w:spacing w:val="-54"/>
        </w:rPr>
        <w:t> </w:t>
      </w:r>
      <w:r>
        <w:rPr>
          <w:rFonts w:ascii="Times New Roman" w:hAnsi="Times New Roman" w:cs="Times New Roman" w:eastAsia="Times New Roman" w:hint="default"/>
        </w:rPr>
        <w:t>99.99%</w:t>
      </w:r>
      <w:r>
        <w:rPr/>
        <w:t>，其中投资活动现金流入增长</w:t>
      </w:r>
      <w:r>
        <w:rPr>
          <w:spacing w:val="-54"/>
        </w:rPr>
        <w:t> </w:t>
      </w:r>
      <w:r>
        <w:rPr>
          <w:rFonts w:ascii="Times New Roman" w:hAnsi="Times New Roman" w:cs="Times New Roman" w:eastAsia="Times New Roman" w:hint="default"/>
        </w:rPr>
        <w:t>1,314.85%</w:t>
      </w:r>
      <w:r>
        <w:rPr/>
        <w:t>，投资活动 现金流出增长</w:t>
      </w:r>
      <w:r>
        <w:rPr>
          <w:spacing w:val="-54"/>
        </w:rPr>
        <w:t> </w:t>
      </w:r>
      <w:r>
        <w:rPr>
          <w:rFonts w:ascii="Times New Roman" w:hAnsi="Times New Roman" w:cs="Times New Roman" w:eastAsia="Times New Roman" w:hint="default"/>
        </w:rPr>
        <w:t>196.51%</w:t>
      </w:r>
      <w:r>
        <w:rPr/>
        <w:t>，主要系本年支付股权投资转让款以及购建固定资产、无形资产和其他长期资产支 付的现金增加。</w:t>
      </w:r>
    </w:p>
    <w:p>
      <w:pPr>
        <w:pStyle w:val="BodyText"/>
        <w:spacing w:line="328" w:lineRule="auto" w:before="48"/>
        <w:ind w:right="1120"/>
        <w:jc w:val="left"/>
      </w:pPr>
      <w:r>
        <w:rPr/>
        <w:t>（</w:t>
      </w:r>
      <w:r>
        <w:rPr>
          <w:rFonts w:ascii="宋体" w:hAnsi="宋体" w:cs="宋体" w:eastAsia="宋体" w:hint="default"/>
        </w:rPr>
        <w:t>3</w:t>
      </w:r>
      <w:r>
        <w:rPr/>
        <w:t>）筹资活动产生的现金流量净额同比增长</w:t>
      </w:r>
      <w:r>
        <w:rPr>
          <w:spacing w:val="-57"/>
        </w:rPr>
        <w:t> </w:t>
      </w:r>
      <w:r>
        <w:rPr>
          <w:rFonts w:ascii="Times New Roman" w:hAnsi="Times New Roman" w:cs="Times New Roman" w:eastAsia="Times New Roman" w:hint="default"/>
        </w:rPr>
        <w:t>1,159.26%</w:t>
      </w:r>
      <w:r>
        <w:rPr/>
        <w:t>，其中筹资活动现金流入增长</w:t>
      </w:r>
      <w:r>
        <w:rPr>
          <w:spacing w:val="-57"/>
        </w:rPr>
        <w:t> </w:t>
      </w:r>
      <w:r>
        <w:rPr>
          <w:rFonts w:ascii="Times New Roman" w:hAnsi="Times New Roman" w:cs="Times New Roman" w:eastAsia="Times New Roman" w:hint="default"/>
        </w:rPr>
        <w:t>277.25%</w:t>
      </w:r>
      <w:r>
        <w:rPr/>
        <w:t>，筹资活动 现金流出增长</w:t>
      </w:r>
      <w:r>
        <w:rPr>
          <w:spacing w:val="-54"/>
        </w:rPr>
        <w:t> </w:t>
      </w:r>
      <w:r>
        <w:rPr>
          <w:rFonts w:ascii="Times New Roman" w:hAnsi="Times New Roman" w:cs="Times New Roman" w:eastAsia="Times New Roman" w:hint="default"/>
        </w:rPr>
        <w:t>179.72%</w:t>
      </w:r>
      <w:r>
        <w:rPr/>
        <w:t>，主要系本期取得银行借款及收到非公开发行股票募集的现金增加所致。</w:t>
      </w:r>
    </w:p>
    <w:p>
      <w:pPr>
        <w:pStyle w:val="BodyText"/>
        <w:spacing w:line="331" w:lineRule="auto" w:before="23"/>
        <w:ind w:right="1112"/>
        <w:jc w:val="left"/>
      </w:pPr>
      <w:r>
        <w:rPr>
          <w:spacing w:val="-3"/>
        </w:rPr>
        <w:t>（</w:t>
      </w:r>
      <w:r>
        <w:rPr>
          <w:rFonts w:ascii="宋体" w:hAnsi="宋体" w:cs="宋体" w:eastAsia="宋体" w:hint="default"/>
          <w:spacing w:val="-3"/>
        </w:rPr>
        <w:t>4</w:t>
      </w:r>
      <w:r>
        <w:rPr>
          <w:spacing w:val="-3"/>
        </w:rPr>
        <w:t>）现金及现金等价物净增加额同比下降</w:t>
      </w:r>
      <w:r>
        <w:rPr>
          <w:spacing w:val="-85"/>
        </w:rPr>
        <w:t> </w:t>
      </w:r>
      <w:r>
        <w:rPr>
          <w:rFonts w:ascii="Times New Roman" w:hAnsi="Times New Roman" w:cs="Times New Roman" w:eastAsia="Times New Roman" w:hint="default"/>
        </w:rPr>
        <w:t>375.43%</w:t>
      </w:r>
      <w:r>
        <w:rPr/>
        <w:t>，主要是投资活动产生的现金流量净额下降以及筹资活 动产生的现金流量净额下降所致。</w:t>
      </w:r>
    </w:p>
    <w:p>
      <w:pPr>
        <w:spacing w:line="240" w:lineRule="auto" w:before="0"/>
        <w:rPr>
          <w:rFonts w:ascii="宋体" w:hAnsi="宋体" w:cs="宋体" w:eastAsia="宋体" w:hint="default"/>
          <w:sz w:val="25"/>
          <w:szCs w:val="25"/>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line="240" w:lineRule="auto" w:before="7"/>
        <w:rPr>
          <w:rFonts w:ascii="宋体" w:hAnsi="宋体" w:cs="宋体" w:eastAsia="宋体" w:hint="default"/>
          <w:sz w:val="15"/>
          <w:szCs w:val="1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1346"/>
        <w:gridCol w:w="1337"/>
        <w:gridCol w:w="1276"/>
        <w:gridCol w:w="1417"/>
        <w:gridCol w:w="1277"/>
        <w:gridCol w:w="850"/>
        <w:gridCol w:w="2056"/>
      </w:tblGrid>
      <w:tr>
        <w:trPr>
          <w:trHeight w:val="17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2613" w:type="dxa"/>
            <w:gridSpan w:val="2"/>
            <w:vMerge/>
            <w:tcBorders>
              <w:left w:val="single" w:sz="4" w:space="0" w:color="000000"/>
              <w:bottom w:val="single" w:sz="4" w:space="0" w:color="000000"/>
              <w:right w:val="single" w:sz="4" w:space="0" w:color="000000"/>
            </w:tcBorders>
            <w:shd w:val="clear" w:color="auto" w:fill="D2D2D2"/>
          </w:tcPr>
          <w:p>
            <w:pPr/>
          </w:p>
        </w:tc>
        <w:tc>
          <w:tcPr>
            <w:tcW w:w="2694"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48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4"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0" w:type="dxa"/>
            <w:vMerge/>
            <w:tcBorders>
              <w:left w:val="single" w:sz="4" w:space="0" w:color="000000"/>
              <w:bottom w:val="nil" w:sz="6" w:space="0" w:color="auto"/>
              <w:right w:val="single" w:sz="4" w:space="0" w:color="000000"/>
            </w:tcBorders>
            <w:shd w:val="clear" w:color="auto" w:fill="D2D2D2"/>
          </w:tcPr>
          <w:p>
            <w:pPr/>
          </w:p>
        </w:tc>
        <w:tc>
          <w:tcPr>
            <w:tcW w:w="2056"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527,020,911.27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357,652,024.59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27.21%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-3.86%</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602,628,189.14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26.70%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303,019,792.35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3.65%</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87,178,918.11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52,187,984.15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2,030,916.83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0.09%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0.09%</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2,141,542.81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2,140,665.95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-0.07%</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411,877,088.47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334,862,074.06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-7.22%</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194,200,297.31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7,619,913.64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8.03%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主要系萝岗基地投入增加</w:t>
            </w:r>
          </w:p>
        </w:tc>
      </w:tr>
      <w:tr>
        <w:trPr>
          <w:trHeight w:val="32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223,213,027.00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-1.69%</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165,044,286.46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7.31%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7.31%</w:t>
            </w:r>
          </w:p>
        </w:tc>
        <w:tc>
          <w:tcPr>
            <w:tcW w:w="2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2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030" w:right="0"/>
              <w:jc w:val="left"/>
              <w:rPr>
                <w:rFonts w:ascii="Times New Roman" w:hAnsi="Times New Roman" w:cs="Times New Roman" w:eastAsia="Times New Roman" w:hint="default"/>
                <w:sz w:val="18"/>
                <w:szCs w:val="18"/>
              </w:rPr>
            </w:pPr>
            <w:r>
              <w:rPr>
                <w:rFonts w:ascii="Times New Roman"/>
                <w:sz w:val="18"/>
              </w:rPr>
              <w:t>390,000,000.00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pacing w:val="-1"/>
                <w:sz w:val="18"/>
              </w:rPr>
              <w:t>2,140,000.00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18,124.30%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18"/>
          <w:szCs w:val="18"/>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420" w:type="dxa"/>
        <w:tblLayout w:type="fixed"/>
        <w:tblCellMar>
          <w:top w:w="0" w:type="dxa"/>
          <w:left w:w="0" w:type="dxa"/>
          <w:bottom w:w="0" w:type="dxa"/>
          <w:right w:w="0" w:type="dxa"/>
        </w:tblCellMar>
        <w:tblLook w:val="01E0"/>
      </w:tblPr>
      <w:tblGrid>
        <w:gridCol w:w="851"/>
        <w:gridCol w:w="568"/>
        <w:gridCol w:w="425"/>
        <w:gridCol w:w="1276"/>
        <w:gridCol w:w="709"/>
        <w:gridCol w:w="710"/>
        <w:gridCol w:w="425"/>
        <w:gridCol w:w="425"/>
        <w:gridCol w:w="568"/>
        <w:gridCol w:w="1134"/>
        <w:gridCol w:w="1134"/>
        <w:gridCol w:w="566"/>
        <w:gridCol w:w="802"/>
        <w:gridCol w:w="1610"/>
      </w:tblGrid>
      <w:tr>
        <w:trPr>
          <w:trHeight w:val="557"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9" w:right="59"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9" w:right="96"/>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6" w:right="2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投资金额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60" w:right="7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59" w:right="7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6" w:right="26"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6"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9" w:right="9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1" w:right="111"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5"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200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8"/>
              <w:ind w:left="22" w:right="96"/>
              <w:jc w:val="both"/>
              <w:rPr>
                <w:rFonts w:ascii="宋体" w:hAnsi="宋体" w:cs="宋体" w:eastAsia="宋体" w:hint="default"/>
                <w:sz w:val="18"/>
                <w:szCs w:val="18"/>
              </w:rPr>
            </w:pPr>
            <w:r>
              <w:rPr>
                <w:rFonts w:ascii="宋体" w:hAnsi="宋体" w:cs="宋体" w:eastAsia="宋体" w:hint="default"/>
                <w:sz w:val="18"/>
                <w:szCs w:val="18"/>
              </w:rPr>
              <w:t>广州华炜 科技有限 公司</w:t>
            </w:r>
          </w:p>
        </w:tc>
        <w:tc>
          <w:tcPr>
            <w:tcW w:w="5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172"/>
              <w:jc w:val="left"/>
              <w:rPr>
                <w:rFonts w:ascii="宋体" w:hAnsi="宋体" w:cs="宋体" w:eastAsia="宋体" w:hint="default"/>
                <w:sz w:val="18"/>
                <w:szCs w:val="18"/>
              </w:rPr>
            </w:pPr>
            <w:r>
              <w:rPr>
                <w:rFonts w:ascii="宋体" w:hAnsi="宋体" w:cs="宋体" w:eastAsia="宋体" w:hint="default"/>
                <w:sz w:val="18"/>
                <w:szCs w:val="18"/>
              </w:rPr>
              <w:t>电磁 安防</w:t>
            </w:r>
          </w:p>
        </w:tc>
        <w:tc>
          <w:tcPr>
            <w:tcW w:w="42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7"/>
              <w:jc w:val="center"/>
              <w:rPr>
                <w:rFonts w:ascii="宋体" w:hAnsi="宋体" w:cs="宋体" w:eastAsia="宋体" w:hint="default"/>
                <w:sz w:val="18"/>
                <w:szCs w:val="18"/>
              </w:rPr>
            </w:pPr>
            <w:r>
              <w:rPr>
                <w:rFonts w:ascii="宋体" w:hAnsi="宋体" w:cs="宋体" w:eastAsia="宋体" w:hint="default"/>
                <w:sz w:val="18"/>
                <w:szCs w:val="18"/>
              </w:rPr>
              <w:t>收购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390,000,000.00</w:t>
            </w:r>
          </w:p>
        </w:tc>
        <w:tc>
          <w:tcPr>
            <w:tcW w:w="70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8"/>
              <w:ind w:left="22" w:right="135"/>
              <w:jc w:val="both"/>
              <w:rPr>
                <w:rFonts w:ascii="宋体" w:hAnsi="宋体" w:cs="宋体" w:eastAsia="宋体" w:hint="default"/>
                <w:sz w:val="18"/>
                <w:szCs w:val="18"/>
              </w:rPr>
            </w:pPr>
            <w:r>
              <w:rPr>
                <w:rFonts w:ascii="宋体" w:hAnsi="宋体" w:cs="宋体" w:eastAsia="宋体" w:hint="default"/>
                <w:sz w:val="18"/>
                <w:szCs w:val="18"/>
              </w:rPr>
              <w:t>发行股 份及支 付现金</w:t>
            </w:r>
          </w:p>
        </w:tc>
        <w:tc>
          <w:tcPr>
            <w:tcW w:w="42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不适 用</w:t>
            </w:r>
          </w:p>
        </w:tc>
        <w:tc>
          <w:tcPr>
            <w:tcW w:w="42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30"/>
              <w:jc w:val="left"/>
              <w:rPr>
                <w:rFonts w:ascii="宋体" w:hAnsi="宋体" w:cs="宋体" w:eastAsia="宋体" w:hint="default"/>
                <w:sz w:val="18"/>
                <w:szCs w:val="18"/>
              </w:rPr>
            </w:pPr>
            <w:r>
              <w:rPr>
                <w:rFonts w:ascii="宋体" w:hAnsi="宋体" w:cs="宋体" w:eastAsia="宋体" w:hint="default"/>
                <w:sz w:val="18"/>
                <w:szCs w:val="18"/>
              </w:rPr>
              <w:t>不适 用</w:t>
            </w:r>
          </w:p>
        </w:tc>
        <w:tc>
          <w:tcPr>
            <w:tcW w:w="5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173"/>
              <w:jc w:val="left"/>
              <w:rPr>
                <w:rFonts w:ascii="宋体" w:hAnsi="宋体" w:cs="宋体" w:eastAsia="宋体" w:hint="default"/>
                <w:sz w:val="18"/>
                <w:szCs w:val="18"/>
              </w:rPr>
            </w:pPr>
            <w:r>
              <w:rPr>
                <w:rFonts w:ascii="宋体" w:hAnsi="宋体" w:cs="宋体" w:eastAsia="宋体" w:hint="default"/>
                <w:sz w:val="18"/>
                <w:szCs w:val="18"/>
              </w:rPr>
              <w:t>不适 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36,000,000.00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38,035,680.42</w:t>
            </w:r>
          </w:p>
        </w:tc>
        <w:tc>
          <w:tcPr>
            <w:tcW w:w="566"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33"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10" w:type="dxa"/>
            <w:tcBorders>
              <w:top w:val="single" w:sz="4" w:space="0" w:color="000000"/>
              <w:left w:val="single" w:sz="4" w:space="0" w:color="000000"/>
              <w:bottom w:val="single" w:sz="10" w:space="0" w:color="D2D2D2"/>
              <w:right w:val="single" w:sz="4" w:space="0" w:color="000000"/>
            </w:tcBorders>
          </w:tcPr>
          <w:p>
            <w:pPr>
              <w:pStyle w:val="TableParagraph"/>
              <w:spacing w:line="247" w:lineRule="auto" w:before="9"/>
              <w:ind w:left="22"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4">
              <w:r>
                <w:rPr>
                  <w:rFonts w:ascii="Times New Roman" w:hAnsi="Times New Roman" w:cs="Times New Roman" w:eastAsia="Times New Roman" w:hint="default"/>
                  <w:sz w:val="18"/>
                  <w:szCs w:val="18"/>
                </w:rPr>
                <w:t>http://chinext.cninfo.</w:t>
              </w:r>
            </w:hyperlink>
            <w:r>
              <w:rPr>
                <w:rFonts w:ascii="Times New Roman" w:hAnsi="Times New Roman" w:cs="Times New Roman" w:eastAsia="Times New Roman" w:hint="default"/>
                <w:sz w:val="18"/>
                <w:szCs w:val="18"/>
              </w:rPr>
              <w:t> com.cn/finalpage/20 15-04-13/120082783</w:t>
            </w:r>
          </w:p>
          <w:p>
            <w:pPr>
              <w:pStyle w:val="TableParagraph"/>
              <w:spacing w:line="21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1.PDF</w:t>
            </w:r>
            <w:r>
              <w:rPr>
                <w:rFonts w:ascii="宋体" w:hAnsi="宋体" w:cs="宋体" w:eastAsia="宋体" w:hint="default"/>
                <w:sz w:val="18"/>
                <w:szCs w:val="18"/>
              </w:rPr>
              <w:t>；</w:t>
            </w:r>
          </w:p>
          <w:p>
            <w:pPr>
              <w:pStyle w:val="TableParagraph"/>
              <w:spacing w:line="240" w:lineRule="auto" w:before="9"/>
              <w:ind w:left="22" w:right="55"/>
              <w:jc w:val="both"/>
              <w:rPr>
                <w:rFonts w:ascii="Times New Roman" w:hAnsi="Times New Roman" w:cs="Times New Roman" w:eastAsia="Times New Roman" w:hint="default"/>
                <w:sz w:val="18"/>
                <w:szCs w:val="18"/>
              </w:rPr>
            </w:pPr>
            <w:hyperlink r:id="rId14">
              <w:r>
                <w:rPr>
                  <w:rFonts w:ascii="Times New Roman"/>
                  <w:sz w:val="18"/>
                </w:rPr>
                <w:t>http://chinext.cninfo.</w:t>
              </w:r>
            </w:hyperlink>
            <w:r>
              <w:rPr>
                <w:rFonts w:ascii="Times New Roman"/>
                <w:sz w:val="18"/>
              </w:rPr>
              <w:t> com.cn/finalpage/20 15-04-30/120094510</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0.PDF</w:t>
            </w:r>
          </w:p>
        </w:tc>
      </w:tr>
      <w:tr>
        <w:trPr>
          <w:trHeight w:val="32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85" w:right="0"/>
              <w:jc w:val="center"/>
              <w:rPr>
                <w:rFonts w:ascii="Times New Roman" w:hAnsi="Times New Roman" w:cs="Times New Roman" w:eastAsia="Times New Roman" w:hint="default"/>
                <w:sz w:val="18"/>
                <w:szCs w:val="18"/>
              </w:rPr>
            </w:pPr>
            <w:r>
              <w:rPr>
                <w:rFonts w:ascii="Times New Roman"/>
                <w:sz w:val="18"/>
              </w:rPr>
              <w:t>390,000,000.00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Times New Roman"/>
                <w:sz w:val="18"/>
              </w:rPr>
              <w:t>36,000,000.00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38,035,680.42</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r>
        <w:rPr/>
        <w:pict>
          <v:group style="position:absolute;margin-left:92.419998pt;margin-top:-27.536331pt;width:19.650pt;height:15.5pt;mso-position-horizontal-relative:page;mso-position-vertical-relative:paragraph;z-index:-860896" coordorigin="1848,-551" coordsize="393,310">
            <v:group style="position:absolute;left:1860;top:-539;width:2;height:287" coordorigin="1860,-539" coordsize="2,287">
              <v:shape style="position:absolute;left:1860;top:-539;width:2;height:287" coordorigin="1860,-539" coordsize="0,287" path="m1860,-539l1860,-253e" filled="false" stroked="true" strokeweight="1.140pt" strokecolor="#d2d2d2">
                <v:path arrowok="t"/>
              </v:shape>
            </v:group>
            <v:group style="position:absolute;left:1871;top:-539;width:370;height:287" coordorigin="1871,-539" coordsize="370,287">
              <v:shape style="position:absolute;left:1871;top:-539;width:370;height:287" coordorigin="1871,-539" coordsize="370,287" path="m1871,-253l2241,-253,2241,-539,1871,-539,1871,-253xe" filled="true" fillcolor="#d2d2d2" stroked="false">
                <v:path arrowok="t"/>
                <v:fill type="solid"/>
              </v:shape>
            </v:group>
            <w10:wrap type="none"/>
          </v:group>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18"/>
          <w:szCs w:val="18"/>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44"/>
        <w:ind w:left="0" w:right="785" w:firstLine="0"/>
        <w:jc w:val="right"/>
        <w:rPr>
          <w:rFonts w:ascii="宋体" w:hAnsi="宋体" w:cs="宋体" w:eastAsia="宋体" w:hint="default"/>
          <w:sz w:val="18"/>
          <w:szCs w:val="18"/>
        </w:rPr>
      </w:pPr>
      <w:r>
        <w:rPr/>
        <w:pict>
          <v:shape style="position:absolute;margin-left:49.380001pt;margin-top:-166.148285pt;width:504pt;height:230.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992"/>
                    <w:gridCol w:w="851"/>
                    <w:gridCol w:w="850"/>
                    <w:gridCol w:w="851"/>
                    <w:gridCol w:w="992"/>
                    <w:gridCol w:w="992"/>
                    <w:gridCol w:w="993"/>
                    <w:gridCol w:w="850"/>
                    <w:gridCol w:w="992"/>
                    <w:gridCol w:w="851"/>
                  </w:tblGrid>
                  <w:tr>
                    <w:trPr>
                      <w:trHeight w:val="79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39"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0"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0"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 w:right="41"/>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 w:right="41"/>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 w:right="40"/>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0" w:right="59"/>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1" w:right="38"/>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60" w:right="5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19"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35,275.67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35,412.09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z w:val="18"/>
                          </w:rPr>
                          <w:t>0</w:t>
                        </w:r>
                      </w:p>
                    </w:tc>
                  </w:tr>
                  <w:tr>
                    <w:trPr>
                      <w:trHeight w:val="79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99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3,526.67</w:t>
                        </w:r>
                      </w:p>
                    </w:tc>
                    <w:tc>
                      <w:tcPr>
                        <w:tcW w:w="99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9"/>
                          <w:ind w:left="23" w:right="56"/>
                          <w:jc w:val="both"/>
                          <w:rPr>
                            <w:rFonts w:ascii="宋体" w:hAnsi="宋体" w:cs="宋体" w:eastAsia="宋体" w:hint="default"/>
                            <w:sz w:val="18"/>
                            <w:szCs w:val="18"/>
                          </w:rPr>
                        </w:pPr>
                        <w:r>
                          <w:rPr>
                            <w:rFonts w:ascii="宋体" w:hAnsi="宋体" w:cs="宋体" w:eastAsia="宋体" w:hint="default"/>
                            <w:sz w:val="18"/>
                            <w:szCs w:val="18"/>
                          </w:rPr>
                          <w:t>支付购买资 产交易的现 金对价。</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46,482.34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7,680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43,092.09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3,526.67</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100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58" w:hRule="exact"/>
                    </w:trPr>
                    <w:tc>
                      <w:tcPr>
                        <w:tcW w:w="100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[2012]41 </w:t>
                        </w:r>
                        <w:r>
                          <w:rPr>
                            <w:rFonts w:ascii="宋体" w:hAnsi="宋体" w:cs="宋体" w:eastAsia="宋体" w:hint="default"/>
                            <w:sz w:val="18"/>
                            <w:szCs w:val="18"/>
                          </w:rPr>
                          <w:t>号文核准，并经深圳证券交易所同意，</w:t>
                        </w:r>
                        <w:r>
                          <w:rPr>
                            <w:rFonts w:ascii="宋体" w:hAnsi="宋体" w:cs="宋体" w:eastAsia="宋体" w:hint="default"/>
                            <w:spacing w:val="-55"/>
                            <w:sz w:val="18"/>
                            <w:szCs w:val="18"/>
                          </w:rPr>
                          <w:t> </w:t>
                        </w:r>
                        <w:r>
                          <w:rPr>
                            <w:rFonts w:ascii="宋体" w:hAnsi="宋体" w:cs="宋体" w:eastAsia="宋体" w:hint="default"/>
                            <w:sz w:val="18"/>
                            <w:szCs w:val="18"/>
                          </w:rPr>
                          <w:t>公司由主承销商广发证券股份有限公司</w:t>
                        </w:r>
                        <w:r>
                          <w:rPr>
                            <w:rFonts w:ascii="宋体" w:hAnsi="宋体" w:cs="宋体" w:eastAsia="宋体" w:hint="default"/>
                            <w:sz w:val="18"/>
                            <w:szCs w:val="18"/>
                          </w:rPr>
                          <w:t> 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万股，每股面值</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元，每股发行价人民币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p>
                      <w:p>
                        <w:pPr>
                          <w:pStyle w:val="TableParagraph"/>
                          <w:spacing w:line="217"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35275.67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25" w:lineRule="auto" w:before="5"/>
                          <w:ind w:left="22"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日，公司累计使用募集资金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35,412.09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万元，其中，募集资金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35,275.67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万元、银行手续费</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万元、银行利息收入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137.60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[2015]356 </w:t>
                        </w:r>
                        <w:r>
                          <w:rPr>
                            <w:rFonts w:ascii="宋体" w:hAnsi="宋体" w:cs="宋体" w:eastAsia="宋体" w:hint="default"/>
                            <w:sz w:val="18"/>
                            <w:szCs w:val="18"/>
                          </w:rPr>
                          <w:t>号文核准，并经深圳证券交易所同意，</w:t>
                        </w:r>
                        <w:r>
                          <w:rPr>
                            <w:rFonts w:ascii="宋体" w:hAnsi="宋体" w:cs="宋体" w:eastAsia="宋体" w:hint="default"/>
                            <w:spacing w:val="-2"/>
                            <w:sz w:val="18"/>
                            <w:szCs w:val="18"/>
                          </w:rPr>
                          <w:t> </w:t>
                        </w:r>
                        <w:r>
                          <w:rPr>
                            <w:rFonts w:ascii="宋体" w:hAnsi="宋体" w:cs="宋体" w:eastAsia="宋体" w:hint="default"/>
                            <w:sz w:val="18"/>
                            <w:szCs w:val="18"/>
                          </w:rPr>
                          <w:t>公司由主承销商广发证券股份有限公</w:t>
                        </w:r>
                        <w:r>
                          <w:rPr>
                            <w:rFonts w:ascii="宋体" w:hAnsi="宋体" w:cs="宋体" w:eastAsia="宋体" w:hint="default"/>
                            <w:sz w:val="18"/>
                            <w:szCs w:val="18"/>
                          </w:rPr>
                          <w:t> 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日向特定投资者非公开发行普通股（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pacing w:val="-7"/>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24,610,235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股，每股面值</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元，每股发行价人民币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28" w:lineRule="exact"/>
                          <w:ind w:left="22" w:right="0"/>
                          <w:jc w:val="both"/>
                          <w:rPr>
                            <w:rFonts w:ascii="宋体" w:hAnsi="宋体" w:cs="宋体" w:eastAsia="宋体" w:hint="default"/>
                            <w:sz w:val="18"/>
                            <w:szCs w:val="18"/>
                          </w:rPr>
                        </w:pPr>
                        <w:r>
                          <w:rPr>
                            <w:rFonts w:ascii="宋体" w:hAnsi="宋体" w:cs="宋体" w:eastAsia="宋体" w:hint="default"/>
                            <w:sz w:val="18"/>
                            <w:szCs w:val="18"/>
                          </w:rPr>
                          <w:t>用于购买资产和募集配套资金。截止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日，公司共募集配套资金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w:t>
                        </w:r>
                      </w:p>
                      <w:p>
                        <w:pPr>
                          <w:pStyle w:val="TableParagraph"/>
                          <w:spacing w:line="242" w:lineRule="exact"/>
                          <w:ind w:left="22" w:right="0"/>
                          <w:jc w:val="both"/>
                          <w:rPr>
                            <w:rFonts w:ascii="宋体" w:hAnsi="宋体" w:cs="宋体" w:eastAsia="宋体" w:hint="default"/>
                            <w:sz w:val="18"/>
                            <w:szCs w:val="18"/>
                          </w:rPr>
                        </w:pPr>
                        <w:r>
                          <w:rPr>
                            <w:rFonts w:ascii="宋体" w:hAnsi="宋体" w:cs="宋体" w:eastAsia="宋体" w:hint="default"/>
                            <w:sz w:val="18"/>
                            <w:szCs w:val="18"/>
                          </w:rPr>
                          <w:t>金净额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11,206.67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18"/>
          <w:szCs w:val="18"/>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650"/>
        <w:gridCol w:w="760"/>
        <w:gridCol w:w="852"/>
        <w:gridCol w:w="850"/>
        <w:gridCol w:w="709"/>
        <w:gridCol w:w="850"/>
        <w:gridCol w:w="709"/>
        <w:gridCol w:w="851"/>
        <w:gridCol w:w="708"/>
        <w:gridCol w:w="709"/>
        <w:gridCol w:w="709"/>
        <w:gridCol w:w="850"/>
      </w:tblGrid>
      <w:tr>
        <w:trPr>
          <w:trHeight w:val="125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132"/>
              <w:ind w:left="74" w:right="7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61"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4"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79" w:right="7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60"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63" w:right="6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33"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0"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77"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9" w:right="78"/>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37" w:lineRule="auto"/>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8"/>
              <w:ind w:left="60" w:right="5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24" w:hRule="exact"/>
        </w:trPr>
        <w:tc>
          <w:tcPr>
            <w:tcW w:w="10207"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557"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7"/>
              <w:jc w:val="left"/>
              <w:rPr>
                <w:rFonts w:ascii="宋体" w:hAnsi="宋体" w:cs="宋体" w:eastAsia="宋体" w:hint="default"/>
                <w:sz w:val="18"/>
                <w:szCs w:val="18"/>
              </w:rPr>
            </w:pPr>
            <w:r>
              <w:rPr>
                <w:rFonts w:ascii="宋体" w:hAnsi="宋体" w:cs="宋体" w:eastAsia="宋体" w:hint="default"/>
                <w:sz w:val="18"/>
                <w:szCs w:val="18"/>
              </w:rPr>
              <w:t>全网综合监控审计 平台项目</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3,372.45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2,055.94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2,695.72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UltraUTM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统一安全</w:t>
            </w:r>
            <w:r>
              <w:rPr>
                <w:rFonts w:ascii="宋体" w:hAnsi="宋体" w:cs="宋体" w:eastAsia="宋体" w:hint="default"/>
                <w:w w:val="99"/>
                <w:sz w:val="18"/>
                <w:szCs w:val="18"/>
              </w:rPr>
              <w:t> </w:t>
            </w:r>
            <w:r>
              <w:rPr>
                <w:rFonts w:ascii="宋体" w:hAnsi="宋体" w:cs="宋体" w:eastAsia="宋体" w:hint="default"/>
                <w:sz w:val="18"/>
                <w:szCs w:val="18"/>
              </w:rPr>
              <w:t>网关项目</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2,340.43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1,536.29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7"/>
              <w:jc w:val="left"/>
              <w:rPr>
                <w:rFonts w:ascii="宋体" w:hAnsi="宋体" w:cs="宋体" w:eastAsia="宋体" w:hint="default"/>
                <w:sz w:val="18"/>
                <w:szCs w:val="18"/>
              </w:rPr>
            </w:pPr>
            <w:r>
              <w:rPr>
                <w:rFonts w:ascii="宋体" w:hAnsi="宋体" w:cs="宋体" w:eastAsia="宋体" w:hint="default"/>
                <w:sz w:val="18"/>
                <w:szCs w:val="18"/>
              </w:rPr>
              <w:t>服务器安全综合监 测平台项目</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1,842.65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1,439.13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新一代安全 综合运维管理平台 项目</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2,251.73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787.34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7"/>
              <w:jc w:val="left"/>
              <w:rPr>
                <w:rFonts w:ascii="宋体" w:hAnsi="宋体" w:cs="宋体" w:eastAsia="宋体" w:hint="default"/>
                <w:sz w:val="18"/>
                <w:szCs w:val="18"/>
              </w:rPr>
            </w:pPr>
            <w:r>
              <w:rPr>
                <w:rFonts w:ascii="宋体" w:hAnsi="宋体" w:cs="宋体" w:eastAsia="宋体" w:hint="default"/>
                <w:sz w:val="18"/>
                <w:szCs w:val="18"/>
              </w:rPr>
              <w:t>研发及培训中心建 设项目</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77"/>
              <w:jc w:val="both"/>
              <w:rPr>
                <w:rFonts w:ascii="宋体" w:hAnsi="宋体" w:cs="宋体" w:eastAsia="宋体" w:hint="default"/>
                <w:sz w:val="18"/>
                <w:szCs w:val="18"/>
              </w:rPr>
            </w:pPr>
            <w:r>
              <w:rPr>
                <w:rFonts w:ascii="宋体" w:hAnsi="宋体" w:cs="宋体" w:eastAsia="宋体" w:hint="default"/>
                <w:sz w:val="18"/>
                <w:szCs w:val="18"/>
              </w:rPr>
              <w:t>支付收购广州华炜 科技有限公司的现 金对价</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4,680.00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r>
        <w:rPr/>
        <w:pict>
          <v:shape style="position:absolute;margin-left:57.029999pt;margin-top:71.999985pt;width:510.55pt;height:693.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9"/>
                    <w:gridCol w:w="760"/>
                    <w:gridCol w:w="852"/>
                    <w:gridCol w:w="850"/>
                    <w:gridCol w:w="709"/>
                    <w:gridCol w:w="850"/>
                    <w:gridCol w:w="709"/>
                    <w:gridCol w:w="851"/>
                    <w:gridCol w:w="708"/>
                    <w:gridCol w:w="709"/>
                    <w:gridCol w:w="709"/>
                    <w:gridCol w:w="850"/>
                  </w:tblGrid>
                  <w:tr>
                    <w:trPr>
                      <w:trHeight w:val="557"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 w:right="177"/>
                          <w:jc w:val="left"/>
                          <w:rPr>
                            <w:rFonts w:ascii="宋体" w:hAnsi="宋体" w:cs="宋体" w:eastAsia="宋体" w:hint="default"/>
                            <w:sz w:val="18"/>
                            <w:szCs w:val="18"/>
                          </w:rPr>
                        </w:pPr>
                        <w:r>
                          <w:rPr>
                            <w:rFonts w:ascii="宋体" w:hAnsi="宋体" w:cs="宋体" w:eastAsia="宋体" w:hint="default"/>
                            <w:sz w:val="18"/>
                            <w:szCs w:val="18"/>
                          </w:rPr>
                          <w:t>补充广州华炜科技 有限公司流动资金</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 w:right="0"/>
                          <w:jc w:val="left"/>
                          <w:rPr>
                            <w:rFonts w:ascii="宋体" w:hAnsi="宋体" w:cs="宋体" w:eastAsia="宋体" w:hint="default"/>
                            <w:sz w:val="18"/>
                            <w:szCs w:val="18"/>
                          </w:rPr>
                        </w:pPr>
                        <w:r>
                          <w:rPr>
                            <w:rFonts w:ascii="宋体" w:hAnsi="宋体" w:cs="宋体" w:eastAsia="宋体" w:hint="default"/>
                            <w:sz w:val="18"/>
                            <w:szCs w:val="18"/>
                          </w:rPr>
                          <w:t>剩余配套募集资金</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20"/>
                            <w:szCs w:val="20"/>
                          </w:rPr>
                        </w:pPr>
                        <w:r>
                          <w:rPr>
                            <w:rFonts w:ascii="宋体" w:hAnsi="宋体" w:cs="宋体" w:eastAsia="宋体" w:hint="default"/>
                            <w:w w:val="100"/>
                            <w:sz w:val="20"/>
                            <w:szCs w:val="20"/>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406.67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406.67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6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8,655.14</w:t>
                        </w:r>
                      </w:p>
                    </w:tc>
                    <w:tc>
                      <w:tcPr>
                        <w:tcW w:w="709"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9" w:space="0" w:color="D2D2D2"/>
                          <w:right w:val="single" w:sz="4" w:space="0" w:color="000000"/>
                        </w:tcBorders>
                      </w:tcPr>
                      <w:p>
                        <w:pPr/>
                      </w:p>
                    </w:tc>
                    <w:tc>
                      <w:tcPr>
                        <w:tcW w:w="850" w:type="dxa"/>
                        <w:tcBorders>
                          <w:top w:val="single" w:sz="4" w:space="0" w:color="000000"/>
                          <w:left w:val="single" w:sz="4" w:space="0" w:color="000000"/>
                          <w:bottom w:val="single" w:sz="9" w:space="0" w:color="D2D2D2"/>
                          <w:right w:val="single" w:sz="4" w:space="0" w:color="000000"/>
                        </w:tcBorders>
                      </w:tcPr>
                      <w:p>
                        <w:pPr/>
                      </w:p>
                    </w:tc>
                  </w:tr>
                  <w:tr>
                    <w:trPr>
                      <w:trHeight w:val="323" w:hRule="exact"/>
                    </w:trPr>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313"/>
                          <w:jc w:val="righ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32,238.67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32,238.67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z w:val="18"/>
                          </w:rPr>
                          <w:t>7,680</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3"/>
                          <w:ind w:right="8"/>
                          <w:jc w:val="right"/>
                          <w:rPr>
                            <w:rFonts w:ascii="Times New Roman" w:hAnsi="Times New Roman" w:cs="Times New Roman" w:eastAsia="Times New Roman" w:hint="default"/>
                            <w:sz w:val="18"/>
                            <w:szCs w:val="18"/>
                          </w:rPr>
                        </w:pPr>
                        <w:r>
                          <w:rPr>
                            <w:rFonts w:ascii="Times New Roman"/>
                            <w:sz w:val="18"/>
                          </w:rPr>
                          <w:t>28,812.9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3"/>
                          <w:ind w:left="9" w:right="0"/>
                          <w:jc w:val="center"/>
                          <w:rPr>
                            <w:rFonts w:ascii="Times New Roman" w:hAnsi="Times New Roman" w:cs="Times New Roman" w:eastAsia="Times New Roman" w:hint="default"/>
                            <w:sz w:val="18"/>
                            <w:szCs w:val="18"/>
                          </w:rPr>
                        </w:pPr>
                        <w:r>
                          <w:rPr>
                            <w:rFonts w:ascii="Times New Roman"/>
                            <w:sz w:val="18"/>
                          </w:rPr>
                          <w:t>4,562.74</w:t>
                        </w:r>
                      </w:p>
                    </w:tc>
                    <w:tc>
                      <w:tcPr>
                        <w:tcW w:w="7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3"/>
                          <w:ind w:right="9"/>
                          <w:jc w:val="right"/>
                          <w:rPr>
                            <w:rFonts w:ascii="Times New Roman" w:hAnsi="Times New Roman" w:cs="Times New Roman" w:eastAsia="Times New Roman" w:hint="default"/>
                            <w:sz w:val="18"/>
                            <w:szCs w:val="18"/>
                          </w:rPr>
                        </w:pPr>
                        <w:r>
                          <w:rPr>
                            <w:rFonts w:ascii="Times New Roman"/>
                            <w:sz w:val="18"/>
                          </w:rPr>
                          <w:t>6,458.48</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359"/>
                          <w:jc w:val="right"/>
                          <w:rPr>
                            <w:rFonts w:ascii="Times New Roman" w:hAnsi="Times New Roman" w:cs="Times New Roman" w:eastAsia="Times New Roman" w:hint="default"/>
                            <w:sz w:val="18"/>
                            <w:szCs w:val="18"/>
                          </w:rPr>
                        </w:pPr>
                        <w:r>
                          <w:rPr>
                            <w:rFonts w:ascii="Times New Roman"/>
                            <w:sz w:val="18"/>
                          </w:rPr>
                          <w:t>--</w:t>
                        </w:r>
                      </w:p>
                    </w:tc>
                  </w:tr>
                  <w:tr>
                    <w:trPr>
                      <w:trHeight w:val="318" w:hRule="exact"/>
                    </w:trPr>
                    <w:tc>
                      <w:tcPr>
                        <w:tcW w:w="1019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557"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 w:right="177"/>
                          <w:jc w:val="left"/>
                          <w:rPr>
                            <w:rFonts w:ascii="宋体" w:hAnsi="宋体" w:cs="宋体" w:eastAsia="宋体" w:hint="default"/>
                            <w:sz w:val="18"/>
                            <w:szCs w:val="18"/>
                          </w:rPr>
                        </w:pPr>
                        <w:r>
                          <w:rPr>
                            <w:rFonts w:ascii="宋体" w:hAnsi="宋体" w:cs="宋体" w:eastAsia="宋体" w:hint="default"/>
                            <w:sz w:val="18"/>
                            <w:szCs w:val="18"/>
                          </w:rPr>
                          <w:t>互联网舆情分析平 台项目</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2,163.35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608.86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 w:right="177"/>
                          <w:jc w:val="left"/>
                          <w:rPr>
                            <w:rFonts w:ascii="宋体" w:hAnsi="宋体" w:cs="宋体" w:eastAsia="宋体" w:hint="default"/>
                            <w:sz w:val="18"/>
                            <w:szCs w:val="18"/>
                          </w:rPr>
                        </w:pPr>
                        <w:r>
                          <w:rPr>
                            <w:rFonts w:ascii="宋体" w:hAnsi="宋体" w:cs="宋体" w:eastAsia="宋体" w:hint="default"/>
                            <w:sz w:val="18"/>
                            <w:szCs w:val="18"/>
                          </w:rPr>
                          <w:t>蓝盾股份信息安全 产业基地</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7,937.42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永久补充流动资金</w:t>
                        </w:r>
                      </w:p>
                    </w:tc>
                    <w:tc>
                      <w:tcPr>
                        <w:tcW w:w="760"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right="313"/>
                          <w:jc w:val="righ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1,378.42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right="359"/>
                          <w:jc w:val="right"/>
                          <w:rPr>
                            <w:rFonts w:ascii="Times New Roman" w:hAnsi="Times New Roman" w:cs="Times New Roman" w:eastAsia="Times New Roman" w:hint="default"/>
                            <w:sz w:val="18"/>
                            <w:szCs w:val="18"/>
                          </w:rPr>
                        </w:pPr>
                        <w:r>
                          <w:rPr>
                            <w:rFonts w:ascii="Times New Roman"/>
                            <w:sz w:val="18"/>
                          </w:rPr>
                          <w:t>--</w:t>
                        </w:r>
                      </w:p>
                    </w:tc>
                  </w:tr>
                  <w:tr>
                    <w:trPr>
                      <w:trHeight w:val="136" w:hRule="exact"/>
                    </w:trPr>
                    <w:tc>
                      <w:tcPr>
                        <w:tcW w:w="16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1"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13" w:space="0" w:color="D2D2D2"/>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2,800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2,800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2,800</w:t>
                        </w:r>
                      </w:p>
                    </w:tc>
                    <w:tc>
                      <w:tcPr>
                        <w:tcW w:w="709" w:type="dxa"/>
                        <w:vMerge w:val="restart"/>
                        <w:tcBorders>
                          <w:top w:val="single" w:sz="4" w:space="0" w:color="000000"/>
                          <w:left w:val="single" w:sz="4" w:space="0" w:color="000000"/>
                          <w:right w:val="single" w:sz="13"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429" w:hRule="exact"/>
                    </w:trPr>
                    <w:tc>
                      <w:tcPr>
                        <w:tcW w:w="1639" w:type="dxa"/>
                        <w:vMerge/>
                        <w:tcBorders>
                          <w:left w:val="single" w:sz="4" w:space="0" w:color="000000"/>
                          <w:bottom w:val="single" w:sz="4" w:space="0" w:color="000000"/>
                          <w:right w:val="single" w:sz="4" w:space="0" w:color="000000"/>
                        </w:tcBorders>
                        <w:shd w:val="clear" w:color="auto" w:fill="D2D2D2"/>
                      </w:tcPr>
                      <w:p>
                        <w:pPr/>
                      </w:p>
                    </w:tc>
                    <w:tc>
                      <w:tcPr>
                        <w:tcW w:w="7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6"/>
                          <w:ind w:right="313"/>
                          <w:jc w:val="right"/>
                          <w:rPr>
                            <w:rFonts w:ascii="Times New Roman" w:hAnsi="Times New Roman" w:cs="Times New Roman" w:eastAsia="Times New Roman" w:hint="default"/>
                            <w:sz w:val="18"/>
                            <w:szCs w:val="18"/>
                          </w:rPr>
                        </w:pPr>
                        <w:r>
                          <w:rPr>
                            <w:rFonts w:ascii="Times New Roman"/>
                            <w:sz w:val="18"/>
                          </w:rPr>
                          <w:t>--</w:t>
                        </w:r>
                      </w:p>
                    </w:tc>
                    <w:tc>
                      <w:tcPr>
                        <w:tcW w:w="852"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9" w:space="0" w:color="D2D2D2"/>
                          <w:right w:val="single" w:sz="13" w:space="0" w:color="D2D2D2"/>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6"/>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6"/>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6"/>
                          <w:ind w:right="359"/>
                          <w:jc w:val="right"/>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313"/>
                          <w:jc w:val="righ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14,243.67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14,243.67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2"/>
                          <w:ind w:right="8"/>
                          <w:jc w:val="right"/>
                          <w:rPr>
                            <w:rFonts w:ascii="Times New Roman" w:hAnsi="Times New Roman" w:cs="Times New Roman" w:eastAsia="Times New Roman" w:hint="default"/>
                            <w:sz w:val="18"/>
                            <w:szCs w:val="18"/>
                          </w:rPr>
                        </w:pPr>
                        <w:r>
                          <w:rPr>
                            <w:rFonts w:ascii="Times New Roman"/>
                            <w:sz w:val="18"/>
                          </w:rPr>
                          <w:t>14,279.19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56" w:space="0" w:color="D2D2D2"/>
                          <w:left w:val="single" w:sz="13" w:space="0" w:color="D2D2D2"/>
                          <w:bottom w:val="single" w:sz="4" w:space="0" w:color="000000"/>
                          <w:right w:val="single" w:sz="4" w:space="0" w:color="000000"/>
                        </w:tcBorders>
                      </w:tcPr>
                      <w:p>
                        <w:pPr>
                          <w:pStyle w:val="TableParagraph"/>
                          <w:spacing w:line="184" w:lineRule="exact"/>
                          <w:ind w:left="145" w:right="0"/>
                          <w:jc w:val="center"/>
                          <w:rPr>
                            <w:rFonts w:ascii="Times New Roman" w:hAnsi="Times New Roman" w:cs="Times New Roman" w:eastAsia="Times New Roman" w:hint="default"/>
                            <w:sz w:val="18"/>
                            <w:szCs w:val="18"/>
                          </w:rPr>
                        </w:pPr>
                        <w:r>
                          <w:rPr>
                            <w:rFonts w:ascii="Times New Roman"/>
                            <w:sz w:val="18"/>
                          </w:rPr>
                          <w:t>608.86</w:t>
                        </w:r>
                      </w:p>
                    </w:tc>
                    <w:tc>
                      <w:tcPr>
                        <w:tcW w:w="709" w:type="dxa"/>
                        <w:tcBorders>
                          <w:top w:val="single" w:sz="56" w:space="0" w:color="D2D2D2"/>
                          <w:left w:val="single" w:sz="4" w:space="0" w:color="000000"/>
                          <w:bottom w:val="single" w:sz="4" w:space="0" w:color="000000"/>
                          <w:right w:val="single" w:sz="13" w:space="0" w:color="D2D2D2"/>
                        </w:tcBorders>
                      </w:tcPr>
                      <w:p>
                        <w:pPr>
                          <w:pStyle w:val="TableParagraph"/>
                          <w:spacing w:line="184" w:lineRule="exact"/>
                          <w:ind w:right="9"/>
                          <w:jc w:val="right"/>
                          <w:rPr>
                            <w:rFonts w:ascii="Times New Roman" w:hAnsi="Times New Roman" w:cs="Times New Roman" w:eastAsia="Times New Roman" w:hint="default"/>
                            <w:sz w:val="18"/>
                            <w:szCs w:val="18"/>
                          </w:rPr>
                        </w:pPr>
                        <w:r>
                          <w:rPr>
                            <w:rFonts w:ascii="Times New Roman"/>
                            <w:sz w:val="18"/>
                          </w:rPr>
                          <w:t>634.68</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359"/>
                          <w:jc w:val="right"/>
                          <w:rPr>
                            <w:rFonts w:ascii="Times New Roman" w:hAnsi="Times New Roman" w:cs="Times New Roman" w:eastAsia="Times New Roman" w:hint="default"/>
                            <w:sz w:val="18"/>
                            <w:szCs w:val="18"/>
                          </w:rPr>
                        </w:pPr>
                        <w:r>
                          <w:rPr>
                            <w:rFonts w:ascii="Times New Roman"/>
                            <w:sz w:val="18"/>
                          </w:rPr>
                          <w:t>--</w:t>
                        </w:r>
                      </w:p>
                    </w:tc>
                  </w:tr>
                  <w:tr>
                    <w:trPr>
                      <w:trHeight w:val="317" w:hRule="exact"/>
                    </w:trPr>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13"/>
                          <w:jc w:val="righ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46,482.34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46,482.34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7,680</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8"/>
                          <w:jc w:val="right"/>
                          <w:rPr>
                            <w:rFonts w:ascii="Times New Roman" w:hAnsi="Times New Roman" w:cs="Times New Roman" w:eastAsia="Times New Roman" w:hint="default"/>
                            <w:sz w:val="18"/>
                            <w:szCs w:val="18"/>
                          </w:rPr>
                        </w:pPr>
                        <w:r>
                          <w:rPr>
                            <w:rFonts w:ascii="Times New Roman"/>
                            <w:sz w:val="18"/>
                          </w:rPr>
                          <w:t>43,092.09</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99" w:right="0"/>
                          <w:jc w:val="center"/>
                          <w:rPr>
                            <w:rFonts w:ascii="Times New Roman" w:hAnsi="Times New Roman" w:cs="Times New Roman" w:eastAsia="Times New Roman" w:hint="default"/>
                            <w:sz w:val="18"/>
                            <w:szCs w:val="18"/>
                          </w:rPr>
                        </w:pPr>
                        <w:r>
                          <w:rPr>
                            <w:rFonts w:ascii="Times New Roman"/>
                            <w:sz w:val="18"/>
                          </w:rPr>
                          <w:t>5,171.6</w:t>
                        </w:r>
                      </w:p>
                    </w:tc>
                    <w:tc>
                      <w:tcPr>
                        <w:tcW w:w="7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z w:val="18"/>
                          </w:rPr>
                          <w:t>7,093.16</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Times New Roman" w:hAnsi="Times New Roman" w:cs="Times New Roman" w:eastAsia="Times New Roman" w:hint="default"/>
                            <w:sz w:val="18"/>
                            <w:szCs w:val="18"/>
                          </w:rPr>
                        </w:pPr>
                        <w:r>
                          <w:rPr>
                            <w:rFonts w:ascii="Times New Roman"/>
                            <w:sz w:val="18"/>
                          </w:rPr>
                          <w:t>--</w:t>
                        </w:r>
                      </w:p>
                    </w:tc>
                  </w:tr>
                  <w:tr>
                    <w:trPr>
                      <w:trHeight w:val="796" w:hRule="exact"/>
                    </w:trPr>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8"/>
                          <w:ind w:left="11"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8557" w:type="dxa"/>
                        <w:gridSpan w:val="11"/>
                        <w:tcBorders>
                          <w:top w:val="single" w:sz="9" w:space="0" w:color="D2D2D2"/>
                          <w:left w:val="single" w:sz="9" w:space="0" w:color="D2D2D2"/>
                          <w:bottom w:val="single" w:sz="4" w:space="0" w:color="000000"/>
                          <w:right w:val="single" w:sz="4" w:space="0" w:color="000000"/>
                        </w:tcBorders>
                      </w:tcPr>
                      <w:p>
                        <w:pPr>
                          <w:pStyle w:val="TableParagraph"/>
                          <w:spacing w:line="225" w:lineRule="auto" w:before="22"/>
                          <w:ind w:left="16" w:right="22"/>
                          <w:jc w:val="left"/>
                          <w:rPr>
                            <w:rFonts w:ascii="宋体" w:hAnsi="宋体" w:cs="宋体" w:eastAsia="宋体" w:hint="default"/>
                            <w:sz w:val="18"/>
                            <w:szCs w:val="18"/>
                          </w:rPr>
                        </w:pPr>
                        <w:r>
                          <w:rPr>
                            <w:rFonts w:ascii="宋体" w:hAnsi="宋体" w:cs="宋体" w:eastAsia="宋体" w:hint="default"/>
                            <w:sz w:val="18"/>
                            <w:szCs w:val="18"/>
                          </w:rPr>
                          <w:t>截止报告期四个承诺募投项目及一个超募项目累计实现效益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7,093.16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万元，整体完成计划的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112.15%</w:t>
                        </w:r>
                        <w:r>
                          <w:rPr>
                            <w:rFonts w:ascii="宋体" w:hAnsi="宋体" w:cs="宋体" w:eastAsia="宋体" w:hint="default"/>
                            <w:sz w:val="18"/>
                            <w:szCs w:val="18"/>
                          </w:rPr>
                          <w:t>，基本 达到预计收益，未达预计收益的情况如下：</w:t>
                        </w:r>
                        <w:r>
                          <w:rPr>
                            <w:rFonts w:ascii="Times New Roman" w:hAnsi="Times New Roman" w:cs="Times New Roman" w:eastAsia="Times New Roman" w:hint="default"/>
                            <w:sz w:val="18"/>
                            <w:szCs w:val="18"/>
                          </w:rPr>
                          <w:t>NxSOC</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新一代安全综合运维管理平台项目和互联网舆情分析平台 项目因产品推出的时间较短，目前仍处于推广阶段，市场反应相对滞后，导致本期销售和盈利较低。</w:t>
                        </w:r>
                      </w:p>
                    </w:tc>
                  </w:tr>
                  <w:tr>
                    <w:trPr>
                      <w:trHeight w:val="557" w:hRule="exact"/>
                    </w:trPr>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557"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1639" w:type="dxa"/>
                        <w:vMerge w:val="restart"/>
                        <w:tcBorders>
                          <w:top w:val="single" w:sz="4" w:space="0" w:color="000000"/>
                          <w:left w:val="single" w:sz="4" w:space="0" w:color="000000"/>
                          <w:right w:val="single" w:sz="4" w:space="0" w:color="000000"/>
                        </w:tcBorders>
                        <w:shd w:val="clear" w:color="auto" w:fill="D2D2D2"/>
                      </w:tcPr>
                      <w:p>
                        <w:pPr/>
                      </w:p>
                    </w:tc>
                    <w:tc>
                      <w:tcPr>
                        <w:tcW w:w="855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27" w:hRule="exact"/>
                    </w:trPr>
                    <w:tc>
                      <w:tcPr>
                        <w:tcW w:w="1639" w:type="dxa"/>
                        <w:vMerge/>
                        <w:tcBorders>
                          <w:left w:val="single" w:sz="4" w:space="0" w:color="000000"/>
                          <w:bottom w:val="nil" w:sz="6" w:space="0" w:color="auto"/>
                          <w:right w:val="single" w:sz="4" w:space="0" w:color="000000"/>
                        </w:tcBorders>
                        <w:shd w:val="clear" w:color="auto" w:fill="D2D2D2"/>
                      </w:tcPr>
                      <w:p>
                        <w:pPr/>
                      </w:p>
                    </w:tc>
                    <w:tc>
                      <w:tcPr>
                        <w:tcW w:w="8557" w:type="dxa"/>
                        <w:gridSpan w:val="11"/>
                        <w:vMerge w:val="restart"/>
                        <w:tcBorders>
                          <w:top w:val="single" w:sz="4" w:space="0" w:color="000000"/>
                          <w:left w:val="single" w:sz="9" w:space="0" w:color="D2D2D2"/>
                          <w:right w:val="single" w:sz="4" w:space="0" w:color="000000"/>
                        </w:tcBorders>
                      </w:tcPr>
                      <w:p>
                        <w:pPr>
                          <w:pStyle w:val="TableParagraph"/>
                          <w:spacing w:line="242" w:lineRule="exact" w:before="9"/>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日公司第一届董事会第十八次会议审议通过了《关于使用部分超募资金永久性补充流动资</w:t>
                        </w:r>
                      </w:p>
                      <w:p>
                        <w:pPr>
                          <w:pStyle w:val="TableParagraph"/>
                          <w:spacing w:line="230" w:lineRule="auto" w:before="1"/>
                          <w:ind w:left="16" w:right="-26"/>
                          <w:jc w:val="both"/>
                          <w:rPr>
                            <w:rFonts w:ascii="宋体" w:hAnsi="宋体" w:cs="宋体" w:eastAsia="宋体" w:hint="default"/>
                            <w:sz w:val="18"/>
                            <w:szCs w:val="18"/>
                          </w:rPr>
                        </w:pPr>
                        <w:r>
                          <w:rPr>
                            <w:rFonts w:ascii="宋体" w:hAnsi="宋体" w:cs="宋体" w:eastAsia="宋体" w:hint="default"/>
                            <w:spacing w:val="-9"/>
                            <w:sz w:val="18"/>
                            <w:szCs w:val="18"/>
                          </w:rPr>
                          <w:t>金的议案》。公司使用超募资金人民币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万元用于永久性补充流动资金。</w:t>
                        </w:r>
                        <w:r>
                          <w:rPr>
                            <w:rFonts w:ascii="宋体" w:hAnsi="宋体" w:cs="宋体" w:eastAsia="宋体" w:hint="default"/>
                            <w:spacing w:val="-60"/>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年年度股东大会审议通过了《关于使用部分超募资金对子公司广东蓝盾信息安全技术有限公司进行增资的议 </w:t>
                        </w:r>
                        <w:r>
                          <w:rPr>
                            <w:rFonts w:ascii="宋体" w:hAnsi="宋体" w:cs="宋体" w:eastAsia="宋体" w:hint="default"/>
                            <w:spacing w:val="-3"/>
                            <w:sz w:val="18"/>
                            <w:szCs w:val="18"/>
                          </w:rPr>
                          <w:t>案》，公司拟使用部分超募资金对子公司广东蓝盾信息安全技术有限公司进行增资，本次增资</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3,500.00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p>
                        <w:pPr>
                          <w:pStyle w:val="TableParagraph"/>
                          <w:spacing w:line="227" w:lineRule="exact"/>
                          <w:ind w:left="16" w:right="0"/>
                          <w:jc w:val="both"/>
                          <w:rPr>
                            <w:rFonts w:ascii="宋体" w:hAnsi="宋体" w:cs="宋体" w:eastAsia="宋体" w:hint="default"/>
                            <w:sz w:val="18"/>
                            <w:szCs w:val="18"/>
                          </w:rPr>
                        </w:pPr>
                        <w:r>
                          <w:rPr>
                            <w:rFonts w:ascii="宋体" w:hAnsi="宋体" w:cs="宋体" w:eastAsia="宋体" w:hint="default"/>
                            <w:sz w:val="18"/>
                            <w:szCs w:val="18"/>
                          </w:rPr>
                          <w:t>增资完成后公司出资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 </w:t>
                        </w:r>
                        <w:r>
                          <w:rPr>
                            <w:rFonts w:ascii="宋体" w:hAnsi="宋体" w:cs="宋体" w:eastAsia="宋体" w:hint="default"/>
                            <w:spacing w:val="-3"/>
                            <w:sz w:val="18"/>
                            <w:szCs w:val="18"/>
                          </w:rPr>
                          <w:t>万元，占注册资本比例为</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日办妥工商变更手续</w:t>
                        </w:r>
                      </w:p>
                      <w:p>
                        <w:pPr>
                          <w:pStyle w:val="TableParagraph"/>
                          <w:spacing w:line="230" w:lineRule="auto"/>
                          <w:ind w:left="16" w:right="22"/>
                          <w:jc w:val="both"/>
                          <w:rPr>
                            <w:rFonts w:ascii="宋体" w:hAnsi="宋体" w:cs="宋体" w:eastAsia="宋体" w:hint="default"/>
                            <w:sz w:val="18"/>
                            <w:szCs w:val="18"/>
                          </w:rPr>
                        </w:pPr>
                        <w:r>
                          <w:rPr>
                            <w:rFonts w:ascii="宋体" w:hAnsi="宋体" w:cs="宋体" w:eastAsia="宋体" w:hint="default"/>
                            <w:spacing w:val="-4"/>
                            <w:sz w:val="18"/>
                            <w:szCs w:val="18"/>
                          </w:rPr>
                          <w:t>本次增资用途为：建设互联网舆情分析平台项目。</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 了《关于使用部分超募资金建设蓝盾股份信息安全产业基地的议案》及相关的可行性研究报告，公司拟使用 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79,436,663.50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元建设蓝盾股份信息安全产业基地。公司独立董事、保荐机构和监事会分别对此事项</w:t>
                        </w:r>
                      </w:p>
                      <w:p>
                        <w:pPr>
                          <w:pStyle w:val="TableParagraph"/>
                          <w:spacing w:line="227" w:lineRule="exact"/>
                          <w:ind w:left="16" w:right="0"/>
                          <w:jc w:val="both"/>
                          <w:rPr>
                            <w:rFonts w:ascii="宋体" w:hAnsi="宋体" w:cs="宋体" w:eastAsia="宋体" w:hint="default"/>
                            <w:sz w:val="18"/>
                            <w:szCs w:val="18"/>
                          </w:rPr>
                        </w:pPr>
                        <w:r>
                          <w:rPr>
                            <w:rFonts w:ascii="宋体" w:hAnsi="宋体" w:cs="宋体" w:eastAsia="宋体" w:hint="default"/>
                            <w:sz w:val="18"/>
                            <w:szCs w:val="18"/>
                          </w:rPr>
                          <w:t>发表了同意意见。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日公司第二届董事会第九次（临时）会议审议通过了《关于对蓝盾股份</w:t>
                        </w:r>
                      </w:p>
                      <w:p>
                        <w:pPr>
                          <w:pStyle w:val="TableParagraph"/>
                          <w:spacing w:line="233" w:lineRule="exact"/>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信息安全产业基地追加投资的议案</w:t>
                        </w:r>
                        <w:r>
                          <w:rPr>
                            <w:rFonts w:ascii="宋体" w:hAnsi="宋体" w:cs="宋体" w:eastAsia="宋体" w:hint="default"/>
                            <w:spacing w:val="-90"/>
                            <w:sz w:val="18"/>
                            <w:szCs w:val="18"/>
                          </w:rPr>
                          <w:t>》</w:t>
                        </w:r>
                        <w:r>
                          <w:rPr>
                            <w:rFonts w:ascii="宋体" w:hAnsi="宋体" w:cs="宋体" w:eastAsia="宋体" w:hint="default"/>
                            <w:sz w:val="18"/>
                            <w:szCs w:val="18"/>
                          </w:rPr>
                          <w:t>，使用自有资金追加投资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4,640.37 </w:t>
                        </w:r>
                        <w:r>
                          <w:rPr>
                            <w:rFonts w:ascii="宋体" w:hAnsi="宋体" w:cs="宋体" w:eastAsia="宋体" w:hint="default"/>
                            <w:sz w:val="18"/>
                            <w:szCs w:val="18"/>
                          </w:rPr>
                          <w:t>万元，追加后的总投资额为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17,698.77</w:t>
                        </w:r>
                      </w:p>
                      <w:p>
                        <w:pPr>
                          <w:pStyle w:val="TableParagraph"/>
                          <w:spacing w:line="233" w:lineRule="exact"/>
                          <w:ind w:left="16" w:right="0"/>
                          <w:jc w:val="both"/>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36"/>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w:t>
                        </w:r>
                        <w:r>
                          <w:rPr>
                            <w:rFonts w:ascii="宋体" w:hAnsi="宋体" w:cs="宋体" w:eastAsia="宋体" w:hint="default"/>
                            <w:sz w:val="18"/>
                            <w:szCs w:val="18"/>
                          </w:rPr>
                          <w:t>公司取</w:t>
                        </w:r>
                        <w:r>
                          <w:rPr>
                            <w:rFonts w:ascii="宋体" w:hAnsi="宋体" w:cs="宋体" w:eastAsia="宋体" w:hint="default"/>
                            <w:spacing w:val="1"/>
                            <w:sz w:val="18"/>
                            <w:szCs w:val="18"/>
                          </w:rPr>
                          <w:t>得</w:t>
                        </w:r>
                        <w:r>
                          <w:rPr>
                            <w:rFonts w:ascii="宋体" w:hAnsi="宋体" w:cs="宋体" w:eastAsia="宋体" w:hint="default"/>
                            <w:sz w:val="18"/>
                            <w:szCs w:val="18"/>
                          </w:rPr>
                          <w:t>了广州市规划局颁发</w:t>
                        </w:r>
                        <w:r>
                          <w:rPr>
                            <w:rFonts w:ascii="宋体" w:hAnsi="宋体" w:cs="宋体" w:eastAsia="宋体" w:hint="default"/>
                            <w:spacing w:val="-36"/>
                            <w:sz w:val="18"/>
                            <w:szCs w:val="18"/>
                          </w:rPr>
                          <w:t>的</w:t>
                        </w:r>
                        <w:r>
                          <w:rPr>
                            <w:rFonts w:ascii="宋体" w:hAnsi="宋体" w:cs="宋体" w:eastAsia="宋体" w:hint="default"/>
                            <w:sz w:val="18"/>
                            <w:szCs w:val="18"/>
                          </w:rPr>
                          <w:t>《建设工程规划验收合格证</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36"/>
                            <w:sz w:val="18"/>
                            <w:szCs w:val="18"/>
                          </w:rPr>
                          <w:t>、</w:t>
                        </w:r>
                        <w:r>
                          <w:rPr>
                            <w:rFonts w:ascii="宋体" w:hAnsi="宋体" w:cs="宋体" w:eastAsia="宋体" w:hint="default"/>
                            <w:spacing w:val="1"/>
                            <w:sz w:val="18"/>
                            <w:szCs w:val="18"/>
                          </w:rPr>
                          <w:t>公</w:t>
                        </w:r>
                        <w:r>
                          <w:rPr>
                            <w:rFonts w:ascii="宋体" w:hAnsi="宋体" w:cs="宋体" w:eastAsia="宋体" w:hint="default"/>
                            <w:sz w:val="18"/>
                            <w:szCs w:val="18"/>
                          </w:rPr>
                          <w:t>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33" w:lineRule="exact"/>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日召开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年第五次临时股东大会</w:t>
                        </w:r>
                        <w:r>
                          <w:rPr>
                            <w:rFonts w:ascii="宋体" w:hAnsi="宋体" w:cs="宋体" w:eastAsia="宋体" w:hint="default"/>
                            <w:spacing w:val="-49"/>
                            <w:sz w:val="18"/>
                            <w:szCs w:val="18"/>
                          </w:rPr>
                          <w:t>，</w:t>
                        </w:r>
                        <w:r>
                          <w:rPr>
                            <w:rFonts w:ascii="宋体" w:hAnsi="宋体" w:cs="宋体" w:eastAsia="宋体" w:hint="default"/>
                            <w:sz w:val="18"/>
                            <w:szCs w:val="18"/>
                          </w:rPr>
                          <w:t>审议通过</w:t>
                        </w:r>
                        <w:r>
                          <w:rPr>
                            <w:rFonts w:ascii="宋体" w:hAnsi="宋体" w:cs="宋体" w:eastAsia="宋体" w:hint="default"/>
                            <w:spacing w:val="-49"/>
                            <w:sz w:val="18"/>
                            <w:szCs w:val="18"/>
                          </w:rPr>
                          <w:t>了</w:t>
                        </w:r>
                        <w:r>
                          <w:rPr>
                            <w:rFonts w:ascii="宋体" w:hAnsi="宋体" w:cs="宋体" w:eastAsia="宋体" w:hint="default"/>
                            <w:sz w:val="18"/>
                            <w:szCs w:val="18"/>
                          </w:rPr>
                          <w:t>《关于使用剩余超募资金永久补充流动资金的议案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242" w:lineRule="exact"/>
                          <w:ind w:left="16" w:right="0"/>
                          <w:jc w:val="both"/>
                          <w:rPr>
                            <w:rFonts w:ascii="宋体" w:hAnsi="宋体" w:cs="宋体" w:eastAsia="宋体" w:hint="default"/>
                            <w:sz w:val="18"/>
                            <w:szCs w:val="18"/>
                          </w:rPr>
                        </w:pPr>
                        <w:r>
                          <w:rPr>
                            <w:rFonts w:ascii="宋体" w:hAnsi="宋体" w:cs="宋体" w:eastAsia="宋体" w:hint="default"/>
                            <w:sz w:val="18"/>
                            <w:szCs w:val="18"/>
                          </w:rPr>
                          <w:t>报告期内，公司已将剩余超募资金及专户利息收入 </w:t>
                        </w:r>
                        <w:r>
                          <w:rPr>
                            <w:rFonts w:ascii="Times New Roman" w:hAnsi="Times New Roman" w:cs="Times New Roman" w:eastAsia="Times New Roman" w:hint="default"/>
                            <w:sz w:val="18"/>
                            <w:szCs w:val="18"/>
                          </w:rPr>
                          <w:t>1,378.42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万元永久补充流动资金。</w:t>
                        </w:r>
                      </w:p>
                    </w:tc>
                  </w:tr>
                  <w:tr>
                    <w:trPr>
                      <w:trHeight w:val="547"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1"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8557" w:type="dxa"/>
                        <w:gridSpan w:val="11"/>
                        <w:vMerge/>
                        <w:tcBorders>
                          <w:left w:val="single" w:sz="9" w:space="0" w:color="D2D2D2"/>
                          <w:right w:val="single" w:sz="4" w:space="0" w:color="000000"/>
                        </w:tcBorders>
                      </w:tcPr>
                      <w:p>
                        <w:pPr/>
                      </w:p>
                    </w:tc>
                  </w:tr>
                  <w:tr>
                    <w:trPr>
                      <w:trHeight w:val="1451"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7" w:type="dxa"/>
                        <w:gridSpan w:val="11"/>
                        <w:vMerge/>
                        <w:tcBorders>
                          <w:left w:val="single" w:sz="9" w:space="0" w:color="D2D2D2"/>
                          <w:bottom w:val="single" w:sz="4" w:space="0" w:color="000000"/>
                          <w:right w:val="single" w:sz="4" w:space="0" w:color="000000"/>
                        </w:tcBorders>
                      </w:tcPr>
                      <w:p>
                        <w:pPr/>
                      </w:p>
                    </w:tc>
                  </w:tr>
                  <w:tr>
                    <w:trPr>
                      <w:trHeight w:val="329"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57" w:type="dxa"/>
                        <w:gridSpan w:val="11"/>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47"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1"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557" w:type="dxa"/>
                        <w:gridSpan w:val="11"/>
                        <w:vMerge/>
                        <w:tcBorders>
                          <w:left w:val="single" w:sz="9" w:space="0" w:color="D2D2D2"/>
                          <w:right w:val="single" w:sz="4" w:space="0" w:color="000000"/>
                        </w:tcBorders>
                      </w:tcPr>
                      <w:p>
                        <w:pPr/>
                      </w:p>
                    </w:tc>
                  </w:tr>
                  <w:tr>
                    <w:trPr>
                      <w:trHeight w:val="330"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7" w:type="dxa"/>
                        <w:gridSpan w:val="11"/>
                        <w:vMerge/>
                        <w:tcBorders>
                          <w:left w:val="single" w:sz="9" w:space="0" w:color="D2D2D2"/>
                          <w:bottom w:val="single" w:sz="4" w:space="0" w:color="000000"/>
                          <w:right w:val="single" w:sz="4" w:space="0" w:color="000000"/>
                        </w:tcBorders>
                      </w:tcPr>
                      <w:p>
                        <w:pPr/>
                      </w:p>
                    </w:tc>
                  </w:tr>
                  <w:tr>
                    <w:trPr>
                      <w:trHeight w:val="329" w:hRule="exact"/>
                    </w:trPr>
                    <w:tc>
                      <w:tcPr>
                        <w:tcW w:w="163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57" w:type="dxa"/>
                        <w:gridSpan w:val="11"/>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47"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1"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557" w:type="dxa"/>
                        <w:gridSpan w:val="11"/>
                        <w:vMerge/>
                        <w:tcBorders>
                          <w:left w:val="single" w:sz="9" w:space="0" w:color="D2D2D2"/>
                          <w:right w:val="single" w:sz="4" w:space="0" w:color="000000"/>
                        </w:tcBorders>
                      </w:tcPr>
                      <w:p>
                        <w:pPr/>
                      </w:p>
                    </w:tc>
                  </w:tr>
                  <w:tr>
                    <w:trPr>
                      <w:trHeight w:val="330"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7" w:type="dxa"/>
                        <w:gridSpan w:val="11"/>
                        <w:vMerge/>
                        <w:tcBorders>
                          <w:left w:val="single" w:sz="9" w:space="0" w:color="D2D2D2"/>
                          <w:bottom w:val="single" w:sz="4" w:space="0" w:color="000000"/>
                          <w:right w:val="single" w:sz="4" w:space="0" w:color="000000"/>
                        </w:tcBorders>
                      </w:tcPr>
                      <w:p>
                        <w:pPr/>
                      </w:p>
                    </w:tc>
                  </w:tr>
                  <w:tr>
                    <w:trPr>
                      <w:trHeight w:val="323" w:hRule="exact"/>
                    </w:trPr>
                    <w:tc>
                      <w:tcPr>
                        <w:tcW w:w="1639" w:type="dxa"/>
                        <w:vMerge w:val="restart"/>
                        <w:tcBorders>
                          <w:top w:val="single" w:sz="4" w:space="0" w:color="000000"/>
                          <w:left w:val="single" w:sz="4" w:space="0" w:color="000000"/>
                          <w:right w:val="single" w:sz="4" w:space="0" w:color="000000"/>
                        </w:tcBorders>
                        <w:shd w:val="clear" w:color="auto" w:fill="D2D2D2"/>
                      </w:tcPr>
                      <w:p>
                        <w:pPr/>
                      </w:p>
                    </w:tc>
                    <w:tc>
                      <w:tcPr>
                        <w:tcW w:w="855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4" w:hRule="exact"/>
                    </w:trPr>
                    <w:tc>
                      <w:tcPr>
                        <w:tcW w:w="1639" w:type="dxa"/>
                        <w:vMerge/>
                        <w:tcBorders>
                          <w:left w:val="single" w:sz="4" w:space="0" w:color="000000"/>
                          <w:bottom w:val="nil" w:sz="6" w:space="0" w:color="auto"/>
                          <w:right w:val="single" w:sz="4" w:space="0" w:color="000000"/>
                        </w:tcBorders>
                        <w:shd w:val="clear" w:color="auto" w:fill="D2D2D2"/>
                      </w:tcPr>
                      <w:p>
                        <w:pPr/>
                      </w:p>
                    </w:tc>
                    <w:tc>
                      <w:tcPr>
                        <w:tcW w:w="8557" w:type="dxa"/>
                        <w:gridSpan w:val="11"/>
                        <w:vMerge w:val="restart"/>
                        <w:tcBorders>
                          <w:top w:val="single" w:sz="4" w:space="0" w:color="000000"/>
                          <w:left w:val="single" w:sz="9" w:space="0" w:color="D2D2D2"/>
                          <w:right w:val="single" w:sz="4" w:space="0" w:color="000000"/>
                        </w:tcBorders>
                      </w:tcPr>
                      <w:p>
                        <w:pPr>
                          <w:pStyle w:val="TableParagraph"/>
                          <w:spacing w:line="241" w:lineRule="exact" w:before="1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日公司第一届董事会第十七次会议审议通过了《关于使用募集资金置换预先投入募集资金投</w:t>
                        </w:r>
                      </w:p>
                      <w:p>
                        <w:pPr>
                          <w:pStyle w:val="TableParagraph"/>
                          <w:spacing w:line="234" w:lineRule="exact"/>
                          <w:ind w:left="16" w:right="0"/>
                          <w:jc w:val="left"/>
                          <w:rPr>
                            <w:rFonts w:ascii="宋体" w:hAnsi="宋体" w:cs="宋体" w:eastAsia="宋体" w:hint="default"/>
                            <w:sz w:val="18"/>
                            <w:szCs w:val="18"/>
                          </w:rPr>
                        </w:pPr>
                        <w:r>
                          <w:rPr>
                            <w:rFonts w:ascii="宋体" w:hAnsi="宋体" w:cs="宋体" w:eastAsia="宋体" w:hint="default"/>
                            <w:sz w:val="18"/>
                            <w:szCs w:val="18"/>
                          </w:rPr>
                          <w:t>资项目的自筹资金的议案</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26"/>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以自筹资金预先投入募集资金投资项目的实际投资</w:t>
                        </w:r>
                      </w:p>
                      <w:p>
                        <w:pPr>
                          <w:pStyle w:val="TableParagraph"/>
                          <w:spacing w:line="230" w:lineRule="auto" w:before="1"/>
                          <w:ind w:left="16" w:right="2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元，公司以募集资金置换预先投入募集资金投资项目的自筹资金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14,531,626.55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 </w:t>
                        </w:r>
                        <w:r>
                          <w:rPr>
                            <w:rFonts w:ascii="宋体" w:hAnsi="宋体" w:cs="宋体" w:eastAsia="宋体" w:hint="default"/>
                            <w:spacing w:val="-3"/>
                            <w:sz w:val="18"/>
                            <w:szCs w:val="18"/>
                          </w:rPr>
                          <w:t>投入及置换情况已经北京永拓会计师事务所有限责任公司审核，并由其出具京永专字〔</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31059</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号《关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于蓝盾信息安全技术股份有限公司以募集资金置换预先已投入募集资金项目的自筹资金的鉴证报告》。截至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日，公司置换了上述预先投入募投项目的自筹资金。</w:t>
                        </w:r>
                      </w:p>
                    </w:tc>
                  </w:tr>
                  <w:tr>
                    <w:trPr>
                      <w:trHeight w:val="780" w:hRule="exact"/>
                    </w:trPr>
                    <w:tc>
                      <w:tcPr>
                        <w:tcW w:w="16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7" w:lineRule="auto" w:before="11"/>
                          <w:ind w:left="11"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557" w:type="dxa"/>
                        <w:gridSpan w:val="11"/>
                        <w:vMerge/>
                        <w:tcBorders>
                          <w:left w:val="single" w:sz="9" w:space="0" w:color="D2D2D2"/>
                          <w:right w:val="single" w:sz="4" w:space="0" w:color="000000"/>
                        </w:tcBorders>
                      </w:tcPr>
                      <w:p>
                        <w:pPr/>
                      </w:p>
                    </w:tc>
                  </w:tr>
                  <w:tr>
                    <w:trPr>
                      <w:trHeight w:val="516" w:hRule="exact"/>
                    </w:trPr>
                    <w:tc>
                      <w:tcPr>
                        <w:tcW w:w="163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57" w:type="dxa"/>
                        <w:gridSpan w:val="11"/>
                        <w:vMerge/>
                        <w:tcBorders>
                          <w:left w:val="single" w:sz="9" w:space="0" w:color="D2D2D2"/>
                          <w:bottom w:val="single" w:sz="4" w:space="0" w:color="000000"/>
                          <w:right w:val="single" w:sz="4" w:space="0" w:color="000000"/>
                        </w:tcBorders>
                      </w:tcPr>
                      <w:p>
                        <w:pPr/>
                      </w:p>
                    </w:tc>
                  </w:tr>
                  <w:tr>
                    <w:trPr>
                      <w:trHeight w:val="324" w:hRule="exact"/>
                    </w:trPr>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8557"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44"/>
        <w:ind w:left="0" w:right="5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0" w:right="5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44"/>
        <w:ind w:left="0" w:right="502" w:firstLine="0"/>
        <w:jc w:val="right"/>
        <w:rPr>
          <w:rFonts w:ascii="宋体" w:hAnsi="宋体" w:cs="宋体" w:eastAsia="宋体" w:hint="default"/>
          <w:sz w:val="18"/>
          <w:szCs w:val="18"/>
        </w:rPr>
      </w:pPr>
      <w:r>
        <w:rPr/>
        <w:pict>
          <v:shape style="position:absolute;margin-left:56.459999pt;margin-top:-68.848297pt;width:511.1pt;height:244.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8557"/>
                  </w:tblGrid>
                  <w:tr>
                    <w:trPr>
                      <w:trHeight w:val="1958"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5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公司经过</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年第二次临时股东大会审议通过了《关于使用部分闲置募集资金暂时性补充流动资金及归还银</w:t>
                        </w:r>
                      </w:p>
                      <w:p>
                        <w:pPr>
                          <w:pStyle w:val="TableParagraph"/>
                          <w:spacing w:line="225" w:lineRule="auto" w:before="5"/>
                          <w:ind w:left="22" w:right="22"/>
                          <w:jc w:val="both"/>
                          <w:rPr>
                            <w:rFonts w:ascii="宋体" w:hAnsi="宋体" w:cs="宋体" w:eastAsia="宋体" w:hint="default"/>
                            <w:sz w:val="18"/>
                            <w:szCs w:val="18"/>
                          </w:rPr>
                        </w:pPr>
                        <w:r>
                          <w:rPr>
                            <w:rFonts w:ascii="宋体" w:hAnsi="宋体" w:cs="宋体" w:eastAsia="宋体" w:hint="default"/>
                            <w:spacing w:val="-5"/>
                            <w:sz w:val="18"/>
                            <w:szCs w:val="18"/>
                          </w:rPr>
                          <w:t>行贷款的议案》，同意公司使用募集资金中的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万元闲置募集资金暂时性补充流动资金及归还银行贷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款，其中 </w:t>
                        </w:r>
                        <w:r>
                          <w:rPr>
                            <w:rFonts w:ascii="Times New Roman" w:hAnsi="Times New Roman" w:cs="Times New Roman" w:eastAsia="Times New Roman" w:hint="default"/>
                            <w:sz w:val="18"/>
                            <w:szCs w:val="18"/>
                          </w:rPr>
                          <w:t>2,626.00 </w:t>
                        </w:r>
                        <w:r>
                          <w:rPr>
                            <w:rFonts w:ascii="宋体" w:hAnsi="宋体" w:cs="宋体" w:eastAsia="宋体" w:hint="default"/>
                            <w:sz w:val="18"/>
                            <w:szCs w:val="18"/>
                          </w:rPr>
                          <w:t>万元用于补充流动资金，</w:t>
                        </w:r>
                        <w:r>
                          <w:rPr>
                            <w:rFonts w:ascii="Times New Roman" w:hAnsi="Times New Roman" w:cs="Times New Roman" w:eastAsia="Times New Roman" w:hint="default"/>
                            <w:sz w:val="18"/>
                            <w:szCs w:val="18"/>
                          </w:rPr>
                          <w:t>7,374.00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万元用于归还银行贷款，使用期限不超过股东大会批准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个月，到期将归还至募集资金专户。公司独立董事、保荐机构和监事会分别对此事项发表了同意意</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该事项详见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日证监会指定创业板信息披露网站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。本次使用闲置募集资金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万</w:t>
                        </w:r>
                      </w:p>
                      <w:p>
                        <w:pPr>
                          <w:pStyle w:val="TableParagraph"/>
                          <w:spacing w:line="230" w:lineRule="auto"/>
                          <w:ind w:left="22" w:right="22"/>
                          <w:jc w:val="left"/>
                          <w:rPr>
                            <w:rFonts w:ascii="宋体" w:hAnsi="宋体" w:cs="宋体" w:eastAsia="宋体" w:hint="default"/>
                            <w:sz w:val="18"/>
                            <w:szCs w:val="18"/>
                          </w:rPr>
                        </w:pPr>
                        <w:r>
                          <w:rPr>
                            <w:rFonts w:ascii="宋体" w:hAnsi="宋体" w:cs="宋体" w:eastAsia="宋体" w:hint="default"/>
                            <w:sz w:val="18"/>
                            <w:szCs w:val="18"/>
                          </w:rPr>
                          <w:t>元暂时性补充流动资金及归还银行贷款的到期日为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4"/>
                            <w:sz w:val="18"/>
                            <w:szCs w:val="18"/>
                          </w:rPr>
                          <w:t> </w:t>
                        </w:r>
                        <w:r>
                          <w:rPr>
                            <w:rFonts w:ascii="宋体" w:hAnsi="宋体" w:cs="宋体" w:eastAsia="宋体" w:hint="default"/>
                            <w:spacing w:val="-18"/>
                            <w:sz w:val="18"/>
                            <w:szCs w:val="18"/>
                          </w:rPr>
                          <w:t>日，公司于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日已将</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10,000.00 </w:t>
                        </w:r>
                        <w:r>
                          <w:rPr>
                            <w:rFonts w:ascii="宋体" w:hAnsi="宋体" w:cs="宋体" w:eastAsia="宋体" w:hint="default"/>
                            <w:sz w:val="18"/>
                            <w:szCs w:val="18"/>
                          </w:rPr>
                          <w:t>万元人民币归还至公司募集资金专用账户，并及时通知了公司保荐机构广发证券股份有限公司及保荐代表人 至此，本次用于补充流动资金及归还银行贷款的闲置募集资金已归还完毕。</w:t>
                        </w:r>
                      </w:p>
                    </w:tc>
                  </w:tr>
                  <w:tr>
                    <w:trPr>
                      <w:trHeight w:val="324"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7"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25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8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z w:val="18"/>
                            <w:szCs w:val="18"/>
                          </w:rPr>
                          <w:t>在项目实施进程中公司较好地利用了前期积累的研发资源，对募投项目的研发和实施环节进行了优化，使得 实际投入较计划有一定幅度的减少，从而降低了项目总支出。公司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日召开的第二届董事会第十</w:t>
                        </w:r>
                      </w:p>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六次（临时）会议和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年第二次临时股东大会，审议通过了《关于使用募投项目</w:t>
                        </w:r>
                      </w:p>
                      <w:p>
                        <w:pPr>
                          <w:pStyle w:val="TableParagraph"/>
                          <w:spacing w:line="234" w:lineRule="exact" w:before="15"/>
                          <w:ind w:left="22" w:right="23"/>
                          <w:jc w:val="left"/>
                          <w:rPr>
                            <w:rFonts w:ascii="宋体" w:hAnsi="宋体" w:cs="宋体" w:eastAsia="宋体" w:hint="default"/>
                            <w:sz w:val="18"/>
                            <w:szCs w:val="18"/>
                          </w:rPr>
                        </w:pPr>
                        <w:r>
                          <w:rPr>
                            <w:rFonts w:ascii="宋体" w:hAnsi="宋体" w:cs="宋体" w:eastAsia="宋体" w:hint="default"/>
                            <w:spacing w:val="-4"/>
                            <w:sz w:val="18"/>
                            <w:szCs w:val="18"/>
                          </w:rPr>
                          <w:t>节余资金永久补充流动资金的议案》，报告期内，公司已将五个募集资金投资项目的节余资金</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8,655.14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万元永</w:t>
                        </w:r>
                        <w:r>
                          <w:rPr>
                            <w:rFonts w:ascii="宋体" w:hAnsi="宋体" w:cs="宋体" w:eastAsia="宋体" w:hint="default"/>
                            <w:spacing w:val="-86"/>
                            <w:sz w:val="18"/>
                            <w:szCs w:val="18"/>
                          </w:rPr>
                          <w:t> </w:t>
                        </w:r>
                        <w:r>
                          <w:rPr>
                            <w:rFonts w:ascii="宋体" w:hAnsi="宋体" w:cs="宋体" w:eastAsia="宋体" w:hint="default"/>
                            <w:sz w:val="18"/>
                            <w:szCs w:val="18"/>
                          </w:rPr>
                          <w:t>久补充流动资金。</w:t>
                        </w:r>
                      </w:p>
                    </w:tc>
                  </w:tr>
                  <w:tr>
                    <w:trPr>
                      <w:trHeight w:val="558"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公司尚未使用的募集资金主要用于支付购买资产交易的现金对价。</w:t>
                        </w:r>
                      </w:p>
                    </w:tc>
                  </w:tr>
                  <w:tr>
                    <w:trPr>
                      <w:trHeight w:val="79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8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32"/>
          <w:szCs w:val="32"/>
        </w:rPr>
      </w:pPr>
    </w:p>
    <w:p>
      <w:pPr>
        <w:spacing w:line="424" w:lineRule="auto" w:before="0"/>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0"/>
        <w:rPr>
          <w:rFonts w:ascii="宋体" w:hAnsi="宋体" w:cs="宋体" w:eastAsia="宋体" w:hint="default"/>
          <w:b/>
          <w:bCs/>
          <w:sz w:val="32"/>
          <w:szCs w:val="32"/>
        </w:rPr>
      </w:pPr>
    </w:p>
    <w:p>
      <w:pPr>
        <w:spacing w:line="422"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3"/>
        <w:rPr>
          <w:rFonts w:ascii="宋体" w:hAnsi="宋体" w:cs="宋体" w:eastAsia="宋体" w:hint="default"/>
          <w:sz w:val="13"/>
          <w:szCs w:val="13"/>
        </w:rPr>
      </w:pPr>
    </w:p>
    <w:p>
      <w:pPr>
        <w:pStyle w:val="Heading3"/>
        <w:spacing w:line="240" w:lineRule="auto"/>
        <w:ind w:left="113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22"/>
          <w:szCs w:val="22"/>
        </w:rPr>
      </w:pPr>
    </w:p>
    <w:p>
      <w:pPr>
        <w:pStyle w:val="Heading2"/>
        <w:spacing w:line="240" w:lineRule="auto"/>
        <w:ind w:left="140" w:right="-2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6"/>
        <w:rPr>
          <w:rFonts w:ascii="宋体" w:hAnsi="宋体" w:cs="宋体" w:eastAsia="宋体" w:hint="default"/>
          <w:b/>
          <w:bCs/>
          <w:sz w:val="23"/>
          <w:szCs w:val="23"/>
        </w:rPr>
      </w:pPr>
    </w:p>
    <w:p>
      <w:pPr>
        <w:spacing w:before="0"/>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140"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spacing w:before="0"/>
        <w:ind w:left="3290" w:right="0" w:firstLine="0"/>
        <w:jc w:val="left"/>
        <w:rPr>
          <w:rFonts w:ascii="宋体" w:hAnsi="宋体" w:cs="宋体" w:eastAsia="宋体" w:hint="default"/>
          <w:sz w:val="18"/>
          <w:szCs w:val="18"/>
        </w:rPr>
      </w:pPr>
      <w:r>
        <w:rPr/>
        <w:pict>
          <v:group style="position:absolute;margin-left:70.5pt;margin-top:-57.548267pt;width:701pt;height:.1pt;mso-position-horizontal-relative:page;mso-position-vertical-relative:paragraph;z-index:-860800" coordorigin="1410,-1151" coordsize="14020,2">
            <v:shape style="position:absolute;left:1410;top:-1151;width:14020;height:2" coordorigin="1410,-1151" coordsize="14020,0" path="m1410,-1151l15430,-1151e" filled="false" stroked="true" strokeweight=".72pt" strokecolor="#000000">
              <v:path arrowok="t"/>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headerReference w:type="default" r:id="rId15"/>
          <w:footerReference w:type="default" r:id="rId16"/>
          <w:pgSz w:w="16840" w:h="11910" w:orient="landscape"/>
          <w:pgMar w:header="0" w:footer="0" w:top="800" w:bottom="0" w:left="1300" w:right="0"/>
          <w:cols w:num="2" w:equalWidth="0">
            <w:col w:w="4835" w:space="5254"/>
            <w:col w:w="5451"/>
          </w:cols>
        </w:sectPr>
      </w:pPr>
    </w:p>
    <w:p>
      <w:pPr>
        <w:spacing w:line="240" w:lineRule="auto" w:before="3"/>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2694"/>
        <w:gridCol w:w="992"/>
        <w:gridCol w:w="2977"/>
        <w:gridCol w:w="1275"/>
        <w:gridCol w:w="1276"/>
        <w:gridCol w:w="1277"/>
        <w:gridCol w:w="1276"/>
        <w:gridCol w:w="1134"/>
        <w:gridCol w:w="1134"/>
      </w:tblGrid>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信息安全产品、安全集成、安全服务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6" w:right="0"/>
              <w:jc w:val="left"/>
              <w:rPr>
                <w:rFonts w:ascii="Times New Roman" w:hAnsi="Times New Roman" w:cs="Times New Roman" w:eastAsia="Times New Roman" w:hint="default"/>
                <w:sz w:val="18"/>
                <w:szCs w:val="18"/>
              </w:rPr>
            </w:pPr>
            <w:r>
              <w:rPr>
                <w:rFonts w:ascii="Times New Roman"/>
                <w:sz w:val="18"/>
              </w:rPr>
              <w:t>200,000,000.00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633,920,121.21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246,287,215.97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554,264,520.39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69,168,081.43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61,913,380.51</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信息安全培训与咨询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7,669,451.89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4,366,421.52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1,197,642.00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-3,060,948.63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-2,293,185.14</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安全应急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Times New Roman" w:hAnsi="Times New Roman" w:cs="Times New Roman" w:eastAsia="Times New Roman" w:hint="default"/>
                <w:sz w:val="18"/>
                <w:szCs w:val="18"/>
              </w:rPr>
            </w:pPr>
            <w:r>
              <w:rPr>
                <w:rFonts w:ascii="Times New Roman"/>
                <w:sz w:val="18"/>
              </w:rPr>
              <w:t>30,000,000.00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57,331,788.11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39,367,262.89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30,577,395.50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5,679,105.86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5,288,807.21</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电磁安防</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2" w:right="0"/>
              <w:jc w:val="left"/>
              <w:rPr>
                <w:rFonts w:ascii="Times New Roman" w:hAnsi="Times New Roman" w:cs="Times New Roman" w:eastAsia="Times New Roman" w:hint="default"/>
                <w:sz w:val="18"/>
                <w:szCs w:val="18"/>
              </w:rPr>
            </w:pPr>
            <w:r>
              <w:rPr>
                <w:rFonts w:ascii="Times New Roman"/>
                <w:sz w:val="18"/>
              </w:rPr>
              <w:t>45,000,000.00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313,165,791.81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228,746,605.46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180,836,938.76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41,824,409.69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36,000,732.31</w:t>
            </w:r>
          </w:p>
        </w:tc>
      </w:tr>
    </w:tbl>
    <w:p>
      <w:pPr>
        <w:spacing w:before="10"/>
        <w:ind w:left="140" w:right="142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37"/>
        <w:ind w:left="140" w:right="14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3189"/>
        <w:gridCol w:w="3190"/>
        <w:gridCol w:w="3191"/>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新投资成立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before="10"/>
        <w:ind w:left="140" w:right="1424"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BodyText"/>
        <w:spacing w:line="240" w:lineRule="auto" w:before="142"/>
        <w:ind w:left="139" w:right="1424"/>
        <w:jc w:val="left"/>
      </w:pPr>
      <w:r>
        <w:rPr>
          <w:rFonts w:ascii="Times New Roman" w:hAnsi="Times New Roman" w:cs="Times New Roman" w:eastAsia="Times New Roman" w:hint="default"/>
        </w:rPr>
        <w:t>1</w:t>
      </w:r>
      <w:r>
        <w:rPr/>
        <w:t>、报告期子公司蓝盾技术进一步增加人员，并不断拓展业务，充分发挥蓝盾的技术积累和优势力量，营业收入和净利润都有大幅增长。</w:t>
      </w:r>
    </w:p>
    <w:p>
      <w:pPr>
        <w:pStyle w:val="BodyText"/>
        <w:spacing w:line="240" w:lineRule="auto" w:before="150"/>
        <w:ind w:left="140" w:right="1424"/>
        <w:jc w:val="left"/>
      </w:pPr>
      <w:r>
        <w:rPr>
          <w:rFonts w:ascii="Times New Roman" w:hAnsi="Times New Roman" w:cs="Times New Roman" w:eastAsia="Times New Roman" w:hint="default"/>
        </w:rPr>
        <w:t>2</w:t>
      </w:r>
      <w:r>
        <w:rPr/>
        <w:t>、报告期控股子公司蓝盾乐庚取得多个政府应急项目，公司经营开始进入稳定发展阶段。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201.919983pt;margin-top:21.922344pt;width:640pt;height:42pt;mso-position-horizontal-relative:page;mso-position-vertical-relative:paragraph;z-index:1216" type="#_x0000_t75" stroked="false">
            <v:imagedata r:id="rId17" o:title=""/>
          </v:shape>
        </w:pict>
      </w:r>
      <w:r>
        <w:rPr>
          <w:rFonts w:ascii="Times New Roman"/>
          <w:sz w:val="18"/>
        </w:rPr>
        <w:t>28</w:t>
      </w:r>
    </w:p>
    <w:p>
      <w:pPr>
        <w:spacing w:after="0"/>
        <w:jc w:val="right"/>
        <w:rPr>
          <w:rFonts w:ascii="Times New Roman" w:hAnsi="Times New Roman" w:cs="Times New Roman" w:eastAsia="Times New Roman" w:hint="default"/>
          <w:sz w:val="18"/>
          <w:szCs w:val="18"/>
        </w:rPr>
        <w:sectPr>
          <w:type w:val="continuous"/>
          <w:pgSz w:w="16840" w:h="11910" w:orient="landscape"/>
          <w:pgMar w:top="1100" w:bottom="1160" w:left="1300" w:right="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31"/>
          <w:szCs w:val="31"/>
        </w:rPr>
      </w:pPr>
    </w:p>
    <w:p>
      <w:pPr>
        <w:pStyle w:val="Heading3"/>
        <w:spacing w:line="240" w:lineRule="auto"/>
        <w:ind w:left="1556" w:right="0"/>
        <w:jc w:val="left"/>
        <w:rPr>
          <w:b w:val="0"/>
          <w:bCs w:val="0"/>
        </w:rPr>
      </w:pPr>
      <w:r>
        <w:rPr/>
        <w:t>（一）行业发展趋势</w:t>
      </w:r>
      <w:r>
        <w:rPr>
          <w:b w:val="0"/>
          <w:bCs w:val="0"/>
        </w:rPr>
      </w:r>
    </w:p>
    <w:p>
      <w:pPr>
        <w:spacing w:line="362" w:lineRule="auto" w:before="165"/>
        <w:ind w:left="1554" w:right="113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、信息安全产业将迎来爆发式、长期性增长机遇</w:t>
      </w:r>
      <w:r>
        <w:rPr>
          <w:rFonts w:ascii="宋体" w:hAnsi="宋体" w:cs="宋体" w:eastAsia="宋体" w:hint="default"/>
          <w:b/>
          <w:bCs/>
          <w:w w:val="99"/>
          <w:sz w:val="21"/>
          <w:szCs w:val="21"/>
        </w:rPr>
        <w:t> </w:t>
      </w:r>
      <w:r>
        <w:rPr>
          <w:rFonts w:ascii="宋体" w:hAnsi="宋体" w:cs="宋体" w:eastAsia="宋体" w:hint="default"/>
          <w:spacing w:val="-10"/>
          <w:sz w:val="21"/>
          <w:szCs w:val="21"/>
        </w:rPr>
        <w:t>报告期内，《中国人民共和国国家安全法》、《中国人民共和国网络安全法（草案）》等一系列与网络安</w:t>
      </w:r>
    </w:p>
    <w:p>
      <w:pPr>
        <w:pStyle w:val="BodyText"/>
        <w:spacing w:line="343" w:lineRule="auto" w:before="17"/>
        <w:ind w:right="0"/>
        <w:jc w:val="left"/>
      </w:pPr>
      <w:r>
        <w:rPr/>
        <w:t>全相关的顶层政策文件相继审议通过或发布，显示出国家高层对网络安全的最高战略定位，以及对信息自 主可控及国产化的决心，这为信息安全行业发展创造了巨大的机遇。加上我国正在推进“互联网</w:t>
      </w:r>
      <w:r>
        <w:rPr>
          <w:rFonts w:ascii="Times New Roman" w:hAnsi="Times New Roman" w:cs="Times New Roman" w:eastAsia="Times New Roman" w:hint="default"/>
        </w:rPr>
        <w:t>+</w:t>
      </w:r>
      <w:r>
        <w:rPr/>
        <w:t>”行动</w:t>
      </w:r>
      <w:r>
        <w:rPr>
          <w:spacing w:val="-42"/>
        </w:rPr>
        <w:t> </w:t>
      </w:r>
      <w:r>
        <w:rPr>
          <w:spacing w:val="-42"/>
        </w:rPr>
      </w:r>
      <w:r>
        <w:rPr/>
        <w:t>计划以及“十三五”规划提出要实施大数据和网络强国战略，网络安全是该等战略顺利实施的基础前提之</w:t>
      </w:r>
      <w:r>
        <w:rPr/>
        <w:t> </w:t>
      </w:r>
      <w:r>
        <w:rPr>
          <w:spacing w:val="-3"/>
        </w:rPr>
        <w:t>一，因此，在多重政策的大力推动下，未来数年我国在网络安全方面的投入占整个</w:t>
      </w:r>
      <w:r>
        <w:rPr>
          <w:rFonts w:ascii="Times New Roman" w:hAnsi="Times New Roman" w:cs="Times New Roman" w:eastAsia="Times New Roman" w:hint="default"/>
          <w:spacing w:val="-3"/>
        </w:rPr>
        <w:t>IT</w:t>
      </w:r>
      <w:r>
        <w:rPr>
          <w:spacing w:val="-3"/>
        </w:rPr>
        <w:t>投入的比重有望持续、</w:t>
      </w:r>
      <w:r>
        <w:rPr>
          <w:spacing w:val="-78"/>
        </w:rPr>
        <w:t> </w:t>
      </w:r>
      <w:r>
        <w:rPr/>
        <w:t>快速上升。同时，目前移动互联网、云计算、大数据、虚拟化等技术广泛应用，数据资源作为政府及企业</w:t>
      </w:r>
      <w:r>
        <w:rPr/>
        <w:t> 的重要资产形式，其安全性显得尤为突出，使得信息安全的强制性需求和自发性需求同时叠加，我国信息 安全行业有望迎来爆发式、长期性增长机遇。</w:t>
      </w:r>
    </w:p>
    <w:p>
      <w:pPr>
        <w:pStyle w:val="Heading3"/>
        <w:spacing w:line="240" w:lineRule="auto" w:before="75"/>
        <w:ind w:left="1556" w:right="0"/>
        <w:jc w:val="left"/>
        <w:rPr>
          <w:b w:val="0"/>
          <w:bCs w:val="0"/>
        </w:rPr>
      </w:pPr>
      <w:r>
        <w:rPr>
          <w:rFonts w:ascii="Times New Roman" w:hAnsi="Times New Roman" w:cs="Times New Roman" w:eastAsia="Times New Roman" w:hint="default"/>
        </w:rPr>
        <w:t>2</w:t>
      </w:r>
      <w:r>
        <w:rPr/>
        <w:t>、安全产品和服务加速云端转型</w:t>
      </w:r>
      <w:r>
        <w:rPr>
          <w:b w:val="0"/>
          <w:bCs w:val="0"/>
        </w:rPr>
      </w:r>
    </w:p>
    <w:p>
      <w:pPr>
        <w:pStyle w:val="BodyText"/>
        <w:spacing w:line="345" w:lineRule="auto" w:before="148"/>
        <w:ind w:left="1134" w:right="1023" w:firstLine="420"/>
        <w:jc w:val="left"/>
      </w:pPr>
      <w:r>
        <w:rPr/>
        <w:t>根据调查机构</w:t>
      </w:r>
      <w:r>
        <w:rPr>
          <w:spacing w:val="-50"/>
        </w:rPr>
        <w:t> </w:t>
      </w:r>
      <w:r>
        <w:rPr>
          <w:rFonts w:ascii="Times New Roman" w:hAnsi="Times New Roman" w:cs="Times New Roman" w:eastAsia="Times New Roman" w:hint="default"/>
        </w:rPr>
        <w:t>Gartner</w:t>
      </w:r>
      <w:r>
        <w:rPr>
          <w:rFonts w:ascii="Times New Roman" w:hAnsi="Times New Roman" w:cs="Times New Roman" w:eastAsia="Times New Roman" w:hint="default"/>
          <w:spacing w:val="3"/>
        </w:rPr>
        <w:t> </w:t>
      </w:r>
      <w:r>
        <w:rPr/>
        <w:t>的报告，</w:t>
      </w:r>
      <w:r>
        <w:rPr>
          <w:rFonts w:ascii="Times New Roman" w:hAnsi="Times New Roman" w:cs="Times New Roman" w:eastAsia="Times New Roman" w:hint="default"/>
        </w:rPr>
        <w:t>80%</w:t>
      </w:r>
      <w:r>
        <w:rPr/>
        <w:t>的</w:t>
      </w:r>
      <w:r>
        <w:rPr>
          <w:spacing w:val="-50"/>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组织在未来几年希望增加其在云计算方面的投资。云计算的 广泛应用驱动了云服务高速增长，而云服务特有的虚拟化技术则进一步增加了网络攻击防御的难度，为有 效应对云安全威胁，云安全防护技术、云安全解决方案、云安全体系架构等概念应运而生并不断发展。一 </w:t>
      </w:r>
      <w:r>
        <w:rPr>
          <w:spacing w:val="-3"/>
        </w:rPr>
        <w:t>是“云模式”引领安全防御技术创新，通过部署在云端的服务器集群，完成恶意样本分析、篡改特征验证、</w:t>
      </w:r>
      <w:r>
        <w:rPr>
          <w:spacing w:val="-94"/>
        </w:rPr>
        <w:t> </w:t>
      </w:r>
      <w:r>
        <w:rPr>
          <w:spacing w:val="-94"/>
        </w:rPr>
      </w:r>
      <w:r>
        <w:rPr/>
        <w:t>用户交互反馈等工作，提升原有产品防御能力和云服务场景适用能力；二是综合性云安全解决方案逐渐取</w:t>
      </w:r>
      <w:r>
        <w:rPr/>
        <w:t> 代单一产品，结合云服务特性，从虚拟化主机安全、网络安全、数据安全等维度提供体系化的解决方案， 突破了单一产品的局限性；三是云安全三层体系架构成为趋势，以云基础设施、云网络、云应用构成的三 层结构逐渐确立，为用户提供差异化、定制化的安全服务。未来对云基础设施、云网络等的攻击将变得更 加复杂和自动化，这使得 </w:t>
      </w:r>
      <w:r>
        <w:rPr>
          <w:rFonts w:ascii="Times New Roman" w:hAnsi="Times New Roman" w:cs="Times New Roman" w:eastAsia="Times New Roman" w:hint="default"/>
        </w:rPr>
        <w:t>IT</w:t>
      </w:r>
      <w:r>
        <w:rPr>
          <w:rFonts w:ascii="Times New Roman" w:hAnsi="Times New Roman" w:cs="Times New Roman" w:eastAsia="Times New Roman" w:hint="default"/>
          <w:spacing w:val="41"/>
        </w:rPr>
        <w:t> </w:t>
      </w:r>
      <w:r>
        <w:rPr/>
        <w:t>管理者比以往任何时候都要更加担心云安全，这也为安全产业创造了新的机 遇。</w:t>
      </w:r>
    </w:p>
    <w:p>
      <w:pPr>
        <w:spacing w:line="362" w:lineRule="auto" w:before="73"/>
        <w:ind w:left="1553" w:right="1128"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、智能制造开辟信息安全新需求</w:t>
      </w:r>
      <w:r>
        <w:rPr>
          <w:rFonts w:ascii="宋体" w:hAnsi="宋体" w:cs="宋体" w:eastAsia="宋体" w:hint="default"/>
          <w:b/>
          <w:bCs/>
          <w:w w:val="99"/>
          <w:sz w:val="21"/>
          <w:szCs w:val="21"/>
        </w:rPr>
        <w:t> </w:t>
      </w:r>
      <w:r>
        <w:rPr>
          <w:rFonts w:ascii="宋体" w:hAnsi="宋体" w:cs="宋体" w:eastAsia="宋体" w:hint="default"/>
          <w:spacing w:val="-5"/>
          <w:sz w:val="21"/>
          <w:szCs w:val="21"/>
        </w:rPr>
        <w:t>为贯彻落实《中国制造</w:t>
      </w:r>
      <w:r>
        <w:rPr>
          <w:rFonts w:ascii="Times New Roman" w:hAnsi="Times New Roman" w:cs="Times New Roman" w:eastAsia="Times New Roman" w:hint="default"/>
          <w:spacing w:val="-5"/>
          <w:sz w:val="21"/>
          <w:szCs w:val="21"/>
        </w:rPr>
        <w:t>2025</w:t>
      </w:r>
      <w:r>
        <w:rPr>
          <w:rFonts w:ascii="宋体" w:hAnsi="宋体" w:cs="宋体" w:eastAsia="宋体" w:hint="default"/>
          <w:spacing w:val="-5"/>
          <w:sz w:val="21"/>
          <w:szCs w:val="21"/>
        </w:rPr>
        <w:t>》，工信部近期发布了《智能制造试点示范</w:t>
      </w:r>
      <w:r>
        <w:rPr>
          <w:rFonts w:ascii="Times New Roman" w:hAnsi="Times New Roman" w:cs="Times New Roman" w:eastAsia="Times New Roman" w:hint="default"/>
          <w:spacing w:val="-5"/>
          <w:sz w:val="21"/>
          <w:szCs w:val="21"/>
        </w:rPr>
        <w:t>2016</w:t>
      </w:r>
      <w:r>
        <w:rPr>
          <w:rFonts w:ascii="宋体" w:hAnsi="宋体" w:cs="宋体" w:eastAsia="宋体" w:hint="default"/>
          <w:spacing w:val="-5"/>
          <w:sz w:val="21"/>
          <w:szCs w:val="21"/>
        </w:rPr>
        <w:t>专项行动方案》，其中要求</w:t>
      </w:r>
    </w:p>
    <w:p>
      <w:pPr>
        <w:pStyle w:val="BodyText"/>
        <w:spacing w:line="350" w:lineRule="auto"/>
        <w:ind w:right="1110"/>
        <w:jc w:val="both"/>
      </w:pPr>
      <w:r>
        <w:rPr>
          <w:spacing w:val="-1"/>
        </w:rPr>
        <w:t>年内完成工业互联网安全监测平台、工控网络安全防御平台、工业控制系统仿真测试与验证平台等项目的</w:t>
      </w:r>
      <w:r>
        <w:rPr>
          <w:spacing w:val="-81"/>
        </w:rPr>
        <w:t> </w:t>
      </w:r>
      <w:r>
        <w:rPr>
          <w:spacing w:val="-81"/>
        </w:rPr>
      </w:r>
      <w:r>
        <w:rPr>
          <w:spacing w:val="-1"/>
        </w:rPr>
        <w:t>立项论证并开展关键技术预研。随着工业互联网信息化步伐的加快，智能制造成为信息化和工业化深度融</w:t>
      </w:r>
      <w:r>
        <w:rPr>
          <w:spacing w:val="-81"/>
        </w:rPr>
        <w:t> </w:t>
      </w:r>
      <w:r>
        <w:rPr>
          <w:spacing w:val="-81"/>
        </w:rPr>
      </w:r>
      <w:r>
        <w:rPr>
          <w:spacing w:val="-1"/>
        </w:rPr>
        <w:t>合的方向和突破口，而网络安全漏洞的爆发式增长、终端的高度智能化、无线等新技术的应用都给智能制</w:t>
      </w:r>
      <w:r>
        <w:rPr>
          <w:spacing w:val="-83"/>
        </w:rPr>
        <w:t> </w:t>
      </w:r>
      <w:r>
        <w:rPr>
          <w:spacing w:val="-83"/>
        </w:rPr>
      </w:r>
      <w:r>
        <w:rPr>
          <w:spacing w:val="-1"/>
        </w:rPr>
        <w:t>造领域带来了新的安全风险。为此，转换安全防护理念，推动安全技术创新成为解决智能制造安全问题的</w:t>
      </w:r>
      <w:r>
        <w:rPr>
          <w:spacing w:val="-83"/>
        </w:rPr>
        <w:t> </w:t>
      </w:r>
      <w:r>
        <w:rPr>
          <w:spacing w:val="-83"/>
        </w:rPr>
      </w:r>
      <w:r>
        <w:rPr/>
        <w:t>关键所在。在智能设备领域，在数据采集、传输、分析的不同环节强化安全设计，部署轻量级安全模块， </w:t>
      </w:r>
      <w:r>
        <w:rPr>
          <w:spacing w:val="-1"/>
        </w:rPr>
        <w:t>以及依托云端防护成为趋势；在智能系统领域，相关企业纷纷建立体系化的漏洞防护机制，缩短攻击事件</w:t>
      </w:r>
    </w:p>
    <w:p>
      <w:pPr>
        <w:spacing w:after="0" w:line="350" w:lineRule="auto"/>
        <w:jc w:val="both"/>
        <w:sectPr>
          <w:footerReference w:type="default" r:id="rId18"/>
          <w:pgSz w:w="11910" w:h="16840"/>
          <w:pgMar w:footer="979" w:header="0" w:top="1100" w:bottom="1160" w:left="0" w:right="0"/>
          <w:pgNumType w:start="29"/>
        </w:sectPr>
      </w:pPr>
    </w:p>
    <w:p>
      <w:pPr>
        <w:spacing w:line="240" w:lineRule="auto" w:before="7"/>
        <w:rPr>
          <w:rFonts w:ascii="宋体" w:hAnsi="宋体" w:cs="宋体" w:eastAsia="宋体" w:hint="default"/>
          <w:sz w:val="27"/>
          <w:szCs w:val="27"/>
        </w:rPr>
      </w:pPr>
    </w:p>
    <w:p>
      <w:pPr>
        <w:pStyle w:val="BodyText"/>
        <w:spacing w:line="350" w:lineRule="auto" w:before="35"/>
        <w:ind w:right="1130"/>
        <w:jc w:val="both"/>
      </w:pPr>
      <w:r>
        <w:rPr>
          <w:spacing w:val="-1"/>
        </w:rPr>
        <w:t>响应时间窗口以保障生产，同时，传统的静态安全域划分方式也逐渐被安全域随生产域动态变化的防护手</w:t>
      </w:r>
      <w:r>
        <w:rPr>
          <w:spacing w:val="-80"/>
        </w:rPr>
        <w:t> </w:t>
      </w:r>
      <w:r>
        <w:rPr>
          <w:spacing w:val="-80"/>
        </w:rPr>
      </w:r>
      <w:r>
        <w:rPr>
          <w:spacing w:val="-1"/>
        </w:rPr>
        <w:t>段取代，促使隔离安全向体系化安全转变，通过综合安全监测、安全审计、风险管理等安全手段提供协同</w:t>
      </w:r>
      <w:r>
        <w:rPr>
          <w:spacing w:val="-86"/>
        </w:rPr>
        <w:t> </w:t>
      </w:r>
      <w:r>
        <w:rPr>
          <w:spacing w:val="-86"/>
        </w:rPr>
      </w:r>
      <w:r>
        <w:rPr>
          <w:spacing w:val="-1"/>
        </w:rPr>
        <w:t>防护。在此背景下，电力、市政、交通、公共设施、水利、油气、石化、化工、冶金、环保等行业围绕工</w:t>
      </w:r>
      <w:r>
        <w:rPr>
          <w:spacing w:val="-89"/>
        </w:rPr>
        <w:t> </w:t>
      </w:r>
      <w:r>
        <w:rPr>
          <w:spacing w:val="-89"/>
        </w:rPr>
      </w:r>
      <w:r>
        <w:rPr/>
        <w:t>业互联和智能制造将产生新的信息安全需求，有望成为信息安全市场发展的重要驱动因素。</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3"/>
        <w:spacing w:line="240" w:lineRule="auto"/>
        <w:ind w:left="1556" w:right="0"/>
        <w:jc w:val="left"/>
        <w:rPr>
          <w:b w:val="0"/>
          <w:bCs w:val="0"/>
        </w:rPr>
      </w:pPr>
      <w:r>
        <w:rPr/>
        <w:t>（二）公司的发展战略</w:t>
      </w:r>
      <w:r>
        <w:rPr>
          <w:b w:val="0"/>
          <w:bCs w:val="0"/>
        </w:rPr>
      </w:r>
    </w:p>
    <w:p>
      <w:pPr>
        <w:pStyle w:val="BodyText"/>
        <w:spacing w:line="348" w:lineRule="auto" w:before="165"/>
        <w:ind w:right="1121" w:firstLine="420"/>
        <w:jc w:val="left"/>
      </w:pPr>
      <w:r>
        <w:rPr/>
        <w:t>具体详见“第三节 公司业务概要 一、报告期内公司从事的主要业务”与“第四节</w:t>
      </w:r>
      <w:r>
        <w:rPr>
          <w:spacing w:val="77"/>
        </w:rPr>
        <w:t> </w:t>
      </w:r>
      <w:r>
        <w:rPr/>
        <w:t>管理层讨论与分</w:t>
      </w:r>
      <w:r>
        <w:rPr/>
        <w:t> 析 </w:t>
      </w:r>
      <w:r>
        <w:rPr>
          <w:spacing w:val="-1"/>
        </w:rPr>
        <w:t>九、公司未来发展的展望</w:t>
      </w:r>
      <w:r>
        <w:rPr>
          <w:spacing w:val="14"/>
        </w:rPr>
        <w:t> </w:t>
      </w:r>
      <w:r>
        <w:rPr>
          <w:spacing w:val="-8"/>
        </w:rPr>
        <w:t>（三）</w:t>
      </w:r>
      <w:r>
        <w:rPr>
          <w:rFonts w:ascii="Times New Roman" w:hAnsi="Times New Roman" w:cs="Times New Roman" w:eastAsia="Times New Roman" w:hint="default"/>
          <w:spacing w:val="-8"/>
        </w:rPr>
        <w:t>2016</w:t>
      </w:r>
      <w:r>
        <w:rPr>
          <w:spacing w:val="-8"/>
        </w:rPr>
        <w:t>年发展计划”。</w:t>
      </w:r>
    </w:p>
    <w:p>
      <w:pPr>
        <w:spacing w:line="240" w:lineRule="auto" w:before="0"/>
        <w:rPr>
          <w:rFonts w:ascii="宋体" w:hAnsi="宋体" w:cs="宋体" w:eastAsia="宋体" w:hint="default"/>
          <w:sz w:val="22"/>
          <w:szCs w:val="22"/>
        </w:rPr>
      </w:pPr>
    </w:p>
    <w:p>
      <w:pPr>
        <w:pStyle w:val="Heading3"/>
        <w:spacing w:line="240" w:lineRule="auto" w:before="197"/>
        <w:ind w:left="1556" w:right="0"/>
        <w:jc w:val="left"/>
        <w:rPr>
          <w:b w:val="0"/>
          <w:bCs w:val="0"/>
        </w:rPr>
      </w:pPr>
      <w:r>
        <w:rPr/>
        <w:t>（三）</w:t>
      </w:r>
      <w:r>
        <w:rPr>
          <w:rFonts w:ascii="Times New Roman" w:hAnsi="Times New Roman" w:cs="Times New Roman" w:eastAsia="Times New Roman" w:hint="default"/>
        </w:rPr>
        <w:t>2016</w:t>
      </w:r>
      <w:r>
        <w:rPr/>
        <w:t>年发展计划</w:t>
      </w:r>
      <w:r>
        <w:rPr>
          <w:b w:val="0"/>
          <w:bCs w:val="0"/>
        </w:rPr>
      </w:r>
    </w:p>
    <w:p>
      <w:pPr>
        <w:spacing w:line="362" w:lineRule="auto" w:before="148"/>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、整合构建“大安全”产业生态，借力产业基金储备优质标的</w:t>
      </w:r>
      <w:r>
        <w:rPr>
          <w:rFonts w:ascii="宋体" w:hAnsi="宋体" w:cs="宋体" w:eastAsia="宋体" w:hint="default"/>
          <w:b/>
          <w:bCs/>
          <w:w w:val="99"/>
          <w:sz w:val="21"/>
          <w:szCs w:val="21"/>
        </w:rPr>
        <w:t> </w:t>
      </w:r>
      <w:r>
        <w:rPr>
          <w:rFonts w:ascii="宋体" w:hAnsi="宋体" w:cs="宋体" w:eastAsia="宋体" w:hint="default"/>
          <w:spacing w:val="-1"/>
          <w:sz w:val="21"/>
          <w:szCs w:val="21"/>
        </w:rPr>
        <w:t>近年来，在“大安全”产业发展战略的指引下，公司的业务板块已形成了以网络安全为核心、在物理</w:t>
      </w:r>
    </w:p>
    <w:p>
      <w:pPr>
        <w:pStyle w:val="BodyText"/>
        <w:spacing w:line="345" w:lineRule="auto" w:before="17"/>
        <w:ind w:left="1134" w:right="1023"/>
        <w:jc w:val="left"/>
      </w:pPr>
      <w:r>
        <w:rPr>
          <w:spacing w:val="-3"/>
        </w:rPr>
        <w:t>安全上具有一定竞争优势的整体格局，同时通过一系列的投资并购，涉足电商安全、支付安全、海事安全、</w:t>
      </w:r>
      <w:r>
        <w:rPr>
          <w:spacing w:val="-96"/>
        </w:rPr>
        <w:t> </w:t>
      </w:r>
      <w:r>
        <w:rPr>
          <w:spacing w:val="-96"/>
        </w:rPr>
      </w:r>
      <w:r>
        <w:rPr/>
        <w:t>大数据安全、安全应急、安全教育、安全取证等领域。公司未来将继续依靠“内生</w:t>
      </w:r>
      <w:r>
        <w:rPr>
          <w:rFonts w:ascii="Times New Roman" w:hAnsi="Times New Roman" w:cs="Times New Roman" w:eastAsia="Times New Roman" w:hint="default"/>
        </w:rPr>
        <w:t>+</w:t>
      </w:r>
      <w:r>
        <w:rPr/>
        <w:t>外延”双轮驱动，加</w:t>
      </w:r>
      <w:r>
        <w:rPr>
          <w:spacing w:val="-43"/>
        </w:rPr>
        <w:t> </w:t>
      </w:r>
      <w:r>
        <w:rPr>
          <w:spacing w:val="-43"/>
        </w:rPr>
      </w:r>
      <w:r>
        <w:rPr/>
        <w:t>强各业务板块之间的联动整合，发展出以网络安全为核心，以物理军工安全为抓手，以移动互联网安全为</w:t>
      </w:r>
      <w:r>
        <w:rPr/>
        <w:t> 跳板，兼顾新兴技术安全（智能制造安全、云安全、大数据安全、量子通信安全等）的“大安全”产业生 态体系。</w:t>
      </w:r>
    </w:p>
    <w:p>
      <w:pPr>
        <w:pStyle w:val="BodyText"/>
        <w:spacing w:line="340" w:lineRule="auto" w:before="72"/>
        <w:ind w:right="1024" w:firstLine="420"/>
        <w:jc w:val="left"/>
      </w:pPr>
      <w:r>
        <w:rPr/>
        <w:t>此外，公司拟与控股股东柯宗贵及中植资本管理有限公司共同设立智慧安全产业基金，拟募集资金规 模不超过人民币</w:t>
      </w:r>
      <w:r>
        <w:rPr>
          <w:rFonts w:ascii="Times New Roman" w:hAnsi="Times New Roman" w:cs="Times New Roman" w:eastAsia="Times New Roman" w:hint="default"/>
        </w:rPr>
        <w:t>30</w:t>
      </w:r>
      <w:r>
        <w:rPr/>
        <w:t>亿元，投资方向包括但不限于信息安全、物理安全及相关配套、互联网及大数据安全、 </w:t>
      </w:r>
      <w:r>
        <w:rPr>
          <w:spacing w:val="-2"/>
        </w:rPr>
        <w:t>工业</w:t>
      </w:r>
      <w:r>
        <w:rPr>
          <w:rFonts w:ascii="Times New Roman" w:hAnsi="Times New Roman" w:cs="Times New Roman" w:eastAsia="Times New Roman" w:hint="default"/>
          <w:spacing w:val="-2"/>
        </w:rPr>
        <w:t>4.0</w:t>
      </w:r>
      <w:r>
        <w:rPr>
          <w:spacing w:val="-2"/>
        </w:rPr>
        <w:t>、公共安防等投资项目。通过利用专业投资机构的投资、研究能力及丰富的融资渠道，将有效降低</w:t>
      </w:r>
      <w:r>
        <w:rPr>
          <w:spacing w:val="-89"/>
        </w:rPr>
        <w:t> </w:t>
      </w:r>
      <w:r>
        <w:rPr>
          <w:spacing w:val="-89"/>
        </w:rPr>
      </w:r>
      <w:r>
        <w:rPr>
          <w:spacing w:val="-3"/>
        </w:rPr>
        <w:t>投资风险，保障投资标的的质量，同时也为公司未来发展储备更多优质并购标的，加快推进公司“大安全”</w:t>
      </w:r>
      <w:r>
        <w:rPr>
          <w:spacing w:val="-95"/>
        </w:rPr>
        <w:t> </w:t>
      </w:r>
      <w:r>
        <w:rPr>
          <w:spacing w:val="-95"/>
        </w:rPr>
      </w:r>
      <w:r>
        <w:rPr/>
        <w:t>产业发展战略。</w:t>
      </w:r>
    </w:p>
    <w:p>
      <w:pPr>
        <w:spacing w:line="362" w:lineRule="auto" w:before="76"/>
        <w:ind w:left="1553"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、推进重大资产重组实施与整合，配套募集资金促进业务发展</w:t>
      </w:r>
      <w:r>
        <w:rPr>
          <w:rFonts w:ascii="宋体" w:hAnsi="宋体" w:cs="宋体" w:eastAsia="宋体" w:hint="default"/>
          <w:b/>
          <w:bCs/>
          <w:w w:val="99"/>
          <w:sz w:val="21"/>
          <w:szCs w:val="21"/>
        </w:rPr>
        <w:t> </w:t>
      </w:r>
      <w:r>
        <w:rPr>
          <w:rFonts w:ascii="宋体" w:hAnsi="宋体" w:cs="宋体" w:eastAsia="宋体" w:hint="default"/>
          <w:spacing w:val="-2"/>
          <w:sz w:val="21"/>
          <w:szCs w:val="21"/>
        </w:rPr>
        <w:t>截至本报告披露日，公司收购中经电商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汇通宝</w:t>
      </w:r>
      <w:r>
        <w:rPr>
          <w:rFonts w:ascii="宋体" w:hAnsi="宋体" w:cs="宋体" w:eastAsia="宋体" w:hint="default"/>
          <w:spacing w:val="-18"/>
          <w:sz w:val="21"/>
          <w:szCs w:val="21"/>
        </w:rPr>
        <w:t> </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股权的事宜正在办理过户手续，相关重组实施工</w:t>
      </w:r>
    </w:p>
    <w:p>
      <w:pPr>
        <w:pStyle w:val="BodyText"/>
        <w:spacing w:line="345" w:lineRule="auto"/>
        <w:ind w:right="1131"/>
        <w:jc w:val="both"/>
      </w:pPr>
      <w:r>
        <w:rPr/>
        <w:t>作也将陆续推进。重组完成后，一方面，公司将探索“电商</w:t>
      </w:r>
      <w:r>
        <w:rPr>
          <w:rFonts w:ascii="Times New Roman" w:hAnsi="Times New Roman" w:cs="Times New Roman" w:eastAsia="Times New Roman" w:hint="default"/>
        </w:rPr>
        <w:t>+</w:t>
      </w:r>
      <w:r>
        <w:rPr/>
        <w:t>安全”的技术和业务协同，进一步利用标的</w:t>
      </w:r>
      <w:r>
        <w:rPr>
          <w:spacing w:val="-45"/>
        </w:rPr>
        <w:t> </w:t>
      </w:r>
      <w:r>
        <w:rPr>
          <w:spacing w:val="-45"/>
        </w:rPr>
      </w:r>
      <w:r>
        <w:rPr>
          <w:spacing w:val="-1"/>
        </w:rPr>
        <w:t>公司的渠道及商户资源；另一方面，保持标的公司的业务独立性，促进其自身业务生态的构建。中经电商</w:t>
      </w:r>
      <w:r>
        <w:rPr>
          <w:spacing w:val="-86"/>
        </w:rPr>
        <w:t> </w:t>
      </w:r>
      <w:r>
        <w:rPr>
          <w:spacing w:val="-86"/>
        </w:rPr>
      </w:r>
      <w:r>
        <w:rPr>
          <w:spacing w:val="-1"/>
        </w:rPr>
        <w:t>及汇通宝围绕汽车后市场服务为重点，在区域上逐步拓展向北方市场至全国，快速提高合作油品商户及非</w:t>
      </w:r>
      <w:r>
        <w:rPr>
          <w:spacing w:val="-81"/>
        </w:rPr>
        <w:t> </w:t>
      </w:r>
      <w:r>
        <w:rPr>
          <w:spacing w:val="-81"/>
        </w:rPr>
      </w:r>
      <w:r>
        <w:rPr>
          <w:spacing w:val="-1"/>
        </w:rPr>
        <w:t>油品商户的数量，利用独特的线下资源及服务能力优势，不断促进线下与线上的融合，投入资源打造独特</w:t>
      </w:r>
      <w:r>
        <w:rPr>
          <w:spacing w:val="-82"/>
        </w:rPr>
        <w:t> </w:t>
      </w:r>
      <w:r>
        <w:rPr>
          <w:spacing w:val="-82"/>
        </w:rPr>
      </w:r>
      <w:r>
        <w:rPr/>
        <w:t>的汽车后市场服务互联网平台，通过互联网为车主提供与汽车生活相关的一切服务。</w:t>
      </w:r>
    </w:p>
    <w:p>
      <w:pPr>
        <w:pStyle w:val="BodyText"/>
        <w:spacing w:line="350" w:lineRule="auto" w:before="72"/>
        <w:ind w:right="1130" w:firstLine="420"/>
        <w:jc w:val="both"/>
      </w:pPr>
      <w:r>
        <w:rPr>
          <w:spacing w:val="-1"/>
        </w:rPr>
        <w:t>而去年已完成收购的子公司华炜科技继续以军工、航空航天、轨道交通等专业特种领域的电磁安防业</w:t>
      </w:r>
      <w:r>
        <w:rPr/>
        <w:t> </w:t>
      </w:r>
      <w:r>
        <w:rPr>
          <w:spacing w:val="-1"/>
        </w:rPr>
        <w:t>务为重点，其中在军工领域新的列装型号开始批量采购的背景下，华炜科技将协助相关军工单位进行多项</w:t>
      </w:r>
      <w:r>
        <w:rPr>
          <w:spacing w:val="-81"/>
        </w:rPr>
        <w:t> </w:t>
      </w:r>
      <w:r>
        <w:rPr>
          <w:spacing w:val="-81"/>
        </w:rPr>
      </w:r>
      <w:r>
        <w:rPr>
          <w:spacing w:val="-1"/>
        </w:rPr>
        <w:t>产品的研发和调试，为其未来的业绩增长注入持续动力；同时，华炜科技将协同公司的网络安全产品在轨</w:t>
      </w:r>
      <w:r>
        <w:rPr>
          <w:spacing w:val="-82"/>
        </w:rPr>
        <w:t> </w:t>
      </w:r>
      <w:r>
        <w:rPr>
          <w:spacing w:val="-82"/>
        </w:rPr>
      </w:r>
      <w:r>
        <w:rPr>
          <w:spacing w:val="-1"/>
        </w:rPr>
        <w:t>道交通、民航、通信等行业的推广应用，并积极推进控制系统安全在上述专业领域的推广；此外，华炜科</w:t>
      </w:r>
    </w:p>
    <w:p>
      <w:pPr>
        <w:spacing w:after="0" w:line="350" w:lineRule="auto"/>
        <w:jc w:val="both"/>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84" w:lineRule="auto" w:before="35"/>
        <w:ind w:left="1553" w:right="1115" w:hanging="420"/>
        <w:jc w:val="left"/>
      </w:pPr>
      <w:r>
        <w:rPr/>
        <w:t>技还将开发电能质量安全、数据屏蔽防泄漏等方面的新产品，与公司其他产品形成有效协同。 另外，在实施与中经电商及汇通宝重组事项的同时，公司也将募集配套资金不超过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8"/>
        </w:rPr>
        <w:t> </w:t>
      </w:r>
      <w:r>
        <w:rPr/>
        <w:t>亿元，用于支</w:t>
      </w:r>
    </w:p>
    <w:p>
      <w:pPr>
        <w:pStyle w:val="BodyText"/>
        <w:spacing w:line="244" w:lineRule="exact"/>
        <w:ind w:right="0"/>
        <w:jc w:val="both"/>
      </w:pPr>
      <w:r>
        <w:rPr/>
        <w:t>付本次交易的现金对价、建设全国运营中心、建设信息安全产业园、补充公司及标的公司的流动资金等。</w:t>
      </w:r>
    </w:p>
    <w:p>
      <w:pPr>
        <w:pStyle w:val="BodyText"/>
        <w:spacing w:line="374" w:lineRule="auto" w:before="125"/>
        <w:ind w:left="1553" w:right="0" w:hanging="420"/>
        <w:jc w:val="left"/>
      </w:pPr>
      <w:r>
        <w:rPr/>
        <w:t>该等募集资金将有力促进公司及标的公司的业务发展，对公司执行整体发展规划具有重要意义。 </w:t>
      </w:r>
      <w:r>
        <w:rPr>
          <w:rFonts w:ascii="Times New Roman" w:hAnsi="Times New Roman" w:cs="Times New Roman" w:eastAsia="Times New Roman" w:hint="default"/>
          <w:b/>
          <w:bCs/>
        </w:rPr>
        <w:t>3</w:t>
      </w:r>
      <w:r>
        <w:rPr>
          <w:rFonts w:ascii="宋体" w:hAnsi="宋体" w:cs="宋体" w:eastAsia="宋体" w:hint="default"/>
          <w:b/>
          <w:bCs/>
        </w:rPr>
        <w:t>、紧抓政策主导方向，瞄准重点行业需求</w:t>
      </w:r>
      <w:r>
        <w:rPr>
          <w:rFonts w:ascii="宋体" w:hAnsi="宋体" w:cs="宋体" w:eastAsia="宋体" w:hint="default"/>
          <w:b/>
          <w:bCs/>
          <w:w w:val="99"/>
        </w:rPr>
        <w:t> </w:t>
      </w:r>
      <w:r>
        <w:rPr>
          <w:spacing w:val="-1"/>
        </w:rPr>
        <w:t>公司将紧密关注与行业相关的政策动向，抓住信息安全国产化的机遇，合理安排业务思路和重点。在</w:t>
      </w:r>
    </w:p>
    <w:p>
      <w:pPr>
        <w:pStyle w:val="BodyText"/>
        <w:spacing w:line="350" w:lineRule="auto" w:before="7"/>
        <w:ind w:right="1024"/>
        <w:jc w:val="left"/>
      </w:pPr>
      <w:r>
        <w:rPr/>
        <w:t>行业上，强化行业营销，以保密、教育、应急、公安、医疗、军队等行业为重点，着力推进分级保护、等 </w:t>
      </w:r>
      <w:r>
        <w:rPr>
          <w:spacing w:val="-3"/>
        </w:rPr>
        <w:t>级保护、安全实验室、政府应急平台、网站安全防护、医疗管理信息系统、云平台等项目；在业务区域上，</w:t>
      </w:r>
      <w:r>
        <w:rPr>
          <w:spacing w:val="-94"/>
        </w:rPr>
        <w:t> </w:t>
      </w:r>
      <w:r>
        <w:rPr>
          <w:spacing w:val="-94"/>
        </w:rPr>
      </w:r>
      <w:r>
        <w:rPr/>
        <w:t>深耕广东省内的大政府客户，同时加强省外覆盖和案例复制，重点在北京、成都、西安、武汉、南京等地</w:t>
      </w:r>
      <w:r>
        <w:rPr/>
        <w:t> 建设区域运营中心，并加强渠道建设和管理，重视安全产品销售。</w:t>
      </w:r>
    </w:p>
    <w:p>
      <w:pPr>
        <w:spacing w:line="362" w:lineRule="auto" w:before="69"/>
        <w:ind w:left="155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、加大研发创新投入，深化智慧安全产品体系</w:t>
      </w:r>
      <w:r>
        <w:rPr>
          <w:rFonts w:ascii="宋体" w:hAnsi="宋体" w:cs="宋体" w:eastAsia="宋体" w:hint="default"/>
          <w:b/>
          <w:bCs/>
          <w:w w:val="99"/>
          <w:sz w:val="21"/>
          <w:szCs w:val="21"/>
        </w:rPr>
        <w:t> </w:t>
      </w:r>
      <w:r>
        <w:rPr>
          <w:rFonts w:ascii="宋体" w:hAnsi="宋体" w:cs="宋体" w:eastAsia="宋体" w:hint="default"/>
          <w:sz w:val="21"/>
          <w:szCs w:val="21"/>
        </w:rPr>
        <w:t>公司未来将继续保持研发创新上的高投入，不断巩固技术领先优势，促进公司高性能新产品的开发，</w:t>
      </w:r>
    </w:p>
    <w:p>
      <w:pPr>
        <w:pStyle w:val="BodyText"/>
        <w:spacing w:line="350" w:lineRule="auto" w:before="19"/>
        <w:ind w:right="1110"/>
        <w:jc w:val="both"/>
      </w:pPr>
      <w:r>
        <w:rPr/>
        <w:t>根据行业客户需求进行产品和方案设计，整合产品线，贯彻平台化思路，不断深化智慧安全的产品理念。 </w:t>
      </w:r>
      <w:r>
        <w:rPr>
          <w:spacing w:val="-1"/>
        </w:rPr>
        <w:t>同时，公司将积极参与行业标准的制定，并在大数据、云计算、量子通信、第二代防火墙、工业控制等前</w:t>
      </w:r>
      <w:r>
        <w:rPr>
          <w:spacing w:val="-83"/>
        </w:rPr>
        <w:t> </w:t>
      </w:r>
      <w:r>
        <w:rPr>
          <w:spacing w:val="-83"/>
        </w:rPr>
      </w:r>
      <w:r>
        <w:rPr>
          <w:spacing w:val="-1"/>
        </w:rPr>
        <w:t>沿技术应用上加强研发力度，积极与高校、企业展开技术合作。另外，公司将重点研发升级移动互联网安</w:t>
      </w:r>
      <w:r>
        <w:rPr>
          <w:spacing w:val="-87"/>
        </w:rPr>
        <w:t> </w:t>
      </w:r>
      <w:r>
        <w:rPr>
          <w:spacing w:val="-87"/>
        </w:rPr>
      </w:r>
      <w:r>
        <w:rPr/>
        <w:t>全产品，强化出行安全、隐私通信等重点功能。</w:t>
      </w:r>
    </w:p>
    <w:p>
      <w:pPr>
        <w:spacing w:line="364" w:lineRule="auto" w:before="67"/>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、实施股权激励计划，构建多维度人才体系</w:t>
      </w:r>
      <w:r>
        <w:rPr>
          <w:rFonts w:ascii="宋体" w:hAnsi="宋体" w:cs="宋体" w:eastAsia="宋体" w:hint="default"/>
          <w:b/>
          <w:bCs/>
          <w:w w:val="99"/>
          <w:sz w:val="21"/>
          <w:szCs w:val="21"/>
        </w:rPr>
        <w:t> </w:t>
      </w:r>
      <w:r>
        <w:rPr>
          <w:rFonts w:ascii="宋体" w:hAnsi="宋体" w:cs="宋体" w:eastAsia="宋体" w:hint="default"/>
          <w:spacing w:val="-1"/>
          <w:sz w:val="21"/>
          <w:szCs w:val="21"/>
        </w:rPr>
        <w:t>为进一步完善公司治理结构，建立股东与经营管理层及核心骨干之间的利益共享、风险共担机制，确</w:t>
      </w:r>
    </w:p>
    <w:p>
      <w:pPr>
        <w:pStyle w:val="BodyText"/>
        <w:spacing w:line="343" w:lineRule="auto" w:before="15"/>
        <w:ind w:left="1134" w:right="1110"/>
        <w:jc w:val="both"/>
      </w:pPr>
      <w:r>
        <w:rPr>
          <w:spacing w:val="-1"/>
        </w:rPr>
        <w:t>保公司未来发展战略和经营目标的实现，公司拟实施限制性股票激励计划，本次激励计划的员工覆盖率达</w:t>
      </w:r>
      <w:r>
        <w:rPr>
          <w:spacing w:val="-81"/>
        </w:rPr>
        <w:t> </w:t>
      </w:r>
      <w:r>
        <w:rPr>
          <w:spacing w:val="-81"/>
        </w:rPr>
      </w:r>
      <w:r>
        <w:rPr>
          <w:spacing w:val="-2"/>
        </w:rPr>
        <w:t>到</w:t>
      </w:r>
      <w:r>
        <w:rPr>
          <w:rFonts w:ascii="Times New Roman" w:hAnsi="Times New Roman" w:cs="Times New Roman" w:eastAsia="Times New Roman" w:hint="default"/>
          <w:spacing w:val="-2"/>
        </w:rPr>
        <w:t>30%</w:t>
      </w:r>
      <w:r>
        <w:rPr>
          <w:spacing w:val="-2"/>
        </w:rPr>
        <w:t>，激励计划有效期为</w:t>
      </w:r>
      <w:r>
        <w:rPr>
          <w:rFonts w:ascii="Times New Roman" w:hAnsi="Times New Roman" w:cs="Times New Roman" w:eastAsia="Times New Roman" w:hint="default"/>
          <w:spacing w:val="-2"/>
        </w:rPr>
        <w:t>5</w:t>
      </w:r>
      <w:r>
        <w:rPr>
          <w:spacing w:val="-2"/>
        </w:rPr>
        <w:t>年，对于公司管理团队及核心骨干保持稳定具有重要作用。同时，由于公司发</w:t>
      </w:r>
      <w:r>
        <w:rPr/>
        <w:t> 展战略的需要，公司也将加强各类研发工程师、互联网开发人员、新兴技术研究人员、行业化营销人员、 大区销售管理人员等人才的招聘和引进，构建多层次、多维度的人才团队体系。</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3"/>
        <w:spacing w:line="240" w:lineRule="auto"/>
        <w:ind w:left="1556" w:right="0"/>
        <w:jc w:val="left"/>
        <w:rPr>
          <w:b w:val="0"/>
          <w:bCs w:val="0"/>
        </w:rPr>
      </w:pPr>
      <w:r>
        <w:rPr/>
        <w:t>（四）公司可能面对的风险：</w:t>
      </w:r>
      <w:r>
        <w:rPr>
          <w:b w:val="0"/>
          <w:bCs w:val="0"/>
        </w:rPr>
      </w:r>
    </w:p>
    <w:p>
      <w:pPr>
        <w:pStyle w:val="BodyText"/>
        <w:spacing w:line="331" w:lineRule="auto" w:before="164"/>
        <w:ind w:left="1554" w:right="0"/>
        <w:jc w:val="left"/>
      </w:pPr>
      <w:r>
        <w:rPr>
          <w:rFonts w:ascii="Times New Roman" w:hAnsi="Times New Roman" w:cs="Times New Roman" w:eastAsia="Times New Roman" w:hint="default"/>
        </w:rPr>
        <w:t>1</w:t>
      </w:r>
      <w:r>
        <w:rPr/>
        <w:t>、投资并购及管理风险 </w:t>
      </w:r>
      <w:r>
        <w:rPr>
          <w:spacing w:val="-1"/>
        </w:rPr>
        <w:t>虽然公司近年的重组方案已实施完成或即将实施，但后续仍可能存在整合效果不达预期风险、盈利预</w:t>
      </w:r>
    </w:p>
    <w:p>
      <w:pPr>
        <w:pStyle w:val="BodyText"/>
        <w:spacing w:line="350" w:lineRule="auto" w:before="45"/>
        <w:ind w:left="1134" w:right="1133"/>
        <w:jc w:val="both"/>
      </w:pPr>
      <w:r>
        <w:rPr>
          <w:spacing w:val="-1"/>
        </w:rPr>
        <w:t>测实现风险、商誉减值风险、标的资产经营风险等多项风险因素。同时随着投资并购项目的增加，公司的</w:t>
      </w:r>
      <w:r>
        <w:rPr>
          <w:spacing w:val="-86"/>
        </w:rPr>
        <w:t> </w:t>
      </w:r>
      <w:r>
        <w:rPr>
          <w:spacing w:val="-86"/>
        </w:rPr>
      </w:r>
      <w:r>
        <w:rPr>
          <w:spacing w:val="-1"/>
        </w:rPr>
        <w:t>子公司、孙公司逐渐增多，管理体系更加复杂，团队的稳定性、新业务领域的开拓风险等都将给公司管理</w:t>
      </w:r>
      <w:r>
        <w:rPr>
          <w:spacing w:val="-86"/>
        </w:rPr>
        <w:t> </w:t>
      </w:r>
      <w:r>
        <w:rPr>
          <w:spacing w:val="-86"/>
        </w:rPr>
      </w:r>
      <w:r>
        <w:rPr/>
        <w:t>带来新的挑战。</w:t>
      </w:r>
    </w:p>
    <w:p>
      <w:pPr>
        <w:pStyle w:val="BodyText"/>
        <w:spacing w:line="331" w:lineRule="auto" w:before="28"/>
        <w:ind w:left="1554" w:right="0"/>
        <w:jc w:val="left"/>
      </w:pPr>
      <w:r>
        <w:rPr>
          <w:rFonts w:ascii="Times New Roman" w:hAnsi="Times New Roman" w:cs="Times New Roman" w:eastAsia="Times New Roman" w:hint="default"/>
        </w:rPr>
        <w:t>2</w:t>
      </w:r>
      <w:r>
        <w:rPr/>
        <w:t>、固定资产折旧、无形资产摊销、限制性股票费用摊销给公司经营业绩造成的风险 </w:t>
      </w:r>
      <w:r>
        <w:rPr>
          <w:spacing w:val="-1"/>
        </w:rPr>
        <w:t>公司募投项目已全部建成，每年将新增一定的固定资产折旧及无形资产摊销，虽然公司在对项目进行</w:t>
      </w:r>
    </w:p>
    <w:p>
      <w:pPr>
        <w:pStyle w:val="BodyText"/>
        <w:spacing w:line="348" w:lineRule="auto" w:before="46"/>
        <w:ind w:right="1131"/>
        <w:jc w:val="both"/>
      </w:pPr>
      <w:r>
        <w:rPr>
          <w:spacing w:val="-1"/>
        </w:rPr>
        <w:t>可行性研究时，已经充分考虑了折旧、摊销费用等因素，同时这些费用也可通过提升经营业绩和项目利润</w:t>
      </w:r>
      <w:r>
        <w:rPr>
          <w:spacing w:val="-83"/>
        </w:rPr>
        <w:t> </w:t>
      </w:r>
      <w:r>
        <w:rPr>
          <w:spacing w:val="-83"/>
        </w:rPr>
      </w:r>
      <w:r>
        <w:rPr>
          <w:spacing w:val="-1"/>
        </w:rPr>
        <w:t>予以消化，但若因国家产业政策调整、市场需求变化等各种因素导致市场发生重大变化，使公司募投项目</w:t>
      </w:r>
    </w:p>
    <w:p>
      <w:pPr>
        <w:spacing w:after="0" w:line="348" w:lineRule="auto"/>
        <w:jc w:val="both"/>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right="1130"/>
        <w:jc w:val="both"/>
      </w:pPr>
      <w:r>
        <w:rPr>
          <w:spacing w:val="-1"/>
        </w:rPr>
        <w:t>不能如期产生效益或实际收益低于盈亏平衡点的收益，则新增的折旧、摊销费用将对公司的经营业绩造成</w:t>
      </w:r>
      <w:r>
        <w:rPr>
          <w:spacing w:val="-81"/>
        </w:rPr>
        <w:t> </w:t>
      </w:r>
      <w:r>
        <w:rPr>
          <w:spacing w:val="-81"/>
        </w:rPr>
      </w:r>
      <w:r>
        <w:rPr>
          <w:spacing w:val="-1"/>
        </w:rPr>
        <w:t>不利影响。另外，公司即将实施限制性股票激励计划，若激励对象符合激励计划规定的解锁条件，则该等</w:t>
      </w:r>
      <w:r>
        <w:rPr>
          <w:spacing w:val="-86"/>
        </w:rPr>
        <w:t> </w:t>
      </w:r>
      <w:r>
        <w:rPr>
          <w:spacing w:val="-86"/>
        </w:rPr>
      </w:r>
      <w:r>
        <w:rPr>
          <w:spacing w:val="-1"/>
        </w:rPr>
        <w:t>公允价值总额作为公司本次激励计划的总成本将在股权激励计划的实施过程中按照解锁比例分期确认，也</w:t>
      </w:r>
      <w:r>
        <w:rPr>
          <w:spacing w:val="-80"/>
        </w:rPr>
        <w:t> </w:t>
      </w:r>
      <w:r>
        <w:rPr>
          <w:spacing w:val="-80"/>
        </w:rPr>
      </w:r>
      <w:r>
        <w:rPr/>
        <w:t>将对公司的经营业绩造成一定影响。</w:t>
      </w:r>
    </w:p>
    <w:p>
      <w:pPr>
        <w:pStyle w:val="BodyText"/>
        <w:spacing w:line="331" w:lineRule="auto" w:before="28"/>
        <w:ind w:left="1554" w:right="0"/>
        <w:jc w:val="left"/>
      </w:pPr>
      <w:r>
        <w:rPr>
          <w:rFonts w:ascii="Times New Roman" w:hAnsi="Times New Roman" w:cs="Times New Roman" w:eastAsia="Times New Roman" w:hint="default"/>
        </w:rPr>
        <w:t>3</w:t>
      </w:r>
      <w:r>
        <w:rPr/>
        <w:t>、技术失密和核心技术人员流失的风险 </w:t>
      </w:r>
      <w:r>
        <w:rPr>
          <w:spacing w:val="-1"/>
        </w:rPr>
        <w:t>信息安全行业属知识密集型行业，行业内的市场竞争主要体现为产品科技含量和研发技术人员技术水</w:t>
      </w:r>
    </w:p>
    <w:p>
      <w:pPr>
        <w:pStyle w:val="BodyText"/>
        <w:spacing w:line="348" w:lineRule="auto" w:before="45"/>
        <w:ind w:left="1134" w:right="1131"/>
        <w:jc w:val="both"/>
      </w:pPr>
      <w:r>
        <w:rPr>
          <w:spacing w:val="-1"/>
        </w:rPr>
        <w:t>平的竞争。由于公司的技术水平处于行业领先地位，不排除出现竞争对手通过各种不正当手段窃取公司技</w:t>
      </w:r>
      <w:r>
        <w:rPr>
          <w:spacing w:val="-81"/>
        </w:rPr>
        <w:t> </w:t>
      </w:r>
      <w:r>
        <w:rPr>
          <w:spacing w:val="-81"/>
        </w:rPr>
      </w:r>
      <w:r>
        <w:rPr/>
        <w:t>术机密或争夺公司核心技术人员的情形。</w:t>
      </w:r>
    </w:p>
    <w:p>
      <w:pPr>
        <w:pStyle w:val="BodyText"/>
        <w:spacing w:line="328" w:lineRule="auto" w:before="31"/>
        <w:ind w:left="1554" w:right="1092"/>
        <w:jc w:val="left"/>
      </w:pPr>
      <w:r>
        <w:rPr>
          <w:rFonts w:ascii="Times New Roman" w:hAnsi="Times New Roman" w:cs="Times New Roman" w:eastAsia="Times New Roman" w:hint="default"/>
        </w:rPr>
        <w:t>4</w:t>
      </w:r>
      <w:r>
        <w:rPr/>
        <w:t>、技术开发和升级滞后的风险 信息安全领域涉及的专业技术门类较多、技术更新速度快、生命周期短，云计算、虚拟化、大数据、</w:t>
      </w:r>
    </w:p>
    <w:p>
      <w:pPr>
        <w:pStyle w:val="BodyText"/>
        <w:spacing w:line="350" w:lineRule="auto" w:before="47"/>
        <w:ind w:left="1134" w:right="1131"/>
        <w:jc w:val="both"/>
      </w:pPr>
      <w:r>
        <w:rPr>
          <w:spacing w:val="-1"/>
        </w:rPr>
        <w:t>物联网、移动互联网等新技术不断涌现，为了保持竞争优势，公司必须准确预测业内技术发展趋势，及时</w:t>
      </w:r>
      <w:r>
        <w:rPr>
          <w:spacing w:val="-85"/>
        </w:rPr>
        <w:t> </w:t>
      </w:r>
      <w:r>
        <w:rPr>
          <w:spacing w:val="-85"/>
        </w:rPr>
      </w:r>
      <w:r>
        <w:rPr>
          <w:spacing w:val="-1"/>
        </w:rPr>
        <w:t>将成熟、实用、先进的技术用于自身产品的设计开发和技术升级。如果不能准确地把握行业技术的发展趋</w:t>
      </w:r>
      <w:r>
        <w:rPr>
          <w:spacing w:val="-83"/>
        </w:rPr>
        <w:t> </w:t>
      </w:r>
      <w:r>
        <w:rPr>
          <w:spacing w:val="-83"/>
        </w:rPr>
      </w:r>
      <w:r>
        <w:rPr>
          <w:spacing w:val="-1"/>
        </w:rPr>
        <w:t>势，在技术开发方向的决策上发生失误，或不能及时将新技术运用于业务的开发和升级，公司将可能丧失</w:t>
      </w:r>
      <w:r>
        <w:rPr>
          <w:spacing w:val="-83"/>
        </w:rPr>
        <w:t> </w:t>
      </w:r>
      <w:r>
        <w:rPr>
          <w:spacing w:val="-83"/>
        </w:rPr>
      </w:r>
      <w:r>
        <w:rPr/>
        <w:t>在技术研发和市场的领先地位。</w:t>
      </w:r>
    </w:p>
    <w:p>
      <w:pPr>
        <w:pStyle w:val="BodyText"/>
        <w:spacing w:line="369" w:lineRule="auto" w:before="29"/>
        <w:ind w:left="1554" w:right="1120"/>
        <w:jc w:val="left"/>
      </w:pPr>
      <w:r>
        <w:rPr>
          <w:rFonts w:ascii="Times New Roman" w:hAnsi="Times New Roman" w:cs="Times New Roman" w:eastAsia="Times New Roman" w:hint="default"/>
        </w:rPr>
        <w:t>5</w:t>
      </w:r>
      <w:r>
        <w:rPr/>
        <w:t>、应收账款风险 由于公司部分合同执行期及结算周期较长，应收账款数额增加，有可能存在坏账的风险。 </w:t>
      </w:r>
      <w:r>
        <w:rPr>
          <w:rFonts w:ascii="Times New Roman" w:hAnsi="Times New Roman" w:cs="Times New Roman" w:eastAsia="Times New Roman" w:hint="default"/>
        </w:rPr>
        <w:t>6</w:t>
      </w:r>
      <w:r>
        <w:rPr/>
        <w:t>、人力成本上升的风险 </w:t>
      </w:r>
      <w:r>
        <w:rPr>
          <w:spacing w:val="-1"/>
        </w:rPr>
        <w:t>随着公司业务规模的不断扩大，所需人员团队不断扩张，整体工资费用也在不断上升，如公司员工总</w:t>
      </w:r>
    </w:p>
    <w:p>
      <w:pPr>
        <w:spacing w:line="491" w:lineRule="auto" w:before="11"/>
        <w:ind w:left="1133" w:right="4033" w:firstLine="0"/>
        <w:jc w:val="left"/>
        <w:rPr>
          <w:rFonts w:ascii="宋体" w:hAnsi="宋体" w:cs="宋体" w:eastAsia="宋体" w:hint="default"/>
          <w:sz w:val="21"/>
          <w:szCs w:val="21"/>
        </w:rPr>
      </w:pPr>
      <w:r>
        <w:rPr>
          <w:rFonts w:ascii="宋体" w:hAnsi="宋体" w:cs="宋体" w:eastAsia="宋体" w:hint="default"/>
          <w:sz w:val="21"/>
          <w:szCs w:val="21"/>
        </w:rPr>
        <w:t>成本增幅与营业收入增幅不匹配，将可能对公司经营业绩产生一定影响。 </w:t>
      </w:r>
      <w:bookmarkStart w:name="十、接待调研、沟通、采访等活动情况" w:id="59"/>
      <w:bookmarkEnd w:id="59"/>
      <w:r>
        <w:rPr>
          <w:rFonts w:ascii="宋体" w:hAnsi="宋体" w:cs="宋体" w:eastAsia="宋体" w:hint="default"/>
          <w:sz w:val="21"/>
          <w:szCs w:val="21"/>
        </w:rPr>
      </w:r>
      <w:r>
        <w:rPr>
          <w:rFonts w:ascii="宋体" w:hAnsi="宋体" w:cs="宋体" w:eastAsia="宋体" w:hint="default"/>
          <w:b/>
          <w:bCs/>
          <w:sz w:val="24"/>
          <w:szCs w:val="24"/>
        </w:rPr>
        <w:t>十、接待调研、沟通、采访等活动情况</w:t>
      </w:r>
      <w:r>
        <w:rPr>
          <w:rFonts w:ascii="宋体" w:hAnsi="宋体" w:cs="宋体" w:eastAsia="宋体" w:hint="default"/>
          <w:b/>
          <w:bCs/>
          <w:w w:val="99"/>
          <w:sz w:val="24"/>
          <w:szCs w:val="24"/>
        </w:rPr>
        <w:t> </w:t>
      </w:r>
      <w:bookmarkStart w:name="1、报告期内接待调研、沟通、采访等活动登记表" w:id="60"/>
      <w:bookmarkEnd w:id="6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before="43"/>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3"/>
          <w:szCs w:val="3"/>
        </w:rPr>
      </w:pPr>
    </w:p>
    <w:p>
      <w:pPr>
        <w:spacing w:line="4241" w:lineRule="exact"/>
        <w:ind w:left="1129" w:right="0" w:firstLine="0"/>
        <w:rPr>
          <w:rFonts w:ascii="宋体" w:hAnsi="宋体" w:cs="宋体" w:eastAsia="宋体" w:hint="default"/>
          <w:sz w:val="20"/>
          <w:szCs w:val="20"/>
        </w:rPr>
      </w:pPr>
      <w:r>
        <w:rPr>
          <w:rFonts w:ascii="宋体" w:hAnsi="宋体" w:cs="宋体" w:eastAsia="宋体" w:hint="default"/>
          <w:position w:val="-84"/>
          <w:sz w:val="20"/>
          <w:szCs w:val="20"/>
        </w:rPr>
        <w:pict>
          <v:group style="width:481.9pt;height:212.1pt;mso-position-horizontal-relative:char;mso-position-vertical-relative:line" coordorigin="0,0" coordsize="9638,4242">
            <v:group style="position:absolute;left:21;top:14;width:2;height:314" coordorigin="21,14" coordsize="2,314">
              <v:shape style="position:absolute;left:21;top:14;width:2;height:314" coordorigin="21,14" coordsize="0,314" path="m21,14l21,328e" filled="false" stroked="true" strokeweight="1.140pt" strokecolor="#d2d2d2">
                <v:path arrowok="t"/>
              </v:shape>
            </v:group>
            <v:group style="position:absolute;left:1549;top:14;width:2;height:314" coordorigin="1549,14" coordsize="2,314">
              <v:shape style="position:absolute;left:1549;top:14;width:2;height:314" coordorigin="1549,14" coordsize="0,314" path="m1549,14l1549,328e" filled="false" stroked="true" strokeweight="1.140pt" strokecolor="#d2d2d2">
                <v:path arrowok="t"/>
              </v:shape>
            </v:group>
            <v:group style="position:absolute;left:32;top:14;width:1506;height:314" coordorigin="32,14" coordsize="1506,314">
              <v:shape style="position:absolute;left:32;top:14;width:1506;height:314" coordorigin="32,14" coordsize="1506,314" path="m32,328l1538,328,1538,14,32,14,32,328xe" filled="true" fillcolor="#d2d2d2" stroked="false">
                <v:path arrowok="t"/>
                <v:fill type="solid"/>
              </v:shape>
            </v:group>
            <v:group style="position:absolute;left:1581;top:14;width:2;height:314" coordorigin="1581,14" coordsize="2,314">
              <v:shape style="position:absolute;left:1581;top:14;width:2;height:314" coordorigin="1581,14" coordsize="0,314" path="m1581,14l1581,328e" filled="false" stroked="true" strokeweight="1.140pt" strokecolor="#d2d2d2">
                <v:path arrowok="t"/>
              </v:shape>
            </v:group>
            <v:group style="position:absolute;left:2541;top:14;width:2;height:314" coordorigin="2541,14" coordsize="2,314">
              <v:shape style="position:absolute;left:2541;top:14;width:2;height:314" coordorigin="2541,14" coordsize="0,314" path="m2541,14l2541,328e" filled="false" stroked="true" strokeweight="1.2pt" strokecolor="#d2d2d2">
                <v:path arrowok="t"/>
              </v:shape>
            </v:group>
            <v:group style="position:absolute;left:1593;top:14;width:936;height:314" coordorigin="1593,14" coordsize="936,314">
              <v:shape style="position:absolute;left:1593;top:14;width:936;height:314" coordorigin="1593,14" coordsize="936,314" path="m1593,328l2529,328,2529,14,1593,14,1593,328xe" filled="true" fillcolor="#d2d2d2" stroked="false">
                <v:path arrowok="t"/>
                <v:fill type="solid"/>
              </v:shape>
            </v:group>
            <v:group style="position:absolute;left:2574;top:14;width:2;height:314" coordorigin="2574,14" coordsize="2,314">
              <v:shape style="position:absolute;left:2574;top:14;width:2;height:314" coordorigin="2574,14" coordsize="0,314" path="m2574,14l2574,328e" filled="false" stroked="true" strokeweight="1.140pt" strokecolor="#d2d2d2">
                <v:path arrowok="t"/>
              </v:shape>
            </v:group>
            <v:group style="position:absolute;left:3817;top:14;width:2;height:314" coordorigin="3817,14" coordsize="2,314">
              <v:shape style="position:absolute;left:3817;top:14;width:2;height:314" coordorigin="3817,14" coordsize="0,314" path="m3817,14l3817,328e" filled="false" stroked="true" strokeweight="1.140pt" strokecolor="#d2d2d2">
                <v:path arrowok="t"/>
              </v:shape>
            </v:group>
            <v:group style="position:absolute;left:2585;top:14;width:1221;height:314" coordorigin="2585,14" coordsize="1221,314">
              <v:shape style="position:absolute;left:2585;top:14;width:1221;height:314" coordorigin="2585,14" coordsize="1221,314" path="m2585,328l3806,328,3806,14,2585,14,2585,328xe" filled="true" fillcolor="#d2d2d2" stroked="false">
                <v:path arrowok="t"/>
                <v:fill type="solid"/>
              </v:shape>
            </v:group>
            <v:group style="position:absolute;left:3850;top:14;width:2;height:314" coordorigin="3850,14" coordsize="2,314">
              <v:shape style="position:absolute;left:3850;top:14;width:2;height:314" coordorigin="3850,14" coordsize="0,314" path="m3850,14l3850,328e" filled="false" stroked="true" strokeweight="1.140pt" strokecolor="#d2d2d2">
                <v:path arrowok="t"/>
              </v:shape>
            </v:group>
            <v:group style="position:absolute;left:9559;top:14;width:2;height:314" coordorigin="9559,14" coordsize="2,314">
              <v:shape style="position:absolute;left:9559;top:14;width:2;height:314" coordorigin="9559,14" coordsize="0,314" path="m9559,14l9559,328e" filled="false" stroked="true" strokeweight="1.140pt" strokecolor="#d2d2d2">
                <v:path arrowok="t"/>
              </v:shape>
            </v:group>
            <v:group style="position:absolute;left:3861;top:14;width:5686;height:314" coordorigin="3861,14" coordsize="5686,314">
              <v:shape style="position:absolute;left:3861;top:14;width:5686;height:314" coordorigin="3861,14" coordsize="5686,314" path="m3861,328l9547,328,9547,14,3861,14,3861,328xe" filled="true" fillcolor="#d2d2d2" stroked="false">
                <v:path arrowok="t"/>
                <v:fill type="solid"/>
              </v:shape>
            </v:group>
            <v:group style="position:absolute;left:10;top:10;width:1551;height:2" coordorigin="10,10" coordsize="1551,2">
              <v:shape style="position:absolute;left:10;top:10;width:1551;height:2" coordorigin="10,10" coordsize="1551,0" path="m10,10l1560,10e" filled="false" stroked="true" strokeweight=".48pt" strokecolor="#000000">
                <v:path arrowok="t"/>
              </v:shape>
            </v:group>
            <v:group style="position:absolute;left:1570;top:10;width:983;height:2" coordorigin="1570,10" coordsize="983,2">
              <v:shape style="position:absolute;left:1570;top:10;width:983;height:2" coordorigin="1570,10" coordsize="983,0" path="m1570,10l2553,10e" filled="false" stroked="true" strokeweight=".48pt" strokecolor="#000000">
                <v:path arrowok="t"/>
              </v:shape>
            </v:group>
            <v:group style="position:absolute;left:2562;top:10;width:1267;height:2" coordorigin="2562,10" coordsize="1267,2">
              <v:shape style="position:absolute;left:2562;top:10;width:1267;height:2" coordorigin="2562,10" coordsize="1267,0" path="m2562,10l3829,10e" filled="false" stroked="true" strokeweight=".48pt" strokecolor="#000000">
                <v:path arrowok="t"/>
              </v:shape>
            </v:group>
            <v:group style="position:absolute;left:3838;top:10;width:5732;height:2" coordorigin="3838,10" coordsize="5732,2">
              <v:shape style="position:absolute;left:3838;top:10;width:5732;height:2" coordorigin="3838,10" coordsize="5732,0" path="m3838,10l9570,10e" filled="false" stroked="true" strokeweight=".48pt" strokecolor="#000000">
                <v:path arrowok="t"/>
              </v:shape>
            </v:group>
            <v:group style="position:absolute;left:10;top:332;width:1551;height:2" coordorigin="10,332" coordsize="1551,2">
              <v:shape style="position:absolute;left:10;top:332;width:1551;height:2" coordorigin="10,332" coordsize="1551,0" path="m10,332l1560,332e" filled="false" stroked="true" strokeweight=".48pt" strokecolor="#000000">
                <v:path arrowok="t"/>
              </v:shape>
            </v:group>
            <v:group style="position:absolute;left:1570;top:332;width:983;height:2" coordorigin="1570,332" coordsize="983,2">
              <v:shape style="position:absolute;left:1570;top:332;width:983;height:2" coordorigin="1570,332" coordsize="983,0" path="m1570,332l2553,332e" filled="false" stroked="true" strokeweight=".48pt" strokecolor="#000000">
                <v:path arrowok="t"/>
              </v:shape>
            </v:group>
            <v:group style="position:absolute;left:2562;top:332;width:1267;height:2" coordorigin="2562,332" coordsize="1267,2">
              <v:shape style="position:absolute;left:2562;top:332;width:1267;height:2" coordorigin="2562,332" coordsize="1267,0" path="m2562,332l3829,332e" filled="false" stroked="true" strokeweight=".48pt" strokecolor="#000000">
                <v:path arrowok="t"/>
              </v:shape>
            </v:group>
            <v:group style="position:absolute;left:3838;top:332;width:5732;height:2" coordorigin="3838,332" coordsize="5732,2">
              <v:shape style="position:absolute;left:3838;top:332;width:5732;height:2" coordorigin="3838,332" coordsize="5732,0" path="m3838,332l9570,332e" filled="false" stroked="true" strokeweight=".48pt" strokecolor="#000000">
                <v:path arrowok="t"/>
              </v:shape>
            </v:group>
            <v:group style="position:absolute;left:10;top:889;width:1551;height:2" coordorigin="10,889" coordsize="1551,2">
              <v:shape style="position:absolute;left:10;top:889;width:1551;height:2" coordorigin="10,889" coordsize="1551,0" path="m10,889l1560,889e" filled="false" stroked="true" strokeweight=".48pt" strokecolor="#000000">
                <v:path arrowok="t"/>
              </v:shape>
            </v:group>
            <v:group style="position:absolute;left:1570;top:889;width:983;height:2" coordorigin="1570,889" coordsize="983,2">
              <v:shape style="position:absolute;left:1570;top:889;width:983;height:2" coordorigin="1570,889" coordsize="983,0" path="m1570,889l2553,889e" filled="false" stroked="true" strokeweight=".48pt" strokecolor="#000000">
                <v:path arrowok="t"/>
              </v:shape>
            </v:group>
            <v:group style="position:absolute;left:2562;top:889;width:1267;height:2" coordorigin="2562,889" coordsize="1267,2">
              <v:shape style="position:absolute;left:2562;top:889;width:1267;height:2" coordorigin="2562,889" coordsize="1267,0" path="m2562,889l3829,889e" filled="false" stroked="true" strokeweight=".48pt" strokecolor="#000000">
                <v:path arrowok="t"/>
              </v:shape>
            </v:group>
            <v:group style="position:absolute;left:3838;top:889;width:5732;height:2" coordorigin="3838,889" coordsize="5732,2">
              <v:shape style="position:absolute;left:3838;top:889;width:5732;height:2" coordorigin="3838,889" coordsize="5732,0" path="m3838,889l9570,889e" filled="false" stroked="true" strokeweight=".48pt" strokecolor="#000000">
                <v:path arrowok="t"/>
              </v:shape>
            </v:group>
            <v:group style="position:absolute;left:10;top:1446;width:1551;height:2" coordorigin="10,1446" coordsize="1551,2">
              <v:shape style="position:absolute;left:10;top:1446;width:1551;height:2" coordorigin="10,1446" coordsize="1551,0" path="m10,1446l1560,1446e" filled="false" stroked="true" strokeweight=".48pt" strokecolor="#000000">
                <v:path arrowok="t"/>
              </v:shape>
            </v:group>
            <v:group style="position:absolute;left:1570;top:1446;width:983;height:2" coordorigin="1570,1446" coordsize="983,2">
              <v:shape style="position:absolute;left:1570;top:1446;width:983;height:2" coordorigin="1570,1446" coordsize="983,0" path="m1570,1446l2553,1446e" filled="false" stroked="true" strokeweight=".48pt" strokecolor="#000000">
                <v:path arrowok="t"/>
              </v:shape>
            </v:group>
            <v:group style="position:absolute;left:2562;top:1446;width:1267;height:2" coordorigin="2562,1446" coordsize="1267,2">
              <v:shape style="position:absolute;left:2562;top:1446;width:1267;height:2" coordorigin="2562,1446" coordsize="1267,0" path="m2562,1446l3829,1446e" filled="false" stroked="true" strokeweight=".48pt" strokecolor="#000000">
                <v:path arrowok="t"/>
              </v:shape>
            </v:group>
            <v:group style="position:absolute;left:3838;top:1446;width:5732;height:2" coordorigin="3838,1446" coordsize="5732,2">
              <v:shape style="position:absolute;left:3838;top:1446;width:5732;height:2" coordorigin="3838,1446" coordsize="5732,0" path="m3838,1446l9570,1446e" filled="false" stroked="true" strokeweight=".48pt" strokecolor="#000000">
                <v:path arrowok="t"/>
              </v:shape>
            </v:group>
            <v:group style="position:absolute;left:10;top:2003;width:1551;height:2" coordorigin="10,2003" coordsize="1551,2">
              <v:shape style="position:absolute;left:10;top:2003;width:1551;height:2" coordorigin="10,2003" coordsize="1551,0" path="m10,2003l1560,2003e" filled="false" stroked="true" strokeweight=".48pt" strokecolor="#000000">
                <v:path arrowok="t"/>
              </v:shape>
            </v:group>
            <v:group style="position:absolute;left:1570;top:2003;width:983;height:2" coordorigin="1570,2003" coordsize="983,2">
              <v:shape style="position:absolute;left:1570;top:2003;width:983;height:2" coordorigin="1570,2003" coordsize="983,0" path="m1570,2003l2553,2003e" filled="false" stroked="true" strokeweight=".48pt" strokecolor="#000000">
                <v:path arrowok="t"/>
              </v:shape>
            </v:group>
            <v:group style="position:absolute;left:2562;top:2003;width:1267;height:2" coordorigin="2562,2003" coordsize="1267,2">
              <v:shape style="position:absolute;left:2562;top:2003;width:1267;height:2" coordorigin="2562,2003" coordsize="1267,0" path="m2562,2003l3829,2003e" filled="false" stroked="true" strokeweight=".48pt" strokecolor="#000000">
                <v:path arrowok="t"/>
              </v:shape>
            </v:group>
            <v:group style="position:absolute;left:3838;top:2003;width:5732;height:2" coordorigin="3838,2003" coordsize="5732,2">
              <v:shape style="position:absolute;left:3838;top:2003;width:5732;height:2" coordorigin="3838,2003" coordsize="5732,0" path="m3838,2003l9570,2003e" filled="false" stroked="true" strokeweight=".48pt" strokecolor="#000000">
                <v:path arrowok="t"/>
              </v:shape>
            </v:group>
            <v:group style="position:absolute;left:10;top:2560;width:1551;height:2" coordorigin="10,2560" coordsize="1551,2">
              <v:shape style="position:absolute;left:10;top:2560;width:1551;height:2" coordorigin="10,2560" coordsize="1551,0" path="m10,2560l1560,2560e" filled="false" stroked="true" strokeweight=".48pt" strokecolor="#000000">
                <v:path arrowok="t"/>
              </v:shape>
            </v:group>
            <v:group style="position:absolute;left:1570;top:2560;width:983;height:2" coordorigin="1570,2560" coordsize="983,2">
              <v:shape style="position:absolute;left:1570;top:2560;width:983;height:2" coordorigin="1570,2560" coordsize="983,0" path="m1570,2560l2553,2560e" filled="false" stroked="true" strokeweight=".48pt" strokecolor="#000000">
                <v:path arrowok="t"/>
              </v:shape>
            </v:group>
            <v:group style="position:absolute;left:2562;top:2560;width:1267;height:2" coordorigin="2562,2560" coordsize="1267,2">
              <v:shape style="position:absolute;left:2562;top:2560;width:1267;height:2" coordorigin="2562,2560" coordsize="1267,0" path="m2562,2560l3829,2560e" filled="false" stroked="true" strokeweight=".48pt" strokecolor="#000000">
                <v:path arrowok="t"/>
              </v:shape>
            </v:group>
            <v:group style="position:absolute;left:3838;top:2560;width:5732;height:2" coordorigin="3838,2560" coordsize="5732,2">
              <v:shape style="position:absolute;left:3838;top:2560;width:5732;height:2" coordorigin="3838,2560" coordsize="5732,0" path="m3838,2560l9570,2560e" filled="false" stroked="true" strokeweight=".48pt" strokecolor="#000000">
                <v:path arrowok="t"/>
              </v:shape>
            </v:group>
            <v:group style="position:absolute;left:10;top:3117;width:1551;height:2" coordorigin="10,3117" coordsize="1551,2">
              <v:shape style="position:absolute;left:10;top:3117;width:1551;height:2" coordorigin="10,3117" coordsize="1551,0" path="m10,3117l1560,3117e" filled="false" stroked="true" strokeweight=".48pt" strokecolor="#000000">
                <v:path arrowok="t"/>
              </v:shape>
            </v:group>
            <v:group style="position:absolute;left:1570;top:3117;width:983;height:2" coordorigin="1570,3117" coordsize="983,2">
              <v:shape style="position:absolute;left:1570;top:3117;width:983;height:2" coordorigin="1570,3117" coordsize="983,0" path="m1570,3117l2553,3117e" filled="false" stroked="true" strokeweight=".48pt" strokecolor="#000000">
                <v:path arrowok="t"/>
              </v:shape>
            </v:group>
            <v:group style="position:absolute;left:2562;top:3117;width:1267;height:2" coordorigin="2562,3117" coordsize="1267,2">
              <v:shape style="position:absolute;left:2562;top:3117;width:1267;height:2" coordorigin="2562,3117" coordsize="1267,0" path="m2562,3117l3829,3117e" filled="false" stroked="true" strokeweight=".48pt" strokecolor="#000000">
                <v:path arrowok="t"/>
              </v:shape>
            </v:group>
            <v:group style="position:absolute;left:3838;top:3117;width:5732;height:2" coordorigin="3838,3117" coordsize="5732,2">
              <v:shape style="position:absolute;left:3838;top:3117;width:5732;height:2" coordorigin="3838,3117" coordsize="5732,0" path="m3838,3117l9570,3117e" filled="false" stroked="true" strokeweight=".48pt" strokecolor="#000000">
                <v:path arrowok="t"/>
              </v:shape>
            </v:group>
            <v:group style="position:absolute;left:10;top:3674;width:1551;height:2" coordorigin="10,3674" coordsize="1551,2">
              <v:shape style="position:absolute;left:10;top:3674;width:1551;height:2" coordorigin="10,3674" coordsize="1551,0" path="m10,3674l1560,3674e" filled="false" stroked="true" strokeweight=".48pt" strokecolor="#000000">
                <v:path arrowok="t"/>
              </v:shape>
            </v:group>
            <v:group style="position:absolute;left:1570;top:3674;width:983;height:2" coordorigin="1570,3674" coordsize="983,2">
              <v:shape style="position:absolute;left:1570;top:3674;width:983;height:2" coordorigin="1570,3674" coordsize="983,0" path="m1570,3674l2553,3674e" filled="false" stroked="true" strokeweight=".48pt" strokecolor="#000000">
                <v:path arrowok="t"/>
              </v:shape>
            </v:group>
            <v:group style="position:absolute;left:2562;top:3674;width:1267;height:2" coordorigin="2562,3674" coordsize="1267,2">
              <v:shape style="position:absolute;left:2562;top:3674;width:1267;height:2" coordorigin="2562,3674" coordsize="1267,0" path="m2562,3674l3829,3674e" filled="false" stroked="true" strokeweight=".48pt" strokecolor="#000000">
                <v:path arrowok="t"/>
              </v:shape>
            </v:group>
            <v:group style="position:absolute;left:3838;top:3674;width:5732;height:2" coordorigin="3838,3674" coordsize="5732,2">
              <v:shape style="position:absolute;left:3838;top:3674;width:5732;height:2" coordorigin="3838,3674" coordsize="5732,0" path="m3838,3674l9570,3674e" filled="false" stroked="true" strokeweight=".48pt" strokecolor="#000000">
                <v:path arrowok="t"/>
              </v:shape>
            </v:group>
            <v:group style="position:absolute;left:5;top:5;width:2;height:4232" coordorigin="5,5" coordsize="2,4232">
              <v:shape style="position:absolute;left:5;top:5;width:2;height:4232" coordorigin="5,5" coordsize="0,4232" path="m5,5l5,4236e" filled="false" stroked="true" strokeweight=".48pt" strokecolor="#000000">
                <v:path arrowok="t"/>
              </v:shape>
            </v:group>
            <v:group style="position:absolute;left:10;top:4232;width:1551;height:2" coordorigin="10,4232" coordsize="1551,2">
              <v:shape style="position:absolute;left:10;top:4232;width:1551;height:2" coordorigin="10,4232" coordsize="1551,0" path="m10,4232l1560,4232e" filled="false" stroked="true" strokeweight=".48pt" strokecolor="#000000">
                <v:path arrowok="t"/>
              </v:shape>
            </v:group>
            <v:group style="position:absolute;left:1565;top:5;width:2;height:4232" coordorigin="1565,5" coordsize="2,4232">
              <v:shape style="position:absolute;left:1565;top:5;width:2;height:4232" coordorigin="1565,5" coordsize="0,4232" path="m1565,5l1565,4236e" filled="false" stroked="true" strokeweight=".48pt" strokecolor="#000000">
                <v:path arrowok="t"/>
              </v:shape>
            </v:group>
            <v:group style="position:absolute;left:1570;top:4232;width:983;height:2" coordorigin="1570,4232" coordsize="983,2">
              <v:shape style="position:absolute;left:1570;top:4232;width:983;height:2" coordorigin="1570,4232" coordsize="983,0" path="m1570,4232l2553,4232e" filled="false" stroked="true" strokeweight=".48pt" strokecolor="#000000">
                <v:path arrowok="t"/>
              </v:shape>
            </v:group>
            <v:group style="position:absolute;left:2558;top:5;width:2;height:4232" coordorigin="2558,5" coordsize="2,4232">
              <v:shape style="position:absolute;left:2558;top:5;width:2;height:4232" coordorigin="2558,5" coordsize="0,4232" path="m2558,5l2558,4236e" filled="false" stroked="true" strokeweight=".48pt" strokecolor="#000000">
                <v:path arrowok="t"/>
              </v:shape>
            </v:group>
            <v:group style="position:absolute;left:2562;top:4232;width:1267;height:2" coordorigin="2562,4232" coordsize="1267,2">
              <v:shape style="position:absolute;left:2562;top:4232;width:1267;height:2" coordorigin="2562,4232" coordsize="1267,0" path="m2562,4232l3829,4232e" filled="false" stroked="true" strokeweight=".48pt" strokecolor="#000000">
                <v:path arrowok="t"/>
              </v:shape>
            </v:group>
            <v:group style="position:absolute;left:3834;top:5;width:2;height:4232" coordorigin="3834,5" coordsize="2,4232">
              <v:shape style="position:absolute;left:3834;top:5;width:2;height:4232" coordorigin="3834,5" coordsize="0,4232" path="m3834,5l3834,4236e" filled="false" stroked="true" strokeweight=".48pt" strokecolor="#000000">
                <v:path arrowok="t"/>
              </v:shape>
            </v:group>
            <v:group style="position:absolute;left:3838;top:4232;width:5732;height:2" coordorigin="3838,4232" coordsize="5732,2">
              <v:shape style="position:absolute;left:3838;top:4232;width:5732;height:2" coordorigin="3838,4232" coordsize="5732,0" path="m3838,4232l9570,4232e" filled="false" stroked="true" strokeweight=".48pt" strokecolor="#000000">
                <v:path arrowok="t"/>
              </v:shape>
            </v:group>
            <v:group style="position:absolute;left:9575;top:5;width:2;height:4232" coordorigin="9575,5" coordsize="2,4232">
              <v:shape style="position:absolute;left:9575;top:5;width:2;height:4232" coordorigin="9575,5" coordsize="0,4232" path="m9575,5l9575,4236e" filled="false" stroked="true" strokeweight=".48pt" strokecolor="#000000">
                <v:path arrowok="t"/>
              </v:shape>
              <v:shape style="position:absolute;left:5;top:10;width:1561;height:323" type="#_x0000_t202" filled="false" stroked="false">
                <v:textbox inset="0,0,0,0">
                  <w:txbxContent>
                    <w:p>
                      <w:pPr>
                        <w:spacing w:before="15"/>
                        <w:ind w:left="418" w:right="0" w:firstLine="0"/>
                        <w:jc w:val="left"/>
                        <w:rPr>
                          <w:rFonts w:ascii="宋体" w:hAnsi="宋体" w:cs="宋体" w:eastAsia="宋体" w:hint="default"/>
                          <w:sz w:val="18"/>
                          <w:szCs w:val="18"/>
                        </w:rPr>
                      </w:pPr>
                      <w:r>
                        <w:rPr>
                          <w:rFonts w:ascii="宋体" w:hAnsi="宋体" w:cs="宋体" w:eastAsia="宋体" w:hint="default"/>
                          <w:sz w:val="18"/>
                          <w:szCs w:val="18"/>
                        </w:rPr>
                        <w:t>接待时间</w:t>
                      </w:r>
                    </w:p>
                  </w:txbxContent>
                </v:textbox>
                <w10:wrap type="none"/>
              </v:shape>
              <v:shape style="position:absolute;left:1565;top:10;width:993;height:323" type="#_x0000_t202" filled="false" stroked="false">
                <v:textbox inset="0,0,0,0">
                  <w:txbxContent>
                    <w:p>
                      <w:pPr>
                        <w:spacing w:before="15"/>
                        <w:ind w:left="135" w:right="0" w:firstLine="0"/>
                        <w:jc w:val="left"/>
                        <w:rPr>
                          <w:rFonts w:ascii="宋体" w:hAnsi="宋体" w:cs="宋体" w:eastAsia="宋体" w:hint="default"/>
                          <w:sz w:val="18"/>
                          <w:szCs w:val="18"/>
                        </w:rPr>
                      </w:pPr>
                      <w:r>
                        <w:rPr>
                          <w:rFonts w:ascii="宋体" w:hAnsi="宋体" w:cs="宋体" w:eastAsia="宋体" w:hint="default"/>
                          <w:sz w:val="18"/>
                          <w:szCs w:val="18"/>
                        </w:rPr>
                        <w:t>接待方式</w:t>
                      </w:r>
                    </w:p>
                  </w:txbxContent>
                </v:textbox>
                <w10:wrap type="none"/>
              </v:shape>
              <v:shape style="position:absolute;left:2558;top:10;width:1276;height:323" type="#_x0000_t202" filled="false" stroked="false">
                <v:textbox inset="0,0,0,0">
                  <w:txbxContent>
                    <w:p>
                      <w:pPr>
                        <w:spacing w:before="15"/>
                        <w:ind w:left="97" w:right="0" w:firstLine="0"/>
                        <w:jc w:val="left"/>
                        <w:rPr>
                          <w:rFonts w:ascii="宋体" w:hAnsi="宋体" w:cs="宋体" w:eastAsia="宋体" w:hint="default"/>
                          <w:sz w:val="18"/>
                          <w:szCs w:val="18"/>
                        </w:rPr>
                      </w:pPr>
                      <w:r>
                        <w:rPr>
                          <w:rFonts w:ascii="宋体" w:hAnsi="宋体" w:cs="宋体" w:eastAsia="宋体" w:hint="default"/>
                          <w:sz w:val="18"/>
                          <w:szCs w:val="18"/>
                        </w:rPr>
                        <w:t>接待对象类型</w:t>
                      </w:r>
                    </w:p>
                  </w:txbxContent>
                </v:textbox>
                <w10:wrap type="none"/>
              </v:shape>
              <v:shape style="position:absolute;left:3834;top:10;width:5742;height:323" type="#_x0000_t202" filled="false" stroked="false">
                <v:textbox inset="0,0,0,0">
                  <w:txbxContent>
                    <w:p>
                      <w:pPr>
                        <w:spacing w:before="15"/>
                        <w:ind w:left="0" w:right="0" w:firstLine="0"/>
                        <w:jc w:val="center"/>
                        <w:rPr>
                          <w:rFonts w:ascii="宋体" w:hAnsi="宋体" w:cs="宋体" w:eastAsia="宋体" w:hint="default"/>
                          <w:sz w:val="18"/>
                          <w:szCs w:val="18"/>
                        </w:rPr>
                      </w:pPr>
                      <w:r>
                        <w:rPr>
                          <w:rFonts w:ascii="宋体" w:hAnsi="宋体" w:cs="宋体" w:eastAsia="宋体" w:hint="default"/>
                          <w:sz w:val="18"/>
                          <w:szCs w:val="18"/>
                        </w:rPr>
                        <w:t>调研的基本情况索引</w:t>
                      </w:r>
                    </w:p>
                  </w:txbxContent>
                </v:textbox>
                <w10:wrap type="none"/>
              </v:shape>
              <v:shape style="position:absolute;left:5;top:332;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332;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332;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332;width:5742;height:557" type="#_x0000_t202" filled="false" stroked="false">
                <v:textbox inset="0,0,0,0">
                  <w:txbxContent>
                    <w:p>
                      <w:pPr>
                        <w:spacing w:line="242" w:lineRule="exact" w:before="14"/>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889;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889;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889;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889;width:5742;height:557" type="#_x0000_t202" filled="false" stroked="false">
                <v:textbox inset="0,0,0,0">
                  <w:txbxContent>
                    <w:p>
                      <w:pPr>
                        <w:spacing w:line="242" w:lineRule="exact" w:before="14"/>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1446;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1446;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1446;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1446;width:5742;height:557" type="#_x0000_t202" filled="false" stroked="false">
                <v:textbox inset="0,0,0,0">
                  <w:txbxContent>
                    <w:p>
                      <w:pPr>
                        <w:spacing w:line="241"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1"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xbxContent>
                </v:textbox>
                <w10:wrap type="none"/>
              </v:shape>
              <v:shape style="position:absolute;left:5;top:2003;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2003;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2003;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2003;width:5742;height:557" type="#_x0000_t202" filled="false" stroked="false">
                <v:textbox inset="0,0,0,0">
                  <w:txbxContent>
                    <w:p>
                      <w:pPr>
                        <w:spacing w:line="241"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1"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xbxContent>
                </v:textbox>
                <w10:wrap type="none"/>
              </v:shape>
              <v:shape style="position:absolute;left:5;top:2560;width:1561;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2560;width:993;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2560;width:1276;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2560;width:5742;height:558" type="#_x0000_t202" filled="false" stroked="false">
                <v:textbox inset="0,0,0,0">
                  <w:txbxContent>
                    <w:p>
                      <w:pPr>
                        <w:spacing w:line="242"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日投资者关系活动记录表）</w:t>
                      </w:r>
                    </w:p>
                  </w:txbxContent>
                </v:textbox>
                <w10:wrap type="none"/>
              </v:shape>
              <v:shape style="position:absolute;left:5;top:3117;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3117;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3117;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3117;width:5742;height:557" type="#_x0000_t202" filled="false" stroked="false">
                <v:textbox inset="0,0,0,0">
                  <w:txbxContent>
                    <w:p>
                      <w:pPr>
                        <w:spacing w:line="242"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日投资者关系活动记录表）</w:t>
                      </w:r>
                    </w:p>
                  </w:txbxContent>
                </v:textbox>
                <w10:wrap type="none"/>
              </v:shape>
              <v:shape style="position:absolute;left:5;top:3674;width:1561;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3674;width:993;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3674;width:1276;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3674;width:5742;height:558" type="#_x0000_t202" filled="false" stroked="false">
                <v:textbox inset="0,0,0,0">
                  <w:txbxContent>
                    <w:p>
                      <w:pPr>
                        <w:spacing w:line="242"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日投资者关系活动记录表）</w:t>
                      </w:r>
                    </w:p>
                  </w:txbxContent>
                </v:textbox>
                <w10:wrap type="none"/>
              </v:shape>
              <v:shape style="position:absolute;left:9457;top:402;width:180;height:352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8"/>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84"/>
          <w:sz w:val="20"/>
          <w:szCs w:val="20"/>
        </w:rPr>
      </w:r>
    </w:p>
    <w:p>
      <w:pPr>
        <w:spacing w:after="0" w:line="4241" w:lineRule="exact"/>
        <w:rPr>
          <w:rFonts w:ascii="宋体" w:hAnsi="宋体" w:cs="宋体" w:eastAsia="宋体" w:hint="default"/>
          <w:sz w:val="20"/>
          <w:szCs w:val="20"/>
        </w:rPr>
        <w:sectPr>
          <w:pgSz w:w="11910" w:h="16840"/>
          <w:pgMar w:header="0" w:footer="979" w:top="1100" w:bottom="1160" w:left="0" w:right="0"/>
        </w:sectPr>
      </w:pPr>
    </w:p>
    <w:p>
      <w:pPr>
        <w:spacing w:line="240" w:lineRule="auto" w:before="5"/>
        <w:rPr>
          <w:rFonts w:ascii="Times New Roman" w:hAnsi="Times New Roman" w:cs="Times New Roman" w:eastAsia="Times New Roman" w:hint="default"/>
          <w:sz w:val="27"/>
          <w:szCs w:val="27"/>
        </w:rPr>
      </w:pPr>
    </w:p>
    <w:p>
      <w:pPr>
        <w:spacing w:line="3918" w:lineRule="exact"/>
        <w:ind w:left="1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481.9pt;height:195.95pt;mso-position-horizontal-relative:char;mso-position-vertical-relative:line" coordorigin="0,0" coordsize="9638,3919">
            <v:group style="position:absolute;left:10;top:10;width:1551;height:2" coordorigin="10,10" coordsize="1551,2">
              <v:shape style="position:absolute;left:10;top:10;width:1551;height:2" coordorigin="10,10" coordsize="1551,0" path="m10,10l1560,10e" filled="false" stroked="true" strokeweight=".48pt" strokecolor="#000000">
                <v:path arrowok="t"/>
              </v:shape>
            </v:group>
            <v:group style="position:absolute;left:1570;top:10;width:983;height:2" coordorigin="1570,10" coordsize="983,2">
              <v:shape style="position:absolute;left:1570;top:10;width:983;height:2" coordorigin="1570,10" coordsize="983,0" path="m1570,10l2553,10e" filled="false" stroked="true" strokeweight=".48pt" strokecolor="#000000">
                <v:path arrowok="t"/>
              </v:shape>
            </v:group>
            <v:group style="position:absolute;left:2562;top:10;width:1267;height:2" coordorigin="2562,10" coordsize="1267,2">
              <v:shape style="position:absolute;left:2562;top:10;width:1267;height:2" coordorigin="2562,10" coordsize="1267,0" path="m2562,10l3829,10e" filled="false" stroked="true" strokeweight=".48pt" strokecolor="#000000">
                <v:path arrowok="t"/>
              </v:shape>
            </v:group>
            <v:group style="position:absolute;left:3838;top:10;width:5732;height:2" coordorigin="3838,10" coordsize="5732,2">
              <v:shape style="position:absolute;left:3838;top:10;width:5732;height:2" coordorigin="3838,10" coordsize="5732,0" path="m3838,10l9570,10e" filled="false" stroked="true" strokeweight=".48pt" strokecolor="#000000">
                <v:path arrowok="t"/>
              </v:shape>
            </v:group>
            <v:group style="position:absolute;left:10;top:566;width:1551;height:2" coordorigin="10,566" coordsize="1551,2">
              <v:shape style="position:absolute;left:10;top:566;width:1551;height:2" coordorigin="10,566" coordsize="1551,0" path="m10,566l1560,566e" filled="false" stroked="true" strokeweight=".48pt" strokecolor="#000000">
                <v:path arrowok="t"/>
              </v:shape>
            </v:group>
            <v:group style="position:absolute;left:1570;top:566;width:983;height:2" coordorigin="1570,566" coordsize="983,2">
              <v:shape style="position:absolute;left:1570;top:566;width:983;height:2" coordorigin="1570,566" coordsize="983,0" path="m1570,566l2553,566e" filled="false" stroked="true" strokeweight=".48pt" strokecolor="#000000">
                <v:path arrowok="t"/>
              </v:shape>
            </v:group>
            <v:group style="position:absolute;left:2562;top:566;width:1267;height:2" coordorigin="2562,566" coordsize="1267,2">
              <v:shape style="position:absolute;left:2562;top:566;width:1267;height:2" coordorigin="2562,566" coordsize="1267,0" path="m2562,566l3829,566e" filled="false" stroked="true" strokeweight=".48pt" strokecolor="#000000">
                <v:path arrowok="t"/>
              </v:shape>
            </v:group>
            <v:group style="position:absolute;left:3838;top:566;width:5732;height:2" coordorigin="3838,566" coordsize="5732,2">
              <v:shape style="position:absolute;left:3838;top:566;width:5732;height:2" coordorigin="3838,566" coordsize="5732,0" path="m3838,566l9570,566e" filled="false" stroked="true" strokeweight=".48pt" strokecolor="#000000">
                <v:path arrowok="t"/>
              </v:shape>
            </v:group>
            <v:group style="position:absolute;left:10;top:1123;width:1551;height:2" coordorigin="10,1123" coordsize="1551,2">
              <v:shape style="position:absolute;left:10;top:1123;width:1551;height:2" coordorigin="10,1123" coordsize="1551,0" path="m10,1123l1560,1123e" filled="false" stroked="true" strokeweight=".48pt" strokecolor="#000000">
                <v:path arrowok="t"/>
              </v:shape>
            </v:group>
            <v:group style="position:absolute;left:1570;top:1123;width:983;height:2" coordorigin="1570,1123" coordsize="983,2">
              <v:shape style="position:absolute;left:1570;top:1123;width:983;height:2" coordorigin="1570,1123" coordsize="983,0" path="m1570,1123l2553,1123e" filled="false" stroked="true" strokeweight=".48pt" strokecolor="#000000">
                <v:path arrowok="t"/>
              </v:shape>
            </v:group>
            <v:group style="position:absolute;left:2562;top:1123;width:1267;height:2" coordorigin="2562,1123" coordsize="1267,2">
              <v:shape style="position:absolute;left:2562;top:1123;width:1267;height:2" coordorigin="2562,1123" coordsize="1267,0" path="m2562,1123l3829,1123e" filled="false" stroked="true" strokeweight=".48pt" strokecolor="#000000">
                <v:path arrowok="t"/>
              </v:shape>
            </v:group>
            <v:group style="position:absolute;left:3838;top:1123;width:5732;height:2" coordorigin="3838,1123" coordsize="5732,2">
              <v:shape style="position:absolute;left:3838;top:1123;width:5732;height:2" coordorigin="3838,1123" coordsize="5732,0" path="m3838,1123l9570,1123e" filled="false" stroked="true" strokeweight=".48pt" strokecolor="#000000">
                <v:path arrowok="t"/>
              </v:shape>
            </v:group>
            <v:group style="position:absolute;left:10;top:1680;width:1551;height:2" coordorigin="10,1680" coordsize="1551,2">
              <v:shape style="position:absolute;left:10;top:1680;width:1551;height:2" coordorigin="10,1680" coordsize="1551,0" path="m10,1680l1560,1680e" filled="false" stroked="true" strokeweight=".48pt" strokecolor="#000000">
                <v:path arrowok="t"/>
              </v:shape>
            </v:group>
            <v:group style="position:absolute;left:1570;top:1680;width:983;height:2" coordorigin="1570,1680" coordsize="983,2">
              <v:shape style="position:absolute;left:1570;top:1680;width:983;height:2" coordorigin="1570,1680" coordsize="983,0" path="m1570,1680l2553,1680e" filled="false" stroked="true" strokeweight=".48pt" strokecolor="#000000">
                <v:path arrowok="t"/>
              </v:shape>
            </v:group>
            <v:group style="position:absolute;left:2562;top:1680;width:1267;height:2" coordorigin="2562,1680" coordsize="1267,2">
              <v:shape style="position:absolute;left:2562;top:1680;width:1267;height:2" coordorigin="2562,1680" coordsize="1267,0" path="m2562,1680l3829,1680e" filled="false" stroked="true" strokeweight=".48pt" strokecolor="#000000">
                <v:path arrowok="t"/>
              </v:shape>
            </v:group>
            <v:group style="position:absolute;left:3838;top:1680;width:5732;height:2" coordorigin="3838,1680" coordsize="5732,2">
              <v:shape style="position:absolute;left:3838;top:1680;width:5732;height:2" coordorigin="3838,1680" coordsize="5732,0" path="m3838,1680l9570,1680e" filled="false" stroked="true" strokeweight=".48pt" strokecolor="#000000">
                <v:path arrowok="t"/>
              </v:shape>
            </v:group>
            <v:group style="position:absolute;left:10;top:2237;width:1551;height:2" coordorigin="10,2237" coordsize="1551,2">
              <v:shape style="position:absolute;left:10;top:2237;width:1551;height:2" coordorigin="10,2237" coordsize="1551,0" path="m10,2237l1560,2237e" filled="false" stroked="true" strokeweight=".48pt" strokecolor="#000000">
                <v:path arrowok="t"/>
              </v:shape>
            </v:group>
            <v:group style="position:absolute;left:1570;top:2237;width:983;height:2" coordorigin="1570,2237" coordsize="983,2">
              <v:shape style="position:absolute;left:1570;top:2237;width:983;height:2" coordorigin="1570,2237" coordsize="983,0" path="m1570,2237l2553,2237e" filled="false" stroked="true" strokeweight=".48pt" strokecolor="#000000">
                <v:path arrowok="t"/>
              </v:shape>
            </v:group>
            <v:group style="position:absolute;left:2562;top:2237;width:1267;height:2" coordorigin="2562,2237" coordsize="1267,2">
              <v:shape style="position:absolute;left:2562;top:2237;width:1267;height:2" coordorigin="2562,2237" coordsize="1267,0" path="m2562,2237l3829,2237e" filled="false" stroked="true" strokeweight=".48pt" strokecolor="#000000">
                <v:path arrowok="t"/>
              </v:shape>
            </v:group>
            <v:group style="position:absolute;left:3838;top:2237;width:5732;height:2" coordorigin="3838,2237" coordsize="5732,2">
              <v:shape style="position:absolute;left:3838;top:2237;width:5732;height:2" coordorigin="3838,2237" coordsize="5732,0" path="m3838,2237l9570,2237e" filled="false" stroked="true" strokeweight=".48pt" strokecolor="#000000">
                <v:path arrowok="t"/>
              </v:shape>
            </v:group>
            <v:group style="position:absolute;left:10;top:2794;width:1551;height:2" coordorigin="10,2794" coordsize="1551,2">
              <v:shape style="position:absolute;left:10;top:2794;width:1551;height:2" coordorigin="10,2794" coordsize="1551,0" path="m10,2794l1560,2794e" filled="false" stroked="true" strokeweight=".48pt" strokecolor="#000000">
                <v:path arrowok="t"/>
              </v:shape>
            </v:group>
            <v:group style="position:absolute;left:1570;top:2794;width:983;height:2" coordorigin="1570,2794" coordsize="983,2">
              <v:shape style="position:absolute;left:1570;top:2794;width:983;height:2" coordorigin="1570,2794" coordsize="983,0" path="m1570,2794l2553,2794e" filled="false" stroked="true" strokeweight=".48pt" strokecolor="#000000">
                <v:path arrowok="t"/>
              </v:shape>
            </v:group>
            <v:group style="position:absolute;left:2562;top:2794;width:1267;height:2" coordorigin="2562,2794" coordsize="1267,2">
              <v:shape style="position:absolute;left:2562;top:2794;width:1267;height:2" coordorigin="2562,2794" coordsize="1267,0" path="m2562,2794l3829,2794e" filled="false" stroked="true" strokeweight=".48pt" strokecolor="#000000">
                <v:path arrowok="t"/>
              </v:shape>
            </v:group>
            <v:group style="position:absolute;left:3838;top:2794;width:5732;height:2" coordorigin="3838,2794" coordsize="5732,2">
              <v:shape style="position:absolute;left:3838;top:2794;width:5732;height:2" coordorigin="3838,2794" coordsize="5732,0" path="m3838,2794l9570,2794e" filled="false" stroked="true" strokeweight=".48pt" strokecolor="#000000">
                <v:path arrowok="t"/>
              </v:shape>
            </v:group>
            <v:group style="position:absolute;left:10;top:3351;width:1551;height:2" coordorigin="10,3351" coordsize="1551,2">
              <v:shape style="position:absolute;left:10;top:3351;width:1551;height:2" coordorigin="10,3351" coordsize="1551,0" path="m10,3351l1560,3351e" filled="false" stroked="true" strokeweight=".48pt" strokecolor="#000000">
                <v:path arrowok="t"/>
              </v:shape>
            </v:group>
            <v:group style="position:absolute;left:1570;top:3351;width:983;height:2" coordorigin="1570,3351" coordsize="983,2">
              <v:shape style="position:absolute;left:1570;top:3351;width:983;height:2" coordorigin="1570,3351" coordsize="983,0" path="m1570,3351l2553,3351e" filled="false" stroked="true" strokeweight=".48pt" strokecolor="#000000">
                <v:path arrowok="t"/>
              </v:shape>
            </v:group>
            <v:group style="position:absolute;left:2562;top:3351;width:1267;height:2" coordorigin="2562,3351" coordsize="1267,2">
              <v:shape style="position:absolute;left:2562;top:3351;width:1267;height:2" coordorigin="2562,3351" coordsize="1267,0" path="m2562,3351l3829,3351e" filled="false" stroked="true" strokeweight=".48pt" strokecolor="#000000">
                <v:path arrowok="t"/>
              </v:shape>
            </v:group>
            <v:group style="position:absolute;left:3838;top:3351;width:5732;height:2" coordorigin="3838,3351" coordsize="5732,2">
              <v:shape style="position:absolute;left:3838;top:3351;width:5732;height:2" coordorigin="3838,3351" coordsize="5732,0" path="m3838,3351l9570,3351e" filled="false" stroked="true" strokeweight=".48pt" strokecolor="#000000">
                <v:path arrowok="t"/>
              </v:shape>
            </v:group>
            <v:group style="position:absolute;left:5;top:5;width:2;height:3909" coordorigin="5,5" coordsize="2,3909">
              <v:shape style="position:absolute;left:5;top:5;width:2;height:3909" coordorigin="5,5" coordsize="0,3909" path="m5,5l5,3914e" filled="false" stroked="true" strokeweight=".48pt" strokecolor="#000000">
                <v:path arrowok="t"/>
              </v:shape>
            </v:group>
            <v:group style="position:absolute;left:10;top:3909;width:1551;height:2" coordorigin="10,3909" coordsize="1551,2">
              <v:shape style="position:absolute;left:10;top:3909;width:1551;height:2" coordorigin="10,3909" coordsize="1551,0" path="m10,3909l1560,3909e" filled="false" stroked="true" strokeweight=".48pt" strokecolor="#000000">
                <v:path arrowok="t"/>
              </v:shape>
            </v:group>
            <v:group style="position:absolute;left:1565;top:5;width:2;height:3909" coordorigin="1565,5" coordsize="2,3909">
              <v:shape style="position:absolute;left:1565;top:5;width:2;height:3909" coordorigin="1565,5" coordsize="0,3909" path="m1565,5l1565,3914e" filled="false" stroked="true" strokeweight=".48pt" strokecolor="#000000">
                <v:path arrowok="t"/>
              </v:shape>
            </v:group>
            <v:group style="position:absolute;left:1570;top:3909;width:983;height:2" coordorigin="1570,3909" coordsize="983,2">
              <v:shape style="position:absolute;left:1570;top:3909;width:983;height:2" coordorigin="1570,3909" coordsize="983,0" path="m1570,3909l2553,3909e" filled="false" stroked="true" strokeweight=".48pt" strokecolor="#000000">
                <v:path arrowok="t"/>
              </v:shape>
            </v:group>
            <v:group style="position:absolute;left:2558;top:5;width:2;height:3909" coordorigin="2558,5" coordsize="2,3909">
              <v:shape style="position:absolute;left:2558;top:5;width:2;height:3909" coordorigin="2558,5" coordsize="0,3909" path="m2558,5l2558,3914e" filled="false" stroked="true" strokeweight=".48pt" strokecolor="#000000">
                <v:path arrowok="t"/>
              </v:shape>
            </v:group>
            <v:group style="position:absolute;left:2562;top:3909;width:1267;height:2" coordorigin="2562,3909" coordsize="1267,2">
              <v:shape style="position:absolute;left:2562;top:3909;width:1267;height:2" coordorigin="2562,3909" coordsize="1267,0" path="m2562,3909l3829,3909e" filled="false" stroked="true" strokeweight=".48pt" strokecolor="#000000">
                <v:path arrowok="t"/>
              </v:shape>
            </v:group>
            <v:group style="position:absolute;left:3834;top:5;width:2;height:3909" coordorigin="3834,5" coordsize="2,3909">
              <v:shape style="position:absolute;left:3834;top:5;width:2;height:3909" coordorigin="3834,5" coordsize="0,3909" path="m3834,5l3834,3914e" filled="false" stroked="true" strokeweight=".48pt" strokecolor="#000000">
                <v:path arrowok="t"/>
              </v:shape>
            </v:group>
            <v:group style="position:absolute;left:3838;top:3909;width:5732;height:2" coordorigin="3838,3909" coordsize="5732,2">
              <v:shape style="position:absolute;left:3838;top:3909;width:5732;height:2" coordorigin="3838,3909" coordsize="5732,0" path="m3838,3909l9570,3909e" filled="false" stroked="true" strokeweight=".48pt" strokecolor="#000000">
                <v:path arrowok="t"/>
              </v:shape>
            </v:group>
            <v:group style="position:absolute;left:9575;top:5;width:2;height:3909" coordorigin="9575,5" coordsize="2,3909">
              <v:shape style="position:absolute;left:9575;top:5;width:2;height:3909" coordorigin="9575,5" coordsize="0,3909" path="m9575,5l9575,3914e" filled="false" stroked="true" strokeweight=".48pt" strokecolor="#000000">
                <v:path arrowok="t"/>
              </v:shape>
              <v:shape style="position:absolute;left:5;top:10;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10;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10;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10;width:5742;height:557" type="#_x0000_t202" filled="false" stroked="false">
                <v:textbox inset="0,0,0,0">
                  <w:txbxContent>
                    <w:p>
                      <w:pPr>
                        <w:spacing w:line="242" w:lineRule="exact" w:before="14"/>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日投资者关系活动记录表）</w:t>
                      </w:r>
                    </w:p>
                  </w:txbxContent>
                </v:textbox>
                <w10:wrap type="none"/>
              </v:shape>
              <v:shape style="position:absolute;left:5;top:566;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566;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566;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566;width:5742;height:557" type="#_x0000_t202" filled="false" stroked="false">
                <v:textbox inset="0,0,0,0">
                  <w:txbxContent>
                    <w:p>
                      <w:pPr>
                        <w:spacing w:line="242" w:lineRule="exact" w:before="14"/>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日投资者关系活动记录表）</w:t>
                      </w:r>
                    </w:p>
                  </w:txbxContent>
                </v:textbox>
                <w10:wrap type="none"/>
              </v:shape>
              <v:shape style="position:absolute;left:5;top:1123;width:1561;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1123;width:993;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1123;width:1276;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1123;width:5742;height:558" type="#_x0000_t202" filled="false" stroked="false">
                <v:textbox inset="0,0,0,0">
                  <w:txbxContent>
                    <w:p>
                      <w:pPr>
                        <w:spacing w:line="242" w:lineRule="exact" w:before="14"/>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日投资者关系活动记录表）</w:t>
                      </w:r>
                    </w:p>
                  </w:txbxContent>
                </v:textbox>
                <w10:wrap type="none"/>
              </v:shape>
              <v:shape style="position:absolute;left:5;top:1680;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1680;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1680;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1680;width:5742;height:557" type="#_x0000_t202" filled="false" stroked="false">
                <v:textbox inset="0,0,0,0">
                  <w:txbxContent>
                    <w:p>
                      <w:pPr>
                        <w:spacing w:line="241"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1"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日投资者关系活动记录表）</w:t>
                      </w:r>
                    </w:p>
                  </w:txbxContent>
                </v:textbox>
                <w10:wrap type="none"/>
              </v:shape>
              <v:shape style="position:absolute;left:5;top:2237;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2237;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2237;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2237;width:5742;height:557" type="#_x0000_t202" filled="false" stroked="false">
                <v:textbox inset="0,0,0,0">
                  <w:txbxContent>
                    <w:p>
                      <w:pPr>
                        <w:spacing w:line="241"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1"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日投资者关系活动记录表）</w:t>
                      </w:r>
                    </w:p>
                  </w:txbxContent>
                </v:textbox>
                <w10:wrap type="none"/>
              </v:shape>
              <v:shape style="position:absolute;left:5;top:2794;width:1561;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2794;width:993;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2794;width:1276;height:557"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2794;width:5742;height:557" type="#_x0000_t202" filled="false" stroked="false">
                <v:textbox inset="0,0,0,0">
                  <w:txbxContent>
                    <w:p>
                      <w:pPr>
                        <w:spacing w:line="242"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日投资者关系活动记录表）</w:t>
                      </w:r>
                    </w:p>
                  </w:txbxContent>
                </v:textbox>
                <w10:wrap type="none"/>
              </v:shape>
              <v:shape style="position:absolute;left:5;top:3351;width:1561;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1565;top:3351;width:993;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实地调研</w:t>
                      </w:r>
                    </w:p>
                  </w:txbxContent>
                </v:textbox>
                <w10:wrap type="none"/>
              </v:shape>
              <v:shape style="position:absolute;left:2558;top:3351;width:1276;height:558" type="#_x0000_t202" filled="false" stroked="false">
                <v:textbox inset="0,0,0,0">
                  <w:txbxContent>
                    <w:p>
                      <w:pPr>
                        <w:spacing w:before="133"/>
                        <w:ind w:left="27" w:right="0" w:firstLine="0"/>
                        <w:jc w:val="left"/>
                        <w:rPr>
                          <w:rFonts w:ascii="宋体" w:hAnsi="宋体" w:cs="宋体" w:eastAsia="宋体" w:hint="default"/>
                          <w:sz w:val="18"/>
                          <w:szCs w:val="18"/>
                        </w:rPr>
                      </w:pPr>
                      <w:r>
                        <w:rPr>
                          <w:rFonts w:ascii="宋体" w:hAnsi="宋体" w:cs="宋体" w:eastAsia="宋体" w:hint="default"/>
                          <w:sz w:val="18"/>
                          <w:szCs w:val="18"/>
                        </w:rPr>
                        <w:t>机构</w:t>
                      </w:r>
                    </w:p>
                  </w:txbxContent>
                </v:textbox>
                <w10:wrap type="none"/>
              </v:shape>
              <v:shape style="position:absolute;left:3834;top:3351;width:5742;height:558" type="#_x0000_t202" filled="false" stroked="false">
                <v:textbox inset="0,0,0,0">
                  <w:txbxContent>
                    <w:p>
                      <w:pPr>
                        <w:spacing w:line="242" w:lineRule="exact" w:before="15"/>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投资者关系互动平台（</w:t>
                      </w:r>
                      <w:hyperlink r:id="rId19">
                        <w:r>
                          <w:rPr>
                            <w:rFonts w:ascii="Times New Roman" w:hAnsi="Times New Roman" w:cs="Times New Roman" w:eastAsia="Times New Roman" w:hint="default"/>
                            <w:sz w:val="18"/>
                            <w:szCs w:val="18"/>
                          </w:rPr>
                          <w:t>http://irm.cninfo.com.cn/ssessgs/S300297/index.html</w:t>
                        </w:r>
                      </w:hyperlink>
                    </w:p>
                    <w:p>
                      <w:pPr>
                        <w:spacing w:line="242" w:lineRule="exact"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日投资者关系活动记录表）</w:t>
                      </w:r>
                    </w:p>
                  </w:txbxContent>
                </v:textbox>
                <w10:wrap type="none"/>
              </v:shape>
              <v:shape style="position:absolute;left:9457;top:79;width:180;height:352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before="11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before="11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before="11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before="11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before="11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before="11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7"/>
          <w:sz w:val="20"/>
          <w:szCs w:val="20"/>
        </w:rPr>
      </w:r>
    </w:p>
    <w:p>
      <w:pPr>
        <w:spacing w:after="0" w:line="3918" w:lineRule="exact"/>
        <w:rPr>
          <w:rFonts w:ascii="Times New Roman" w:hAnsi="Times New Roman" w:cs="Times New Roman" w:eastAsia="Times New Roman" w:hint="default"/>
          <w:sz w:val="20"/>
          <w:szCs w:val="20"/>
        </w:rPr>
        <w:sectPr>
          <w:pgSz w:w="11910" w:h="16840"/>
          <w:pgMar w:header="0" w:footer="979" w:top="110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1"/>
        <w:spacing w:line="240" w:lineRule="auto"/>
        <w:ind w:right="1535"/>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1" w:lineRule="auto" w:before="129"/>
        <w:ind w:left="1134" w:right="0" w:firstLine="42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2014</w:t>
      </w:r>
      <w:r>
        <w:rPr/>
        <w:t>年利润分配方案为：以截至</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14</w:t>
      </w:r>
      <w:r>
        <w:rPr/>
        <w:t>日公司总股本</w:t>
      </w:r>
      <w:r>
        <w:rPr>
          <w:rFonts w:ascii="Times New Roman" w:hAnsi="Times New Roman" w:cs="Times New Roman" w:eastAsia="Times New Roman" w:hint="default"/>
        </w:rPr>
        <w:t>220,610,235</w:t>
      </w:r>
      <w:r>
        <w:rPr>
          <w:rFonts w:ascii="Times New Roman" w:hAnsi="Times New Roman" w:cs="Times New Roman" w:eastAsia="Times New Roman" w:hint="default"/>
          <w:spacing w:val="2"/>
        </w:rPr>
        <w:t> </w:t>
      </w:r>
      <w:r>
        <w:rPr>
          <w:spacing w:val="-3"/>
        </w:rPr>
        <w:t>股为基数，向全体股</w:t>
      </w:r>
      <w:r>
        <w:rPr/>
        <w:t> 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w:t>
      </w:r>
      <w:r>
        <w:rPr/>
        <w:t>元人民币（含税），合计派发现金红利</w:t>
      </w:r>
      <w:r>
        <w:rPr>
          <w:rFonts w:ascii="Times New Roman" w:hAnsi="Times New Roman" w:cs="Times New Roman" w:eastAsia="Times New Roman" w:hint="default"/>
        </w:rPr>
        <w:t>2,206,102.35</w:t>
      </w:r>
      <w:r>
        <w:rPr/>
        <w:t>元；同时以资本公积向股东 </w:t>
      </w:r>
      <w:r>
        <w:rPr>
          <w:spacing w:val="-1"/>
        </w:rPr>
        <w:t>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12</w:t>
      </w:r>
      <w:r>
        <w:rPr>
          <w:spacing w:val="-1"/>
        </w:rPr>
        <w:t>股，合计转增股本</w:t>
      </w:r>
      <w:r>
        <w:rPr>
          <w:rFonts w:ascii="Times New Roman" w:hAnsi="Times New Roman" w:cs="Times New Roman" w:eastAsia="Times New Roman" w:hint="default"/>
          <w:spacing w:val="-1"/>
        </w:rPr>
        <w:t>264,732,282</w:t>
      </w:r>
      <w:r>
        <w:rPr>
          <w:spacing w:val="-1"/>
        </w:rPr>
        <w:t>股，转增股本后公司总股本变更为</w:t>
      </w:r>
      <w:r>
        <w:rPr>
          <w:rFonts w:ascii="Times New Roman" w:hAnsi="Times New Roman" w:cs="Times New Roman" w:eastAsia="Times New Roman" w:hint="default"/>
          <w:spacing w:val="-1"/>
        </w:rPr>
        <w:t>485,342,517</w:t>
      </w:r>
      <w:r>
        <w:rPr>
          <w:spacing w:val="-1"/>
        </w:rPr>
        <w:t>股。截至报告期</w:t>
      </w:r>
      <w:r>
        <w:rPr>
          <w:spacing w:val="-79"/>
        </w:rPr>
        <w:t> </w:t>
      </w:r>
      <w:r>
        <w:rPr>
          <w:spacing w:val="-79"/>
        </w:rPr>
      </w:r>
      <w:r>
        <w:rPr/>
        <w:t>末，以上分红已全部派发完毕。</w:t>
      </w:r>
    </w:p>
    <w:p>
      <w:pPr>
        <w:pStyle w:val="BodyText"/>
        <w:spacing w:line="328" w:lineRule="auto" w:before="85"/>
        <w:ind w:right="1141" w:firstLine="42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2015</w:t>
      </w:r>
      <w:r>
        <w:rPr/>
        <w:t>年半年度利润分配方案：以截至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 </w:t>
      </w:r>
      <w:r>
        <w:rPr>
          <w:rFonts w:ascii="Times New Roman" w:hAnsi="Times New Roman" w:cs="Times New Roman" w:eastAsia="Times New Roman" w:hint="default"/>
        </w:rPr>
        <w:t>485,342,517</w:t>
      </w:r>
      <w:r>
        <w:rPr>
          <w:rFonts w:ascii="Times New Roman" w:hAnsi="Times New Roman" w:cs="Times New Roman" w:eastAsia="Times New Roman" w:hint="default"/>
          <w:spacing w:val="4"/>
        </w:rPr>
        <w:t> </w:t>
      </w:r>
      <w:r>
        <w:rPr/>
        <w:t>股为基数，向全 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1</w:t>
      </w:r>
      <w:r>
        <w:rPr/>
        <w:t>股，派发现金红利</w:t>
      </w:r>
      <w:r>
        <w:rPr>
          <w:rFonts w:ascii="Times New Roman" w:hAnsi="Times New Roman" w:cs="Times New Roman" w:eastAsia="Times New Roman" w:hint="default"/>
        </w:rPr>
        <w:t>0.25</w:t>
      </w:r>
      <w:r>
        <w:rPr>
          <w:rFonts w:ascii="Times New Roman" w:hAnsi="Times New Roman" w:cs="Times New Roman" w:eastAsia="Times New Roman" w:hint="default"/>
          <w:spacing w:val="29"/>
        </w:rPr>
        <w:t> </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 </w:t>
      </w:r>
      <w:r>
        <w:rPr/>
        <w:t>股。转增股本后公司总股本变更为</w:t>
      </w:r>
      <w:r>
        <w:rPr>
          <w:rFonts w:ascii="Times New Roman" w:hAnsi="Times New Roman" w:cs="Times New Roman" w:eastAsia="Times New Roman" w:hint="default"/>
        </w:rPr>
        <w:t>970,685,034</w:t>
      </w:r>
      <w:r>
        <w:rPr/>
        <w:t>股。截至报告期末，以上分红已全部派发完毕。</w:t>
      </w:r>
    </w:p>
    <w:p>
      <w:pPr>
        <w:spacing w:line="240" w:lineRule="auto" w:before="8"/>
        <w:rPr>
          <w:rFonts w:ascii="宋体" w:hAnsi="宋体" w:cs="宋体" w:eastAsia="宋体" w:hint="default"/>
          <w:sz w:val="17"/>
          <w:szCs w:val="1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19"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2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271" w:lineRule="auto" w:before="38"/>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6"/>
        <w:rPr>
          <w:rFonts w:ascii="宋体" w:hAnsi="宋体" w:cs="宋体" w:eastAsia="宋体" w:hint="default"/>
          <w:sz w:val="3"/>
          <w:szCs w:val="3"/>
        </w:rPr>
      </w:pP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32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0.03</w:t>
            </w:r>
          </w:p>
        </w:tc>
      </w:tr>
      <w:tr>
        <w:trPr>
          <w:trHeight w:val="32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970,685,034</w:t>
            </w:r>
          </w:p>
        </w:tc>
      </w:tr>
      <w:tr>
        <w:trPr>
          <w:trHeight w:val="32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2,912,055.10</w:t>
            </w:r>
          </w:p>
        </w:tc>
      </w:tr>
      <w:tr>
        <w:trPr>
          <w:trHeight w:val="32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128,773,919.36</w:t>
            </w:r>
          </w:p>
        </w:tc>
      </w:tr>
      <w:tr>
        <w:trPr>
          <w:trHeight w:val="32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2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2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90"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根据当期经营情况和后期发展过程中的资金需求计划，公司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年年度利润分配预案为：以截至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p>
          <w:p>
            <w:pPr>
              <w:pStyle w:val="TableParagraph"/>
              <w:spacing w:line="233" w:lineRule="exact"/>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970,685</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2,912,055.10</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after="0" w:line="227" w:lineRule="exact"/>
        <w:jc w:val="left"/>
        <w:rPr>
          <w:rFonts w:ascii="宋体" w:hAnsi="宋体" w:cs="宋体" w:eastAsia="宋体" w:hint="default"/>
          <w:sz w:val="18"/>
          <w:szCs w:val="18"/>
        </w:rPr>
        <w:sectPr>
          <w:pgSz w:w="11910" w:h="16840"/>
          <w:pgMar w:header="0" w:footer="979" w:top="1100" w:bottom="1160" w:left="0" w:right="0"/>
        </w:sectPr>
      </w:pPr>
    </w:p>
    <w:p>
      <w:pPr>
        <w:spacing w:line="240" w:lineRule="auto" w:before="11"/>
        <w:rPr>
          <w:rFonts w:ascii="宋体" w:hAnsi="宋体" w:cs="宋体" w:eastAsia="宋体" w:hint="default"/>
          <w:sz w:val="18"/>
          <w:szCs w:val="18"/>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40" w:lineRule="auto" w:before="128"/>
        <w:ind w:left="155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年年度利润分配预案</w:t>
      </w:r>
    </w:p>
    <w:p>
      <w:pPr>
        <w:pStyle w:val="BodyText"/>
        <w:spacing w:line="240" w:lineRule="auto" w:before="148"/>
        <w:ind w:left="1554" w:right="0"/>
        <w:jc w:val="left"/>
        <w:rPr>
          <w:rFonts w:ascii="Times New Roman" w:hAnsi="Times New Roman" w:cs="Times New Roman" w:eastAsia="Times New Roman" w:hint="default"/>
        </w:rPr>
      </w:pPr>
      <w:r>
        <w:rPr/>
        <w:t>以截至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日公司总股本</w:t>
      </w:r>
      <w:r>
        <w:rPr>
          <w:spacing w:val="-46"/>
        </w:rPr>
        <w:t> </w:t>
      </w:r>
      <w:r>
        <w:rPr>
          <w:rFonts w:ascii="Times New Roman" w:hAnsi="Times New Roman" w:cs="Times New Roman" w:eastAsia="Times New Roman" w:hint="default"/>
        </w:rPr>
        <w:t>970,685,034</w:t>
      </w:r>
      <w:r>
        <w:rPr>
          <w:rFonts w:ascii="Times New Roman" w:hAnsi="Times New Roman" w:cs="Times New Roman" w:eastAsia="Times New Roman" w:hint="default"/>
          <w:spacing w:val="7"/>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股派发现金红利</w:t>
      </w:r>
      <w:r>
        <w:rPr>
          <w:spacing w:val="-46"/>
        </w:rPr>
        <w:t> </w:t>
      </w:r>
      <w:r>
        <w:rPr>
          <w:rFonts w:ascii="Times New Roman" w:hAnsi="Times New Roman" w:cs="Times New Roman" w:eastAsia="Times New Roman" w:hint="default"/>
        </w:rPr>
        <w:t>0.03</w:t>
      </w:r>
    </w:p>
    <w:p>
      <w:pPr>
        <w:pStyle w:val="BodyText"/>
        <w:spacing w:line="240" w:lineRule="auto" w:before="110"/>
        <w:ind w:left="1134" w:right="0"/>
        <w:jc w:val="left"/>
      </w:pPr>
      <w:r>
        <w:rPr/>
        <w:t>元人民币（含税</w:t>
      </w:r>
      <w:r>
        <w:rPr>
          <w:spacing w:val="-105"/>
        </w:rPr>
        <w:t>）</w:t>
      </w:r>
      <w:r>
        <w:rPr/>
        <w:t>，合</w:t>
      </w:r>
      <w:r>
        <w:rPr>
          <w:spacing w:val="-2"/>
        </w:rPr>
        <w:t>计</w:t>
      </w:r>
      <w:r>
        <w:rPr/>
        <w:t>派发现金红利</w:t>
      </w:r>
      <w:r>
        <w:rPr>
          <w:spacing w:val="-52"/>
        </w:rPr>
        <w:t> </w:t>
      </w:r>
      <w:r>
        <w:rPr>
          <w:rFonts w:ascii="Times New Roman" w:hAnsi="Times New Roman" w:cs="Times New Roman" w:eastAsia="Times New Roman" w:hint="default"/>
        </w:rPr>
        <w:t>2,912,055</w:t>
      </w:r>
      <w:r>
        <w:rPr>
          <w:rFonts w:ascii="Times New Roman" w:hAnsi="Times New Roman" w:cs="Times New Roman" w:eastAsia="Times New Roman" w:hint="default"/>
          <w:spacing w:val="-1"/>
        </w:rPr>
        <w:t>.</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元（含</w:t>
      </w:r>
      <w:r>
        <w:rPr>
          <w:spacing w:val="-2"/>
        </w:rPr>
        <w:t>税</w:t>
      </w:r>
      <w:r>
        <w:rPr>
          <w:spacing w:val="-106"/>
        </w:rPr>
        <w:t>）</w:t>
      </w:r>
      <w:r>
        <w:rPr/>
        <w:t>。</w:t>
      </w:r>
    </w:p>
    <w:p>
      <w:pPr>
        <w:pStyle w:val="BodyText"/>
        <w:spacing w:line="362" w:lineRule="auto" w:before="149"/>
        <w:ind w:left="155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年半年度利润分配方案 </w:t>
      </w:r>
      <w:r>
        <w:rPr>
          <w:spacing w:val="3"/>
        </w:rPr>
        <w:t>以截止</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日公司总股本</w:t>
      </w:r>
      <w:r>
        <w:rPr>
          <w:rFonts w:ascii="Times New Roman" w:hAnsi="Times New Roman" w:cs="Times New Roman" w:eastAsia="Times New Roman" w:hint="default"/>
          <w:spacing w:val="3"/>
        </w:rPr>
        <w:t>485,342,517</w:t>
      </w:r>
      <w:r>
        <w:rPr>
          <w:spacing w:val="3"/>
        </w:rPr>
        <w:t>股为基数向全体股东每</w:t>
      </w:r>
      <w:r>
        <w:rPr>
          <w:rFonts w:ascii="Times New Roman" w:hAnsi="Times New Roman" w:cs="Times New Roman" w:eastAsia="Times New Roman" w:hint="default"/>
          <w:spacing w:val="3"/>
        </w:rPr>
        <w:t>10</w:t>
      </w:r>
      <w:r>
        <w:rPr>
          <w:spacing w:val="3"/>
        </w:rPr>
        <w:t>股送红股</w:t>
      </w:r>
      <w:r>
        <w:rPr>
          <w:rFonts w:ascii="Times New Roman" w:hAnsi="Times New Roman" w:cs="Times New Roman" w:eastAsia="Times New Roman" w:hint="default"/>
          <w:spacing w:val="3"/>
        </w:rPr>
        <w:t>1</w:t>
      </w:r>
      <w:r>
        <w:rPr>
          <w:spacing w:val="3"/>
        </w:rPr>
        <w:t>股，派发现金红利</w:t>
      </w:r>
    </w:p>
    <w:p>
      <w:pPr>
        <w:pStyle w:val="BodyText"/>
        <w:spacing w:line="328" w:lineRule="auto"/>
        <w:ind w:right="0"/>
        <w:jc w:val="left"/>
      </w:pPr>
      <w:r>
        <w:rPr>
          <w:rFonts w:ascii="Times New Roman" w:hAnsi="Times New Roman" w:cs="Times New Roman" w:eastAsia="Times New Roman" w:hint="default"/>
          <w:spacing w:val="-1"/>
        </w:rPr>
        <w:t>0.25</w:t>
      </w:r>
      <w:r>
        <w:rPr>
          <w:spacing w:val="-1"/>
        </w:rPr>
        <w:t>元人民币（含税），合计派发现金红利</w:t>
      </w:r>
      <w:r>
        <w:rPr>
          <w:rFonts w:ascii="Times New Roman" w:hAnsi="Times New Roman" w:cs="Times New Roman" w:eastAsia="Times New Roman" w:hint="default"/>
          <w:spacing w:val="-1"/>
        </w:rPr>
        <w:t>12,133,562.93</w:t>
      </w:r>
      <w:r>
        <w:rPr>
          <w:spacing w:val="-1"/>
        </w:rPr>
        <w:t>元；同时以资本公积向股东每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9</w:t>
      </w:r>
      <w:r>
        <w:rPr>
          <w:spacing w:val="-1"/>
        </w:rPr>
        <w:t>股，合计</w:t>
      </w:r>
      <w:r>
        <w:rPr>
          <w:spacing w:val="-78"/>
        </w:rPr>
        <w:t> </w:t>
      </w:r>
      <w:r>
        <w:rPr>
          <w:spacing w:val="-78"/>
        </w:rPr>
      </w:r>
      <w:r>
        <w:rPr/>
        <w:t>送股和转增股本</w:t>
      </w:r>
      <w:r>
        <w:rPr>
          <w:rFonts w:ascii="Times New Roman" w:hAnsi="Times New Roman" w:cs="Times New Roman" w:eastAsia="Times New Roman" w:hint="default"/>
        </w:rPr>
        <w:t>485,342,517</w:t>
      </w:r>
      <w:r>
        <w:rPr/>
        <w:t>股。送股和转增股本后公司总股本变更为</w:t>
      </w:r>
      <w:r>
        <w:rPr>
          <w:rFonts w:ascii="Times New Roman" w:hAnsi="Times New Roman" w:cs="Times New Roman" w:eastAsia="Times New Roman" w:hint="default"/>
        </w:rPr>
        <w:t>485,342,517</w:t>
      </w:r>
      <w:r>
        <w:rPr/>
        <w:t>股。</w:t>
      </w:r>
    </w:p>
    <w:p>
      <w:pPr>
        <w:pStyle w:val="BodyText"/>
        <w:spacing w:line="240" w:lineRule="auto" w:before="23"/>
        <w:ind w:left="155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年年度利润分配方案</w:t>
      </w:r>
    </w:p>
    <w:p>
      <w:pPr>
        <w:pStyle w:val="BodyText"/>
        <w:spacing w:line="240" w:lineRule="auto" w:before="110"/>
        <w:ind w:left="1553" w:right="0"/>
        <w:jc w:val="left"/>
      </w:pPr>
      <w:r>
        <w:rPr>
          <w:spacing w:val="2"/>
        </w:rPr>
        <w:t>以截止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日公司总股本</w:t>
      </w:r>
      <w:r>
        <w:rPr>
          <w:rFonts w:ascii="Times New Roman" w:hAnsi="Times New Roman" w:cs="Times New Roman" w:eastAsia="Times New Roman" w:hint="default"/>
          <w:spacing w:val="2"/>
        </w:rPr>
        <w:t>220,610,235</w:t>
      </w:r>
      <w:r>
        <w:rPr>
          <w:spacing w:val="2"/>
        </w:rPr>
        <w:t>股为基数向全体股东每</w:t>
      </w:r>
      <w:r>
        <w:rPr>
          <w:rFonts w:ascii="Times New Roman" w:hAnsi="Times New Roman" w:cs="Times New Roman" w:eastAsia="Times New Roman" w:hint="default"/>
          <w:spacing w:val="2"/>
        </w:rPr>
        <w:t>10 </w:t>
      </w:r>
      <w:r>
        <w:rPr>
          <w:rFonts w:ascii="Times New Roman" w:hAnsi="Times New Roman" w:cs="Times New Roman" w:eastAsia="Times New Roman" w:hint="default"/>
          <w:spacing w:val="3"/>
        </w:rPr>
        <w:t> </w:t>
      </w:r>
      <w:r>
        <w:rPr>
          <w:spacing w:val="2"/>
        </w:rPr>
        <w:t>股派发现金红利</w:t>
      </w:r>
      <w:r>
        <w:rPr>
          <w:rFonts w:ascii="Times New Roman" w:hAnsi="Times New Roman" w:cs="Times New Roman" w:eastAsia="Times New Roman" w:hint="default"/>
          <w:spacing w:val="2"/>
        </w:rPr>
        <w:t>0.1</w:t>
      </w:r>
      <w:r>
        <w:rPr>
          <w:spacing w:val="2"/>
        </w:rPr>
        <w:t>元人民币</w:t>
      </w:r>
    </w:p>
    <w:p>
      <w:pPr>
        <w:pStyle w:val="BodyText"/>
        <w:spacing w:line="240" w:lineRule="auto" w:before="109"/>
        <w:ind w:left="1134" w:right="0"/>
        <w:jc w:val="left"/>
      </w:pPr>
      <w:r>
        <w:rPr>
          <w:spacing w:val="2"/>
        </w:rPr>
        <w:t>（含税），合计派发现金红利</w:t>
      </w:r>
      <w:r>
        <w:rPr>
          <w:rFonts w:ascii="Times New Roman" w:hAnsi="Times New Roman" w:cs="Times New Roman" w:eastAsia="Times New Roman" w:hint="default"/>
          <w:spacing w:val="2"/>
        </w:rPr>
        <w:t>2,206,102.35</w:t>
      </w:r>
      <w:r>
        <w:rPr>
          <w:spacing w:val="2"/>
        </w:rPr>
        <w:t>元；同时以资本公积向股东每</w:t>
      </w:r>
      <w:r>
        <w:rPr>
          <w:rFonts w:ascii="Times New Roman" w:hAnsi="Times New Roman" w:cs="Times New Roman" w:eastAsia="Times New Roman" w:hint="default"/>
          <w:spacing w:val="2"/>
        </w:rPr>
        <w:t>10  </w:t>
      </w:r>
      <w:r>
        <w:rPr>
          <w:spacing w:val="2"/>
        </w:rPr>
        <w:t>股转增</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47"/>
        </w:rPr>
        <w:t> </w:t>
      </w:r>
      <w:r>
        <w:rPr>
          <w:spacing w:val="3"/>
        </w:rPr>
        <w:t>股，合计转增股本</w:t>
      </w:r>
    </w:p>
    <w:p>
      <w:pPr>
        <w:pStyle w:val="BodyText"/>
        <w:spacing w:line="240" w:lineRule="auto" w:before="109"/>
        <w:ind w:right="0"/>
        <w:jc w:val="left"/>
      </w:pPr>
      <w:r>
        <w:rPr>
          <w:rFonts w:ascii="Times New Roman" w:hAnsi="Times New Roman" w:cs="Times New Roman" w:eastAsia="Times New Roman" w:hint="default"/>
        </w:rPr>
        <w:t>264,732,282</w:t>
      </w:r>
      <w:r>
        <w:rPr/>
        <w:t>股。转增股本后公司总股本变更为</w:t>
      </w:r>
      <w:r>
        <w:rPr>
          <w:rFonts w:ascii="Times New Roman" w:hAnsi="Times New Roman" w:cs="Times New Roman" w:eastAsia="Times New Roman" w:hint="default"/>
        </w:rPr>
        <w:t>485,342,517</w:t>
      </w:r>
      <w:r>
        <w:rPr/>
        <w:t>股。</w:t>
      </w:r>
    </w:p>
    <w:p>
      <w:pPr>
        <w:pStyle w:val="BodyText"/>
        <w:spacing w:line="328" w:lineRule="auto" w:before="110"/>
        <w:ind w:left="155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t>年年度利润分配方案 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196,000,000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0.15</w:t>
      </w:r>
      <w:r>
        <w:rPr/>
        <w:t>元人民币</w:t>
      </w:r>
    </w:p>
    <w:p>
      <w:pPr>
        <w:pStyle w:val="BodyText"/>
        <w:spacing w:line="240" w:lineRule="auto" w:before="23"/>
        <w:ind w:left="1134" w:right="0"/>
        <w:jc w:val="left"/>
      </w:pPr>
      <w:r>
        <w:rPr/>
        <w:t>（含税），合计派发现金红利</w:t>
      </w:r>
      <w:r>
        <w:rPr>
          <w:rFonts w:ascii="Times New Roman" w:hAnsi="Times New Roman" w:cs="Times New Roman" w:eastAsia="Times New Roman" w:hint="default"/>
        </w:rPr>
        <w:t>2,940,000.00</w:t>
      </w:r>
      <w:r>
        <w:rPr/>
        <w:t>元。</w:t>
      </w:r>
    </w:p>
    <w:p>
      <w:pPr>
        <w:spacing w:line="240" w:lineRule="auto" w:before="12"/>
        <w:rPr>
          <w:rFonts w:ascii="宋体" w:hAnsi="宋体" w:cs="宋体" w:eastAsia="宋体" w:hint="default"/>
          <w:sz w:val="18"/>
          <w:szCs w:val="1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585"/>
        <w:gridCol w:w="1806"/>
        <w:gridCol w:w="1702"/>
        <w:gridCol w:w="1700"/>
        <w:gridCol w:w="1419"/>
        <w:gridCol w:w="1344"/>
      </w:tblGrid>
      <w:tr>
        <w:trPr>
          <w:trHeight w:val="12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806" w:type="dxa"/>
            <w:vMerge w:val="restart"/>
            <w:tcBorders>
              <w:top w:val="single" w:sz="4" w:space="0" w:color="000000"/>
              <w:left w:val="single" w:sz="4" w:space="0" w:color="000000"/>
              <w:right w:val="single" w:sz="4" w:space="0" w:color="000000"/>
            </w:tcBorders>
            <w:shd w:val="clear" w:color="auto" w:fill="D2D2D2"/>
          </w:tcPr>
          <w:p>
            <w:pP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3"/>
              <w:ind w:left="34" w:right="3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3"/>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7"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806"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53" w:right="75" w:hanging="181"/>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16" w:right="36"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13"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7"/>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702" w:type="dxa"/>
            <w:vMerge/>
            <w:tcBorders>
              <w:left w:val="single" w:sz="4" w:space="0" w:color="000000"/>
              <w:right w:val="single" w:sz="4" w:space="0" w:color="000000"/>
            </w:tcBorders>
            <w:shd w:val="clear" w:color="auto" w:fill="D2D2D2"/>
          </w:tcPr>
          <w:p>
            <w:pPr/>
          </w:p>
        </w:tc>
        <w:tc>
          <w:tcPr>
            <w:tcW w:w="170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right w:val="single" w:sz="4" w:space="0" w:color="000000"/>
            </w:tcBorders>
            <w:shd w:val="clear" w:color="auto" w:fill="D2D2D2"/>
          </w:tcPr>
          <w:p>
            <w:pPr/>
          </w:p>
        </w:tc>
      </w:tr>
      <w:tr>
        <w:trPr>
          <w:trHeight w:val="239"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0"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15,045,618.03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119,452,531.65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12.60%</w:t>
            </w:r>
          </w:p>
        </w:tc>
        <w:tc>
          <w:tcPr>
            <w:tcW w:w="1419" w:type="dxa"/>
            <w:tcBorders>
              <w:top w:val="single" w:sz="50" w:space="0" w:color="D2D2D2"/>
              <w:left w:val="single" w:sz="4" w:space="0" w:color="000000"/>
              <w:bottom w:val="single" w:sz="4" w:space="0" w:color="000000"/>
              <w:right w:val="single" w:sz="4" w:space="0" w:color="000000"/>
            </w:tcBorders>
          </w:tcPr>
          <w:p>
            <w:pPr/>
          </w:p>
        </w:tc>
        <w:tc>
          <w:tcPr>
            <w:tcW w:w="1344" w:type="dxa"/>
            <w:tcBorders>
              <w:top w:val="single" w:sz="50" w:space="0" w:color="D2D2D2"/>
              <w:left w:val="single" w:sz="4" w:space="0" w:color="000000"/>
              <w:bottom w:val="single" w:sz="4" w:space="0" w:color="000000"/>
              <w:right w:val="single" w:sz="4" w:space="0" w:color="000000"/>
            </w:tcBorders>
          </w:tcPr>
          <w:p>
            <w:pPr/>
          </w:p>
        </w:tc>
      </w:tr>
      <w:tr>
        <w:trPr>
          <w:trHeight w:val="32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2,206,102.35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35,302,789.86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6.25%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31,963,282.74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9.20%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3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0" w:right="0"/>
        </w:sectPr>
      </w:pPr>
    </w:p>
    <w:p>
      <w:pPr>
        <w:pStyle w:val="Heading2"/>
        <w:spacing w:line="240" w:lineRule="auto" w:before="27"/>
        <w:ind w:left="140" w:right="1424"/>
        <w:jc w:val="left"/>
        <w:rPr>
          <w:b w:val="0"/>
          <w:bCs w:val="0"/>
        </w:rPr>
      </w:pPr>
      <w:r>
        <w:rPr/>
        <w:pict>
          <v:group style="position:absolute;margin-left:70.5pt;margin-top:2.225623pt;width:701pt;height:.1pt;mso-position-horizontal-relative:page;mso-position-vertical-relative:paragraph;z-index:-85919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二、承诺事项履行情况" w:id="64"/>
      <w:bookmarkEnd w:id="64"/>
      <w:r>
        <w:rPr>
          <w:b w:val="0"/>
          <w:bCs w:val="0"/>
        </w:rPr>
      </w:r>
      <w:r>
        <w:rPr/>
        <w:t>二、承诺事项履行情况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40" w:right="1424"/>
        <w:jc w:val="left"/>
        <w:rPr>
          <w:b w:val="0"/>
          <w:bCs w:val="0"/>
        </w:rPr>
      </w:pPr>
      <w:bookmarkStart w:name="1、公司、股东、实际控制人、收购人、董事、监事、高级管理人员或其他关联方在报告期" w:id="65"/>
      <w:bookmarkEnd w:id="6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、公司、股东、实际控制人、收购人、董事、监事、高级管理人员或其他关联方在报告期内履行完毕及截至报告期末尚未履行完毕的承诺事项</w:t>
      </w:r>
      <w:r>
        <w:rPr>
          <w:b w:val="0"/>
          <w:bCs w:val="0"/>
        </w:rPr>
      </w:r>
    </w:p>
    <w:p>
      <w:pPr>
        <w:spacing w:line="240" w:lineRule="auto" w:before="0"/>
        <w:rPr>
          <w:rFonts w:ascii="宋体" w:hAnsi="宋体" w:cs="宋体" w:eastAsia="宋体" w:hint="default"/>
          <w:b/>
          <w:bCs/>
          <w:sz w:val="22"/>
          <w:szCs w:val="22"/>
        </w:rPr>
      </w:pPr>
    </w:p>
    <w:p>
      <w:pPr>
        <w:spacing w:before="0"/>
        <w:ind w:left="140" w:right="14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410"/>
        <w:gridCol w:w="2552"/>
        <w:gridCol w:w="1417"/>
        <w:gridCol w:w="4961"/>
        <w:gridCol w:w="994"/>
        <w:gridCol w:w="992"/>
        <w:gridCol w:w="1134"/>
      </w:tblGrid>
      <w:tr>
        <w:trPr>
          <w:trHeight w:val="32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57"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35"/>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2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7"/>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192" w:hRule="exact"/>
        </w:trPr>
        <w:tc>
          <w:tcPr>
            <w:tcW w:w="2410" w:type="dxa"/>
            <w:vMerge w:val="restart"/>
            <w:tcBorders>
              <w:top w:val="single" w:sz="4" w:space="0" w:color="000000"/>
              <w:left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柯宗庆</w:t>
            </w:r>
            <w:r>
              <w:rPr>
                <w:rFonts w:ascii="Times New Roman" w:hAnsi="Times New Roman" w:cs="Times New Roman" w:eastAsia="Times New Roman" w:hint="default"/>
                <w:sz w:val="18"/>
                <w:szCs w:val="18"/>
              </w:rPr>
              <w:t>;</w:t>
            </w:r>
            <w:r>
              <w:rPr>
                <w:rFonts w:ascii="宋体" w:hAnsi="宋体" w:cs="宋体" w:eastAsia="宋体" w:hint="default"/>
                <w:sz w:val="18"/>
                <w:szCs w:val="18"/>
              </w:rPr>
              <w:t>柯宗贵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2"/>
              <w:ind w:left="22" w:right="23"/>
              <w:jc w:val="left"/>
              <w:rPr>
                <w:rFonts w:ascii="宋体" w:hAnsi="宋体" w:cs="宋体" w:eastAsia="宋体" w:hint="default"/>
                <w:sz w:val="18"/>
                <w:szCs w:val="18"/>
              </w:rPr>
            </w:pPr>
            <w:r>
              <w:rPr>
                <w:rFonts w:ascii="宋体" w:hAnsi="宋体" w:cs="宋体" w:eastAsia="宋体" w:hint="default"/>
                <w:sz w:val="18"/>
                <w:szCs w:val="18"/>
              </w:rPr>
              <w:t>公司通过发行股份及支付现金的方式购买华炜科技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 </w:t>
            </w:r>
            <w:r>
              <w:rPr>
                <w:rFonts w:ascii="宋体" w:hAnsi="宋体" w:cs="宋体" w:eastAsia="宋体" w:hint="default"/>
                <w:spacing w:val="-2"/>
                <w:sz w:val="18"/>
                <w:szCs w:val="18"/>
              </w:rPr>
              <w:t>份并以非公开发行股票的方式募集配套资金（以下简称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本次重</w:t>
            </w:r>
            <w:r>
              <w:rPr>
                <w:rFonts w:ascii="宋体" w:hAnsi="宋体" w:cs="宋体" w:eastAsia="宋体" w:hint="default"/>
                <w:spacing w:val="-70"/>
                <w:sz w:val="18"/>
                <w:szCs w:val="18"/>
              </w:rPr>
              <w:t> </w:t>
            </w:r>
            <w:r>
              <w:rPr>
                <w:rFonts w:ascii="宋体" w:hAnsi="宋体" w:cs="宋体" w:eastAsia="宋体" w:hint="default"/>
                <w:spacing w:val="-4"/>
                <w:w w:val="100"/>
                <w:sz w:val="18"/>
                <w:szCs w:val="18"/>
              </w:rPr>
              <w:t>组</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）。本次重组完成后，华炜科技成为蓝盾股份全资子公司，</w:t>
            </w:r>
            <w:r>
              <w:rPr>
                <w:rFonts w:ascii="宋体" w:hAnsi="宋体" w:cs="宋体" w:eastAsia="宋体" w:hint="default"/>
                <w:spacing w:val="-69"/>
                <w:w w:val="100"/>
                <w:sz w:val="18"/>
                <w:szCs w:val="18"/>
              </w:rPr>
              <w:t> </w:t>
            </w:r>
            <w:r>
              <w:rPr>
                <w:rFonts w:ascii="宋体" w:hAnsi="宋体" w:cs="宋体" w:eastAsia="宋体" w:hint="default"/>
                <w:spacing w:val="-69"/>
                <w:w w:val="100"/>
                <w:sz w:val="18"/>
                <w:szCs w:val="18"/>
              </w:rPr>
            </w:r>
            <w:r>
              <w:rPr>
                <w:rFonts w:ascii="宋体" w:hAnsi="宋体" w:cs="宋体" w:eastAsia="宋体" w:hint="default"/>
                <w:sz w:val="18"/>
                <w:szCs w:val="18"/>
              </w:rPr>
              <w:t>本人持有的蓝盾股份股票将增加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3,062,360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股（送转后为</w:t>
            </w:r>
          </w:p>
          <w:p>
            <w:pPr>
              <w:pStyle w:val="TableParagraph"/>
              <w:spacing w:line="235" w:lineRule="auto"/>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13,474,384 </w:t>
            </w:r>
            <w:r>
              <w:rPr>
                <w:rFonts w:ascii="宋体" w:hAnsi="宋体" w:cs="宋体" w:eastAsia="宋体" w:hint="default"/>
                <w:spacing w:val="-4"/>
                <w:sz w:val="18"/>
                <w:szCs w:val="18"/>
              </w:rPr>
              <w:t>股）。本人就本次重组中本人所认购的蓝盾股份的股</w:t>
            </w:r>
            <w:r>
              <w:rPr>
                <w:rFonts w:ascii="宋体" w:hAnsi="宋体" w:cs="宋体" w:eastAsia="宋体" w:hint="default"/>
                <w:sz w:val="18"/>
                <w:szCs w:val="18"/>
              </w:rPr>
              <w:t> 票，本人特此承诺如下：本人在本次重组中认购的蓝盾股份股 票自上市之日起三十六个月内不进行转让，之后按《蓝盾信息 安全技术股份有限公司非公开发行股票之股份认购协议》及中 国证券监督管理委员会及深圳证券交易所的有关规定执行。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2" w:lineRule="exact" w:before="1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196" w:hRule="exact"/>
        </w:trPr>
        <w:tc>
          <w:tcPr>
            <w:tcW w:w="2410" w:type="dxa"/>
            <w:vMerge/>
            <w:tcBorders>
              <w:left w:val="single" w:sz="4" w:space="0" w:color="000000"/>
              <w:bottom w:val="nil" w:sz="6" w:space="0" w:color="auto"/>
              <w:right w:val="single" w:sz="4" w:space="0" w:color="000000"/>
            </w:tcBorders>
            <w:shd w:val="clear" w:color="auto" w:fill="D2D2D2"/>
          </w:tcPr>
          <w:p>
            <w:pPr/>
          </w:p>
        </w:tc>
        <w:tc>
          <w:tcPr>
            <w:tcW w:w="255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2" w:lineRule="exact"/>
              <w:ind w:left="17" w:right="176"/>
              <w:jc w:val="left"/>
              <w:rPr>
                <w:rFonts w:ascii="宋体" w:hAnsi="宋体" w:cs="宋体" w:eastAsia="宋体" w:hint="default"/>
                <w:sz w:val="18"/>
                <w:szCs w:val="18"/>
              </w:rPr>
            </w:pPr>
            <w:r>
              <w:rPr>
                <w:rFonts w:ascii="宋体" w:hAnsi="宋体" w:cs="宋体" w:eastAsia="宋体" w:hint="default"/>
                <w:sz w:val="18"/>
                <w:szCs w:val="18"/>
              </w:rPr>
              <w:t>蓝盾信息安全技术股份有限公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961" w:type="dxa"/>
            <w:vMerge w:val="restart"/>
            <w:tcBorders>
              <w:top w:val="single" w:sz="4" w:space="0" w:color="000000"/>
              <w:left w:val="single" w:sz="4" w:space="0" w:color="000000"/>
              <w:right w:val="single" w:sz="4" w:space="0" w:color="000000"/>
            </w:tcBorders>
          </w:tcPr>
          <w:p>
            <w:pPr>
              <w:pStyle w:val="TableParagraph"/>
              <w:spacing w:line="235" w:lineRule="auto" w:before="13"/>
              <w:ind w:left="22" w:right="22"/>
              <w:jc w:val="both"/>
              <w:rPr>
                <w:rFonts w:ascii="宋体" w:hAnsi="宋体" w:cs="宋体" w:eastAsia="宋体" w:hint="default"/>
                <w:sz w:val="18"/>
                <w:szCs w:val="18"/>
              </w:rPr>
            </w:pPr>
            <w:r>
              <w:rPr>
                <w:rFonts w:ascii="宋体" w:hAnsi="宋体" w:cs="宋体" w:eastAsia="宋体" w:hint="default"/>
                <w:sz w:val="18"/>
                <w:szCs w:val="18"/>
              </w:rPr>
              <w:t>本次重组完成后，华炜科技将成为蓝盾股份全资子公司，蓝盾 信息安全技术股份有限公司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第一期员工持股计划（以下称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本 </w:t>
            </w:r>
            <w:r>
              <w:rPr>
                <w:rFonts w:ascii="宋体" w:hAnsi="宋体" w:cs="宋体" w:eastAsia="宋体" w:hint="default"/>
                <w:spacing w:val="-2"/>
                <w:sz w:val="18"/>
                <w:szCs w:val="18"/>
              </w:rPr>
              <w:t>计划</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）将成为蓝盾股份的股东。本计划就本次重组中本计划所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认购的蓝盾股份的股票，本计划特此承诺如下：本计划在本次 重组中认购的蓝盾股份股票自上市之日起三十六个月内不进行 转让，之后按《蓝盾信息安全技术股份有限公司非公开发行股 票之股份认购协议》及中国证券监督管理委员会及深圳证券交 易所的有关规定执行。</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1"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三十六个月</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4" w:hRule="exact"/>
        </w:trPr>
        <w:tc>
          <w:tcPr>
            <w:tcW w:w="24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2552" w:type="dxa"/>
            <w:vMerge/>
            <w:tcBorders>
              <w:left w:val="single" w:sz="9" w:space="0" w:color="D2D2D2"/>
              <w:right w:val="single" w:sz="4" w:space="0" w:color="000000"/>
            </w:tcBorders>
          </w:tcPr>
          <w:p>
            <w:pPr/>
          </w:p>
        </w:tc>
        <w:tc>
          <w:tcPr>
            <w:tcW w:w="1417" w:type="dxa"/>
            <w:vMerge/>
            <w:tcBorders>
              <w:left w:val="single" w:sz="4" w:space="0" w:color="000000"/>
              <w:right w:val="single" w:sz="4" w:space="0" w:color="000000"/>
            </w:tcBorders>
          </w:tcPr>
          <w:p>
            <w:pPr/>
          </w:p>
        </w:tc>
        <w:tc>
          <w:tcPr>
            <w:tcW w:w="4961"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446" w:hRule="exact"/>
        </w:trPr>
        <w:tc>
          <w:tcPr>
            <w:tcW w:w="2410" w:type="dxa"/>
            <w:vMerge w:val="restart"/>
            <w:tcBorders>
              <w:top w:val="nil" w:sz="6" w:space="0" w:color="auto"/>
              <w:left w:val="single" w:sz="4" w:space="0" w:color="000000"/>
              <w:right w:val="single" w:sz="4" w:space="0" w:color="000000"/>
            </w:tcBorders>
            <w:shd w:val="clear" w:color="auto" w:fill="D2D2D2"/>
          </w:tcPr>
          <w:p>
            <w:pPr/>
          </w:p>
        </w:tc>
        <w:tc>
          <w:tcPr>
            <w:tcW w:w="2552" w:type="dxa"/>
            <w:vMerge/>
            <w:tcBorders>
              <w:left w:val="single" w:sz="9" w:space="0" w:color="D2D2D2"/>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496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1958" w:hRule="exact"/>
        </w:trPr>
        <w:tc>
          <w:tcPr>
            <w:tcW w:w="2410" w:type="dxa"/>
            <w:vMerge/>
            <w:tcBorders>
              <w:left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华炜科技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4961" w:type="dxa"/>
            <w:tcBorders>
              <w:top w:val="single" w:sz="4" w:space="0" w:color="000000"/>
              <w:left w:val="single" w:sz="4" w:space="0" w:color="000000"/>
              <w:bottom w:val="single" w:sz="4" w:space="0" w:color="000000"/>
              <w:right w:val="single" w:sz="13" w:space="0" w:color="FFFFFF"/>
            </w:tcBorders>
          </w:tcPr>
          <w:p>
            <w:pPr>
              <w:pStyle w:val="TableParagraph"/>
              <w:spacing w:line="232" w:lineRule="auto" w:before="15"/>
              <w:ind w:left="22" w:right="-44"/>
              <w:jc w:val="left"/>
              <w:rPr>
                <w:rFonts w:ascii="宋体" w:hAnsi="宋体" w:cs="宋体" w:eastAsia="宋体" w:hint="default"/>
                <w:sz w:val="18"/>
                <w:szCs w:val="18"/>
              </w:rPr>
            </w:pPr>
            <w:r>
              <w:rPr>
                <w:rFonts w:ascii="宋体" w:hAnsi="宋体" w:cs="宋体" w:eastAsia="宋体" w:hint="default"/>
                <w:spacing w:val="-5"/>
                <w:sz w:val="18"/>
                <w:szCs w:val="18"/>
              </w:rPr>
              <w:t>根据上市公司与利润补偿方签署的《盈利预测补偿协议》，利润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补偿方对华炜科技在利润补偿期实现的净利润数进行下述承 诺：华炜科技在利润补偿期（</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年）实现的净利润 总额不低于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16,200</w:t>
            </w:r>
            <w:r>
              <w:rPr>
                <w:rFonts w:ascii="Times New Roman" w:hAnsi="Times New Roman" w:cs="Times New Roman" w:eastAsia="Times New Roman" w:hint="default"/>
                <w:spacing w:val="-8"/>
                <w:sz w:val="18"/>
                <w:szCs w:val="18"/>
              </w:rPr>
              <w:t> </w:t>
            </w:r>
            <w:r>
              <w:rPr>
                <w:rFonts w:ascii="宋体" w:hAnsi="宋体" w:cs="宋体" w:eastAsia="宋体" w:hint="default"/>
                <w:spacing w:val="-23"/>
                <w:sz w:val="18"/>
                <w:szCs w:val="18"/>
              </w:rPr>
              <w:t>万元，且</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年度净利润不低于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8"/>
                <w:sz w:val="18"/>
                <w:szCs w:val="18"/>
              </w:rPr>
              <w:t> </w:t>
            </w:r>
            <w:r>
              <w:rPr>
                <w:rFonts w:ascii="宋体" w:hAnsi="宋体" w:cs="宋体" w:eastAsia="宋体" w:hint="default"/>
                <w:spacing w:val="-12"/>
                <w:sz w:val="18"/>
                <w:szCs w:val="18"/>
              </w:rPr>
              <w:t>万元，</w:t>
            </w:r>
            <w:r>
              <w:rPr>
                <w:rFonts w:ascii="宋体" w:hAnsi="宋体" w:cs="宋体" w:eastAsia="宋体" w:hint="default"/>
                <w:sz w:val="18"/>
                <w:szCs w:val="18"/>
              </w:rPr>
            </w:r>
          </w:p>
          <w:p>
            <w:pPr>
              <w:pStyle w:val="TableParagraph"/>
              <w:spacing w:line="22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年度净利润不低于</w:t>
            </w:r>
          </w:p>
          <w:p>
            <w:pPr>
              <w:pStyle w:val="TableParagraph"/>
              <w:spacing w:line="230" w:lineRule="auto"/>
              <w:ind w:left="22"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万元。上述净利润是</w:t>
            </w:r>
            <w:r>
              <w:rPr>
                <w:rFonts w:ascii="宋体" w:hAnsi="宋体" w:cs="宋体" w:eastAsia="宋体" w:hint="default"/>
                <w:sz w:val="18"/>
                <w:szCs w:val="18"/>
              </w:rPr>
              <w:t> 指华炜科技合并报表中扣除非经常性损益前后归属于母公司股 东净利润的孰低值。</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2"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2"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73" w:lineRule="exact"/>
              <w:ind w:left="11" w:right="-27"/>
              <w:jc w:val="left"/>
              <w:rPr>
                <w:rFonts w:ascii="宋体" w:hAnsi="宋体" w:cs="宋体" w:eastAsia="宋体" w:hint="default"/>
                <w:sz w:val="20"/>
                <w:szCs w:val="20"/>
              </w:rPr>
            </w:pPr>
            <w:r>
              <w:rPr>
                <w:rFonts w:ascii="宋体" w:hAnsi="宋体" w:cs="宋体" w:eastAsia="宋体" w:hint="default"/>
                <w:position w:val="-4"/>
                <w:sz w:val="20"/>
                <w:szCs w:val="20"/>
              </w:rPr>
              <w:pict>
                <v:group style="width:46.9pt;height:13.7pt;mso-position-horizontal-relative:char;mso-position-vertical-relative:line" coordorigin="0,0" coordsize="938,274">
                  <v:group style="position:absolute;left:0;top:0;width:938;height:274" coordorigin="0,0" coordsize="938,274">
                    <v:shape style="position:absolute;left:0;top:0;width:938;height:274" coordorigin="0,0" coordsize="938,274" path="m0,274l937,274,937,0,0,0,0,274xe" filled="true" fillcolor="#ffffff" stroked="false">
                      <v:path arrowok="t"/>
                      <v:fill type="solid"/>
                    </v:shape>
                  </v:group>
                </v:group>
              </w:pict>
            </w:r>
            <w:r>
              <w:rPr>
                <w:rFonts w:ascii="宋体" w:hAnsi="宋体" w:cs="宋体" w:eastAsia="宋体" w:hint="default"/>
                <w:position w:val="-4"/>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1" w:lineRule="exact" w:before="12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持续至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p>
          <w:p>
            <w:pPr>
              <w:pStyle w:val="TableParagraph"/>
              <w:spacing w:line="233"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4"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19"/>
              <w:ind w:left="23" w:right="107"/>
              <w:jc w:val="both"/>
              <w:rPr>
                <w:rFonts w:ascii="宋体" w:hAnsi="宋体" w:cs="宋体" w:eastAsia="宋体" w:hint="default"/>
                <w:sz w:val="18"/>
                <w:szCs w:val="18"/>
              </w:rPr>
            </w:pPr>
            <w:r>
              <w:rPr>
                <w:rFonts w:ascii="宋体" w:hAnsi="宋体" w:cs="宋体" w:eastAsia="宋体" w:hint="default"/>
                <w:sz w:val="18"/>
                <w:szCs w:val="18"/>
              </w:rPr>
              <w:t>张远鹏</w:t>
            </w:r>
            <w:r>
              <w:rPr>
                <w:rFonts w:ascii="Times New Roman" w:hAnsi="Times New Roman" w:cs="Times New Roman" w:eastAsia="Times New Roman" w:hint="default"/>
                <w:sz w:val="18"/>
                <w:szCs w:val="18"/>
              </w:rPr>
              <w:t>;</w:t>
            </w:r>
            <w:r>
              <w:rPr>
                <w:rFonts w:ascii="宋体" w:hAnsi="宋体" w:cs="宋体" w:eastAsia="宋体" w:hint="default"/>
                <w:sz w:val="18"/>
                <w:szCs w:val="18"/>
              </w:rPr>
              <w:t>史利民</w:t>
            </w:r>
            <w:r>
              <w:rPr>
                <w:rFonts w:ascii="Times New Roman" w:hAnsi="Times New Roman" w:cs="Times New Roman" w:eastAsia="Times New Roman" w:hint="default"/>
                <w:sz w:val="18"/>
                <w:szCs w:val="18"/>
              </w:rPr>
              <w:t>;</w:t>
            </w:r>
            <w:r>
              <w:rPr>
                <w:rFonts w:ascii="宋体" w:hAnsi="宋体" w:cs="宋体" w:eastAsia="宋体" w:hint="default"/>
                <w:sz w:val="18"/>
                <w:szCs w:val="18"/>
              </w:rPr>
              <w:t>梁发柱</w:t>
            </w:r>
            <w:r>
              <w:rPr>
                <w:rFonts w:ascii="Times New Roman" w:hAnsi="Times New Roman" w:cs="Times New Roman" w:eastAsia="Times New Roman" w:hint="default"/>
                <w:sz w:val="18"/>
                <w:szCs w:val="18"/>
              </w:rPr>
              <w:t>;</w:t>
            </w:r>
            <w:r>
              <w:rPr>
                <w:rFonts w:ascii="宋体" w:hAnsi="宋体" w:cs="宋体" w:eastAsia="宋体" w:hint="default"/>
                <w:sz w:val="18"/>
                <w:szCs w:val="18"/>
              </w:rPr>
              <w:t>张宇弋</w:t>
            </w:r>
            <w:r>
              <w:rPr>
                <w:rFonts w:ascii="Times New Roman" w:hAnsi="Times New Roman" w:cs="Times New Roman" w:eastAsia="Times New Roman" w:hint="default"/>
                <w:sz w:val="18"/>
                <w:szCs w:val="18"/>
              </w:rPr>
              <w:t>; </w:t>
            </w:r>
            <w:r>
              <w:rPr>
                <w:rFonts w:ascii="宋体" w:hAnsi="宋体" w:cs="宋体" w:eastAsia="宋体" w:hint="default"/>
                <w:sz w:val="18"/>
                <w:szCs w:val="18"/>
              </w:rPr>
              <w:t>程庆国</w:t>
            </w:r>
            <w:r>
              <w:rPr>
                <w:rFonts w:ascii="Times New Roman" w:hAnsi="Times New Roman" w:cs="Times New Roman" w:eastAsia="Times New Roman" w:hint="default"/>
                <w:sz w:val="18"/>
                <w:szCs w:val="18"/>
              </w:rPr>
              <w:t>;</w:t>
            </w:r>
            <w:r>
              <w:rPr>
                <w:rFonts w:ascii="宋体" w:hAnsi="宋体" w:cs="宋体" w:eastAsia="宋体" w:hint="default"/>
                <w:sz w:val="18"/>
                <w:szCs w:val="18"/>
              </w:rPr>
              <w:t>王兵</w:t>
            </w:r>
            <w:r>
              <w:rPr>
                <w:rFonts w:ascii="Times New Roman" w:hAnsi="Times New Roman" w:cs="Times New Roman" w:eastAsia="Times New Roman" w:hint="default"/>
                <w:sz w:val="18"/>
                <w:szCs w:val="18"/>
              </w:rPr>
              <w:t>;</w:t>
            </w:r>
            <w:r>
              <w:rPr>
                <w:rFonts w:ascii="宋体" w:hAnsi="宋体" w:cs="宋体" w:eastAsia="宋体" w:hint="default"/>
                <w:sz w:val="18"/>
                <w:szCs w:val="18"/>
              </w:rPr>
              <w:t>黎讴</w:t>
            </w:r>
            <w:r>
              <w:rPr>
                <w:rFonts w:ascii="Times New Roman" w:hAnsi="Times New Roman" w:cs="Times New Roman" w:eastAsia="Times New Roman" w:hint="default"/>
                <w:sz w:val="18"/>
                <w:szCs w:val="18"/>
              </w:rPr>
              <w:t>;</w:t>
            </w:r>
            <w:r>
              <w:rPr>
                <w:rFonts w:ascii="宋体" w:hAnsi="宋体" w:cs="宋体" w:eastAsia="宋体" w:hint="default"/>
                <w:sz w:val="18"/>
                <w:szCs w:val="18"/>
              </w:rPr>
              <w:t>曹冬平</w:t>
            </w:r>
            <w:r>
              <w:rPr>
                <w:rFonts w:ascii="Times New Roman" w:hAnsi="Times New Roman" w:cs="Times New Roman" w:eastAsia="Times New Roman" w:hint="default"/>
                <w:sz w:val="18"/>
                <w:szCs w:val="18"/>
              </w:rPr>
              <w:t>;</w:t>
            </w:r>
            <w:r>
              <w:rPr>
                <w:rFonts w:ascii="宋体" w:hAnsi="宋体" w:cs="宋体" w:eastAsia="宋体" w:hint="default"/>
                <w:sz w:val="18"/>
                <w:szCs w:val="18"/>
              </w:rPr>
              <w:t>张萍</w:t>
            </w:r>
            <w:r>
              <w:rPr>
                <w:rFonts w:ascii="Times New Roman" w:hAnsi="Times New Roman" w:cs="Times New Roman" w:eastAsia="Times New Roman" w:hint="default"/>
                <w:sz w:val="18"/>
                <w:szCs w:val="18"/>
              </w:rPr>
              <w:t>; </w:t>
            </w:r>
            <w:r>
              <w:rPr>
                <w:rFonts w:ascii="宋体" w:hAnsi="宋体" w:cs="宋体" w:eastAsia="宋体" w:hint="default"/>
                <w:sz w:val="18"/>
                <w:szCs w:val="18"/>
              </w:rPr>
              <w:t>赵隽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66"/>
              <w:jc w:val="both"/>
              <w:rPr>
                <w:rFonts w:ascii="宋体" w:hAnsi="宋体" w:cs="宋体" w:eastAsia="宋体" w:hint="default"/>
                <w:sz w:val="18"/>
                <w:szCs w:val="18"/>
              </w:rPr>
            </w:pPr>
            <w:r>
              <w:rPr>
                <w:rFonts w:ascii="宋体" w:hAnsi="宋体" w:cs="宋体" w:eastAsia="宋体" w:hint="default"/>
                <w:sz w:val="18"/>
                <w:szCs w:val="18"/>
              </w:rPr>
              <w:t>华炜科技原自然人股东承诺如下：除非本人不再持有蓝盾股份 的股份，否则本人及本人的全部关联方不得以任何形式从事、 参与或协助他人从事任何与蓝盾股份及其子公司（包括华炜科 技）届时正在从事的业务有直接或间接竞争关系的经营活动，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headerReference w:type="default" r:id="rId20"/>
          <w:footerReference w:type="default" r:id="rId21"/>
          <w:pgSz w:w="16840" w:h="11910" w:orient="landscape"/>
          <w:pgMar w:header="867" w:footer="979" w:top="1060" w:bottom="1160" w:left="1300" w:right="0"/>
          <w:pgNumType w:start="36"/>
        </w:sectPr>
      </w:pPr>
    </w:p>
    <w:p>
      <w:pPr>
        <w:spacing w:line="240" w:lineRule="auto" w:before="4"/>
        <w:rPr>
          <w:rFonts w:ascii="Times New Roman" w:hAnsi="Times New Roman" w:cs="Times New Roman" w:eastAsia="Times New Roman" w:hint="default"/>
          <w:sz w:val="3"/>
          <w:szCs w:val="3"/>
        </w:rPr>
      </w:pPr>
      <w:r>
        <w:rPr/>
        <w:pict>
          <v:shape style="position:absolute;margin-left:633.099976pt;margin-top:414.420013pt;width:55.35pt;height:45.7pt;mso-position-horizontal-relative:page;mso-position-vertical-relative:page;z-index:-859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410"/>
        <w:gridCol w:w="2552"/>
        <w:gridCol w:w="1417"/>
        <w:gridCol w:w="4961"/>
        <w:gridCol w:w="994"/>
        <w:gridCol w:w="992"/>
        <w:gridCol w:w="1134"/>
      </w:tblGrid>
      <w:tr>
        <w:trPr>
          <w:trHeight w:val="4501" w:hRule="exact"/>
        </w:trPr>
        <w:tc>
          <w:tcPr>
            <w:tcW w:w="2410" w:type="dxa"/>
            <w:vMerge w:val="restart"/>
            <w:tcBorders>
              <w:top w:val="single" w:sz="15" w:space="0" w:color="000000"/>
              <w:left w:val="single" w:sz="4" w:space="0" w:color="000000"/>
              <w:right w:val="single" w:sz="4" w:space="0" w:color="000000"/>
            </w:tcBorders>
            <w:shd w:val="clear" w:color="auto" w:fill="D2D2D2"/>
          </w:tcPr>
          <w:p>
            <w:pPr/>
          </w:p>
        </w:tc>
        <w:tc>
          <w:tcPr>
            <w:tcW w:w="2552"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4961"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也不直接或间接投资任何与蓝盾股份及其子公司（包括华炜科</w:t>
            </w:r>
          </w:p>
          <w:p>
            <w:pPr>
              <w:pStyle w:val="TableParagraph"/>
              <w:spacing w:line="237" w:lineRule="auto" w:before="1"/>
              <w:ind w:left="22" w:right="66"/>
              <w:jc w:val="left"/>
              <w:rPr>
                <w:rFonts w:ascii="宋体" w:hAnsi="宋体" w:cs="宋体" w:eastAsia="宋体" w:hint="default"/>
                <w:sz w:val="18"/>
                <w:szCs w:val="18"/>
              </w:rPr>
            </w:pPr>
            <w:r>
              <w:rPr>
                <w:rFonts w:ascii="宋体" w:hAnsi="宋体" w:cs="宋体" w:eastAsia="宋体" w:hint="default"/>
                <w:sz w:val="18"/>
                <w:szCs w:val="18"/>
              </w:rPr>
              <w:t>技）届时正在从事的业务有直接或间接竞争关系的经济实体。 若本人违反上述约定的，则本人应将通过本次交易取得之上市 公司股份无偿返还予蓝盾股份，蓝盾股份将依据内部决策程序 注销本人返还之股份（有关股份已转让的，应将转让所得价款 </w:t>
            </w:r>
            <w:r>
              <w:rPr>
                <w:rFonts w:ascii="宋体" w:hAnsi="宋体" w:cs="宋体" w:eastAsia="宋体" w:hint="default"/>
                <w:spacing w:val="-4"/>
                <w:sz w:val="18"/>
                <w:szCs w:val="18"/>
              </w:rPr>
              <w:t>返还）；若本人因违反上述约定给蓝盾股份或华炜科技造成损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失，则除上述股份返还义务外，本人还将根据蓝盾股份或华炜 科技届时实际遭受的损失承担赔偿责任。在本次重组完成后， 本人及本人拥有实际控制权或重大影响的企业及其他关联方将 尽量避免与蓝盾股份及其控股子公司之间发生关联交易；对于 确有必要且无法回避的关联交易，均按照公平、公允和等价有 偿的原则进行，交易价格按市场公认的合理价格确定，并按相 关法律、法规以及规范性文件的规定履行交易审批程序及信息 披露义务，切实保护蓝盾股份及其中小股东利益。本人保证严 格按照有关法律法规、中国证券监督管理委员会颁布的规章和 规范性文件、深交所颁布的业务规则及蓝盾股份《公司章程》 等制度的规定，依法行使股东权利、履行股东义务，不利用股 东的地位谋取不当的利益，不损害蓝盾股份及其中小股东的合 法权益。</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r>
      <w:tr>
        <w:trPr>
          <w:trHeight w:val="2658"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新疆阳信盈昇股权投资合伙企 </w:t>
            </w:r>
            <w:r>
              <w:rPr>
                <w:rFonts w:ascii="宋体" w:hAnsi="宋体" w:cs="宋体" w:eastAsia="宋体" w:hint="default"/>
                <w:spacing w:val="-6"/>
                <w:sz w:val="18"/>
                <w:szCs w:val="18"/>
              </w:rPr>
              <w:t>业（有限合伙）</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中山中科创业投</w:t>
            </w:r>
            <w:r>
              <w:rPr>
                <w:rFonts w:ascii="宋体" w:hAnsi="宋体" w:cs="宋体" w:eastAsia="宋体" w:hint="default"/>
                <w:spacing w:val="-76"/>
                <w:sz w:val="18"/>
                <w:szCs w:val="18"/>
              </w:rPr>
              <w:t> </w:t>
            </w:r>
            <w:r>
              <w:rPr>
                <w:rFonts w:ascii="宋体" w:hAnsi="宋体" w:cs="宋体" w:eastAsia="宋体" w:hint="default"/>
                <w:sz w:val="18"/>
                <w:szCs w:val="18"/>
              </w:rPr>
              <w:t>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中山中科阜鑫投资 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中山中科恒业投 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梅州中科客家 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上海祥禾泓 安股权投资合伙企业（有限合 </w:t>
            </w:r>
            <w:r>
              <w:rPr>
                <w:rFonts w:ascii="宋体" w:hAnsi="宋体" w:cs="宋体" w:eastAsia="宋体" w:hint="default"/>
                <w:spacing w:val="-5"/>
                <w:sz w:val="18"/>
                <w:szCs w:val="18"/>
              </w:rPr>
              <w:t>伙）</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广州至善创业投资合伙企业</w:t>
            </w:r>
          </w:p>
          <w:p>
            <w:pPr>
              <w:pStyle w:val="TableParagraph"/>
              <w:spacing w:line="225" w:lineRule="auto"/>
              <w:ind w:left="23" w:right="26"/>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张远鹏</w:t>
            </w:r>
            <w:r>
              <w:rPr>
                <w:rFonts w:ascii="Times New Roman" w:hAnsi="Times New Roman" w:cs="Times New Roman" w:eastAsia="Times New Roman" w:hint="default"/>
                <w:sz w:val="18"/>
                <w:szCs w:val="18"/>
              </w:rPr>
              <w:t>;</w:t>
            </w:r>
            <w:r>
              <w:rPr>
                <w:rFonts w:ascii="宋体" w:hAnsi="宋体" w:cs="宋体" w:eastAsia="宋体" w:hint="default"/>
                <w:sz w:val="18"/>
                <w:szCs w:val="18"/>
              </w:rPr>
              <w:t>史利民</w:t>
            </w:r>
            <w:r>
              <w:rPr>
                <w:rFonts w:ascii="Times New Roman" w:hAnsi="Times New Roman" w:cs="Times New Roman" w:eastAsia="Times New Roman" w:hint="default"/>
                <w:sz w:val="18"/>
                <w:szCs w:val="18"/>
              </w:rPr>
              <w:t>;</w:t>
            </w:r>
            <w:r>
              <w:rPr>
                <w:rFonts w:ascii="宋体" w:hAnsi="宋体" w:cs="宋体" w:eastAsia="宋体" w:hint="default"/>
                <w:sz w:val="18"/>
                <w:szCs w:val="18"/>
              </w:rPr>
              <w:t>梁 发柱</w:t>
            </w:r>
            <w:r>
              <w:rPr>
                <w:rFonts w:ascii="Times New Roman" w:hAnsi="Times New Roman" w:cs="Times New Roman" w:eastAsia="Times New Roman" w:hint="default"/>
                <w:sz w:val="18"/>
                <w:szCs w:val="18"/>
              </w:rPr>
              <w:t>;</w:t>
            </w:r>
            <w:r>
              <w:rPr>
                <w:rFonts w:ascii="宋体" w:hAnsi="宋体" w:cs="宋体" w:eastAsia="宋体" w:hint="default"/>
                <w:sz w:val="18"/>
                <w:szCs w:val="18"/>
              </w:rPr>
              <w:t>张宇弋</w:t>
            </w:r>
            <w:r>
              <w:rPr>
                <w:rFonts w:ascii="Times New Roman" w:hAnsi="Times New Roman" w:cs="Times New Roman" w:eastAsia="Times New Roman" w:hint="default"/>
                <w:sz w:val="18"/>
                <w:szCs w:val="18"/>
              </w:rPr>
              <w:t>;</w:t>
            </w:r>
            <w:r>
              <w:rPr>
                <w:rFonts w:ascii="宋体" w:hAnsi="宋体" w:cs="宋体" w:eastAsia="宋体" w:hint="default"/>
                <w:sz w:val="18"/>
                <w:szCs w:val="18"/>
              </w:rPr>
              <w:t>程庆国</w:t>
            </w:r>
            <w:r>
              <w:rPr>
                <w:rFonts w:ascii="Times New Roman" w:hAnsi="Times New Roman" w:cs="Times New Roman" w:eastAsia="Times New Roman" w:hint="default"/>
                <w:sz w:val="18"/>
                <w:szCs w:val="18"/>
              </w:rPr>
              <w:t>;</w:t>
            </w:r>
            <w:r>
              <w:rPr>
                <w:rFonts w:ascii="宋体" w:hAnsi="宋体" w:cs="宋体" w:eastAsia="宋体" w:hint="default"/>
                <w:sz w:val="18"/>
                <w:szCs w:val="18"/>
              </w:rPr>
              <w:t>王兵</w:t>
            </w:r>
            <w:r>
              <w:rPr>
                <w:rFonts w:ascii="Times New Roman" w:hAnsi="Times New Roman" w:cs="Times New Roman" w:eastAsia="Times New Roman" w:hint="default"/>
                <w:sz w:val="18"/>
                <w:szCs w:val="18"/>
              </w:rPr>
              <w:t>;</w:t>
            </w:r>
            <w:r>
              <w:rPr>
                <w:rFonts w:ascii="宋体" w:hAnsi="宋体" w:cs="宋体" w:eastAsia="宋体" w:hint="default"/>
                <w:sz w:val="18"/>
                <w:szCs w:val="18"/>
              </w:rPr>
              <w:t>黎讴</w:t>
            </w:r>
            <w:r>
              <w:rPr>
                <w:rFonts w:ascii="Times New Roman" w:hAnsi="Times New Roman" w:cs="Times New Roman" w:eastAsia="Times New Roman" w:hint="default"/>
                <w:sz w:val="18"/>
                <w:szCs w:val="18"/>
              </w:rPr>
              <w:t>; </w:t>
            </w:r>
            <w:r>
              <w:rPr>
                <w:rFonts w:ascii="宋体" w:hAnsi="宋体" w:cs="宋体" w:eastAsia="宋体" w:hint="default"/>
                <w:sz w:val="18"/>
                <w:szCs w:val="18"/>
              </w:rPr>
              <w:t>曹冬平</w:t>
            </w:r>
            <w:r>
              <w:rPr>
                <w:rFonts w:ascii="Times New Roman" w:hAnsi="Times New Roman" w:cs="Times New Roman" w:eastAsia="Times New Roman" w:hint="default"/>
                <w:sz w:val="18"/>
                <w:szCs w:val="18"/>
              </w:rPr>
              <w:t>;</w:t>
            </w:r>
            <w:r>
              <w:rPr>
                <w:rFonts w:ascii="宋体" w:hAnsi="宋体" w:cs="宋体" w:eastAsia="宋体" w:hint="default"/>
                <w:sz w:val="18"/>
                <w:szCs w:val="18"/>
              </w:rPr>
              <w:t>张萍</w:t>
            </w:r>
            <w:r>
              <w:rPr>
                <w:rFonts w:ascii="Times New Roman" w:hAnsi="Times New Roman" w:cs="Times New Roman" w:eastAsia="Times New Roman" w:hint="default"/>
                <w:sz w:val="18"/>
                <w:szCs w:val="18"/>
              </w:rPr>
              <w:t>;</w:t>
            </w:r>
            <w:r>
              <w:rPr>
                <w:rFonts w:ascii="宋体" w:hAnsi="宋体" w:cs="宋体" w:eastAsia="宋体" w:hint="default"/>
                <w:sz w:val="18"/>
                <w:szCs w:val="18"/>
              </w:rPr>
              <w:t>赵隽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37" w:lineRule="auto"/>
              <w:ind w:left="22" w:right="66"/>
              <w:jc w:val="both"/>
              <w:rPr>
                <w:rFonts w:ascii="宋体" w:hAnsi="宋体" w:cs="宋体" w:eastAsia="宋体" w:hint="default"/>
                <w:sz w:val="18"/>
                <w:szCs w:val="18"/>
              </w:rPr>
            </w:pPr>
            <w:r>
              <w:rPr>
                <w:rFonts w:ascii="宋体" w:hAnsi="宋体" w:cs="宋体" w:eastAsia="宋体" w:hint="default"/>
                <w:sz w:val="18"/>
                <w:szCs w:val="18"/>
              </w:rPr>
              <w:t>承诺主体就本次重组中所认购的蓝盾股份的股票，特此承诺如 下：承诺主体在本次重组中认购的蓝盾股份股票自上市之日起 十二个月内不进行转让，之后按《蓝盾信息安全技术股份股份 有限公司与认购方之发行股份及支付现金购买资产协议》及中 国证券监督管理委员会及深圳证券交易所的有关规定执行。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38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35"/>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柯宗庆；柯宗贵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37" w:lineRule="auto"/>
              <w:ind w:left="22" w:right="23"/>
              <w:jc w:val="left"/>
              <w:rPr>
                <w:rFonts w:ascii="宋体" w:hAnsi="宋体" w:cs="宋体" w:eastAsia="宋体" w:hint="default"/>
                <w:sz w:val="18"/>
                <w:szCs w:val="18"/>
              </w:rPr>
            </w:pPr>
            <w:r>
              <w:rPr>
                <w:rFonts w:ascii="宋体" w:hAnsi="宋体" w:cs="宋体" w:eastAsia="宋体" w:hint="default"/>
                <w:spacing w:val="-10"/>
                <w:sz w:val="18"/>
                <w:szCs w:val="18"/>
              </w:rPr>
              <w:t>分红承诺；关于同</w:t>
            </w:r>
            <w:r>
              <w:rPr>
                <w:rFonts w:ascii="宋体" w:hAnsi="宋体" w:cs="宋体" w:eastAsia="宋体" w:hint="default"/>
                <w:sz w:val="18"/>
                <w:szCs w:val="18"/>
              </w:rPr>
              <w:t> 业竞争、关联交 </w:t>
            </w:r>
            <w:r>
              <w:rPr>
                <w:rFonts w:ascii="宋体" w:hAnsi="宋体" w:cs="宋体" w:eastAsia="宋体" w:hint="default"/>
                <w:spacing w:val="-10"/>
                <w:sz w:val="18"/>
                <w:szCs w:val="18"/>
              </w:rPr>
              <w:t>易、资金占用方面</w:t>
            </w:r>
            <w:r>
              <w:rPr>
                <w:rFonts w:ascii="宋体" w:hAnsi="宋体" w:cs="宋体" w:eastAsia="宋体" w:hint="default"/>
                <w:sz w:val="18"/>
                <w:szCs w:val="18"/>
              </w:rPr>
              <w:t> </w:t>
            </w:r>
            <w:r>
              <w:rPr>
                <w:rFonts w:ascii="宋体" w:hAnsi="宋体" w:cs="宋体" w:eastAsia="宋体" w:hint="default"/>
                <w:spacing w:val="-10"/>
                <w:sz w:val="18"/>
                <w:szCs w:val="18"/>
              </w:rPr>
              <w:t>的承诺；其他承诺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、分红承诺：公司股东大会根据章程的规定通过利润分配具体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方案或修改《公司章程》中相关利润分配条款时，公司控股股 </w:t>
            </w:r>
            <w:r>
              <w:rPr>
                <w:rFonts w:ascii="宋体" w:hAnsi="宋体" w:cs="宋体" w:eastAsia="宋体" w:hint="default"/>
                <w:spacing w:val="-5"/>
                <w:sz w:val="18"/>
                <w:szCs w:val="18"/>
              </w:rPr>
              <w:t>东、实际控制人柯宗庆、柯宗贵承诺将表示同意并投赞成票。</w:t>
            </w:r>
            <w:r>
              <w:rPr>
                <w:rFonts w:ascii="Times New Roman" w:hAnsi="Times New Roman" w:cs="Times New Roman" w:eastAsia="Times New Roman" w:hint="default"/>
                <w:spacing w:val="-5"/>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关于同业竞争、关联交易、资金占用方面的承诺：为避免未来 可能发生的同业竞争，更好地维护中小股东的利益，公司控股 股东、实际控制人柯宗庆、柯宗贵二人出具了《避免同业竞争 </w:t>
            </w:r>
            <w:r>
              <w:rPr>
                <w:rFonts w:ascii="宋体" w:hAnsi="宋体" w:cs="宋体" w:eastAsia="宋体" w:hint="default"/>
                <w:spacing w:val="-5"/>
                <w:sz w:val="18"/>
                <w:szCs w:val="18"/>
              </w:rPr>
              <w:t>承诺函》。为减少和规范关联交易，公司控股股东、实际控制人</w:t>
            </w:r>
            <w:r>
              <w:rPr>
                <w:rFonts w:ascii="宋体" w:hAnsi="宋体" w:cs="宋体" w:eastAsia="宋体" w:hint="default"/>
                <w:sz w:val="18"/>
                <w:szCs w:val="18"/>
              </w:rPr>
              <w:t> </w:t>
            </w:r>
            <w:r>
              <w:rPr>
                <w:rFonts w:ascii="宋体" w:hAnsi="宋体" w:cs="宋体" w:eastAsia="宋体" w:hint="default"/>
                <w:spacing w:val="-4"/>
                <w:sz w:val="18"/>
                <w:szCs w:val="18"/>
              </w:rPr>
              <w:t>柯宗庆、柯宗贵出具了《减少和规范关联交易的承诺函》。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其他承诺：若应广州市有权部门要求或决定，公司需为员工补 缴社会保险和住房公积金，或公司因未为员工缴纳社会保险和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91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group style="width:49.15pt;height:45.7pt;mso-position-horizontal-relative:char;mso-position-vertical-relative:line" coordorigin="0,0" coordsize="983,914">
                  <v:group style="position:absolute;left:0;top:0;width:983;height:914" coordorigin="0,0" coordsize="983,914">
                    <v:shape style="position:absolute;left:0;top:0;width:983;height:914" coordorigin="0,0" coordsize="983,914" path="m0,913l983,913,983,0,0,0,0,913xe" filled="true" fillcolor="#ffffff" stroked="false">
                      <v:path arrowok="t"/>
                      <v:fill type="solid"/>
                    </v:shape>
                  </v:group>
                </v:group>
              </w:pict>
            </w:r>
            <w:r>
              <w:rPr>
                <w:rFonts w:ascii="Times New Roman" w:hAnsi="Times New Roman" w:cs="Times New Roman" w:eastAsia="Times New Roman" w:hint="default"/>
                <w:position w:val="-17"/>
                <w:sz w:val="20"/>
                <w:szCs w:val="20"/>
              </w:rPr>
            </w:r>
          </w:p>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20" w:left="1320" w:right="0"/>
        </w:sectPr>
      </w:pPr>
    </w:p>
    <w:p>
      <w:pPr>
        <w:spacing w:line="240" w:lineRule="auto" w:before="4"/>
        <w:rPr>
          <w:rFonts w:ascii="Times New Roman" w:hAnsi="Times New Roman" w:cs="Times New Roman" w:eastAsia="Times New Roman" w:hint="default"/>
          <w:sz w:val="3"/>
          <w:szCs w:val="3"/>
        </w:rPr>
      </w:pPr>
      <w:r>
        <w:rPr/>
        <w:pict>
          <v:shape style="position:absolute;margin-left:260.179993pt;margin-top:321.040009pt;width:130.6pt;height:29.2pt;mso-position-horizontal-relative:page;mso-position-vertical-relative:page;z-index:-859048" type="#_x0000_t202" filled="false" stroked="false">
            <v:textbox inset="0,0,0,0">
              <w:txbxContent>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位一致行动人；</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2410"/>
        <w:gridCol w:w="2552"/>
        <w:gridCol w:w="1417"/>
        <w:gridCol w:w="4961"/>
        <w:gridCol w:w="994"/>
        <w:gridCol w:w="992"/>
        <w:gridCol w:w="1134"/>
      </w:tblGrid>
      <w:tr>
        <w:trPr>
          <w:trHeight w:val="765" w:hRule="exact"/>
        </w:trPr>
        <w:tc>
          <w:tcPr>
            <w:tcW w:w="2410" w:type="dxa"/>
            <w:vMerge w:val="restart"/>
            <w:tcBorders>
              <w:top w:val="single" w:sz="15" w:space="0" w:color="000000"/>
              <w:left w:val="single" w:sz="4" w:space="0" w:color="000000"/>
              <w:right w:val="single" w:sz="4" w:space="0" w:color="000000"/>
            </w:tcBorders>
            <w:shd w:val="clear" w:color="auto" w:fill="D2D2D2"/>
          </w:tcPr>
          <w:p>
            <w:pPr/>
          </w:p>
        </w:tc>
        <w:tc>
          <w:tcPr>
            <w:tcW w:w="2552"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4961"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住房公积金而承担任何罚款或损失，公司控股股东、实际控制</w:t>
            </w:r>
          </w:p>
          <w:p>
            <w:pPr>
              <w:pStyle w:val="TableParagraph"/>
              <w:spacing w:line="234" w:lineRule="exact" w:before="22"/>
              <w:ind w:left="22" w:right="66"/>
              <w:jc w:val="left"/>
              <w:rPr>
                <w:rFonts w:ascii="宋体" w:hAnsi="宋体" w:cs="宋体" w:eastAsia="宋体" w:hint="default"/>
                <w:sz w:val="18"/>
                <w:szCs w:val="18"/>
              </w:rPr>
            </w:pPr>
            <w:r>
              <w:rPr>
                <w:rFonts w:ascii="宋体" w:hAnsi="宋体" w:cs="宋体" w:eastAsia="宋体" w:hint="default"/>
                <w:sz w:val="18"/>
                <w:szCs w:val="18"/>
              </w:rPr>
              <w:t>人柯宗庆、柯宗贵承诺愿在无需公司支付对价的情况下连带承 担所有经济支出。</w:t>
            </w:r>
          </w:p>
        </w:tc>
        <w:tc>
          <w:tcPr>
            <w:tcW w:w="994"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r>
      <w:tr>
        <w:trPr>
          <w:trHeight w:val="79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柯宗庆；柯宗贵；黄泽华；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53"/>
              <w:jc w:val="both"/>
              <w:rPr>
                <w:rFonts w:ascii="宋体" w:hAnsi="宋体" w:cs="宋体" w:eastAsia="宋体" w:hint="default"/>
                <w:sz w:val="18"/>
                <w:szCs w:val="18"/>
              </w:rPr>
            </w:pPr>
            <w:r>
              <w:rPr>
                <w:rFonts w:ascii="宋体" w:hAnsi="宋体" w:cs="宋体" w:eastAsia="宋体" w:hint="default"/>
                <w:sz w:val="18"/>
                <w:szCs w:val="18"/>
              </w:rPr>
              <w:t>在任职期间内每年转让的公司股份不超过其所直接和间接持有 公司股份总数的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；离职后半年内，不转让其所直接和间接 持有的公司股份。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57"/>
              <w:jc w:val="left"/>
              <w:rPr>
                <w:rFonts w:ascii="宋体" w:hAnsi="宋体" w:cs="宋体" w:eastAsia="宋体" w:hint="default"/>
                <w:sz w:val="18"/>
                <w:szCs w:val="18"/>
              </w:rPr>
            </w:pPr>
            <w:r>
              <w:rPr>
                <w:rFonts w:ascii="宋体" w:hAnsi="宋体" w:cs="宋体" w:eastAsia="宋体" w:hint="default"/>
                <w:sz w:val="18"/>
                <w:szCs w:val="18"/>
              </w:rPr>
              <w:t>任职期间及 离职后半年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492"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176"/>
              <w:jc w:val="left"/>
              <w:rPr>
                <w:rFonts w:ascii="宋体" w:hAnsi="宋体" w:cs="宋体" w:eastAsia="宋体" w:hint="default"/>
                <w:sz w:val="18"/>
                <w:szCs w:val="18"/>
              </w:rPr>
            </w:pPr>
            <w:r>
              <w:rPr>
                <w:rFonts w:ascii="宋体" w:hAnsi="宋体" w:cs="宋体" w:eastAsia="宋体" w:hint="default"/>
                <w:sz w:val="18"/>
                <w:szCs w:val="18"/>
              </w:rPr>
              <w:t>蓝盾信息安全技术股份有限公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4" w:space="0" w:color="000000"/>
              <w:left w:val="single" w:sz="4" w:space="0" w:color="000000"/>
              <w:bottom w:val="single" w:sz="4" w:space="0" w:color="000000"/>
              <w:right w:val="single" w:sz="13" w:space="0" w:color="FFFFFF"/>
            </w:tcBorders>
          </w:tcPr>
          <w:p>
            <w:pPr>
              <w:pStyle w:val="TableParagraph"/>
              <w:spacing w:line="242"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经公司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年第二次临时股东大会审议通过，公司将五个募集</w:t>
            </w:r>
          </w:p>
          <w:p>
            <w:pPr>
              <w:pStyle w:val="TableParagraph"/>
              <w:spacing w:line="230" w:lineRule="auto" w:before="1"/>
              <w:ind w:left="22" w:right="-44"/>
              <w:jc w:val="left"/>
              <w:rPr>
                <w:rFonts w:ascii="宋体" w:hAnsi="宋体" w:cs="宋体" w:eastAsia="宋体" w:hint="default"/>
                <w:sz w:val="18"/>
                <w:szCs w:val="18"/>
              </w:rPr>
            </w:pPr>
            <w:r>
              <w:rPr>
                <w:rFonts w:ascii="宋体" w:hAnsi="宋体" w:cs="宋体" w:eastAsia="宋体" w:hint="default"/>
                <w:sz w:val="18"/>
                <w:szCs w:val="18"/>
              </w:rPr>
              <w:t>资金投资项目的全部节余资金 </w:t>
            </w:r>
            <w:r>
              <w:rPr>
                <w:rFonts w:ascii="Times New Roman" w:hAnsi="Times New Roman" w:cs="Times New Roman" w:eastAsia="Times New Roman" w:hint="default"/>
                <w:sz w:val="18"/>
                <w:szCs w:val="18"/>
              </w:rPr>
              <w:t>8,640.45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万元（含专户利息收 入）永久补充流动资金。公司承诺：在本次使用募集资金投资 项目节余资金永久补充流动资金后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个月内不进行证券投资、</w:t>
            </w:r>
            <w:r>
              <w:rPr>
                <w:rFonts w:ascii="宋体" w:hAnsi="宋体" w:cs="宋体" w:eastAsia="宋体" w:hint="default"/>
                <w:spacing w:val="-34"/>
                <w:sz w:val="18"/>
                <w:szCs w:val="18"/>
              </w:rPr>
              <w:t> </w:t>
            </w:r>
            <w:r>
              <w:rPr>
                <w:rFonts w:ascii="宋体" w:hAnsi="宋体" w:cs="宋体" w:eastAsia="宋体" w:hint="default"/>
                <w:sz w:val="18"/>
                <w:szCs w:val="18"/>
              </w:rPr>
              <w:t>委托理财、衍生品投资、创业投资等高风险投资，也不为他人</w:t>
            </w:r>
            <w:r>
              <w:rPr>
                <w:rFonts w:ascii="宋体" w:hAnsi="宋体" w:cs="宋体" w:eastAsia="宋体" w:hint="default"/>
                <w:sz w:val="18"/>
                <w:szCs w:val="18"/>
              </w:rPr>
              <w:t> 提供财务资助。</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2"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2"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6.9pt;height:13.7pt;mso-position-horizontal-relative:char;mso-position-vertical-relative:line" coordorigin="0,0" coordsize="938,274">
                  <v:group style="position:absolute;left:0;top:0;width:938;height:274" coordorigin="0,0" coordsize="938,274">
                    <v:shape style="position:absolute;left:0;top:0;width:938;height:274" coordorigin="0,0" coordsize="938,274" path="m0,274l937,274,937,0,0,0,0,274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024" w:hRule="exact"/>
        </w:trPr>
        <w:tc>
          <w:tcPr>
            <w:tcW w:w="2410" w:type="dxa"/>
            <w:vMerge/>
            <w:tcBorders>
              <w:left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176"/>
              <w:jc w:val="left"/>
              <w:rPr>
                <w:rFonts w:ascii="宋体" w:hAnsi="宋体" w:cs="宋体" w:eastAsia="宋体" w:hint="default"/>
                <w:sz w:val="18"/>
                <w:szCs w:val="18"/>
              </w:rPr>
            </w:pPr>
            <w:r>
              <w:rPr>
                <w:rFonts w:ascii="宋体" w:hAnsi="宋体" w:cs="宋体" w:eastAsia="宋体" w:hint="default"/>
                <w:sz w:val="18"/>
                <w:szCs w:val="18"/>
              </w:rPr>
              <w:t>蓝盾信息安全技术股份有限公 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66"/>
              <w:jc w:val="both"/>
              <w:rPr>
                <w:rFonts w:ascii="宋体" w:hAnsi="宋体" w:cs="宋体" w:eastAsia="宋体" w:hint="default"/>
                <w:sz w:val="18"/>
                <w:szCs w:val="18"/>
              </w:rPr>
            </w:pPr>
            <w:r>
              <w:rPr>
                <w:rFonts w:ascii="宋体" w:hAnsi="宋体" w:cs="宋体" w:eastAsia="宋体" w:hint="default"/>
                <w:sz w:val="18"/>
                <w:szCs w:val="18"/>
              </w:rPr>
              <w:t>按照中国证券监督管理委员会和深圳证券交易所的有关规定， 公司承诺本次使用剩余超募资金永久补充流动资金后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内不进行证券投资、委托理财、衍生品投资、创业投资等高风 险投资，也不为他人提供财务资助。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490" w:hRule="exact"/>
        </w:trPr>
        <w:tc>
          <w:tcPr>
            <w:tcW w:w="2410" w:type="dxa"/>
            <w:vMerge/>
            <w:tcBorders>
              <w:left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柯宗庆；柯宗贵；深圳市博益投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资发展有限公司；田泽训、林仙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琴、陈娟娟、潘加波、黄秀玉、 </w:t>
            </w:r>
            <w:r>
              <w:rPr>
                <w:rFonts w:ascii="宋体" w:hAnsi="宋体" w:cs="宋体" w:eastAsia="宋体" w:hint="default"/>
                <w:spacing w:val="-2"/>
                <w:sz w:val="18"/>
                <w:szCs w:val="18"/>
              </w:rPr>
              <w:t>黄丽爱、陈海涛、田汉镇、周俊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驹、田少武等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21" w:lineRule="exact"/>
              <w:ind w:left="23" w:right="0"/>
              <w:jc w:val="both"/>
              <w:rPr>
                <w:rFonts w:ascii="宋体" w:hAnsi="宋体" w:cs="宋体" w:eastAsia="宋体" w:hint="default"/>
                <w:sz w:val="18"/>
                <w:szCs w:val="18"/>
              </w:rPr>
            </w:pPr>
            <w:r>
              <w:rPr>
                <w:rFonts w:ascii="宋体" w:hAnsi="宋体" w:cs="宋体" w:eastAsia="宋体" w:hint="default"/>
                <w:sz w:val="18"/>
                <w:szCs w:val="18"/>
              </w:rPr>
              <w:t>黄泽华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不减持承诺</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58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70.4pt;height:29.2pt;mso-position-horizontal-relative:char;mso-position-vertical-relative:line" coordorigin="0,0" coordsize="1408,584">
                  <v:group style="position:absolute;left:0;top:0;width:1408;height:584" coordorigin="0,0" coordsize="1408,584">
                    <v:shape style="position:absolute;left:0;top:0;width:1408;height:584" coordorigin="0,0" coordsize="1408,584" path="m0,583l1408,583,1408,0,0,0,0,583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承诺自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个月内不减持公司股份</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49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25" w:lineRule="auto"/>
              <w:ind w:left="23" w:right="156"/>
              <w:jc w:val="both"/>
              <w:rPr>
                <w:rFonts w:ascii="宋体" w:hAnsi="宋体" w:cs="宋体" w:eastAsia="宋体" w:hint="default"/>
                <w:sz w:val="18"/>
                <w:szCs w:val="18"/>
              </w:rPr>
            </w:pPr>
            <w:r>
              <w:rPr>
                <w:rFonts w:ascii="宋体" w:hAnsi="宋体" w:cs="宋体" w:eastAsia="宋体" w:hint="default"/>
                <w:sz w:val="18"/>
                <w:szCs w:val="18"/>
              </w:rPr>
              <w:t>柯宗庆</w:t>
            </w:r>
            <w:r>
              <w:rPr>
                <w:rFonts w:ascii="Times New Roman" w:hAnsi="Times New Roman" w:cs="Times New Roman" w:eastAsia="Times New Roman" w:hint="default"/>
                <w:sz w:val="18"/>
                <w:szCs w:val="18"/>
              </w:rPr>
              <w:t>;</w:t>
            </w:r>
            <w:r>
              <w:rPr>
                <w:rFonts w:ascii="宋体" w:hAnsi="宋体" w:cs="宋体" w:eastAsia="宋体" w:hint="default"/>
                <w:sz w:val="18"/>
                <w:szCs w:val="18"/>
              </w:rPr>
              <w:t>陈文浩</w:t>
            </w:r>
            <w:r>
              <w:rPr>
                <w:rFonts w:ascii="Times New Roman" w:hAnsi="Times New Roman" w:cs="Times New Roman" w:eastAsia="Times New Roman" w:hint="default"/>
                <w:sz w:val="18"/>
                <w:szCs w:val="18"/>
              </w:rPr>
              <w:t>;</w:t>
            </w:r>
            <w:r>
              <w:rPr>
                <w:rFonts w:ascii="宋体" w:hAnsi="宋体" w:cs="宋体" w:eastAsia="宋体" w:hint="default"/>
                <w:sz w:val="18"/>
                <w:szCs w:val="18"/>
              </w:rPr>
              <w:t>冯明强</w:t>
            </w:r>
            <w:r>
              <w:rPr>
                <w:rFonts w:ascii="Times New Roman" w:hAnsi="Times New Roman" w:cs="Times New Roman" w:eastAsia="Times New Roman" w:hint="default"/>
                <w:sz w:val="18"/>
                <w:szCs w:val="18"/>
              </w:rPr>
              <w:t>;</w:t>
            </w:r>
            <w:r>
              <w:rPr>
                <w:rFonts w:ascii="宋体" w:hAnsi="宋体" w:cs="宋体" w:eastAsia="宋体" w:hint="default"/>
                <w:sz w:val="18"/>
                <w:szCs w:val="18"/>
              </w:rPr>
              <w:t>韩炜</w:t>
            </w:r>
            <w:r>
              <w:rPr>
                <w:rFonts w:ascii="Times New Roman" w:hAnsi="Times New Roman" w:cs="Times New Roman" w:eastAsia="Times New Roman" w:hint="default"/>
                <w:sz w:val="18"/>
                <w:szCs w:val="18"/>
              </w:rPr>
              <w:t>;</w:t>
            </w:r>
            <w:r>
              <w:rPr>
                <w:rFonts w:ascii="宋体" w:hAnsi="宋体" w:cs="宋体" w:eastAsia="宋体" w:hint="default"/>
                <w:sz w:val="18"/>
                <w:szCs w:val="18"/>
              </w:rPr>
              <w:t>黄 泽华</w:t>
            </w:r>
            <w:r>
              <w:rPr>
                <w:rFonts w:ascii="Times New Roman" w:hAnsi="Times New Roman" w:cs="Times New Roman" w:eastAsia="Times New Roman" w:hint="default"/>
                <w:sz w:val="18"/>
                <w:szCs w:val="18"/>
              </w:rPr>
              <w:t>;</w:t>
            </w:r>
            <w:r>
              <w:rPr>
                <w:rFonts w:ascii="宋体" w:hAnsi="宋体" w:cs="宋体" w:eastAsia="宋体" w:hint="default"/>
                <w:sz w:val="18"/>
                <w:szCs w:val="18"/>
              </w:rPr>
              <w:t>李德桂</w:t>
            </w:r>
            <w:r>
              <w:rPr>
                <w:rFonts w:ascii="Times New Roman" w:hAnsi="Times New Roman" w:cs="Times New Roman" w:eastAsia="Times New Roman" w:hint="default"/>
                <w:sz w:val="18"/>
                <w:szCs w:val="18"/>
              </w:rPr>
              <w:t>;</w:t>
            </w:r>
            <w:r>
              <w:rPr>
                <w:rFonts w:ascii="宋体" w:hAnsi="宋体" w:cs="宋体" w:eastAsia="宋体" w:hint="default"/>
                <w:sz w:val="18"/>
                <w:szCs w:val="18"/>
              </w:rPr>
              <w:t>谭晓燕</w:t>
            </w:r>
            <w:r>
              <w:rPr>
                <w:rFonts w:ascii="Times New Roman" w:hAnsi="Times New Roman" w:cs="Times New Roman" w:eastAsia="Times New Roman" w:hint="default"/>
                <w:sz w:val="18"/>
                <w:szCs w:val="18"/>
              </w:rPr>
              <w:t>;</w:t>
            </w:r>
            <w:r>
              <w:rPr>
                <w:rFonts w:ascii="宋体" w:hAnsi="宋体" w:cs="宋体" w:eastAsia="宋体" w:hint="default"/>
                <w:sz w:val="18"/>
                <w:szCs w:val="18"/>
              </w:rPr>
              <w:t>魏树华</w:t>
            </w:r>
            <w:r>
              <w:rPr>
                <w:rFonts w:ascii="Times New Roman" w:hAnsi="Times New Roman" w:cs="Times New Roman" w:eastAsia="Times New Roman" w:hint="default"/>
                <w:sz w:val="18"/>
                <w:szCs w:val="18"/>
              </w:rPr>
              <w:t>;</w:t>
            </w:r>
            <w:r>
              <w:rPr>
                <w:rFonts w:ascii="宋体" w:hAnsi="宋体" w:cs="宋体" w:eastAsia="宋体" w:hint="default"/>
                <w:sz w:val="18"/>
                <w:szCs w:val="18"/>
              </w:rPr>
              <w:t>詹 桂彬</w:t>
            </w:r>
            <w:r>
              <w:rPr>
                <w:rFonts w:ascii="Times New Roman" w:hAnsi="Times New Roman" w:cs="Times New Roman" w:eastAsia="Times New Roman" w:hint="default"/>
                <w:sz w:val="18"/>
                <w:szCs w:val="18"/>
              </w:rPr>
              <w:t>;</w:t>
            </w:r>
            <w:r>
              <w:rPr>
                <w:rFonts w:ascii="宋体" w:hAnsi="宋体" w:cs="宋体" w:eastAsia="宋体" w:hint="default"/>
                <w:sz w:val="18"/>
                <w:szCs w:val="18"/>
              </w:rPr>
              <w:t>柯宗贵</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122"/>
              <w:jc w:val="left"/>
              <w:rPr>
                <w:rFonts w:ascii="宋体" w:hAnsi="宋体" w:cs="宋体" w:eastAsia="宋体" w:hint="default"/>
                <w:sz w:val="18"/>
                <w:szCs w:val="18"/>
              </w:rPr>
            </w:pPr>
            <w:r>
              <w:rPr>
                <w:rFonts w:ascii="宋体" w:hAnsi="宋体" w:cs="宋体" w:eastAsia="宋体" w:hint="default"/>
                <w:sz w:val="18"/>
                <w:szCs w:val="18"/>
              </w:rPr>
              <w:t>股份增持及不减 持承诺</w:t>
            </w:r>
          </w:p>
        </w:tc>
        <w:tc>
          <w:tcPr>
            <w:tcW w:w="4961" w:type="dxa"/>
            <w:tcBorders>
              <w:top w:val="single" w:sz="4" w:space="0" w:color="000000"/>
              <w:left w:val="single" w:sz="4" w:space="0" w:color="000000"/>
              <w:bottom w:val="single" w:sz="4" w:space="0" w:color="000000"/>
              <w:right w:val="single" w:sz="13" w:space="0" w:color="FFFFFF"/>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柯宗贵通过深圳证券交易所交易系统在二级</w:t>
            </w:r>
          </w:p>
          <w:p>
            <w:pPr>
              <w:pStyle w:val="TableParagraph"/>
              <w:spacing w:line="23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市场以竞价交易的方式增持了公司股份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528,180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33" w:lineRule="exact"/>
              <w:ind w:left="22" w:right="-4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日，柯宗庆、黄泽华、谭晓燕、陈文浩、詹桂彬、冯明强、</w:t>
            </w:r>
            <w:r>
              <w:rPr>
                <w:rFonts w:ascii="宋体" w:hAnsi="宋体" w:cs="宋体" w:eastAsia="宋体" w:hint="default"/>
                <w:sz w:val="18"/>
                <w:szCs w:val="18"/>
              </w:rPr>
            </w:r>
          </w:p>
          <w:p>
            <w:pPr>
              <w:pStyle w:val="TableParagraph"/>
              <w:spacing w:line="234"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李德桂、魏树华、韩炜通过</w:t>
            </w:r>
            <w:r>
              <w:rPr>
                <w:rFonts w:ascii="Times New Roman" w:hAnsi="Times New Roman" w:cs="Times New Roman" w:eastAsia="Times New Roman" w:hint="default"/>
                <w:sz w:val="18"/>
                <w:szCs w:val="18"/>
              </w:rPr>
              <w:t>“</w:t>
            </w:r>
            <w:r>
              <w:rPr>
                <w:rFonts w:ascii="宋体" w:hAnsi="宋体" w:cs="宋体" w:eastAsia="宋体" w:hint="default"/>
                <w:sz w:val="18"/>
                <w:szCs w:val="18"/>
              </w:rPr>
              <w:t>南华期货蓝盾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r>
              <w:rPr>
                <w:rFonts w:ascii="Times New Roman" w:hAnsi="Times New Roman" w:cs="Times New Roman" w:eastAsia="Times New Roman" w:hint="default"/>
                <w:sz w:val="18"/>
                <w:szCs w:val="18"/>
              </w:rPr>
              <w:t>”</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增持公司股份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上述人员承诺自本次增持计划全部执</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行完毕之日起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个月内不减持本次增持的公司股份。</w:t>
            </w:r>
          </w:p>
        </w:tc>
        <w:tc>
          <w:tcPr>
            <w:tcW w:w="99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2" w:lineRule="exact"/>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3" w:lineRule="exact"/>
              <w:ind w:left="11"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46.9pt;height:13.7pt;mso-position-horizontal-relative:char;mso-position-vertical-relative:line" coordorigin="0,0" coordsize="938,274">
                  <v:group style="position:absolute;left:0;top:0;width:938;height:274" coordorigin="0,0" coordsize="938,274">
                    <v:shape style="position:absolute;left:0;top:0;width:938;height:274" coordorigin="0,0" coordsize="938,274" path="m0,274l937,274,937,0,0,0,0,274xe" filled="true" fillcolor="#ffffff" stroked="false">
                      <v:path arrowok="t"/>
                      <v:fill type="solid"/>
                    </v:shape>
                  </v:group>
                </v:group>
              </w:pict>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9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35"/>
              <w:jc w:val="both"/>
              <w:rPr>
                <w:rFonts w:ascii="宋体" w:hAnsi="宋体" w:cs="宋体" w:eastAsia="宋体" w:hint="default"/>
                <w:sz w:val="18"/>
                <w:szCs w:val="18"/>
              </w:rPr>
            </w:pPr>
            <w:r>
              <w:rPr>
                <w:rFonts w:ascii="宋体" w:hAnsi="宋体" w:cs="宋体" w:eastAsia="宋体" w:hint="default"/>
                <w:sz w:val="18"/>
                <w:szCs w:val="18"/>
              </w:rPr>
              <w:t>如承诺超期未履行完毕的，应 当详细说明未完成履行的具体 原因及下一步的工作计划</w:t>
            </w:r>
          </w:p>
        </w:tc>
        <w:tc>
          <w:tcPr>
            <w:tcW w:w="12050" w:type="dxa"/>
            <w:gridSpan w:val="6"/>
            <w:tcBorders>
              <w:top w:val="single" w:sz="4" w:space="0" w:color="000000"/>
              <w:left w:val="single" w:sz="4" w:space="0" w:color="000000"/>
              <w:bottom w:val="single" w:sz="4" w:space="0" w:color="000000"/>
              <w:right w:val="single" w:sz="4" w:space="0" w:color="000000"/>
            </w:tcBorders>
          </w:tcPr>
          <w:p>
            <w:pPr/>
          </w:p>
        </w:tc>
      </w:tr>
    </w:tbl>
    <w:p>
      <w:pPr>
        <w:spacing w:before="10"/>
        <w:ind w:left="120"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公司报告期不存在公司、股东、实际控制人、收购人、董事、监事、高级管理人员或其他关联方在报告期内履行完毕及截至报告期末尚未履行完毕的承诺事项。</w:t>
      </w:r>
    </w:p>
    <w:p>
      <w:pPr>
        <w:spacing w:after="0"/>
        <w:jc w:val="left"/>
        <w:rPr>
          <w:rFonts w:ascii="宋体" w:hAnsi="宋体" w:cs="宋体" w:eastAsia="宋体" w:hint="default"/>
          <w:sz w:val="18"/>
          <w:szCs w:val="18"/>
        </w:rPr>
        <w:sectPr>
          <w:pgSz w:w="16840" w:h="11910" w:orient="landscape"/>
          <w:pgMar w:header="867" w:footer="979" w:top="1060" w:bottom="1160" w:left="1320" w:right="0"/>
        </w:sectPr>
      </w:pPr>
    </w:p>
    <w:p>
      <w:pPr>
        <w:spacing w:line="240" w:lineRule="auto" w:before="1"/>
        <w:rPr>
          <w:rFonts w:ascii="宋体" w:hAnsi="宋体" w:cs="宋体" w:eastAsia="宋体" w:hint="default"/>
          <w:sz w:val="19"/>
          <w:szCs w:val="19"/>
        </w:rPr>
      </w:pPr>
    </w:p>
    <w:p>
      <w:pPr>
        <w:pStyle w:val="Heading3"/>
        <w:spacing w:line="274" w:lineRule="exact" w:before="61"/>
        <w:ind w:left="1133"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4"/>
        <w:rPr>
          <w:rFonts w:ascii="宋体" w:hAnsi="宋体" w:cs="宋体" w:eastAsia="宋体" w:hint="default"/>
          <w:b/>
          <w:bCs/>
          <w:sz w:val="21"/>
          <w:szCs w:val="21"/>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55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55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并购华炜科技</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3,600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3,803.57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71"/>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3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40" w:lineRule="auto" w:before="129"/>
        <w:ind w:right="1145" w:firstLine="420"/>
        <w:jc w:val="both"/>
      </w:pPr>
      <w:r>
        <w:rPr>
          <w:spacing w:val="-3"/>
        </w:rPr>
        <w:t>华炜科技承诺：根据上市公司与利润补偿方签署的《盈利预测补偿协议》，利润补偿方对华炜科技在</w:t>
      </w:r>
      <w:r>
        <w:rPr/>
        <w:t> 利润补偿期实现的净利润数进行下述承诺：华炜科技在利润补偿期（</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年）实现的净利润总额 不低于</w:t>
      </w:r>
      <w:r>
        <w:rPr>
          <w:spacing w:val="-53"/>
        </w:rPr>
        <w:t> </w:t>
      </w:r>
      <w:r>
        <w:rPr>
          <w:rFonts w:ascii="Times New Roman" w:hAnsi="Times New Roman" w:cs="Times New Roman" w:eastAsia="Times New Roman" w:hint="default"/>
        </w:rPr>
        <w:t>16,200</w:t>
      </w:r>
      <w:r>
        <w:rPr>
          <w:rFonts w:ascii="Times New Roman" w:hAnsi="Times New Roman" w:cs="Times New Roman" w:eastAsia="Times New Roman" w:hint="default"/>
          <w:spacing w:val="-1"/>
        </w:rPr>
        <w:t> </w:t>
      </w:r>
      <w:r>
        <w:rPr/>
        <w:t>万元，且</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年度净利润不低于</w:t>
      </w:r>
      <w:r>
        <w:rPr>
          <w:spacing w:val="-53"/>
        </w:rPr>
        <w:t> </w:t>
      </w:r>
      <w:r>
        <w:rPr>
          <w:rFonts w:ascii="Times New Roman" w:hAnsi="Times New Roman" w:cs="Times New Roman" w:eastAsia="Times New Roman" w:hint="default"/>
        </w:rPr>
        <w:t>2,800 </w:t>
      </w:r>
      <w:r>
        <w:rPr/>
        <w:t>万元，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年度净利润不低于</w:t>
      </w:r>
      <w:r>
        <w:rPr>
          <w:spacing w:val="-53"/>
        </w:rPr>
        <w:t> </w:t>
      </w:r>
      <w:r>
        <w:rPr>
          <w:rFonts w:ascii="Times New Roman" w:hAnsi="Times New Roman" w:cs="Times New Roman" w:eastAsia="Times New Roman" w:hint="default"/>
        </w:rPr>
        <w:t>3,600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p>
    <w:p>
      <w:pPr>
        <w:pStyle w:val="BodyText"/>
        <w:spacing w:line="331" w:lineRule="auto" w:before="11"/>
        <w:ind w:right="1153"/>
        <w:jc w:val="left"/>
      </w:pPr>
      <w:r>
        <w:rPr/>
        <w:t>度净利润不低于</w:t>
      </w:r>
      <w:r>
        <w:rPr>
          <w:spacing w:val="-54"/>
        </w:rPr>
        <w:t> </w:t>
      </w:r>
      <w:r>
        <w:rPr>
          <w:rFonts w:ascii="Times New Roman" w:hAnsi="Times New Roman" w:cs="Times New Roman" w:eastAsia="Times New Roman" w:hint="default"/>
        </w:rPr>
        <w:t>4,500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年度净利润不低于</w:t>
      </w:r>
      <w:r>
        <w:rPr>
          <w:spacing w:val="-54"/>
        </w:rPr>
        <w:t> </w:t>
      </w:r>
      <w:r>
        <w:rPr>
          <w:rFonts w:ascii="Times New Roman" w:hAnsi="Times New Roman" w:cs="Times New Roman" w:eastAsia="Times New Roman" w:hint="default"/>
        </w:rPr>
        <w:t>5,300</w:t>
      </w:r>
      <w:r>
        <w:rPr>
          <w:rFonts w:ascii="Times New Roman" w:hAnsi="Times New Roman" w:cs="Times New Roman" w:eastAsia="Times New Roman" w:hint="default"/>
          <w:spacing w:val="-2"/>
        </w:rPr>
        <w:t> </w:t>
      </w:r>
      <w:r>
        <w:rPr/>
        <w:t>万元。上述净利润是指华炜科技合并报表中扣 除非经常性损益前后归属于母公司股东净利润的孰低值。</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3"/>
          <w:szCs w:val="23"/>
        </w:rPr>
      </w:pPr>
    </w:p>
    <w:p>
      <w:pPr>
        <w:spacing w:line="264"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29"/>
        <w:ind w:left="698" w:right="3403"/>
        <w:jc w:val="center"/>
      </w:pPr>
      <w:r>
        <w:rPr/>
        <w:t>本期纳入合并财务报表范围的主体较上期相比，增加</w:t>
      </w:r>
      <w:r>
        <w:rPr>
          <w:rFonts w:ascii="Times New Roman" w:hAnsi="Times New Roman" w:cs="Times New Roman" w:eastAsia="Times New Roman" w:hint="default"/>
        </w:rPr>
        <w:t>13</w:t>
      </w:r>
      <w:r>
        <w:rPr/>
        <w:t>户，其中：</w:t>
      </w:r>
    </w:p>
    <w:p>
      <w:pPr>
        <w:pStyle w:val="BodyText"/>
        <w:spacing w:line="240" w:lineRule="auto" w:before="109"/>
        <w:ind w:right="0"/>
        <w:jc w:val="left"/>
      </w:pPr>
      <w:r>
        <w:rPr>
          <w:rFonts w:ascii="Times New Roman" w:hAnsi="Times New Roman" w:cs="Times New Roman" w:eastAsia="Times New Roman" w:hint="default"/>
        </w:rPr>
        <w:t>1.</w:t>
      </w:r>
      <w:r>
        <w:rPr/>
        <w:t>本期新纳入合并范围的子公司、特殊目的主体、通过受托经营或承租等方式形成控制权的经营实体</w:t>
      </w:r>
    </w:p>
    <w:p>
      <w:pPr>
        <w:spacing w:line="240" w:lineRule="auto" w:before="9"/>
        <w:rPr>
          <w:rFonts w:ascii="宋体" w:hAnsi="宋体" w:cs="宋体" w:eastAsia="宋体" w:hint="default"/>
          <w:sz w:val="2"/>
          <w:szCs w:val="2"/>
        </w:rPr>
      </w:pPr>
    </w:p>
    <w:tbl>
      <w:tblPr>
        <w:tblW w:w="0" w:type="auto"/>
        <w:jc w:val="left"/>
        <w:tblInd w:w="1411" w:type="dxa"/>
        <w:tblLayout w:type="fixed"/>
        <w:tblCellMar>
          <w:top w:w="0" w:type="dxa"/>
          <w:left w:w="0" w:type="dxa"/>
          <w:bottom w:w="0" w:type="dxa"/>
          <w:right w:w="0" w:type="dxa"/>
        </w:tblCellMar>
        <w:tblLook w:val="01E0"/>
      </w:tblPr>
      <w:tblGrid>
        <w:gridCol w:w="5386"/>
        <w:gridCol w:w="3544"/>
      </w:tblGrid>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广东省南方信息技术行业研究院</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50"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9"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bl>
    <w:p>
      <w:pPr>
        <w:spacing w:after="0" w:line="240" w:lineRule="auto"/>
        <w:jc w:val="left"/>
        <w:rPr>
          <w:rFonts w:ascii="宋体" w:hAnsi="宋体" w:cs="宋体" w:eastAsia="宋体" w:hint="default"/>
          <w:sz w:val="18"/>
          <w:szCs w:val="18"/>
        </w:rPr>
        <w:sectPr>
          <w:headerReference w:type="default" r:id="rId22"/>
          <w:footerReference w:type="default" r:id="rId23"/>
          <w:pgSz w:w="11910" w:h="16840"/>
          <w:pgMar w:header="877" w:footer="979" w:top="1100" w:bottom="1160" w:left="0" w:right="0"/>
          <w:pgNumType w:start="39"/>
        </w:sectPr>
      </w:pPr>
    </w:p>
    <w:p>
      <w:pPr>
        <w:spacing w:line="240" w:lineRule="auto" w:before="6"/>
        <w:rPr>
          <w:rFonts w:ascii="宋体" w:hAnsi="宋体" w:cs="宋体" w:eastAsia="宋体" w:hint="default"/>
          <w:sz w:val="24"/>
          <w:szCs w:val="24"/>
        </w:rPr>
      </w:pPr>
    </w:p>
    <w:tbl>
      <w:tblPr>
        <w:tblW w:w="0" w:type="auto"/>
        <w:jc w:val="left"/>
        <w:tblInd w:w="1411" w:type="dxa"/>
        <w:tblLayout w:type="fixed"/>
        <w:tblCellMar>
          <w:top w:w="0" w:type="dxa"/>
          <w:left w:w="0" w:type="dxa"/>
          <w:bottom w:w="0" w:type="dxa"/>
          <w:right w:w="0" w:type="dxa"/>
        </w:tblCellMar>
        <w:tblLook w:val="01E0"/>
      </w:tblPr>
      <w:tblGrid>
        <w:gridCol w:w="5386"/>
        <w:gridCol w:w="3544"/>
      </w:tblGrid>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西安市中盾信息安全技术有限公司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9"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新投资设立</w:t>
            </w:r>
          </w:p>
        </w:tc>
      </w:tr>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9"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9"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8" w:hRule="exact"/>
        </w:trPr>
        <w:tc>
          <w:tcPr>
            <w:tcW w:w="5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2"/>
        <w:ind w:left="1134"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32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32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98</w:t>
            </w:r>
          </w:p>
        </w:tc>
      </w:tr>
      <w:tr>
        <w:trPr>
          <w:trHeight w:val="32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4</w:t>
            </w:r>
          </w:p>
        </w:tc>
      </w:tr>
      <w:tr>
        <w:trPr>
          <w:trHeight w:val="32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范荣、吴朝辉</w:t>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240" w:lineRule="auto" w:before="7"/>
        <w:rPr>
          <w:rFonts w:ascii="宋体" w:hAnsi="宋体" w:cs="宋体" w:eastAsia="宋体" w:hint="default"/>
          <w:sz w:val="15"/>
          <w:szCs w:val="15"/>
        </w:rPr>
      </w:pPr>
    </w:p>
    <w:p>
      <w:pPr>
        <w:spacing w:line="422" w:lineRule="auto" w:before="0"/>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68"/>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6"/>
        <w:ind w:left="1553" w:right="0"/>
        <w:jc w:val="left"/>
      </w:pPr>
      <w:r>
        <w:rPr/>
        <w:t>报告期内公司因重大资产重组事项，聘请广发证券股份有限公司为独立财务顾问。</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4"/>
        <w:rPr>
          <w:rFonts w:ascii="宋体" w:hAnsi="宋体" w:cs="宋体" w:eastAsia="宋体" w:hint="default"/>
          <w:b/>
          <w:bCs/>
          <w:sz w:val="29"/>
          <w:szCs w:val="29"/>
        </w:rPr>
      </w:pPr>
    </w:p>
    <w:p>
      <w:pPr>
        <w:spacing w:line="345"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4"/>
        <w:rPr>
          <w:rFonts w:ascii="宋体" w:hAnsi="宋体" w:cs="宋体" w:eastAsia="宋体" w:hint="default"/>
          <w:b/>
          <w:bCs/>
          <w:sz w:val="29"/>
          <w:szCs w:val="29"/>
        </w:rPr>
      </w:pPr>
    </w:p>
    <w:p>
      <w:pPr>
        <w:spacing w:line="345"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5"/>
        <w:rPr>
          <w:rFonts w:ascii="宋体" w:hAnsi="宋体" w:cs="宋体" w:eastAsia="宋体" w:hint="default"/>
          <w:b/>
          <w:bCs/>
          <w:sz w:val="29"/>
          <w:szCs w:val="29"/>
        </w:rPr>
      </w:pPr>
    </w:p>
    <w:p>
      <w:pPr>
        <w:spacing w:line="345"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after="0" w:line="345"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3" w:lineRule="auto" w:before="129"/>
        <w:ind w:right="1129" w:firstLine="482"/>
        <w:jc w:val="both"/>
      </w:pP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日召开第二届董事会第二十二次会议，审议通过了《关于</w:t>
      </w:r>
      <w:r>
        <w:rPr>
          <w:rFonts w:ascii="Times New Roman" w:hAnsi="Times New Roman" w:cs="Times New Roman" w:eastAsia="Times New Roman" w:hint="default"/>
        </w:rPr>
        <w:t>&lt;</w:t>
      </w:r>
      <w:r>
        <w:rPr/>
        <w:t>蓝盾信息安全技术股 份有限公司</w:t>
      </w:r>
      <w:r>
        <w:rPr>
          <w:rFonts w:ascii="Times New Roman" w:hAnsi="Times New Roman" w:cs="Times New Roman" w:eastAsia="Times New Roman" w:hint="default"/>
        </w:rPr>
        <w:t>-</w:t>
      </w:r>
      <w:r>
        <w:rPr/>
        <w:t>第一期员工持股计划（草案）及其摘要（非公开发行方式认购）</w:t>
      </w:r>
      <w:r>
        <w:rPr>
          <w:rFonts w:ascii="Times New Roman" w:hAnsi="Times New Roman" w:cs="Times New Roman" w:eastAsia="Times New Roman" w:hint="default"/>
        </w:rPr>
        <w:t>&gt;</w:t>
      </w:r>
      <w:r>
        <w:rPr/>
        <w:t>的议案》等议案；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 </w:t>
      </w:r>
      <w:r>
        <w:rPr/>
        <w:t>月</w:t>
      </w:r>
      <w:r>
        <w:rPr>
          <w:rFonts w:ascii="Times New Roman" w:hAnsi="Times New Roman" w:cs="Times New Roman" w:eastAsia="Times New Roman" w:hint="default"/>
        </w:rPr>
        <w:t>19</w:t>
      </w:r>
      <w:r>
        <w:rPr/>
        <w:t>日，公司召开</w:t>
      </w:r>
      <w:r>
        <w:rPr>
          <w:rFonts w:ascii="Times New Roman" w:hAnsi="Times New Roman" w:cs="Times New Roman" w:eastAsia="Times New Roman" w:hint="default"/>
        </w:rPr>
        <w:t>2014</w:t>
      </w:r>
      <w:r>
        <w:rPr/>
        <w:t>年第五次临时股东大会，审议通过了《关于</w:t>
      </w:r>
      <w:r>
        <w:rPr>
          <w:rFonts w:ascii="Times New Roman" w:hAnsi="Times New Roman" w:cs="Times New Roman" w:eastAsia="Times New Roman" w:hint="default"/>
        </w:rPr>
        <w:t>&lt;</w:t>
      </w:r>
      <w:r>
        <w:rPr/>
        <w:t>蓝盾信息安全技术股份有限公司</w:t>
      </w:r>
      <w:r>
        <w:rPr>
          <w:rFonts w:ascii="Times New Roman" w:hAnsi="Times New Roman" w:cs="Times New Roman" w:eastAsia="Times New Roman" w:hint="default"/>
        </w:rPr>
        <w:t>-</w:t>
      </w:r>
      <w:r>
        <w:rPr/>
        <w:t>第一 </w:t>
      </w:r>
      <w:r>
        <w:rPr>
          <w:spacing w:val="-1"/>
        </w:rPr>
        <w:t>期员工持股计划（草案）及其摘要（非公开发行方式认购）</w:t>
      </w:r>
      <w:r>
        <w:rPr>
          <w:rFonts w:ascii="Times New Roman" w:hAnsi="Times New Roman" w:cs="Times New Roman" w:eastAsia="Times New Roman" w:hint="default"/>
          <w:spacing w:val="-1"/>
        </w:rPr>
        <w:t>&gt;</w:t>
      </w:r>
      <w:r>
        <w:rPr>
          <w:spacing w:val="-1"/>
        </w:rPr>
        <w:t>的议案》等议案；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12</w:t>
      </w:r>
      <w:r>
        <w:rPr>
          <w:spacing w:val="-1"/>
        </w:rPr>
        <w:t>日，公司召开</w:t>
      </w:r>
      <w:r>
        <w:rPr>
          <w:spacing w:val="-95"/>
        </w:rPr>
        <w:t> </w:t>
      </w:r>
      <w:r>
        <w:rPr>
          <w:spacing w:val="-95"/>
        </w:rPr>
      </w:r>
      <w:r>
        <w:rPr/>
        <w:t>第二届董事会第二十四次（临时）会议，审议通过了《关于</w:t>
      </w:r>
      <w:r>
        <w:rPr>
          <w:rFonts w:ascii="Times New Roman" w:hAnsi="Times New Roman" w:cs="Times New Roman" w:eastAsia="Times New Roman" w:hint="default"/>
        </w:rPr>
        <w:t>&lt;</w:t>
      </w:r>
      <w:r>
        <w:rPr/>
        <w:t>蓝盾信息安全技术股份有限公司</w:t>
      </w:r>
      <w:r>
        <w:rPr>
          <w:rFonts w:ascii="Times New Roman" w:hAnsi="Times New Roman" w:cs="Times New Roman" w:eastAsia="Times New Roman" w:hint="default"/>
        </w:rPr>
        <w:t>-</w:t>
      </w:r>
      <w:r>
        <w:rPr/>
        <w:t>第一期员工 持股计划（修订稿）及其摘要（非公开发行方式认购）</w:t>
      </w:r>
      <w:r>
        <w:rPr>
          <w:rFonts w:ascii="Times New Roman" w:hAnsi="Times New Roman" w:cs="Times New Roman" w:eastAsia="Times New Roman" w:hint="default"/>
        </w:rPr>
        <w:t>&gt;</w:t>
      </w:r>
      <w:r>
        <w:rPr/>
        <w:t>的议案》等议案，并根据有关规定就该员工持股 </w:t>
      </w:r>
      <w:r>
        <w:rPr>
          <w:spacing w:val="-1"/>
        </w:rPr>
        <w:t>计划涉及的非公开发行股份事宜向中国证监会申请核准，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9</w:t>
      </w:r>
      <w:r>
        <w:rPr>
          <w:spacing w:val="-1"/>
        </w:rPr>
        <w:t>日，该事项获得中国证券监督管理委</w:t>
      </w:r>
      <w:r>
        <w:rPr>
          <w:spacing w:val="-81"/>
        </w:rPr>
        <w:t> </w:t>
      </w:r>
      <w:r>
        <w:rPr>
          <w:spacing w:val="-81"/>
        </w:rPr>
      </w:r>
      <w:r>
        <w:rPr>
          <w:spacing w:val="-1"/>
        </w:rPr>
        <w:t>员会的正式核准。此后，第一期员工持股计划完成了对非公开发行股份的缴款认购，并经大华会计师事务</w:t>
      </w:r>
      <w:r>
        <w:rPr>
          <w:spacing w:val="-82"/>
        </w:rPr>
        <w:t> </w:t>
      </w:r>
      <w:r>
        <w:rPr>
          <w:spacing w:val="-82"/>
        </w:rPr>
      </w:r>
      <w:r>
        <w:rPr/>
        <w:t>所出具的验资报告审验。</w:t>
      </w:r>
    </w:p>
    <w:p>
      <w:pPr>
        <w:pStyle w:val="BodyText"/>
        <w:spacing w:line="328" w:lineRule="auto" w:before="83"/>
        <w:ind w:right="1132" w:firstLine="420"/>
        <w:jc w:val="both"/>
      </w:pPr>
      <w:r>
        <w:rPr>
          <w:spacing w:val="-1"/>
        </w:rPr>
        <w:t>本期员工持股计划的参加对象为公司董事、监事、高级管理人员以及其他员工，合计</w:t>
      </w:r>
      <w:r>
        <w:rPr>
          <w:rFonts w:ascii="Times New Roman" w:hAnsi="Times New Roman" w:cs="Times New Roman" w:eastAsia="Times New Roman" w:hint="default"/>
          <w:spacing w:val="-1"/>
        </w:rPr>
        <w:t>26</w:t>
      </w:r>
      <w:r>
        <w:rPr>
          <w:spacing w:val="-1"/>
        </w:rPr>
        <w:t>人，认购本公</w:t>
      </w:r>
      <w:r>
        <w:rPr/>
        <w:t> </w:t>
      </w:r>
      <w:r>
        <w:rPr>
          <w:spacing w:val="-1"/>
        </w:rPr>
        <w:t>司非公开发行股票数量为</w:t>
      </w:r>
      <w:r>
        <w:rPr>
          <w:rFonts w:ascii="Times New Roman" w:hAnsi="Times New Roman" w:cs="Times New Roman" w:eastAsia="Times New Roman" w:hint="default"/>
          <w:spacing w:val="-1"/>
        </w:rPr>
        <w:t>1,113,585</w:t>
      </w:r>
      <w:r>
        <w:rPr>
          <w:spacing w:val="-1"/>
        </w:rPr>
        <w:t>股</w:t>
      </w:r>
      <w:r>
        <w:rPr>
          <w:rFonts w:ascii="宋体" w:hAnsi="宋体" w:cs="宋体" w:eastAsia="宋体" w:hint="default"/>
          <w:spacing w:val="-1"/>
        </w:rPr>
        <w:t>(</w:t>
      </w:r>
      <w:r>
        <w:rPr>
          <w:spacing w:val="-1"/>
        </w:rPr>
        <w:t>送转后为</w:t>
      </w:r>
      <w:r>
        <w:rPr>
          <w:rFonts w:ascii="Times New Roman" w:hAnsi="Times New Roman" w:cs="Times New Roman" w:eastAsia="Times New Roman" w:hint="default"/>
          <w:spacing w:val="-1"/>
        </w:rPr>
        <w:t>4,899,774</w:t>
      </w:r>
      <w:r>
        <w:rPr>
          <w:spacing w:val="-1"/>
        </w:rPr>
        <w:t>股</w:t>
      </w:r>
      <w:r>
        <w:rPr>
          <w:rFonts w:ascii="宋体" w:hAnsi="宋体" w:cs="宋体" w:eastAsia="宋体" w:hint="default"/>
          <w:spacing w:val="-1"/>
        </w:rPr>
        <w:t>)</w:t>
      </w:r>
      <w:r>
        <w:rPr>
          <w:spacing w:val="-1"/>
        </w:rPr>
        <w:t>，锁定期为</w:t>
      </w:r>
      <w:r>
        <w:rPr>
          <w:rFonts w:ascii="Times New Roman" w:hAnsi="Times New Roman" w:cs="Times New Roman" w:eastAsia="Times New Roman" w:hint="default"/>
          <w:spacing w:val="-1"/>
        </w:rPr>
        <w:t>36</w:t>
      </w:r>
      <w:r>
        <w:rPr>
          <w:spacing w:val="-1"/>
        </w:rPr>
        <w:t>个月。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5</w:t>
      </w:r>
      <w:r>
        <w:rPr>
          <w:spacing w:val="-1"/>
        </w:rPr>
        <w:t>日，第一期员</w:t>
      </w:r>
      <w:r>
        <w:rPr>
          <w:spacing w:val="-74"/>
        </w:rPr>
        <w:t> </w:t>
      </w:r>
      <w:r>
        <w:rPr>
          <w:spacing w:val="-74"/>
        </w:rPr>
      </w:r>
      <w:r>
        <w:rPr/>
        <w:t>工持股计划认购的股份正式上市。</w:t>
      </w:r>
    </w:p>
    <w:p>
      <w:pPr>
        <w:pStyle w:val="BodyText"/>
        <w:spacing w:line="240" w:lineRule="auto" w:before="88"/>
        <w:ind w:left="1616" w:right="0"/>
        <w:jc w:val="left"/>
      </w:pPr>
      <w:r>
        <w:rPr/>
        <w:t>具体内容详见中国证监会指定的创业板信息披露网站。</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32"/>
          <w:szCs w:val="32"/>
        </w:rPr>
      </w:pPr>
    </w:p>
    <w:p>
      <w:pPr>
        <w:spacing w:line="422" w:lineRule="auto" w:before="0"/>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after="0" w:line="422"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4"/>
        <w:rPr>
          <w:rFonts w:ascii="宋体" w:hAnsi="宋体" w:cs="宋体" w:eastAsia="宋体" w:hint="default"/>
          <w:sz w:val="22"/>
          <w:szCs w:val="22"/>
        </w:rPr>
      </w:pPr>
    </w:p>
    <w:p>
      <w:pPr>
        <w:pStyle w:val="Heading3"/>
        <w:spacing w:line="240" w:lineRule="auto"/>
        <w:ind w:left="140" w:right="0"/>
        <w:jc w:val="left"/>
        <w:rPr>
          <w:b w:val="0"/>
          <w:bCs w:val="0"/>
        </w:rPr>
      </w:pPr>
      <w:r>
        <w:rPr/>
        <w:pict>
          <v:group style="position:absolute;margin-left:70.5pt;margin-top:.683667pt;width:701pt;height:.1pt;mso-position-horizontal-relative:page;mso-position-vertical-relative:paragraph;z-index:-859024" coordorigin="1410,14" coordsize="14020,2">
            <v:shape style="position:absolute;left:1410;top:14;width:14020;height:2" coordorigin="1410,14" coordsize="14020,0" path="m1410,14l15430,14e" filled="false" stroked="true" strokeweight=".72pt" strokecolor="#000000">
              <v:path arrowok="t"/>
            </v:shape>
            <w10:wrap type="none"/>
          </v:group>
        </w:pict>
      </w:r>
      <w:bookmarkStart w:name="2、资产或股权收购、出售发生的关联交易" w:id="81"/>
      <w:bookmarkEnd w:id="81"/>
      <w:r>
        <w:rPr>
          <w:b w:val="0"/>
          <w:bCs w:val="0"/>
        </w:rPr>
      </w:r>
      <w:r>
        <w:rPr>
          <w:rFonts w:ascii="Times New Roman" w:hAnsi="Times New Roman" w:cs="Times New Roman" w:eastAsia="Times New Roman" w:hint="default"/>
          <w:w w:val="95"/>
        </w:rPr>
        <w:t>2</w:t>
      </w:r>
      <w:r>
        <w:rPr>
          <w:w w:val="95"/>
        </w:rPr>
        <w:t>、资产或股权收购、出售发生的关联交易</w:t>
      </w:r>
      <w:r>
        <w:rPr>
          <w:b w:val="0"/>
          <w:bCs w:val="0"/>
        </w:rPr>
      </w:r>
    </w:p>
    <w:p>
      <w:pPr>
        <w:spacing w:line="240" w:lineRule="auto" w:before="0"/>
        <w:rPr>
          <w:rFonts w:ascii="宋体" w:hAnsi="宋体" w:cs="宋体" w:eastAsia="宋体" w:hint="default"/>
          <w:b/>
          <w:bCs/>
          <w:sz w:val="22"/>
          <w:szCs w:val="22"/>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24"/>
          <w:footerReference w:type="default" r:id="rId25"/>
          <w:pgSz w:w="16840" w:h="11910" w:orient="landscape"/>
          <w:pgMar w:header="0" w:footer="0" w:top="800" w:bottom="0" w:left="1300" w:right="0"/>
          <w:cols w:num="2" w:equalWidth="0">
            <w:col w:w="4038" w:space="6051"/>
            <w:col w:w="5451"/>
          </w:cols>
        </w:sectPr>
      </w:pPr>
    </w:p>
    <w:p>
      <w:pPr>
        <w:spacing w:line="240" w:lineRule="auto" w:before="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850"/>
        <w:gridCol w:w="752"/>
        <w:gridCol w:w="798"/>
        <w:gridCol w:w="2563"/>
        <w:gridCol w:w="2268"/>
        <w:gridCol w:w="850"/>
        <w:gridCol w:w="852"/>
        <w:gridCol w:w="850"/>
        <w:gridCol w:w="709"/>
        <w:gridCol w:w="850"/>
        <w:gridCol w:w="1419"/>
        <w:gridCol w:w="1134"/>
      </w:tblGrid>
      <w:tr>
        <w:trPr>
          <w:trHeight w:val="790"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80" w:right="9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2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关联交易定价原则</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2" w:right="-34" w:firstLine="37"/>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10"/>
                <w:sz w:val="18"/>
                <w:szCs w:val="18"/>
              </w:rPr>
              <w:t>值（万元）</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23" w:right="59" w:firstLine="37"/>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4"/>
                <w:sz w:val="18"/>
                <w:szCs w:val="18"/>
              </w:rPr>
              <w:t>值（万元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5"/>
              <w:ind w:right="0"/>
              <w:jc w:val="center"/>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355" w:lineRule="exact"/>
              <w:ind w:left="-123" w:right="59"/>
              <w:jc w:val="center"/>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9" w:right="78"/>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5"/>
              <w:ind w:left="59"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35" w:lineRule="exact"/>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65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3"/>
              <w:ind w:left="22" w:right="95"/>
              <w:jc w:val="both"/>
              <w:rPr>
                <w:rFonts w:ascii="宋体" w:hAnsi="宋体" w:cs="宋体" w:eastAsia="宋体" w:hint="default"/>
                <w:sz w:val="18"/>
                <w:szCs w:val="18"/>
              </w:rPr>
            </w:pPr>
            <w:r>
              <w:rPr>
                <w:rFonts w:ascii="宋体" w:hAnsi="宋体" w:cs="宋体" w:eastAsia="宋体" w:hint="default"/>
                <w:sz w:val="18"/>
                <w:szCs w:val="18"/>
              </w:rPr>
              <w:t>柯宗庆、 柯宗贵以 及员工持 股计划</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177"/>
              <w:jc w:val="left"/>
              <w:rPr>
                <w:rFonts w:ascii="宋体" w:hAnsi="宋体" w:cs="宋体" w:eastAsia="宋体" w:hint="default"/>
                <w:sz w:val="18"/>
                <w:szCs w:val="18"/>
              </w:rPr>
            </w:pPr>
            <w:r>
              <w:rPr>
                <w:rFonts w:ascii="宋体" w:hAnsi="宋体" w:cs="宋体" w:eastAsia="宋体" w:hint="default"/>
                <w:sz w:val="18"/>
                <w:szCs w:val="18"/>
              </w:rPr>
              <w:t>公司董 监高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3"/>
              <w:ind w:left="22" w:right="43"/>
              <w:jc w:val="both"/>
              <w:rPr>
                <w:rFonts w:ascii="宋体" w:hAnsi="宋体" w:cs="宋体" w:eastAsia="宋体" w:hint="default"/>
                <w:sz w:val="18"/>
                <w:szCs w:val="18"/>
              </w:rPr>
            </w:pPr>
            <w:r>
              <w:rPr>
                <w:rFonts w:ascii="宋体" w:hAnsi="宋体" w:cs="宋体" w:eastAsia="宋体" w:hint="default"/>
                <w:sz w:val="18"/>
                <w:szCs w:val="18"/>
              </w:rPr>
              <w:t>非公开发 行股票募 集配套资 金</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2"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日收到中 </w:t>
            </w:r>
            <w:r>
              <w:rPr>
                <w:rFonts w:ascii="宋体" w:hAnsi="宋体" w:cs="宋体" w:eastAsia="宋体" w:hint="default"/>
                <w:spacing w:val="-1"/>
                <w:sz w:val="18"/>
                <w:szCs w:val="18"/>
              </w:rPr>
              <w:t>国证券监督管理委员会（以下简</w:t>
            </w:r>
            <w:r>
              <w:rPr>
                <w:rFonts w:ascii="宋体" w:hAnsi="宋体" w:cs="宋体" w:eastAsia="宋体" w:hint="default"/>
                <w:sz w:val="18"/>
                <w:szCs w:val="18"/>
              </w:rPr>
              <w:t> </w:t>
            </w:r>
            <w:r>
              <w:rPr>
                <w:rFonts w:ascii="宋体" w:hAnsi="宋体" w:cs="宋体" w:eastAsia="宋体" w:hint="default"/>
                <w:spacing w:val="-13"/>
                <w:sz w:val="18"/>
                <w:szCs w:val="18"/>
              </w:rPr>
              <w:t>称“中国证监会”）《关于核准蓝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盾信息安全技术股份有限公司 向张远鹏等发行股份购买资产 </w:t>
            </w:r>
            <w:r>
              <w:rPr>
                <w:rFonts w:ascii="宋体" w:hAnsi="宋体" w:cs="宋体" w:eastAsia="宋体" w:hint="default"/>
                <w:spacing w:val="-7"/>
                <w:sz w:val="18"/>
                <w:szCs w:val="18"/>
              </w:rPr>
              <w:t>并募集配套资金的批复》，核准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公司向控股股东和实际控制人 </w:t>
            </w:r>
            <w:r>
              <w:rPr>
                <w:rFonts w:ascii="宋体" w:hAnsi="宋体" w:cs="宋体" w:eastAsia="宋体" w:hint="default"/>
                <w:spacing w:val="-1"/>
                <w:sz w:val="18"/>
                <w:szCs w:val="18"/>
              </w:rPr>
              <w:t>柯宗庆、柯宗贵以及员工持股计</w:t>
            </w:r>
            <w:r>
              <w:rPr>
                <w:rFonts w:ascii="宋体" w:hAnsi="宋体" w:cs="宋体" w:eastAsia="宋体" w:hint="default"/>
                <w:sz w:val="18"/>
                <w:szCs w:val="18"/>
              </w:rPr>
              <w:t> 划非公开发行不超过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7,238,305 </w:t>
            </w:r>
            <w:r>
              <w:rPr>
                <w:rFonts w:ascii="宋体" w:hAnsi="宋体" w:cs="宋体" w:eastAsia="宋体" w:hint="default"/>
                <w:sz w:val="18"/>
                <w:szCs w:val="18"/>
              </w:rPr>
              <w:t>股新股募集本次发行股份购买 资产的配套资金。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0"/>
              <w:jc w:val="left"/>
              <w:rPr>
                <w:rFonts w:ascii="宋体" w:hAnsi="宋体" w:cs="宋体" w:eastAsia="宋体" w:hint="default"/>
                <w:sz w:val="18"/>
                <w:szCs w:val="18"/>
              </w:rPr>
            </w:pPr>
            <w:r>
              <w:rPr>
                <w:rFonts w:ascii="宋体" w:hAnsi="宋体" w:cs="宋体" w:eastAsia="宋体" w:hint="default"/>
                <w:sz w:val="18"/>
                <w:szCs w:val="18"/>
              </w:rPr>
              <w:t>本次非公开发行的定价基准 日为上市公司第二届董事会 第二十二次会议决议公告 日，每股发行价格为定价基 准日前</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5"/>
                <w:sz w:val="18"/>
                <w:szCs w:val="18"/>
              </w:rPr>
              <w:t> </w:t>
            </w:r>
            <w:r>
              <w:rPr>
                <w:rFonts w:ascii="宋体" w:hAnsi="宋体" w:cs="宋体" w:eastAsia="宋体" w:hint="default"/>
                <w:sz w:val="18"/>
                <w:szCs w:val="18"/>
              </w:rPr>
              <w:t>个交易日公司</w:t>
            </w:r>
            <w:r>
              <w:rPr>
                <w:rFonts w:ascii="宋体" w:hAnsi="宋体" w:cs="宋体" w:eastAsia="宋体" w:hint="default"/>
                <w:spacing w:val="-55"/>
                <w:sz w:val="18"/>
                <w:szCs w:val="18"/>
              </w:rPr>
              <w:t> </w:t>
            </w:r>
            <w:r>
              <w:rPr>
                <w:rFonts w:ascii="宋体" w:hAnsi="宋体" w:cs="宋体" w:eastAsia="宋体" w:hint="default"/>
                <w:sz w:val="18"/>
                <w:szCs w:val="18"/>
              </w:rPr>
              <w:t>A</w:t>
            </w:r>
            <w:r>
              <w:rPr>
                <w:rFonts w:ascii="宋体" w:hAnsi="宋体" w:cs="宋体" w:eastAsia="宋体" w:hint="default"/>
                <w:spacing w:val="-55"/>
                <w:sz w:val="18"/>
                <w:szCs w:val="18"/>
              </w:rPr>
              <w:t> </w:t>
            </w:r>
            <w:r>
              <w:rPr>
                <w:rFonts w:ascii="宋体" w:hAnsi="宋体" w:cs="宋体" w:eastAsia="宋体" w:hint="default"/>
                <w:sz w:val="18"/>
                <w:szCs w:val="18"/>
              </w:rPr>
              <w:t>股 </w:t>
            </w:r>
            <w:r>
              <w:rPr>
                <w:rFonts w:ascii="宋体" w:hAnsi="宋体" w:cs="宋体" w:eastAsia="宋体" w:hint="default"/>
                <w:spacing w:val="-4"/>
                <w:sz w:val="18"/>
                <w:szCs w:val="18"/>
              </w:rPr>
              <w:t>股票交易均价（交易均价</w:t>
            </w:r>
            <w:r>
              <w:rPr>
                <w:rFonts w:ascii="宋体" w:hAnsi="宋体" w:cs="宋体" w:eastAsia="宋体" w:hint="default"/>
                <w:spacing w:val="-4"/>
                <w:sz w:val="18"/>
                <w:szCs w:val="18"/>
              </w:rPr>
              <w:t>=</w:t>
            </w:r>
            <w:r>
              <w:rPr>
                <w:rFonts w:ascii="宋体" w:hAnsi="宋体" w:cs="宋体" w:eastAsia="宋体" w:hint="default"/>
                <w:spacing w:val="-4"/>
                <w:sz w:val="18"/>
                <w:szCs w:val="18"/>
              </w:rPr>
              <w:t>董</w:t>
            </w:r>
            <w:r>
              <w:rPr>
                <w:rFonts w:ascii="宋体" w:hAnsi="宋体" w:cs="宋体" w:eastAsia="宋体" w:hint="default"/>
                <w:spacing w:val="-78"/>
                <w:sz w:val="18"/>
                <w:szCs w:val="18"/>
              </w:rPr>
              <w:t> </w:t>
            </w:r>
            <w:r>
              <w:rPr>
                <w:rFonts w:ascii="宋体" w:hAnsi="宋体" w:cs="宋体" w:eastAsia="宋体" w:hint="default"/>
                <w:sz w:val="18"/>
                <w:szCs w:val="18"/>
              </w:rPr>
              <w:t>事会决议公告日前</w:t>
            </w:r>
            <w:r>
              <w:rPr>
                <w:rFonts w:ascii="宋体" w:hAnsi="宋体" w:cs="宋体" w:eastAsia="宋体" w:hint="default"/>
                <w:spacing w:val="-64"/>
                <w:sz w:val="18"/>
                <w:szCs w:val="18"/>
              </w:rPr>
              <w:t> </w:t>
            </w:r>
            <w:r>
              <w:rPr>
                <w:rFonts w:ascii="宋体" w:hAnsi="宋体" w:cs="宋体" w:eastAsia="宋体" w:hint="default"/>
                <w:sz w:val="18"/>
                <w:szCs w:val="18"/>
              </w:rPr>
              <w:t>20</w:t>
            </w:r>
            <w:r>
              <w:rPr>
                <w:rFonts w:ascii="宋体" w:hAnsi="宋体" w:cs="宋体" w:eastAsia="宋体" w:hint="default"/>
                <w:spacing w:val="-64"/>
                <w:sz w:val="18"/>
                <w:szCs w:val="18"/>
              </w:rPr>
              <w:t> </w:t>
            </w:r>
            <w:r>
              <w:rPr>
                <w:rFonts w:ascii="宋体" w:hAnsi="宋体" w:cs="宋体" w:eastAsia="宋体" w:hint="default"/>
                <w:sz w:val="18"/>
                <w:szCs w:val="18"/>
              </w:rPr>
              <w:t>个交易 日公司股票交易总额</w:t>
            </w:r>
            <w:r>
              <w:rPr>
                <w:rFonts w:ascii="宋体" w:hAnsi="宋体" w:cs="宋体" w:eastAsia="宋体" w:hint="default"/>
                <w:sz w:val="18"/>
                <w:szCs w:val="18"/>
              </w:rPr>
              <w:t>/</w:t>
            </w:r>
            <w:r>
              <w:rPr>
                <w:rFonts w:ascii="宋体" w:hAnsi="宋体" w:cs="宋体" w:eastAsia="宋体" w:hint="default"/>
                <w:sz w:val="18"/>
                <w:szCs w:val="18"/>
              </w:rPr>
              <w:t>董事 会决议公告日前</w:t>
            </w:r>
            <w:r>
              <w:rPr>
                <w:rFonts w:ascii="宋体" w:hAnsi="宋体" w:cs="宋体" w:eastAsia="宋体" w:hint="default"/>
                <w:spacing w:val="-64"/>
                <w:sz w:val="18"/>
                <w:szCs w:val="18"/>
              </w:rPr>
              <w:t> </w:t>
            </w:r>
            <w:r>
              <w:rPr>
                <w:rFonts w:ascii="宋体" w:hAnsi="宋体" w:cs="宋体" w:eastAsia="宋体" w:hint="default"/>
                <w:sz w:val="18"/>
                <w:szCs w:val="18"/>
              </w:rPr>
              <w:t>20</w:t>
            </w:r>
            <w:r>
              <w:rPr>
                <w:rFonts w:ascii="宋体" w:hAnsi="宋体" w:cs="宋体" w:eastAsia="宋体" w:hint="default"/>
                <w:spacing w:val="-64"/>
                <w:sz w:val="18"/>
                <w:szCs w:val="18"/>
              </w:rPr>
              <w:t> </w:t>
            </w:r>
            <w:r>
              <w:rPr>
                <w:rFonts w:ascii="宋体" w:hAnsi="宋体" w:cs="宋体" w:eastAsia="宋体" w:hint="default"/>
                <w:sz w:val="18"/>
                <w:szCs w:val="18"/>
              </w:rPr>
              <w:t>个交易日 </w:t>
            </w:r>
            <w:r>
              <w:rPr>
                <w:rFonts w:ascii="宋体" w:hAnsi="宋体" w:cs="宋体" w:eastAsia="宋体" w:hint="default"/>
                <w:spacing w:val="-9"/>
                <w:sz w:val="18"/>
                <w:szCs w:val="18"/>
              </w:rPr>
              <w:t>公司股票交易总量），即</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17.96</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2" w:right="28"/>
              <w:jc w:val="left"/>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r>
        <w:trPr>
          <w:trHeight w:val="324"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转让价格与账面价值或评估价值差异较大的原因（如有）</w:t>
            </w:r>
          </w:p>
        </w:tc>
        <w:tc>
          <w:tcPr>
            <w:tcW w:w="89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89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如相关交易涉及业绩约定的，报告期内的业绩实现情况</w:t>
            </w:r>
          </w:p>
        </w:tc>
        <w:tc>
          <w:tcPr>
            <w:tcW w:w="89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宋体" w:hAnsi="宋体" w:cs="宋体" w:eastAsia="宋体" w:hint="default"/>
          <w:sz w:val="17"/>
          <w:szCs w:val="17"/>
        </w:rPr>
      </w:pPr>
    </w:p>
    <w:p>
      <w:pPr>
        <w:pStyle w:val="Heading3"/>
        <w:spacing w:line="240" w:lineRule="auto" w:before="35"/>
        <w:ind w:left="140" w:right="1424"/>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0"/>
        <w:rPr>
          <w:rFonts w:ascii="宋体" w:hAnsi="宋体" w:cs="宋体" w:eastAsia="宋体" w:hint="default"/>
          <w:b/>
          <w:bCs/>
          <w:sz w:val="22"/>
          <w:szCs w:val="22"/>
        </w:rPr>
      </w:pPr>
    </w:p>
    <w:p>
      <w:pPr>
        <w:spacing w:line="264" w:lineRule="auto" w:before="0"/>
        <w:ind w:left="140" w:right="117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40" w:right="1424"/>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2"/>
        <w:rPr>
          <w:rFonts w:ascii="宋体" w:hAnsi="宋体" w:cs="宋体" w:eastAsia="宋体" w:hint="default"/>
          <w:b/>
          <w:bCs/>
          <w:sz w:val="21"/>
          <w:szCs w:val="21"/>
        </w:rPr>
      </w:pPr>
    </w:p>
    <w:p>
      <w:pPr>
        <w:spacing w:line="264" w:lineRule="auto" w:before="0"/>
        <w:ind w:left="140" w:right="123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left="140" w:right="1424"/>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0"/>
        <w:rPr>
          <w:rFonts w:ascii="宋体" w:hAnsi="宋体" w:cs="宋体" w:eastAsia="宋体" w:hint="default"/>
          <w:b/>
          <w:bCs/>
          <w:sz w:val="22"/>
          <w:szCs w:val="22"/>
        </w:rPr>
      </w:pPr>
    </w:p>
    <w:p>
      <w:pPr>
        <w:spacing w:line="261" w:lineRule="auto" w:before="0"/>
        <w:ind w:left="140" w:right="126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2"/>
          <w:szCs w:val="12"/>
        </w:rPr>
      </w:pPr>
    </w:p>
    <w:p>
      <w:pPr>
        <w:spacing w:before="0"/>
        <w:ind w:left="0" w:right="1436" w:firstLine="0"/>
        <w:jc w:val="right"/>
        <w:rPr>
          <w:rFonts w:ascii="Times New Roman" w:hAnsi="Times New Roman" w:cs="Times New Roman" w:eastAsia="Times New Roman" w:hint="default"/>
          <w:sz w:val="18"/>
          <w:szCs w:val="18"/>
        </w:rPr>
      </w:pPr>
      <w:r>
        <w:rPr/>
        <w:pict>
          <v:shape style="position:absolute;margin-left:201.919983pt;margin-top:18.122345pt;width:640pt;height:42pt;mso-position-horizontal-relative:page;mso-position-vertical-relative:paragraph;z-index:2992" type="#_x0000_t75" stroked="false">
            <v:imagedata r:id="rId17" o:title=""/>
          </v:shape>
        </w:pict>
      </w:r>
      <w:r>
        <w:rPr>
          <w:rFonts w:ascii="Times New Roman"/>
          <w:sz w:val="18"/>
        </w:rPr>
        <w:t>42</w:t>
      </w:r>
    </w:p>
    <w:p>
      <w:pPr>
        <w:spacing w:after="0"/>
        <w:jc w:val="right"/>
        <w:rPr>
          <w:rFonts w:ascii="Times New Roman" w:hAnsi="Times New Roman" w:cs="Times New Roman" w:eastAsia="Times New Roman" w:hint="default"/>
          <w:sz w:val="18"/>
          <w:szCs w:val="18"/>
        </w:rPr>
        <w:sectPr>
          <w:type w:val="continuous"/>
          <w:pgSz w:w="16840" w:h="11910" w:orient="landscape"/>
          <w:pgMar w:top="1100" w:bottom="1160" w:left="1300" w:right="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0"/>
        <w:rPr>
          <w:rFonts w:ascii="宋体" w:hAnsi="宋体" w:cs="宋体" w:eastAsia="宋体" w:hint="default"/>
          <w:b/>
          <w:bCs/>
          <w:sz w:val="22"/>
          <w:szCs w:val="22"/>
        </w:rPr>
      </w:pPr>
    </w:p>
    <w:p>
      <w:pPr>
        <w:spacing w:line="264"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0"/>
        <w:rPr>
          <w:rFonts w:ascii="宋体" w:hAnsi="宋体" w:cs="宋体" w:eastAsia="宋体" w:hint="default"/>
          <w:b/>
          <w:bCs/>
          <w:sz w:val="22"/>
          <w:szCs w:val="22"/>
        </w:rPr>
      </w:pPr>
    </w:p>
    <w:p>
      <w:pPr>
        <w:spacing w:line="261"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0"/>
        <w:rPr>
          <w:rFonts w:ascii="宋体" w:hAnsi="宋体" w:cs="宋体" w:eastAsia="宋体" w:hint="default"/>
          <w:b/>
          <w:bCs/>
          <w:sz w:val="22"/>
          <w:szCs w:val="22"/>
        </w:rPr>
      </w:pPr>
    </w:p>
    <w:p>
      <w:pPr>
        <w:spacing w:line="264"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2"/>
        <w:rPr>
          <w:rFonts w:ascii="宋体" w:hAnsi="宋体" w:cs="宋体" w:eastAsia="宋体" w:hint="default"/>
          <w:b/>
          <w:bCs/>
          <w:sz w:val="21"/>
          <w:szCs w:val="21"/>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709"/>
        <w:gridCol w:w="920"/>
        <w:gridCol w:w="929"/>
        <w:gridCol w:w="1301"/>
        <w:gridCol w:w="1054"/>
        <w:gridCol w:w="1038"/>
        <w:gridCol w:w="1051"/>
        <w:gridCol w:w="790"/>
        <w:gridCol w:w="783"/>
      </w:tblGrid>
      <w:tr>
        <w:trPr>
          <w:trHeight w:val="32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9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9"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27"/>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791"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6"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7"/>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4"/>
              <w:jc w:val="left"/>
              <w:rPr>
                <w:rFonts w:ascii="宋体" w:hAnsi="宋体" w:cs="宋体" w:eastAsia="宋体" w:hint="default"/>
                <w:sz w:val="18"/>
                <w:szCs w:val="18"/>
              </w:rPr>
            </w:pPr>
            <w:r>
              <w:rPr>
                <w:rFonts w:ascii="宋体" w:hAnsi="宋体" w:cs="宋体" w:eastAsia="宋体" w:hint="default"/>
                <w:sz w:val="18"/>
                <w:szCs w:val="18"/>
              </w:rPr>
              <w:t>蓝盾信息安全技术有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19,423</w:t>
            </w:r>
          </w:p>
        </w:tc>
        <w:tc>
          <w:tcPr>
            <w:tcW w:w="130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14,000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19,423</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 w:right="80"/>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r>
      <w:tr>
        <w:trPr>
          <w:trHeight w:val="562"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19,423</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 w:right="80"/>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r>
      <w:tr>
        <w:trPr>
          <w:trHeight w:val="31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2"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2"/>
              <w:ind w:left="92"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1" w:type="dxa"/>
            <w:vMerge w:val="restart"/>
            <w:tcBorders>
              <w:top w:val="nil" w:sz="6" w:space="0" w:color="auto"/>
              <w:left w:val="single" w:sz="4" w:space="0" w:color="000000"/>
              <w:right w:val="single" w:sz="4" w:space="0" w:color="000000"/>
            </w:tcBorders>
            <w:shd w:val="clear" w:color="auto" w:fill="D2D2D2"/>
          </w:tcPr>
          <w:p>
            <w:pPr>
              <w:pStyle w:val="TableParagraph"/>
              <w:spacing w:line="235" w:lineRule="exact" w:before="9"/>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423" w:right="80"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3"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244" w:hRule="exact"/>
        </w:trPr>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r>
      <w:tr>
        <w:trPr>
          <w:trHeight w:val="315"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62"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4"/>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19,423</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9"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r>
      <w:tr>
        <w:trPr>
          <w:trHeight w:val="557"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19,423</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9" w:right="80"/>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79" w:header="0" w:top="1100" w:bottom="1160" w:left="0" w:right="0"/>
          <w:pgNumType w:start="43"/>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4856"/>
        <w:gridCol w:w="4719"/>
      </w:tblGrid>
      <w:tr>
        <w:trPr>
          <w:trHeight w:val="32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11.27%</w:t>
            </w:r>
          </w:p>
        </w:tc>
      </w:tr>
    </w:tbl>
    <w:p>
      <w:pPr>
        <w:pStyle w:val="BodyText"/>
        <w:spacing w:line="240" w:lineRule="auto" w:before="5"/>
        <w:ind w:left="1134" w:right="0"/>
        <w:jc w:val="left"/>
      </w:pPr>
      <w:r>
        <w:rPr/>
        <w:t>采用复合方式担保的具体情况说明：不适用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0"/>
        <w:rPr>
          <w:rFonts w:ascii="宋体" w:hAnsi="宋体" w:cs="宋体" w:eastAsia="宋体" w:hint="default"/>
          <w:b/>
          <w:bCs/>
          <w:sz w:val="22"/>
          <w:szCs w:val="22"/>
        </w:rPr>
      </w:pPr>
    </w:p>
    <w:p>
      <w:pPr>
        <w:spacing w:line="264"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1133"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0"/>
        <w:rPr>
          <w:rFonts w:ascii="宋体" w:hAnsi="宋体" w:cs="宋体" w:eastAsia="宋体" w:hint="default"/>
          <w:b/>
          <w:bCs/>
          <w:sz w:val="22"/>
          <w:szCs w:val="22"/>
        </w:rPr>
      </w:pPr>
    </w:p>
    <w:p>
      <w:pPr>
        <w:spacing w:line="264"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0"/>
        <w:rPr>
          <w:rFonts w:ascii="宋体" w:hAnsi="宋体" w:cs="宋体" w:eastAsia="宋体" w:hint="default"/>
          <w:b/>
          <w:bCs/>
          <w:sz w:val="22"/>
          <w:szCs w:val="22"/>
        </w:rPr>
      </w:pPr>
    </w:p>
    <w:p>
      <w:pPr>
        <w:spacing w:line="261"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left="1133"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0"/>
        <w:rPr>
          <w:rFonts w:ascii="宋体" w:hAnsi="宋体" w:cs="宋体" w:eastAsia="宋体" w:hint="default"/>
          <w:b/>
          <w:bCs/>
          <w:sz w:val="22"/>
          <w:szCs w:val="22"/>
        </w:rPr>
      </w:pPr>
    </w:p>
    <w:p>
      <w:pPr>
        <w:spacing w:line="264"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七、其他重大事项的说明" w:id="97"/>
      <w:bookmarkEnd w:id="97"/>
      <w:r>
        <w:rPr>
          <w:b w:val="0"/>
          <w:bCs w:val="0"/>
        </w:rPr>
      </w:r>
      <w:r>
        <w:rPr/>
        <w:t>十七、其他重大事项的说明</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45" w:lineRule="auto" w:before="129"/>
        <w:ind w:right="1130"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日，公司发布《关于与关联方共同设立产业基金暨关联交易的公告》，具体内容详见中国</w:t>
      </w:r>
      <w:r>
        <w:rPr/>
        <w:t> </w:t>
      </w:r>
      <w:r>
        <w:rPr>
          <w:spacing w:val="-1"/>
        </w:rPr>
        <w:t>证监会指定的创业板信息披露网站。公司本次设立产业基金的合作方之一中植资本管理有限公司的控股股</w:t>
      </w:r>
      <w:r>
        <w:rPr>
          <w:spacing w:val="-81"/>
        </w:rPr>
        <w:t> </w:t>
      </w:r>
      <w:r>
        <w:rPr>
          <w:spacing w:val="-81"/>
        </w:rPr>
      </w:r>
      <w:r>
        <w:rPr>
          <w:spacing w:val="-1"/>
        </w:rPr>
        <w:t>东为中海晟融（北京）资本管理有限公司，实际控制人为解植锟。目前，产业基金及基金管理公司正在办</w:t>
      </w:r>
      <w:r>
        <w:rPr>
          <w:spacing w:val="-82"/>
        </w:rPr>
        <w:t> </w:t>
      </w:r>
      <w:r>
        <w:rPr>
          <w:spacing w:val="-82"/>
        </w:rPr>
      </w:r>
      <w:r>
        <w:rPr>
          <w:spacing w:val="-1"/>
        </w:rPr>
        <w:t>理工商注册手续，公司及相关合作方正在积极储备投资标的，公司将根据产业基金的相关进展情况及时履</w:t>
      </w:r>
      <w:r>
        <w:rPr>
          <w:spacing w:val="-81"/>
        </w:rPr>
        <w:t> </w:t>
      </w:r>
      <w:r>
        <w:rPr>
          <w:spacing w:val="-81"/>
        </w:rPr>
      </w:r>
      <w:r>
        <w:rPr/>
        <w:t>行信息披露义务。</w:t>
      </w:r>
    </w:p>
    <w:p>
      <w:pPr>
        <w:spacing w:line="240" w:lineRule="auto" w:before="9"/>
        <w:rPr>
          <w:rFonts w:ascii="宋体" w:hAnsi="宋体" w:cs="宋体" w:eastAsia="宋体" w:hint="default"/>
          <w:sz w:val="16"/>
          <w:szCs w:val="16"/>
        </w:rPr>
      </w:pPr>
    </w:p>
    <w:p>
      <w:pPr>
        <w:pStyle w:val="Heading2"/>
        <w:spacing w:line="240" w:lineRule="auto"/>
        <w:ind w:left="1134" w:right="0"/>
        <w:jc w:val="left"/>
        <w:rPr>
          <w:b w:val="0"/>
          <w:bCs w:val="0"/>
        </w:rPr>
      </w:pPr>
      <w:bookmarkStart w:name="十八、公司子公司重大事项" w:id="98"/>
      <w:bookmarkEnd w:id="98"/>
      <w:r>
        <w:rPr>
          <w:b w:val="0"/>
          <w:bCs w:val="0"/>
        </w:rPr>
      </w:r>
      <w:r>
        <w:rPr/>
        <w:t>十八、公司子公司重大事项</w:t>
      </w:r>
      <w:r>
        <w:rPr>
          <w:b w:val="0"/>
          <w:bCs w:val="0"/>
        </w:rPr>
      </w:r>
    </w:p>
    <w:p>
      <w:pPr>
        <w:spacing w:line="240" w:lineRule="auto" w:before="7"/>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十九、社会责任情况" w:id="99"/>
      <w:bookmarkEnd w:id="99"/>
      <w:r>
        <w:rPr>
          <w:b w:val="0"/>
          <w:bCs w:val="0"/>
        </w:rPr>
      </w:r>
      <w:r>
        <w:rPr/>
        <w:t>十九、社会责任情况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十、公司债券相关情况" w:id="100"/>
      <w:bookmarkEnd w:id="100"/>
      <w:r>
        <w:rPr>
          <w:b w:val="0"/>
          <w:bCs w:val="0"/>
        </w:rPr>
      </w:r>
      <w:r>
        <w:rPr/>
        <w:t>二十、公司债券相关情况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公司是否存在公开发行并在证券交易所上市，且在年度报告批准报出日未到期或到期未能全额兑付的公司债券：否</w:t>
      </w:r>
    </w:p>
    <w:p>
      <w:pPr>
        <w:spacing w:after="0"/>
        <w:jc w:val="left"/>
        <w:rPr>
          <w:rFonts w:ascii="宋体" w:hAnsi="宋体" w:cs="宋体" w:eastAsia="宋体" w:hint="default"/>
          <w:sz w:val="18"/>
          <w:szCs w:val="18"/>
        </w:rPr>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999" w:type="dxa"/>
        <w:tblLayout w:type="fixed"/>
        <w:tblCellMar>
          <w:top w:w="0" w:type="dxa"/>
          <w:left w:w="0" w:type="dxa"/>
          <w:bottom w:w="0" w:type="dxa"/>
          <w:right w:w="0" w:type="dxa"/>
        </w:tblCellMar>
        <w:tblLook w:val="01E0"/>
      </w:tblPr>
      <w:tblGrid>
        <w:gridCol w:w="1679"/>
        <w:gridCol w:w="1004"/>
        <w:gridCol w:w="709"/>
        <w:gridCol w:w="992"/>
        <w:gridCol w:w="992"/>
        <w:gridCol w:w="992"/>
        <w:gridCol w:w="993"/>
        <w:gridCol w:w="992"/>
        <w:gridCol w:w="991"/>
        <w:gridCol w:w="709"/>
      </w:tblGrid>
      <w:tr>
        <w:trPr>
          <w:trHeight w:val="180"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48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9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44" w:hRule="exact"/>
        </w:trPr>
        <w:tc>
          <w:tcPr>
            <w:tcW w:w="1679" w:type="dxa"/>
            <w:vMerge w:val="restart"/>
            <w:tcBorders>
              <w:top w:val="nil" w:sz="6" w:space="0" w:color="auto"/>
              <w:left w:val="single" w:sz="4" w:space="0" w:color="000000"/>
              <w:right w:val="single" w:sz="4" w:space="0" w:color="000000"/>
            </w:tcBorders>
            <w:shd w:val="clear" w:color="auto" w:fill="D2D2D2"/>
          </w:tcPr>
          <w:p>
            <w:pP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4962" w:type="dxa"/>
            <w:gridSpan w:val="5"/>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r>
      <w:tr>
        <w:trPr>
          <w:trHeight w:val="143" w:hRule="exact"/>
        </w:trPr>
        <w:tc>
          <w:tcPr>
            <w:tcW w:w="1679"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0"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82,947,600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24,610,235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17,821,473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261,554,484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-30,504,328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273,481,864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356,429,464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36.72%</w:t>
            </w:r>
          </w:p>
        </w:tc>
      </w:tr>
      <w:tr>
        <w:trPr>
          <w:trHeight w:val="32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82,947,600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24,610,235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17,821,473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261,554,484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-30,504,328</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273,481,864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356,429,464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36.72%</w:t>
            </w: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5,079,203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1,117,425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17,370,875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-5,119,009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18,448,494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22,348,494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2.30%</w:t>
            </w:r>
          </w:p>
        </w:tc>
      </w:tr>
      <w:tr>
        <w:trPr>
          <w:trHeight w:val="557"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79,047,600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19,531,032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16,704,048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244,183,609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-25,385,319</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255,033,370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334,080,970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34.42%</w:t>
            </w:r>
          </w:p>
        </w:tc>
      </w:tr>
      <w:tr>
        <w:trPr>
          <w:trHeight w:val="32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113,052,400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57.68%</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30,712,779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439,986,063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30,504,328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501,203,170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614,255,570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63.28%</w:t>
            </w:r>
          </w:p>
        </w:tc>
      </w:tr>
      <w:tr>
        <w:trPr>
          <w:trHeight w:val="32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113,052,400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57.68%</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30,712,779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439,986,063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30,504,328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501,203,170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614,255,570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63.28%</w:t>
            </w: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、境内上市的外资股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、境外上市的外资股</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9" w:space="0" w:color="D2D2D2"/>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196,000,000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24,610,235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48,534,252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701,540,547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774,685,034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970,685,034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3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28" w:lineRule="auto" w:before="129"/>
        <w:ind w:right="1132" w:firstLine="420"/>
        <w:jc w:val="both"/>
      </w:pPr>
      <w:r>
        <w:rPr>
          <w:spacing w:val="-1"/>
        </w:rPr>
        <w:t>报告期，公司实施了发行股份及支付现金购买资产并募集配套资金，向张远鹏等</w:t>
      </w:r>
      <w:r>
        <w:rPr>
          <w:rFonts w:ascii="Times New Roman" w:hAnsi="Times New Roman" w:cs="Times New Roman" w:eastAsia="Times New Roman" w:hint="default"/>
          <w:spacing w:val="-1"/>
        </w:rPr>
        <w:t>17</w:t>
      </w:r>
      <w:r>
        <w:rPr>
          <w:spacing w:val="-1"/>
        </w:rPr>
        <w:t>名交易对方发行股</w:t>
      </w:r>
      <w:r>
        <w:rPr/>
        <w:t> </w:t>
      </w:r>
      <w:r>
        <w:rPr>
          <w:spacing w:val="-1"/>
        </w:rPr>
        <w:t>份</w:t>
      </w:r>
      <w:r>
        <w:rPr>
          <w:rFonts w:ascii="Times New Roman" w:hAnsi="Times New Roman" w:cs="Times New Roman" w:eastAsia="Times New Roman" w:hint="default"/>
          <w:spacing w:val="-1"/>
        </w:rPr>
        <w:t>17,371,930</w:t>
      </w:r>
      <w:r>
        <w:rPr>
          <w:spacing w:val="-1"/>
        </w:rPr>
        <w:t>股公司股份并支付</w:t>
      </w:r>
      <w:r>
        <w:rPr>
          <w:rFonts w:ascii="Times New Roman" w:hAnsi="Times New Roman" w:cs="Times New Roman" w:eastAsia="Times New Roman" w:hint="default"/>
          <w:spacing w:val="-1"/>
        </w:rPr>
        <w:t>7,800</w:t>
      </w:r>
      <w:r>
        <w:rPr>
          <w:spacing w:val="-1"/>
        </w:rPr>
        <w:t>万元现金，收购其持有的华炜科技</w:t>
      </w:r>
      <w:r>
        <w:rPr>
          <w:rFonts w:ascii="Times New Roman" w:hAnsi="Times New Roman" w:cs="Times New Roman" w:eastAsia="Times New Roman" w:hint="default"/>
          <w:spacing w:val="-1"/>
        </w:rPr>
        <w:t>100%</w:t>
      </w:r>
      <w:r>
        <w:rPr>
          <w:spacing w:val="-1"/>
        </w:rPr>
        <w:t>股权；同时向公司控股股东和</w:t>
      </w:r>
      <w:r>
        <w:rPr>
          <w:spacing w:val="-95"/>
        </w:rPr>
        <w:t> </w:t>
      </w:r>
      <w:r>
        <w:rPr>
          <w:spacing w:val="-95"/>
        </w:rPr>
      </w:r>
      <w:r>
        <w:rPr/>
        <w:t>实际控制人柯宗庆、柯宗贵以及员工持股计划非公开发行股票</w:t>
      </w:r>
      <w:r>
        <w:rPr>
          <w:rFonts w:ascii="Times New Roman" w:hAnsi="Times New Roman" w:cs="Times New Roman" w:eastAsia="Times New Roman" w:hint="default"/>
        </w:rPr>
        <w:t>7,238,305</w:t>
      </w:r>
      <w:r>
        <w:rPr/>
        <w:t>股募集配套资金。</w:t>
      </w:r>
    </w:p>
    <w:p>
      <w:pPr>
        <w:pStyle w:val="BodyText"/>
        <w:spacing w:line="328" w:lineRule="auto" w:before="24"/>
        <w:ind w:right="1027" w:firstLine="420"/>
        <w:jc w:val="both"/>
      </w:pPr>
      <w:r>
        <w:rPr/>
        <w:t>报告期公司实施了</w:t>
      </w:r>
      <w:r>
        <w:rPr>
          <w:rFonts w:ascii="Times New Roman" w:hAnsi="Times New Roman" w:cs="Times New Roman" w:eastAsia="Times New Roman" w:hint="default"/>
        </w:rPr>
        <w:t>2014</w:t>
      </w:r>
      <w:r>
        <w:rPr/>
        <w:t>年年度利润分配方案，以截止</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14</w:t>
      </w:r>
      <w:r>
        <w:rPr/>
        <w:t>日公司总股本</w:t>
      </w:r>
      <w:r>
        <w:rPr>
          <w:rFonts w:ascii="Times New Roman" w:hAnsi="Times New Roman" w:cs="Times New Roman" w:eastAsia="Times New Roman" w:hint="default"/>
        </w:rPr>
        <w:t>220,610,235</w:t>
      </w:r>
      <w:r>
        <w:rPr>
          <w:rFonts w:ascii="Times New Roman" w:hAnsi="Times New Roman" w:cs="Times New Roman" w:eastAsia="Times New Roman" w:hint="default"/>
          <w:spacing w:val="32"/>
        </w:rPr>
        <w:t> </w:t>
      </w:r>
      <w:r>
        <w:rPr/>
        <w:t>股为基 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38"/>
        </w:rPr>
        <w:t> </w:t>
      </w:r>
      <w:r>
        <w:rPr/>
        <w:t>股派发现金红利</w:t>
      </w:r>
      <w:r>
        <w:rPr>
          <w:rFonts w:ascii="Times New Roman" w:hAnsi="Times New Roman" w:cs="Times New Roman" w:eastAsia="Times New Roman" w:hint="default"/>
        </w:rPr>
        <w:t>0.1</w:t>
      </w:r>
      <w:r>
        <w:rPr/>
        <w:t>元人民币（含税），合计派发现金红利</w:t>
      </w:r>
      <w:r>
        <w:rPr>
          <w:rFonts w:ascii="Times New Roman" w:hAnsi="Times New Roman" w:cs="Times New Roman" w:eastAsia="Times New Roman" w:hint="default"/>
        </w:rPr>
        <w:t>2,206,102.35</w:t>
      </w:r>
      <w:r>
        <w:rPr/>
        <w:t>元；同时以资本 公积向股东每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12 </w:t>
      </w:r>
      <w:r>
        <w:rPr>
          <w:rFonts w:ascii="Times New Roman" w:hAnsi="Times New Roman" w:cs="Times New Roman" w:eastAsia="Times New Roman" w:hint="default"/>
          <w:spacing w:val="6"/>
        </w:rPr>
        <w:t> </w:t>
      </w:r>
      <w:r>
        <w:rPr>
          <w:spacing w:val="-3"/>
        </w:rPr>
        <w:t>股，合计转增股本</w:t>
      </w:r>
      <w:r>
        <w:rPr>
          <w:rFonts w:ascii="Times New Roman" w:hAnsi="Times New Roman" w:cs="Times New Roman" w:eastAsia="Times New Roman" w:hint="default"/>
          <w:spacing w:val="-3"/>
        </w:rPr>
        <w:t>264,732,282</w:t>
      </w:r>
      <w:r>
        <w:rPr>
          <w:spacing w:val="-3"/>
        </w:rPr>
        <w:t>股。转增股本后公司总股本变更为</w:t>
      </w:r>
      <w:r>
        <w:rPr>
          <w:rFonts w:ascii="Times New Roman" w:hAnsi="Times New Roman" w:cs="Times New Roman" w:eastAsia="Times New Roman" w:hint="default"/>
          <w:spacing w:val="-3"/>
        </w:rPr>
        <w:t>485,342,517</w:t>
      </w:r>
      <w:r>
        <w:rPr>
          <w:spacing w:val="-3"/>
        </w:rPr>
        <w:t>股。</w:t>
      </w:r>
      <w:r>
        <w:rPr/>
      </w:r>
    </w:p>
    <w:p>
      <w:pPr>
        <w:pStyle w:val="BodyText"/>
        <w:spacing w:line="331" w:lineRule="auto" w:before="24"/>
        <w:ind w:left="1134" w:right="1129" w:firstLine="420"/>
        <w:jc w:val="both"/>
      </w:pPr>
      <w:r>
        <w:rPr/>
        <w:t>另外，报告期实施了</w:t>
      </w:r>
      <w:r>
        <w:rPr>
          <w:rFonts w:ascii="Times New Roman" w:hAnsi="Times New Roman" w:cs="Times New Roman" w:eastAsia="Times New Roman" w:hint="default"/>
        </w:rPr>
        <w:t>2015</w:t>
      </w:r>
      <w:r>
        <w:rPr/>
        <w:t>年半年度利润分配方案，以截至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485,342,517</w:t>
      </w:r>
      <w:r>
        <w:rPr/>
        <w:t>股为</w:t>
      </w:r>
      <w:r>
        <w:rPr>
          <w:spacing w:val="1"/>
        </w:rPr>
        <w:t> </w:t>
      </w:r>
      <w:r>
        <w:rPr>
          <w:spacing w:val="-2"/>
        </w:rPr>
        <w:t>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1</w:t>
      </w:r>
      <w:r>
        <w:rPr>
          <w:spacing w:val="-2"/>
        </w:rPr>
        <w:t>股，派发现金红利</w:t>
      </w:r>
      <w:r>
        <w:rPr>
          <w:rFonts w:ascii="Times New Roman" w:hAnsi="Times New Roman" w:cs="Times New Roman" w:eastAsia="Times New Roman" w:hint="default"/>
          <w:spacing w:val="-2"/>
        </w:rPr>
        <w:t>0.25</w:t>
      </w:r>
      <w:r>
        <w:rPr>
          <w:spacing w:val="-2"/>
        </w:rPr>
        <w:t>元（含税），同时，以资本公积金向全体股东每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30"/>
        </w:rPr>
        <w:t> </w:t>
      </w:r>
      <w:r>
        <w:rPr>
          <w:spacing w:val="9"/>
        </w:rPr>
        <w:t>股转增</w:t>
      </w:r>
      <w:r>
        <w:rPr>
          <w:rFonts w:ascii="Times New Roman" w:hAnsi="Times New Roman" w:cs="Times New Roman" w:eastAsia="Times New Roman" w:hint="default"/>
          <w:spacing w:val="9"/>
        </w:rPr>
        <w:t>9</w:t>
      </w:r>
      <w:r>
        <w:rPr>
          <w:spacing w:val="9"/>
        </w:rPr>
        <w:t>股，公司送股及转增股本</w:t>
      </w:r>
      <w:r>
        <w:rPr>
          <w:rFonts w:ascii="Times New Roman" w:hAnsi="Times New Roman" w:cs="Times New Roman" w:eastAsia="Times New Roman" w:hint="default"/>
          <w:spacing w:val="9"/>
        </w:rPr>
        <w:t>485,342,517</w:t>
      </w:r>
      <w:r>
        <w:rPr>
          <w:spacing w:val="9"/>
        </w:rPr>
        <w:t>股。以上送股及转增方案实施后，公司总股本将增加至</w:t>
      </w:r>
      <w:r>
        <w:rPr>
          <w:spacing w:val="-64"/>
        </w:rPr>
        <w:t> </w:t>
      </w:r>
      <w:r>
        <w:rPr>
          <w:spacing w:val="-64"/>
        </w:rPr>
      </w:r>
      <w:r>
        <w:rPr>
          <w:rFonts w:ascii="Times New Roman" w:hAnsi="Times New Roman" w:cs="Times New Roman" w:eastAsia="Times New Roman" w:hint="default"/>
        </w:rPr>
        <w:t>970,685,034</w:t>
      </w:r>
      <w:r>
        <w:rPr/>
        <w:t>股。</w:t>
      </w:r>
    </w:p>
    <w:p>
      <w:pPr>
        <w:spacing w:after="0" w:line="331" w:lineRule="auto"/>
        <w:jc w:val="both"/>
        <w:sectPr>
          <w:pgSz w:w="11910" w:h="16840"/>
          <w:pgMar w:header="0" w:footer="979" w:top="1100" w:bottom="1160" w:left="0" w:right="0"/>
        </w:sectPr>
      </w:pPr>
    </w:p>
    <w:p>
      <w:pPr>
        <w:spacing w:line="240" w:lineRule="auto" w:before="11"/>
        <w:rPr>
          <w:rFonts w:ascii="宋体" w:hAnsi="宋体" w:cs="宋体" w:eastAsia="宋体" w:hint="default"/>
          <w:sz w:val="18"/>
          <w:szCs w:val="18"/>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3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1" w:lineRule="auto" w:before="129"/>
        <w:ind w:right="1130"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日，公司取得中国证监会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356</w:t>
      </w:r>
      <w:r>
        <w:rPr/>
        <w:t>号</w:t>
      </w:r>
      <w:r>
        <w:rPr>
          <w:rFonts w:ascii="Times New Roman" w:hAnsi="Times New Roman" w:cs="Times New Roman" w:eastAsia="Times New Roman" w:hint="default"/>
        </w:rPr>
        <w:t>”</w:t>
      </w:r>
      <w:r>
        <w:rPr/>
        <w:t>《关于核准蓝盾信息安全技术股份有 </w:t>
      </w:r>
      <w:r>
        <w:rPr>
          <w:spacing w:val="-1"/>
        </w:rPr>
        <w:t>限公司向张远鹏等发行股份购买资产并募集配套资金的批复》，核准公司向张远鹏等</w:t>
      </w:r>
      <w:r>
        <w:rPr>
          <w:rFonts w:ascii="Times New Roman" w:hAnsi="Times New Roman" w:cs="Times New Roman" w:eastAsia="Times New Roman" w:hint="default"/>
          <w:spacing w:val="-1"/>
        </w:rPr>
        <w:t>17</w:t>
      </w:r>
      <w:r>
        <w:rPr>
          <w:spacing w:val="-1"/>
        </w:rPr>
        <w:t>名交易对象发行股</w:t>
      </w:r>
      <w:r>
        <w:rPr>
          <w:spacing w:val="-81"/>
        </w:rPr>
        <w:t> </w:t>
      </w:r>
      <w:r>
        <w:rPr>
          <w:spacing w:val="-81"/>
        </w:rPr>
      </w:r>
      <w:r>
        <w:rPr>
          <w:spacing w:val="-1"/>
        </w:rPr>
        <w:t>份购买相关资产事宜，同时核准公司非公开发行不超过</w:t>
      </w:r>
      <w:r>
        <w:rPr>
          <w:rFonts w:ascii="Times New Roman" w:hAnsi="Times New Roman" w:cs="Times New Roman" w:eastAsia="Times New Roman" w:hint="default"/>
          <w:spacing w:val="-1"/>
        </w:rPr>
        <w:t>7,238,305</w:t>
      </w:r>
      <w:r>
        <w:rPr>
          <w:spacing w:val="-1"/>
        </w:rPr>
        <w:t>股新股募集本次发行股份购买资产的配套</w:t>
      </w:r>
      <w:r>
        <w:rPr>
          <w:spacing w:val="-79"/>
        </w:rPr>
        <w:t> </w:t>
      </w:r>
      <w:r>
        <w:rPr>
          <w:spacing w:val="-79"/>
        </w:rPr>
      </w:r>
      <w:r>
        <w:rPr/>
        <w:t>资金。</w:t>
      </w:r>
    </w:p>
    <w:p>
      <w:pPr>
        <w:spacing w:line="240" w:lineRule="auto" w:before="4"/>
        <w:rPr>
          <w:rFonts w:ascii="宋体" w:hAnsi="宋体" w:cs="宋体" w:eastAsia="宋体" w:hint="default"/>
          <w:sz w:val="17"/>
          <w:szCs w:val="1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0"/>
          <w:szCs w:val="20"/>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14" w:lineRule="auto" w:before="111"/>
        <w:ind w:right="1016" w:firstLine="420"/>
        <w:jc w:val="left"/>
      </w:pPr>
      <w:r>
        <w:rPr>
          <w:spacing w:val="-5"/>
        </w:rPr>
        <w:t>报告期内，公司因发生送转股及非公开发行股票，公司总股本由</w:t>
      </w:r>
      <w:r>
        <w:rPr>
          <w:spacing w:val="-50"/>
        </w:rPr>
        <w:t> </w:t>
      </w:r>
      <w:r>
        <w:rPr>
          <w:rFonts w:ascii="Times New Roman" w:hAnsi="Times New Roman" w:cs="Times New Roman" w:eastAsia="Times New Roman" w:hint="default"/>
        </w:rPr>
        <w:t>196,000,000</w:t>
      </w:r>
      <w:r>
        <w:rPr>
          <w:rFonts w:ascii="Times New Roman" w:hAnsi="Times New Roman" w:cs="Times New Roman" w:eastAsia="Times New Roman" w:hint="default"/>
          <w:spacing w:val="2"/>
        </w:rPr>
        <w:t> </w:t>
      </w:r>
      <w:r>
        <w:rPr/>
        <w:t>股增加至</w:t>
      </w:r>
      <w:r>
        <w:rPr>
          <w:spacing w:val="-52"/>
        </w:rPr>
        <w:t> </w:t>
      </w:r>
      <w:r>
        <w:rPr>
          <w:rFonts w:ascii="Times New Roman" w:hAnsi="Times New Roman" w:cs="Times New Roman" w:eastAsia="Times New Roman" w:hint="default"/>
        </w:rPr>
        <w:t>970,685,034</w:t>
      </w:r>
      <w:r>
        <w:rPr>
          <w:rFonts w:ascii="Times New Roman" w:hAnsi="Times New Roman" w:cs="Times New Roman" w:eastAsia="Times New Roman" w:hint="default"/>
          <w:spacing w:val="2"/>
        </w:rPr>
        <w:t> </w:t>
      </w:r>
      <w:r>
        <w:rPr/>
        <w:t>股。 公司基本每股收益、归属于公司普通股股东的每股净资产等财务指标相应产生变动。</w:t>
      </w:r>
    </w:p>
    <w:p>
      <w:pPr>
        <w:spacing w:line="240" w:lineRule="auto" w:before="2"/>
        <w:rPr>
          <w:rFonts w:ascii="宋体" w:hAnsi="宋体" w:cs="宋体" w:eastAsia="宋体" w:hint="default"/>
          <w:sz w:val="18"/>
          <w:szCs w:val="18"/>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18"/>
          <w:szCs w:val="18"/>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844"/>
        <w:gridCol w:w="992"/>
        <w:gridCol w:w="993"/>
        <w:gridCol w:w="992"/>
        <w:gridCol w:w="991"/>
        <w:gridCol w:w="1419"/>
        <w:gridCol w:w="2339"/>
      </w:tblGrid>
      <w:tr>
        <w:trPr>
          <w:trHeight w:val="557"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0" w:right="4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53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9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37,381,400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41,119,540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140,571,144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136,833,004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123"/>
              <w:jc w:val="left"/>
              <w:rPr>
                <w:rFonts w:ascii="宋体" w:hAnsi="宋体" w:cs="宋体" w:eastAsia="宋体" w:hint="default"/>
                <w:sz w:val="18"/>
                <w:szCs w:val="18"/>
              </w:rPr>
            </w:pPr>
            <w:r>
              <w:rPr>
                <w:rFonts w:ascii="宋体" w:hAnsi="宋体" w:cs="宋体" w:eastAsia="宋体" w:hint="default"/>
                <w:sz w:val="18"/>
                <w:szCs w:val="18"/>
              </w:rPr>
              <w:t>非公开发行限售 以及高管锁定</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34" w:lineRule="exact" w:before="15"/>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日解除限售；高管锁定股</w:t>
            </w:r>
            <w:r>
              <w:rPr>
                <w:rFonts w:ascii="宋体" w:hAnsi="宋体" w:cs="宋体" w:eastAsia="宋体" w:hint="default"/>
                <w:sz w:val="18"/>
                <w:szCs w:val="18"/>
              </w:rPr>
              <w:t> 每年按持股总数的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9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37,381,400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41,119,540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141,363,414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137,625,274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123"/>
              <w:jc w:val="left"/>
              <w:rPr>
                <w:rFonts w:ascii="宋体" w:hAnsi="宋体" w:cs="宋体" w:eastAsia="宋体" w:hint="default"/>
                <w:sz w:val="18"/>
                <w:szCs w:val="18"/>
              </w:rPr>
            </w:pPr>
            <w:r>
              <w:rPr>
                <w:rFonts w:ascii="宋体" w:hAnsi="宋体" w:cs="宋体" w:eastAsia="宋体" w:hint="default"/>
                <w:sz w:val="18"/>
                <w:szCs w:val="18"/>
              </w:rPr>
              <w:t>非公开发行限售 以及高管锁定</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32" w:lineRule="exact" w:before="17"/>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日解除限售；高管锁定股</w:t>
            </w:r>
            <w:r>
              <w:rPr>
                <w:rFonts w:ascii="宋体" w:hAnsi="宋体" w:cs="宋体" w:eastAsia="宋体" w:hint="default"/>
                <w:sz w:val="18"/>
                <w:szCs w:val="18"/>
              </w:rPr>
              <w:t> 每年按持股总数的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3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马美容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55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9"/>
              <w:jc w:val="left"/>
              <w:rPr>
                <w:rFonts w:ascii="宋体" w:hAnsi="宋体" w:cs="宋体" w:eastAsia="宋体" w:hint="default"/>
                <w:sz w:val="18"/>
                <w:szCs w:val="18"/>
              </w:rPr>
            </w:pPr>
            <w:r>
              <w:rPr>
                <w:rFonts w:ascii="宋体" w:hAnsi="宋体" w:cs="宋体" w:eastAsia="宋体" w:hint="default"/>
                <w:sz w:val="18"/>
                <w:szCs w:val="18"/>
              </w:rPr>
              <w:t>石河子欣晟股权投资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柯瑞强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192,400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192,400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3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192,400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211,640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654,160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634,920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每年按持股总数的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7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梁发柱</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4,385,924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4,385,924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18,711,660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18,711,660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1" w:lineRule="exact"/>
        <w:jc w:val="lef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844"/>
        <w:gridCol w:w="992"/>
        <w:gridCol w:w="993"/>
        <w:gridCol w:w="992"/>
        <w:gridCol w:w="991"/>
        <w:gridCol w:w="1419"/>
        <w:gridCol w:w="2339"/>
      </w:tblGrid>
      <w:tr>
        <w:trPr>
          <w:trHeight w:val="17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赵隽</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584,738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z w:val="18"/>
              </w:rPr>
              <w:t>584,738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张萍</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2,630,946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2,630,946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王兵</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2,923,694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2,923,694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张宇弋</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4,385,924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4,385,924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程庆国</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4,093,176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4,093,176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6"/>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黎讴</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2,630,944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2,630,944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史利民</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2"/>
                <w:sz w:val="18"/>
              </w:rPr>
              <w:t>11,110,048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2"/>
                <w:sz w:val="18"/>
              </w:rPr>
              <w:t>11,110,048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7"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72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曹冬平</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2,630,944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2,630,944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0"/>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年度财务报表和华 炜科技相关专项审核报告后 的二十个工作日之后分别解 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，第一批</w:t>
            </w:r>
          </w:p>
          <w:p>
            <w:pPr>
              <w:pStyle w:val="TableParagraph"/>
              <w:spacing w:line="226"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）解锁时间拟定于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2" w:lineRule="exact"/>
        <w:jc w:val="lef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1844"/>
        <w:gridCol w:w="992"/>
        <w:gridCol w:w="993"/>
        <w:gridCol w:w="992"/>
        <w:gridCol w:w="991"/>
        <w:gridCol w:w="1419"/>
        <w:gridCol w:w="2339"/>
      </w:tblGrid>
      <w:tr>
        <w:trPr>
          <w:trHeight w:val="149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189"/>
              <w:jc w:val="left"/>
              <w:rPr>
                <w:rFonts w:ascii="宋体" w:hAnsi="宋体" w:cs="宋体" w:eastAsia="宋体" w:hint="default"/>
                <w:sz w:val="18"/>
                <w:szCs w:val="18"/>
              </w:rPr>
            </w:pPr>
            <w:r>
              <w:rPr>
                <w:rFonts w:ascii="宋体" w:hAnsi="宋体" w:cs="宋体" w:eastAsia="宋体" w:hint="default"/>
                <w:sz w:val="18"/>
                <w:szCs w:val="18"/>
              </w:rPr>
              <w:t>中山中科恒业投资管 理有限公司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1,719,820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1,719,820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度财务报表和华炜科技相关 专项审核报告后的二十个工 作日之后分别解锁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，第一批（</w:t>
            </w:r>
            <w:r>
              <w:rPr>
                <w:rFonts w:ascii="Times New Roman" w:hAnsi="Times New Roman" w:cs="Times New Roman" w:eastAsia="Times New Roman" w:hint="default"/>
                <w:sz w:val="18"/>
                <w:szCs w:val="18"/>
              </w:rPr>
              <w:t>40%</w:t>
            </w:r>
            <w:r>
              <w:rPr>
                <w:rFonts w:ascii="宋体" w:hAnsi="宋体" w:cs="宋体" w:eastAsia="宋体" w:hint="default"/>
                <w:sz w:val="18"/>
                <w:szCs w:val="18"/>
              </w:rPr>
              <w:t>）解锁时 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49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32" w:lineRule="exact"/>
              <w:ind w:left="22" w:right="189"/>
              <w:jc w:val="left"/>
              <w:rPr>
                <w:rFonts w:ascii="宋体" w:hAnsi="宋体" w:cs="宋体" w:eastAsia="宋体" w:hint="default"/>
                <w:sz w:val="18"/>
                <w:szCs w:val="18"/>
              </w:rPr>
            </w:pPr>
            <w:r>
              <w:rPr>
                <w:rFonts w:ascii="宋体" w:hAnsi="宋体" w:cs="宋体" w:eastAsia="宋体" w:hint="default"/>
                <w:sz w:val="18"/>
                <w:szCs w:val="18"/>
              </w:rPr>
              <w:t>梅州中科客家创业投 资有限公司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1,719,820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1,719,820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度财务报表和华炜科技相关 专项审核报告后的二十个工 作日之后分别解锁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，第一批（</w:t>
            </w:r>
            <w:r>
              <w:rPr>
                <w:rFonts w:ascii="Times New Roman" w:hAnsi="Times New Roman" w:cs="Times New Roman" w:eastAsia="Times New Roman" w:hint="default"/>
                <w:sz w:val="18"/>
                <w:szCs w:val="18"/>
              </w:rPr>
              <w:t>40%</w:t>
            </w:r>
            <w:r>
              <w:rPr>
                <w:rFonts w:ascii="宋体" w:hAnsi="宋体" w:cs="宋体" w:eastAsia="宋体" w:hint="default"/>
                <w:sz w:val="18"/>
                <w:szCs w:val="18"/>
              </w:rPr>
              <w:t>）解锁时 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49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189"/>
              <w:jc w:val="left"/>
              <w:rPr>
                <w:rFonts w:ascii="宋体" w:hAnsi="宋体" w:cs="宋体" w:eastAsia="宋体" w:hint="default"/>
                <w:sz w:val="18"/>
                <w:szCs w:val="18"/>
              </w:rPr>
            </w:pPr>
            <w:r>
              <w:rPr>
                <w:rFonts w:ascii="宋体" w:hAnsi="宋体" w:cs="宋体" w:eastAsia="宋体" w:hint="default"/>
                <w:sz w:val="18"/>
                <w:szCs w:val="18"/>
              </w:rPr>
              <w:t>中山中科创业投资有 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3,821,822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3,821,822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度财务报表和华炜科技相关 专项审核报告后的二十个工 作日之后分别解锁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，第一批（</w:t>
            </w:r>
            <w:r>
              <w:rPr>
                <w:rFonts w:ascii="Times New Roman" w:hAnsi="Times New Roman" w:cs="Times New Roman" w:eastAsia="Times New Roman" w:hint="default"/>
                <w:sz w:val="18"/>
                <w:szCs w:val="18"/>
              </w:rPr>
              <w:t>40%</w:t>
            </w:r>
            <w:r>
              <w:rPr>
                <w:rFonts w:ascii="宋体" w:hAnsi="宋体" w:cs="宋体" w:eastAsia="宋体" w:hint="default"/>
                <w:sz w:val="18"/>
                <w:szCs w:val="18"/>
              </w:rPr>
              <w:t>）解锁时 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49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189"/>
              <w:jc w:val="left"/>
              <w:rPr>
                <w:rFonts w:ascii="宋体" w:hAnsi="宋体" w:cs="宋体" w:eastAsia="宋体" w:hint="default"/>
                <w:sz w:val="18"/>
                <w:szCs w:val="18"/>
              </w:rPr>
            </w:pPr>
            <w:r>
              <w:rPr>
                <w:rFonts w:ascii="宋体" w:hAnsi="宋体" w:cs="宋体" w:eastAsia="宋体" w:hint="default"/>
                <w:sz w:val="18"/>
                <w:szCs w:val="18"/>
              </w:rPr>
              <w:t>中山中科阜鑫投资管 理有限公司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3,821,822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3,821,822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度财务报表和华炜科技相关 专项审核报告后的二十个工 作日之后分别解锁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，第一批（</w:t>
            </w:r>
            <w:r>
              <w:rPr>
                <w:rFonts w:ascii="Times New Roman" w:hAnsi="Times New Roman" w:cs="Times New Roman" w:eastAsia="Times New Roman" w:hint="default"/>
                <w:sz w:val="18"/>
                <w:szCs w:val="18"/>
              </w:rPr>
              <w:t>40%</w:t>
            </w:r>
            <w:r>
              <w:rPr>
                <w:rFonts w:ascii="宋体" w:hAnsi="宋体" w:cs="宋体" w:eastAsia="宋体" w:hint="default"/>
                <w:sz w:val="18"/>
                <w:szCs w:val="18"/>
              </w:rPr>
              <w:t>）解锁时 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9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89"/>
              <w:jc w:val="both"/>
              <w:rPr>
                <w:rFonts w:ascii="宋体" w:hAnsi="宋体" w:cs="宋体" w:eastAsia="宋体" w:hint="default"/>
                <w:sz w:val="18"/>
                <w:szCs w:val="18"/>
              </w:rPr>
            </w:pPr>
            <w:r>
              <w:rPr>
                <w:rFonts w:ascii="宋体" w:hAnsi="宋体" w:cs="宋体" w:eastAsia="宋体" w:hint="default"/>
                <w:sz w:val="18"/>
                <w:szCs w:val="18"/>
              </w:rPr>
              <w:t>蓝盾信息安全技术股 份有限公司－第一期 员工持股计划</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4,899,774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4,899,774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149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189"/>
              <w:jc w:val="both"/>
              <w:rPr>
                <w:rFonts w:ascii="宋体" w:hAnsi="宋体" w:cs="宋体" w:eastAsia="宋体" w:hint="default"/>
                <w:sz w:val="18"/>
                <w:szCs w:val="18"/>
              </w:rPr>
            </w:pPr>
            <w:r>
              <w:rPr>
                <w:rFonts w:ascii="宋体" w:hAnsi="宋体" w:cs="宋体" w:eastAsia="宋体" w:hint="default"/>
                <w:sz w:val="18"/>
                <w:szCs w:val="18"/>
              </w:rPr>
              <w:t>新疆阳信盈昇股权投 资合伙企业（有限合 伙）</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4,385,924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4,385,924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度财务报表和华炜科技相关 专项审核报告后的二十个工 作日之后分别解锁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，第一批（</w:t>
            </w:r>
            <w:r>
              <w:rPr>
                <w:rFonts w:ascii="Times New Roman" w:hAnsi="Times New Roman" w:cs="Times New Roman" w:eastAsia="Times New Roman" w:hint="default"/>
                <w:sz w:val="18"/>
                <w:szCs w:val="18"/>
              </w:rPr>
              <w:t>40%</w:t>
            </w:r>
            <w:r>
              <w:rPr>
                <w:rFonts w:ascii="宋体" w:hAnsi="宋体" w:cs="宋体" w:eastAsia="宋体" w:hint="default"/>
                <w:sz w:val="18"/>
                <w:szCs w:val="18"/>
              </w:rPr>
              <w:t>）解锁时 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49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189"/>
              <w:jc w:val="left"/>
              <w:rPr>
                <w:rFonts w:ascii="宋体" w:hAnsi="宋体" w:cs="宋体" w:eastAsia="宋体" w:hint="default"/>
                <w:sz w:val="18"/>
                <w:szCs w:val="18"/>
              </w:rPr>
            </w:pPr>
            <w:r>
              <w:rPr>
                <w:rFonts w:ascii="宋体" w:hAnsi="宋体" w:cs="宋体" w:eastAsia="宋体" w:hint="default"/>
                <w:sz w:val="18"/>
                <w:szCs w:val="18"/>
              </w:rPr>
              <w:t>广州至善创业投资合 伙企业（有限合伙）</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3,439,644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3,439,644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度财务报表和华炜科技相关 专项审核报告后的二十个工 作日之后分别解锁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，第一批（</w:t>
            </w:r>
            <w:r>
              <w:rPr>
                <w:rFonts w:ascii="Times New Roman" w:hAnsi="Times New Roman" w:cs="Times New Roman" w:eastAsia="Times New Roman" w:hint="default"/>
                <w:sz w:val="18"/>
                <w:szCs w:val="18"/>
              </w:rPr>
              <w:t>40%</w:t>
            </w:r>
            <w:r>
              <w:rPr>
                <w:rFonts w:ascii="宋体" w:hAnsi="宋体" w:cs="宋体" w:eastAsia="宋体" w:hint="default"/>
                <w:sz w:val="18"/>
                <w:szCs w:val="18"/>
              </w:rPr>
              <w:t>）解锁时 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490"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5"/>
              <w:ind w:left="22" w:right="188"/>
              <w:jc w:val="both"/>
              <w:rPr>
                <w:rFonts w:ascii="宋体" w:hAnsi="宋体" w:cs="宋体" w:eastAsia="宋体" w:hint="default"/>
                <w:sz w:val="18"/>
                <w:szCs w:val="18"/>
              </w:rPr>
            </w:pPr>
            <w:r>
              <w:rPr>
                <w:rFonts w:ascii="宋体" w:hAnsi="宋体" w:cs="宋体" w:eastAsia="宋体" w:hint="default"/>
                <w:sz w:val="18"/>
                <w:szCs w:val="18"/>
              </w:rPr>
              <w:t>上海祥禾泓安股权投 资合伙企业（有限合 伙）</w:t>
            </w:r>
          </w:p>
        </w:tc>
        <w:tc>
          <w:tcPr>
            <w:tcW w:w="992"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3,439,642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3,439,642</w:t>
            </w:r>
          </w:p>
        </w:tc>
        <w:tc>
          <w:tcPr>
            <w:tcW w:w="1419"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339" w:type="dxa"/>
            <w:tcBorders>
              <w:top w:val="single" w:sz="4" w:space="0" w:color="000000"/>
              <w:left w:val="single" w:sz="4" w:space="0" w:color="000000"/>
              <w:bottom w:val="single" w:sz="9" w:space="0" w:color="D2D2D2"/>
              <w:right w:val="single" w:sz="4" w:space="0" w:color="000000"/>
            </w:tcBorders>
          </w:tcPr>
          <w:p>
            <w:pPr>
              <w:pStyle w:val="TableParagraph"/>
              <w:spacing w:line="230"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公司披露</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度财务报表和华炜科技相关 专项审核报告后的二十个工 作日之后分别解锁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，第一批（</w:t>
            </w:r>
            <w:r>
              <w:rPr>
                <w:rFonts w:ascii="Times New Roman" w:hAnsi="Times New Roman" w:cs="Times New Roman" w:eastAsia="Times New Roman" w:hint="default"/>
                <w:sz w:val="18"/>
                <w:szCs w:val="18"/>
              </w:rPr>
              <w:t>40%</w:t>
            </w:r>
            <w:r>
              <w:rPr>
                <w:rFonts w:ascii="宋体" w:hAnsi="宋体" w:cs="宋体" w:eastAsia="宋体" w:hint="default"/>
                <w:sz w:val="18"/>
                <w:szCs w:val="18"/>
              </w:rPr>
              <w:t>）解锁时 间拟定于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Times New Roman"/>
                <w:sz w:val="18"/>
              </w:rPr>
              <w:t>82,947,600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0" w:right="0"/>
              <w:jc w:val="left"/>
              <w:rPr>
                <w:rFonts w:ascii="Times New Roman" w:hAnsi="Times New Roman" w:cs="Times New Roman" w:eastAsia="Times New Roman" w:hint="default"/>
                <w:sz w:val="18"/>
                <w:szCs w:val="18"/>
              </w:rPr>
            </w:pPr>
            <w:r>
              <w:rPr>
                <w:rFonts w:ascii="Times New Roman"/>
                <w:sz w:val="18"/>
              </w:rPr>
              <w:t>90,443,120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363,924,984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356,429,464</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1413"/>
        <w:gridCol w:w="1565"/>
        <w:gridCol w:w="1419"/>
        <w:gridCol w:w="1134"/>
        <w:gridCol w:w="1559"/>
        <w:gridCol w:w="1134"/>
        <w:gridCol w:w="1346"/>
      </w:tblGrid>
      <w:tr>
        <w:trPr>
          <w:trHeight w:val="557"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6"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523" w:right="75"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91" w:right="110"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13"/>
        <w:gridCol w:w="1565"/>
        <w:gridCol w:w="1419"/>
        <w:gridCol w:w="1134"/>
        <w:gridCol w:w="1559"/>
        <w:gridCol w:w="1134"/>
        <w:gridCol w:w="1346"/>
      </w:tblGrid>
      <w:tr>
        <w:trPr>
          <w:trHeight w:val="324"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32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蓝盾股份</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24,610,235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24,610,235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31" w:lineRule="auto" w:before="129"/>
        <w:ind w:right="1132" w:firstLine="420"/>
        <w:jc w:val="both"/>
      </w:pPr>
      <w:r>
        <w:rPr>
          <w:spacing w:val="-1"/>
        </w:rPr>
        <w:t>报告期，公司实施了发行股份及支付现金购买资产并募集配套资金，向张远鹏等</w:t>
      </w:r>
      <w:r>
        <w:rPr>
          <w:rFonts w:ascii="Times New Roman" w:hAnsi="Times New Roman" w:cs="Times New Roman" w:eastAsia="Times New Roman" w:hint="default"/>
          <w:spacing w:val="-1"/>
        </w:rPr>
        <w:t>17</w:t>
      </w:r>
      <w:r>
        <w:rPr>
          <w:spacing w:val="-1"/>
        </w:rPr>
        <w:t>名交易对方发行股</w:t>
      </w:r>
      <w:r>
        <w:rPr/>
        <w:t> </w:t>
      </w:r>
      <w:r>
        <w:rPr>
          <w:spacing w:val="-1"/>
        </w:rPr>
        <w:t>份</w:t>
      </w:r>
      <w:r>
        <w:rPr>
          <w:rFonts w:ascii="Times New Roman" w:hAnsi="Times New Roman" w:cs="Times New Roman" w:eastAsia="Times New Roman" w:hint="default"/>
          <w:spacing w:val="-1"/>
        </w:rPr>
        <w:t>17,371,930</w:t>
      </w:r>
      <w:r>
        <w:rPr>
          <w:spacing w:val="-1"/>
        </w:rPr>
        <w:t>股公司股份并支付</w:t>
      </w:r>
      <w:r>
        <w:rPr>
          <w:rFonts w:ascii="Times New Roman" w:hAnsi="Times New Roman" w:cs="Times New Roman" w:eastAsia="Times New Roman" w:hint="default"/>
          <w:spacing w:val="-1"/>
        </w:rPr>
        <w:t>7,800</w:t>
      </w:r>
      <w:r>
        <w:rPr>
          <w:spacing w:val="-1"/>
        </w:rPr>
        <w:t>万元现金，收购其持有的华炜科技</w:t>
      </w:r>
      <w:r>
        <w:rPr>
          <w:rFonts w:ascii="Times New Roman" w:hAnsi="Times New Roman" w:cs="Times New Roman" w:eastAsia="Times New Roman" w:hint="default"/>
          <w:spacing w:val="-1"/>
        </w:rPr>
        <w:t>100%</w:t>
      </w:r>
      <w:r>
        <w:rPr>
          <w:spacing w:val="-1"/>
        </w:rPr>
        <w:t>股权；同时向公司控股股东和</w:t>
      </w:r>
      <w:r>
        <w:rPr>
          <w:spacing w:val="-95"/>
        </w:rPr>
        <w:t> </w:t>
      </w:r>
      <w:r>
        <w:rPr>
          <w:spacing w:val="-95"/>
        </w:rPr>
      </w:r>
      <w:r>
        <w:rPr/>
        <w:t>实际控制人柯宗庆、柯宗贵以及员工持股计划非公开发行股票</w:t>
      </w:r>
      <w:r>
        <w:rPr>
          <w:rFonts w:ascii="Times New Roman" w:hAnsi="Times New Roman" w:cs="Times New Roman" w:eastAsia="Times New Roman" w:hint="default"/>
        </w:rPr>
        <w:t>7,238,305</w:t>
      </w:r>
      <w:r>
        <w:rPr/>
        <w:t>股募集配套资金。</w:t>
      </w:r>
    </w:p>
    <w:p>
      <w:pPr>
        <w:pStyle w:val="BodyText"/>
        <w:spacing w:line="331" w:lineRule="auto" w:before="20"/>
        <w:ind w:right="1027" w:firstLine="420"/>
        <w:jc w:val="both"/>
      </w:pPr>
      <w:r>
        <w:rPr/>
        <w:t>报告期公司实施了</w:t>
      </w:r>
      <w:r>
        <w:rPr>
          <w:rFonts w:ascii="Times New Roman" w:hAnsi="Times New Roman" w:cs="Times New Roman" w:eastAsia="Times New Roman" w:hint="default"/>
        </w:rPr>
        <w:t>2014</w:t>
      </w:r>
      <w:r>
        <w:rPr/>
        <w:t>年年度利润分配方案，以截止</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14</w:t>
      </w:r>
      <w:r>
        <w:rPr/>
        <w:t>日公司总股本</w:t>
      </w:r>
      <w:r>
        <w:rPr>
          <w:rFonts w:ascii="Times New Roman" w:hAnsi="Times New Roman" w:cs="Times New Roman" w:eastAsia="Times New Roman" w:hint="default"/>
        </w:rPr>
        <w:t>220,610,235</w:t>
      </w:r>
      <w:r>
        <w:rPr>
          <w:rFonts w:ascii="Times New Roman" w:hAnsi="Times New Roman" w:cs="Times New Roman" w:eastAsia="Times New Roman" w:hint="default"/>
          <w:spacing w:val="32"/>
        </w:rPr>
        <w:t> </w:t>
      </w:r>
      <w:r>
        <w:rPr/>
        <w:t>股为基 数向全体股东每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38"/>
        </w:rPr>
        <w:t> </w:t>
      </w:r>
      <w:r>
        <w:rPr/>
        <w:t>股派发现金红利</w:t>
      </w:r>
      <w:r>
        <w:rPr>
          <w:rFonts w:ascii="Times New Roman" w:hAnsi="Times New Roman" w:cs="Times New Roman" w:eastAsia="Times New Roman" w:hint="default"/>
        </w:rPr>
        <w:t>0.1</w:t>
      </w:r>
      <w:r>
        <w:rPr/>
        <w:t>元人民币（含税），合计派发现金红利</w:t>
      </w:r>
      <w:r>
        <w:rPr>
          <w:rFonts w:ascii="Times New Roman" w:hAnsi="Times New Roman" w:cs="Times New Roman" w:eastAsia="Times New Roman" w:hint="default"/>
        </w:rPr>
        <w:t>2,206,102.35</w:t>
      </w:r>
      <w:r>
        <w:rPr/>
        <w:t>元；同时以资本 公积向股东每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12 </w:t>
      </w:r>
      <w:r>
        <w:rPr>
          <w:rFonts w:ascii="Times New Roman" w:hAnsi="Times New Roman" w:cs="Times New Roman" w:eastAsia="Times New Roman" w:hint="default"/>
          <w:spacing w:val="6"/>
        </w:rPr>
        <w:t> </w:t>
      </w:r>
      <w:r>
        <w:rPr>
          <w:spacing w:val="-3"/>
        </w:rPr>
        <w:t>股，合计转增股本</w:t>
      </w:r>
      <w:r>
        <w:rPr>
          <w:rFonts w:ascii="Times New Roman" w:hAnsi="Times New Roman" w:cs="Times New Roman" w:eastAsia="Times New Roman" w:hint="default"/>
          <w:spacing w:val="-3"/>
        </w:rPr>
        <w:t>264,732,282</w:t>
      </w:r>
      <w:r>
        <w:rPr>
          <w:spacing w:val="-3"/>
        </w:rPr>
        <w:t>股。转增股本后公司总股本变更为</w:t>
      </w:r>
      <w:r>
        <w:rPr>
          <w:rFonts w:ascii="Times New Roman" w:hAnsi="Times New Roman" w:cs="Times New Roman" w:eastAsia="Times New Roman" w:hint="default"/>
          <w:spacing w:val="-3"/>
        </w:rPr>
        <w:t>485,342,517</w:t>
      </w:r>
      <w:r>
        <w:rPr>
          <w:spacing w:val="-3"/>
        </w:rPr>
        <w:t>股。</w:t>
      </w:r>
      <w:r>
        <w:rPr/>
      </w:r>
    </w:p>
    <w:p>
      <w:pPr>
        <w:pStyle w:val="BodyText"/>
        <w:spacing w:line="331" w:lineRule="auto" w:before="20"/>
        <w:ind w:left="1134" w:right="1129" w:firstLine="420"/>
        <w:jc w:val="both"/>
      </w:pPr>
      <w:r>
        <w:rPr/>
        <w:t>另外，报告期实施了</w:t>
      </w:r>
      <w:r>
        <w:rPr>
          <w:rFonts w:ascii="Times New Roman" w:hAnsi="Times New Roman" w:cs="Times New Roman" w:eastAsia="Times New Roman" w:hint="default"/>
        </w:rPr>
        <w:t>2015</w:t>
      </w:r>
      <w:r>
        <w:rPr/>
        <w:t>年半年度利润分配方案，以截至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485,342,517</w:t>
      </w:r>
      <w:r>
        <w:rPr/>
        <w:t>股为</w:t>
      </w:r>
      <w:r>
        <w:rPr>
          <w:spacing w:val="1"/>
        </w:rPr>
        <w:t> </w:t>
      </w:r>
      <w:r>
        <w:rPr>
          <w:spacing w:val="-2"/>
        </w:rPr>
        <w:t>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1</w:t>
      </w:r>
      <w:r>
        <w:rPr>
          <w:spacing w:val="-2"/>
        </w:rPr>
        <w:t>股，派发现金红利</w:t>
      </w:r>
      <w:r>
        <w:rPr>
          <w:rFonts w:ascii="Times New Roman" w:hAnsi="Times New Roman" w:cs="Times New Roman" w:eastAsia="Times New Roman" w:hint="default"/>
          <w:spacing w:val="-2"/>
        </w:rPr>
        <w:t>0.25</w:t>
      </w:r>
      <w:r>
        <w:rPr>
          <w:spacing w:val="-2"/>
        </w:rPr>
        <w:t>元（含税），同时，以资本公积金向全体股东每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31"/>
        </w:rPr>
        <w:t> </w:t>
      </w:r>
      <w:r>
        <w:rPr>
          <w:spacing w:val="9"/>
        </w:rPr>
        <w:t>股转增</w:t>
      </w:r>
      <w:r>
        <w:rPr>
          <w:rFonts w:ascii="Times New Roman" w:hAnsi="Times New Roman" w:cs="Times New Roman" w:eastAsia="Times New Roman" w:hint="default"/>
          <w:spacing w:val="9"/>
        </w:rPr>
        <w:t>9</w:t>
      </w:r>
      <w:r>
        <w:rPr>
          <w:spacing w:val="9"/>
        </w:rPr>
        <w:t>股，公司送股及转增股本</w:t>
      </w:r>
      <w:r>
        <w:rPr>
          <w:rFonts w:ascii="Times New Roman" w:hAnsi="Times New Roman" w:cs="Times New Roman" w:eastAsia="Times New Roman" w:hint="default"/>
          <w:spacing w:val="9"/>
        </w:rPr>
        <w:t>485,342,517</w:t>
      </w:r>
      <w:r>
        <w:rPr>
          <w:spacing w:val="9"/>
        </w:rPr>
        <w:t>股。以上送股及转增方案实施后，公司总股本将增加至</w:t>
      </w:r>
      <w:r>
        <w:rPr>
          <w:spacing w:val="-64"/>
        </w:rPr>
        <w:t> </w:t>
      </w:r>
      <w:r>
        <w:rPr>
          <w:spacing w:val="-64"/>
        </w:rPr>
      </w:r>
      <w:r>
        <w:rPr>
          <w:rFonts w:ascii="Times New Roman" w:hAnsi="Times New Roman" w:cs="Times New Roman" w:eastAsia="Times New Roman" w:hint="default"/>
        </w:rPr>
        <w:t>970,685,034</w:t>
      </w:r>
      <w:r>
        <w:rPr/>
        <w:t>股。</w:t>
      </w:r>
    </w:p>
    <w:p>
      <w:pPr>
        <w:spacing w:line="240" w:lineRule="auto" w:before="1"/>
        <w:rPr>
          <w:rFonts w:ascii="宋体" w:hAnsi="宋体" w:cs="宋体" w:eastAsia="宋体" w:hint="default"/>
          <w:sz w:val="16"/>
          <w:szCs w:val="16"/>
        </w:rPr>
      </w:pPr>
    </w:p>
    <w:p>
      <w:pPr>
        <w:pStyle w:val="Heading3"/>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pict>
          <v:shape style="position:absolute;margin-left:449.277008pt;margin-top:53.95734pt;width:85.75pt;height:24.15pt;mso-position-horizontal-relative:page;mso-position-vertical-relative:paragraph;z-index:-85897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54.071716pt;width:52.65pt;height:24pt;mso-position-horizontal-relative:page;mso-position-vertical-relative:paragraph;z-index:-858952" coordorigin="9648,1081" coordsize="1053,480">
            <v:shape style="position:absolute;left:9648;top:1081;width:1053;height:480" coordorigin="9648,1081" coordsize="1053,480" path="m9648,1561l10700,1561,10700,1081,9648,1081,9648,1561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1054"/>
        <w:gridCol w:w="121"/>
        <w:gridCol w:w="872"/>
        <w:gridCol w:w="434"/>
        <w:gridCol w:w="559"/>
        <w:gridCol w:w="528"/>
        <w:gridCol w:w="464"/>
        <w:gridCol w:w="848"/>
        <w:gridCol w:w="508"/>
        <w:gridCol w:w="559"/>
      </w:tblGrid>
      <w:tr>
        <w:trPr>
          <w:trHeight w:val="12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77,431</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71,812</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1"/>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8" w:lineRule="exact"/>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vMerge w:val="restart"/>
            <w:tcBorders>
              <w:top w:val="single" w:sz="4" w:space="0" w:color="000000"/>
              <w:left w:val="single" w:sz="13" w:space="0" w:color="D2D2D2"/>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1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13"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8" w:lineRule="exact"/>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1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37" w:lineRule="auto" w:before="1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547"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1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244"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77"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80" w:hRule="exact"/>
        </w:trPr>
        <w:tc>
          <w:tcPr>
            <w:tcW w:w="14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41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273" w:right="48"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41"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187" w:lineRule="exact"/>
              <w:ind w:left="40" w:right="0"/>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32" w:lineRule="exact" w:before="24"/>
              <w:ind w:left="310" w:right="41"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187" w:lineRule="exact"/>
              <w:ind w:left="40" w:right="0"/>
              <w:jc w:val="left"/>
              <w:rPr>
                <w:rFonts w:ascii="宋体" w:hAnsi="宋体" w:cs="宋体" w:eastAsia="宋体" w:hint="default"/>
                <w:sz w:val="18"/>
                <w:szCs w:val="18"/>
              </w:rPr>
            </w:pPr>
            <w:r>
              <w:rPr>
                <w:rFonts w:ascii="宋体" w:hAnsi="宋体" w:cs="宋体" w:eastAsia="宋体" w:hint="default"/>
                <w:sz w:val="18"/>
                <w:szCs w:val="18"/>
              </w:rPr>
              <w:t>持有无限售</w:t>
            </w:r>
          </w:p>
          <w:p>
            <w:pPr>
              <w:pStyle w:val="TableParagraph"/>
              <w:spacing w:line="232" w:lineRule="exact" w:before="24"/>
              <w:ind w:left="310" w:right="39" w:hanging="270"/>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19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189" w:lineRule="exact"/>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2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915"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6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6"/>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39" w:hRule="exact"/>
        </w:trPr>
        <w:tc>
          <w:tcPr>
            <w:tcW w:w="14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848"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18.44%</w:t>
            </w:r>
          </w:p>
        </w:tc>
        <w:tc>
          <w:tcPr>
            <w:tcW w:w="1054" w:type="dxa"/>
            <w:tcBorders>
              <w:top w:val="single" w:sz="50" w:space="0" w:color="D2D2D2"/>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179,008,904</w:t>
            </w:r>
          </w:p>
        </w:tc>
        <w:tc>
          <w:tcPr>
            <w:tcW w:w="992" w:type="dxa"/>
            <w:gridSpan w:val="2"/>
            <w:tcBorders>
              <w:top w:val="single" w:sz="50" w:space="0" w:color="D2D2D2"/>
              <w:left w:val="single" w:sz="4" w:space="0" w:color="000000"/>
              <w:bottom w:val="single" w:sz="4" w:space="0" w:color="000000"/>
              <w:right w:val="single" w:sz="4" w:space="0" w:color="000000"/>
            </w:tcBorders>
          </w:tcPr>
          <w:p>
            <w:pPr>
              <w:pStyle w:val="TableParagraph"/>
              <w:spacing w:line="198" w:lineRule="exact"/>
              <w:ind w:left="23" w:right="0"/>
              <w:jc w:val="left"/>
              <w:rPr>
                <w:rFonts w:ascii="Times New Roman" w:hAnsi="Times New Roman" w:cs="Times New Roman" w:eastAsia="Times New Roman" w:hint="default"/>
                <w:sz w:val="18"/>
                <w:szCs w:val="18"/>
              </w:rPr>
            </w:pPr>
            <w:r>
              <w:rPr>
                <w:rFonts w:ascii="Times New Roman"/>
                <w:sz w:val="18"/>
              </w:rPr>
              <w:t>141,627,504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Times New Roman" w:hAnsi="Times New Roman" w:cs="Times New Roman" w:eastAsia="Times New Roman" w:hint="default"/>
                <w:sz w:val="18"/>
                <w:szCs w:val="18"/>
              </w:rPr>
            </w:pPr>
            <w:r>
              <w:rPr>
                <w:rFonts w:ascii="Times New Roman"/>
                <w:sz w:val="18"/>
              </w:rPr>
              <w:t>137,625,274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Times New Roman"/>
                <w:sz w:val="18"/>
              </w:rPr>
              <w:t>41,383,630</w:t>
            </w:r>
          </w:p>
        </w:tc>
        <w:tc>
          <w:tcPr>
            <w:tcW w:w="848" w:type="dxa"/>
            <w:tcBorders>
              <w:top w:val="single" w:sz="33" w:space="0" w:color="D2D2D2"/>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33" w:space="0" w:color="D2D2D2"/>
              <w:left w:val="single" w:sz="4" w:space="0" w:color="000000"/>
              <w:bottom w:val="single" w:sz="4" w:space="0" w:color="000000"/>
              <w:right w:val="single" w:sz="4" w:space="0" w:color="000000"/>
            </w:tcBorders>
          </w:tcPr>
          <w:p>
            <w:pPr>
              <w:pStyle w:val="TableParagraph"/>
              <w:spacing w:line="240" w:lineRule="auto" w:before="13"/>
              <w:ind w:left="134" w:right="0"/>
              <w:jc w:val="left"/>
              <w:rPr>
                <w:rFonts w:ascii="Times New Roman" w:hAnsi="Times New Roman" w:cs="Times New Roman" w:eastAsia="Times New Roman" w:hint="default"/>
                <w:sz w:val="18"/>
                <w:szCs w:val="18"/>
              </w:rPr>
            </w:pPr>
            <w:r>
              <w:rPr>
                <w:rFonts w:ascii="Times New Roman"/>
                <w:sz w:val="18"/>
              </w:rPr>
              <w:t>159,640,000</w:t>
            </w: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18.33%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177,952,544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140,571,144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0" w:right="0"/>
              <w:jc w:val="left"/>
              <w:rPr>
                <w:rFonts w:ascii="Times New Roman" w:hAnsi="Times New Roman" w:cs="Times New Roman" w:eastAsia="Times New Roman" w:hint="default"/>
                <w:sz w:val="18"/>
                <w:szCs w:val="18"/>
              </w:rPr>
            </w:pPr>
            <w:r>
              <w:rPr>
                <w:rFonts w:ascii="Times New Roman"/>
                <w:sz w:val="18"/>
              </w:rPr>
              <w:t>136,833,004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41,119,540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137,458,000</w:t>
            </w:r>
          </w:p>
        </w:tc>
      </w:tr>
      <w:tr>
        <w:trPr>
          <w:trHeight w:val="55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4"/>
              <w:jc w:val="left"/>
              <w:rPr>
                <w:rFonts w:ascii="宋体" w:hAnsi="宋体" w:cs="宋体" w:eastAsia="宋体" w:hint="default"/>
                <w:sz w:val="18"/>
                <w:szCs w:val="18"/>
              </w:rPr>
            </w:pPr>
            <w:r>
              <w:rPr>
                <w:rFonts w:ascii="宋体" w:hAnsi="宋体" w:cs="宋体" w:eastAsia="宋体" w:hint="default"/>
                <w:sz w:val="18"/>
                <w:szCs w:val="18"/>
              </w:rPr>
              <w:t>深圳市博益投资 发展有限公司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88,400,000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114,400,000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114,400,000</w:t>
            </w: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18,711,660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18,711,660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7" w:right="0"/>
              <w:jc w:val="left"/>
              <w:rPr>
                <w:rFonts w:ascii="Times New Roman" w:hAnsi="Times New Roman" w:cs="Times New Roman" w:eastAsia="Times New Roman" w:hint="default"/>
                <w:sz w:val="18"/>
                <w:szCs w:val="18"/>
              </w:rPr>
            </w:pPr>
            <w:r>
              <w:rPr>
                <w:rFonts w:ascii="Times New Roman"/>
                <w:sz w:val="18"/>
              </w:rPr>
              <w:t>18,711,660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4" w:right="0"/>
              <w:jc w:val="left"/>
              <w:rPr>
                <w:rFonts w:ascii="Times New Roman" w:hAnsi="Times New Roman" w:cs="Times New Roman" w:eastAsia="Times New Roman" w:hint="default"/>
                <w:sz w:val="18"/>
                <w:szCs w:val="18"/>
              </w:rPr>
            </w:pPr>
            <w:r>
              <w:rPr>
                <w:rFonts w:ascii="Times New Roman"/>
                <w:sz w:val="18"/>
              </w:rPr>
              <w:t>13,100,000</w:t>
            </w:r>
          </w:p>
        </w:tc>
      </w:tr>
      <w:tr>
        <w:trPr>
          <w:trHeight w:val="79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22" w:right="174"/>
              <w:jc w:val="both"/>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 </w:t>
            </w:r>
            <w:r>
              <w:rPr>
                <w:rFonts w:ascii="宋体" w:hAnsi="宋体" w:cs="宋体" w:eastAsia="宋体" w:hint="default"/>
                <w:sz w:val="18"/>
                <w:szCs w:val="18"/>
              </w:rPr>
              <w:t>广发聚丰混合型 证券投资基金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15,699,865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15,699,865</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15,699,865</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1.49%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14,470,746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11,181,940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14,470,746</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97"/>
        <w:gridCol w:w="691"/>
        <w:gridCol w:w="1010"/>
        <w:gridCol w:w="992"/>
        <w:gridCol w:w="426"/>
        <w:gridCol w:w="568"/>
        <w:gridCol w:w="992"/>
        <w:gridCol w:w="283"/>
        <w:gridCol w:w="570"/>
        <w:gridCol w:w="1062"/>
      </w:tblGrid>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史利民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1.14%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11,110,048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11,110,048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Times New Roman" w:hAnsi="Times New Roman" w:cs="Times New Roman" w:eastAsia="Times New Roman" w:hint="default"/>
                <w:sz w:val="18"/>
                <w:szCs w:val="18"/>
              </w:rPr>
            </w:pPr>
            <w:r>
              <w:rPr>
                <w:rFonts w:ascii="Times New Roman"/>
                <w:sz w:val="18"/>
              </w:rPr>
              <w:t>11,110,048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8" w:right="0"/>
              <w:jc w:val="left"/>
              <w:rPr>
                <w:rFonts w:ascii="Times New Roman" w:hAnsi="Times New Roman" w:cs="Times New Roman" w:eastAsia="Times New Roman" w:hint="default"/>
                <w:sz w:val="18"/>
                <w:szCs w:val="18"/>
              </w:rPr>
            </w:pPr>
            <w:r>
              <w:rPr>
                <w:rFonts w:ascii="Times New Roman"/>
                <w:sz w:val="18"/>
              </w:rPr>
              <w:t>6,740,000</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林仙琴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1.08%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10,462,214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8,084,438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10,462,214</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陈娟娟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0.87%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8,410,160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6,498,760</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8,410,160</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潘加波</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0.81%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7,823,314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sz w:val="18"/>
              </w:rPr>
              <w:t>6,045,288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7,823,314</w:t>
            </w:r>
          </w:p>
        </w:tc>
        <w:tc>
          <w:tcPr>
            <w:tcW w:w="853"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1"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557"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1"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left="16" w:right="21"/>
              <w:jc w:val="left"/>
              <w:rPr>
                <w:rFonts w:ascii="宋体" w:hAnsi="宋体" w:cs="宋体" w:eastAsia="宋体" w:hint="default"/>
                <w:sz w:val="18"/>
                <w:szCs w:val="18"/>
              </w:rPr>
            </w:pPr>
            <w:r>
              <w:rPr>
                <w:rFonts w:ascii="宋体" w:hAnsi="宋体" w:cs="宋体" w:eastAsia="宋体" w:hint="default"/>
                <w:spacing w:val="-1"/>
                <w:sz w:val="18"/>
                <w:szCs w:val="18"/>
              </w:rPr>
              <w:t>柯宗庆和柯宗贵为兄弟；田泽训、林仙琴、陈娟娟、潘加波、黄秀玉、黄丽爱、陈海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涛、田汉镇、周俊驹、田少武共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位股东系一致行动关系。</w:t>
            </w:r>
          </w:p>
        </w:tc>
      </w:tr>
      <w:tr>
        <w:trPr>
          <w:trHeight w:val="32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166" w:hRule="exact"/>
        </w:trPr>
        <w:tc>
          <w:tcPr>
            <w:tcW w:w="297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47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52" w:hRule="exact"/>
        </w:trPr>
        <w:tc>
          <w:tcPr>
            <w:tcW w:w="297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1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474" w:type="dxa"/>
            <w:gridSpan w:val="5"/>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978" w:type="dxa"/>
            <w:gridSpan w:val="3"/>
            <w:vMerge/>
            <w:tcBorders>
              <w:left w:val="single" w:sz="4" w:space="0" w:color="000000"/>
              <w:bottom w:val="nil" w:sz="6" w:space="0" w:color="auto"/>
              <w:right w:val="single" w:sz="4" w:space="0" w:color="000000"/>
            </w:tcBorders>
            <w:shd w:val="clear" w:color="auto" w:fill="D2D2D2"/>
          </w:tcPr>
          <w:p>
            <w:pPr/>
          </w:p>
        </w:tc>
        <w:tc>
          <w:tcPr>
            <w:tcW w:w="3119" w:type="dxa"/>
            <w:gridSpan w:val="4"/>
            <w:vMerge/>
            <w:tcBorders>
              <w:left w:val="single" w:sz="4" w:space="0" w:color="000000"/>
              <w:bottom w:val="nil" w:sz="6" w:space="0" w:color="auto"/>
              <w:right w:val="single" w:sz="4" w:space="0" w:color="000000"/>
            </w:tcBorders>
            <w:shd w:val="clear" w:color="auto" w:fill="D2D2D2"/>
          </w:tcPr>
          <w:p>
            <w:pPr/>
          </w:p>
        </w:tc>
        <w:tc>
          <w:tcPr>
            <w:tcW w:w="184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5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6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66" w:hRule="exact"/>
        </w:trPr>
        <w:tc>
          <w:tcPr>
            <w:tcW w:w="297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11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gridSpan w:val="3"/>
            <w:vMerge/>
            <w:tcBorders>
              <w:left w:val="single" w:sz="4" w:space="0" w:color="000000"/>
              <w:bottom w:val="single" w:sz="4" w:space="0" w:color="000000"/>
              <w:right w:val="single" w:sz="4" w:space="0" w:color="000000"/>
            </w:tcBorders>
            <w:shd w:val="clear" w:color="auto" w:fill="D2D2D2"/>
          </w:tcPr>
          <w:p>
            <w:pPr/>
          </w:p>
        </w:tc>
        <w:tc>
          <w:tcPr>
            <w:tcW w:w="1632" w:type="dxa"/>
            <w:gridSpan w:val="2"/>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114,400,000</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5" w:right="0"/>
              <w:jc w:val="left"/>
              <w:rPr>
                <w:rFonts w:ascii="Times New Roman" w:hAnsi="Times New Roman" w:cs="Times New Roman" w:eastAsia="Times New Roman" w:hint="default"/>
                <w:sz w:val="18"/>
                <w:szCs w:val="18"/>
              </w:rPr>
            </w:pPr>
            <w:r>
              <w:rPr>
                <w:rFonts w:ascii="Times New Roman"/>
                <w:sz w:val="18"/>
              </w:rPr>
              <w:t>114,400,000</w:t>
            </w:r>
          </w:p>
        </w:tc>
      </w:tr>
      <w:tr>
        <w:trPr>
          <w:trHeight w:val="323"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41,383,630</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8" w:right="0"/>
              <w:jc w:val="left"/>
              <w:rPr>
                <w:rFonts w:ascii="Times New Roman" w:hAnsi="Times New Roman" w:cs="Times New Roman" w:eastAsia="Times New Roman" w:hint="default"/>
                <w:sz w:val="18"/>
                <w:szCs w:val="18"/>
              </w:rPr>
            </w:pPr>
            <w:r>
              <w:rPr>
                <w:rFonts w:ascii="Times New Roman"/>
                <w:sz w:val="18"/>
              </w:rPr>
              <w:t>41,383,630</w:t>
            </w:r>
          </w:p>
        </w:tc>
      </w:tr>
      <w:tr>
        <w:trPr>
          <w:trHeight w:val="32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41,119,540</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5" w:right="0"/>
              <w:jc w:val="left"/>
              <w:rPr>
                <w:rFonts w:ascii="Times New Roman" w:hAnsi="Times New Roman" w:cs="Times New Roman" w:eastAsia="Times New Roman" w:hint="default"/>
                <w:sz w:val="18"/>
                <w:szCs w:val="18"/>
              </w:rPr>
            </w:pPr>
            <w:r>
              <w:rPr>
                <w:rFonts w:ascii="Times New Roman"/>
                <w:sz w:val="18"/>
              </w:rPr>
              <w:t>41,119,540</w:t>
            </w:r>
          </w:p>
        </w:tc>
      </w:tr>
      <w:tr>
        <w:trPr>
          <w:trHeight w:val="557"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62"/>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广发聚丰混合型证券 投资基金</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15,699,865</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88" w:right="0"/>
              <w:jc w:val="left"/>
              <w:rPr>
                <w:rFonts w:ascii="Times New Roman" w:hAnsi="Times New Roman" w:cs="Times New Roman" w:eastAsia="Times New Roman" w:hint="default"/>
                <w:sz w:val="18"/>
                <w:szCs w:val="18"/>
              </w:rPr>
            </w:pPr>
            <w:r>
              <w:rPr>
                <w:rFonts w:ascii="Times New Roman"/>
                <w:sz w:val="18"/>
              </w:rPr>
              <w:t>15,699,865</w:t>
            </w:r>
          </w:p>
        </w:tc>
      </w:tr>
      <w:tr>
        <w:trPr>
          <w:trHeight w:val="32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田泽训</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14,470,746</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8" w:right="0"/>
              <w:jc w:val="left"/>
              <w:rPr>
                <w:rFonts w:ascii="Times New Roman" w:hAnsi="Times New Roman" w:cs="Times New Roman" w:eastAsia="Times New Roman" w:hint="default"/>
                <w:sz w:val="18"/>
                <w:szCs w:val="18"/>
              </w:rPr>
            </w:pPr>
            <w:r>
              <w:rPr>
                <w:rFonts w:ascii="Times New Roman"/>
                <w:sz w:val="18"/>
              </w:rPr>
              <w:t>14,470,746</w:t>
            </w:r>
          </w:p>
        </w:tc>
      </w:tr>
      <w:tr>
        <w:trPr>
          <w:trHeight w:val="323"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林仙琴</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10,462,214</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88" w:right="0"/>
              <w:jc w:val="left"/>
              <w:rPr>
                <w:rFonts w:ascii="Times New Roman" w:hAnsi="Times New Roman" w:cs="Times New Roman" w:eastAsia="Times New Roman" w:hint="default"/>
                <w:sz w:val="18"/>
                <w:szCs w:val="18"/>
              </w:rPr>
            </w:pPr>
            <w:r>
              <w:rPr>
                <w:rFonts w:ascii="Times New Roman"/>
                <w:sz w:val="18"/>
              </w:rPr>
              <w:t>10,462,214</w:t>
            </w:r>
          </w:p>
        </w:tc>
      </w:tr>
      <w:tr>
        <w:trPr>
          <w:trHeight w:val="32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陈娟娟</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8,410,160</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8" w:right="0"/>
              <w:jc w:val="left"/>
              <w:rPr>
                <w:rFonts w:ascii="Times New Roman" w:hAnsi="Times New Roman" w:cs="Times New Roman" w:eastAsia="Times New Roman" w:hint="default"/>
                <w:sz w:val="18"/>
                <w:szCs w:val="18"/>
              </w:rPr>
            </w:pPr>
            <w:r>
              <w:rPr>
                <w:rFonts w:ascii="Times New Roman"/>
                <w:sz w:val="18"/>
              </w:rPr>
              <w:t>8,410,160</w:t>
            </w:r>
          </w:p>
        </w:tc>
      </w:tr>
      <w:tr>
        <w:trPr>
          <w:trHeight w:val="323"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潘加波</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7,823,314</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8" w:right="0"/>
              <w:jc w:val="left"/>
              <w:rPr>
                <w:rFonts w:ascii="Times New Roman" w:hAnsi="Times New Roman" w:cs="Times New Roman" w:eastAsia="Times New Roman" w:hint="default"/>
                <w:sz w:val="18"/>
                <w:szCs w:val="18"/>
              </w:rPr>
            </w:pPr>
            <w:r>
              <w:rPr>
                <w:rFonts w:ascii="Times New Roman"/>
                <w:sz w:val="18"/>
              </w:rPr>
              <w:t>7,823,314</w:t>
            </w:r>
          </w:p>
        </w:tc>
      </w:tr>
      <w:tr>
        <w:trPr>
          <w:trHeight w:val="324"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7,364,358</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78" w:right="0"/>
              <w:jc w:val="left"/>
              <w:rPr>
                <w:rFonts w:ascii="Times New Roman" w:hAnsi="Times New Roman" w:cs="Times New Roman" w:eastAsia="Times New Roman" w:hint="default"/>
                <w:sz w:val="18"/>
                <w:szCs w:val="18"/>
              </w:rPr>
            </w:pPr>
            <w:r>
              <w:rPr>
                <w:rFonts w:ascii="Times New Roman"/>
                <w:sz w:val="18"/>
              </w:rPr>
              <w:t>7,364,358</w:t>
            </w:r>
          </w:p>
        </w:tc>
      </w:tr>
      <w:tr>
        <w:trPr>
          <w:trHeight w:val="323" w:hRule="exact"/>
        </w:trPr>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黄秀玉</w:t>
            </w:r>
          </w:p>
        </w:tc>
        <w:tc>
          <w:tcPr>
            <w:tcW w:w="31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6,868,034</w:t>
            </w:r>
          </w:p>
        </w:tc>
        <w:tc>
          <w:tcPr>
            <w:tcW w:w="18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78" w:right="0"/>
              <w:jc w:val="left"/>
              <w:rPr>
                <w:rFonts w:ascii="Times New Roman" w:hAnsi="Times New Roman" w:cs="Times New Roman" w:eastAsia="Times New Roman" w:hint="default"/>
                <w:sz w:val="18"/>
                <w:szCs w:val="18"/>
              </w:rPr>
            </w:pPr>
            <w:r>
              <w:rPr>
                <w:rFonts w:ascii="Times New Roman"/>
                <w:sz w:val="18"/>
              </w:rPr>
              <w:t>6,868,034</w:t>
            </w:r>
          </w:p>
        </w:tc>
      </w:tr>
      <w:tr>
        <w:trPr>
          <w:trHeight w:val="791"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名无限售流通股股东之间，以及</w:t>
            </w:r>
          </w:p>
          <w:p>
            <w:pPr>
              <w:pStyle w:val="TableParagraph"/>
              <w:spacing w:line="234" w:lineRule="exact" w:before="15"/>
              <w:ind w:left="22" w:right="6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股东之间关联关系或一致行动的说明</w:t>
            </w:r>
          </w:p>
        </w:tc>
        <w:tc>
          <w:tcPr>
            <w:tcW w:w="65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79"/>
              <w:jc w:val="left"/>
              <w:rPr>
                <w:rFonts w:ascii="宋体" w:hAnsi="宋体" w:cs="宋体" w:eastAsia="宋体" w:hint="default"/>
                <w:sz w:val="18"/>
                <w:szCs w:val="18"/>
              </w:rPr>
            </w:pPr>
            <w:r>
              <w:rPr>
                <w:rFonts w:ascii="宋体" w:hAnsi="宋体" w:cs="宋体" w:eastAsia="宋体" w:hint="default"/>
                <w:sz w:val="18"/>
                <w:szCs w:val="18"/>
              </w:rPr>
              <w:t>柯宗庆和柯宗贵为兄弟；田泽训、林仙琴、陈娟娟、潘加波、黄秀玉、黄丽爱、陈 海涛、田汉镇、周俊驹、田少武共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位股东系一致行动关系。</w:t>
            </w:r>
          </w:p>
        </w:tc>
      </w:tr>
      <w:tr>
        <w:trPr>
          <w:trHeight w:val="1490"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63"/>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594" w:type="dxa"/>
            <w:gridSpan w:val="9"/>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股东田泽训通过海通证券股份有限公司客户信用交易担保证券账户持有公司股票</w:t>
            </w:r>
          </w:p>
          <w:p>
            <w:pPr>
              <w:pStyle w:val="TableParagraph"/>
              <w:spacing w:line="24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14,470,746 </w:t>
            </w:r>
            <w:r>
              <w:rPr>
                <w:rFonts w:ascii="宋体" w:hAnsi="宋体" w:cs="宋体" w:eastAsia="宋体" w:hint="default"/>
                <w:sz w:val="18"/>
                <w:szCs w:val="18"/>
              </w:rPr>
              <w:t>股</w:t>
            </w:r>
            <w:r>
              <w:rPr>
                <w:rFonts w:ascii="宋体" w:hAnsi="宋体" w:cs="宋体" w:eastAsia="宋体" w:hint="default"/>
                <w:spacing w:val="-80"/>
                <w:sz w:val="18"/>
                <w:szCs w:val="18"/>
              </w:rPr>
              <w:t>；</w:t>
            </w:r>
            <w:r>
              <w:rPr>
                <w:rFonts w:ascii="宋体" w:hAnsi="宋体" w:cs="宋体" w:eastAsia="宋体" w:hint="default"/>
                <w:sz w:val="18"/>
                <w:szCs w:val="18"/>
              </w:rPr>
              <w:t>股东林仙琴通过东北证券股份有限公司客户信用交易担保证券账户持</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10,462,214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股；股东陈娟娟通过海通证券股份有限公司客户信用交易担</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保证券账户持有公司股票</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8,410,160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股；股东潘加波通过东北证券股份有限公司客户</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信用交易担保证券账户持有公司股票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7,823,314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股；股东黄秀玉通过东北证券股份有</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6,868,034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2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23"/>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0"/>
        <w:rPr>
          <w:rFonts w:ascii="宋体" w:hAnsi="宋体" w:cs="宋体" w:eastAsia="宋体" w:hint="default"/>
          <w:b/>
          <w:bCs/>
          <w:sz w:val="22"/>
          <w:szCs w:val="22"/>
        </w:rPr>
      </w:pPr>
    </w:p>
    <w:p>
      <w:pPr>
        <w:spacing w:line="278"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0"/>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32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86"/>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年至今任本公司董事长；柯宗贵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年至今任本公司副董事长 兼总裁。</w:t>
            </w:r>
          </w:p>
        </w:tc>
      </w:tr>
      <w:tr>
        <w:trPr>
          <w:trHeight w:val="558"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11"/>
        <w:rPr>
          <w:rFonts w:ascii="宋体" w:hAnsi="宋体" w:cs="宋体" w:eastAsia="宋体" w:hint="default"/>
          <w:sz w:val="18"/>
          <w:szCs w:val="18"/>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264" w:lineRule="auto" w:before="3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133"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2"/>
        <w:rPr>
          <w:rFonts w:ascii="宋体" w:hAnsi="宋体" w:cs="宋体" w:eastAsia="宋体" w:hint="default"/>
          <w:b/>
          <w:bCs/>
          <w:sz w:val="21"/>
          <w:szCs w:val="21"/>
        </w:rPr>
      </w:pPr>
    </w:p>
    <w:p>
      <w:pPr>
        <w:spacing w:line="278"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0"/>
        <w:rPr>
          <w:rFonts w:ascii="宋体" w:hAnsi="宋体" w:cs="宋体" w:eastAsia="宋体" w:hint="default"/>
          <w:sz w:val="3"/>
          <w:szCs w:val="3"/>
        </w:rPr>
      </w:pP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5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23"/>
              <w:jc w:val="left"/>
              <w:rPr>
                <w:rFonts w:ascii="宋体" w:hAnsi="宋体" w:cs="宋体" w:eastAsia="宋体" w:hint="default"/>
                <w:sz w:val="18"/>
                <w:szCs w:val="18"/>
              </w:rPr>
            </w:pPr>
            <w:r>
              <w:rPr>
                <w:rFonts w:ascii="宋体" w:hAnsi="宋体" w:cs="宋体" w:eastAsia="宋体" w:hint="default"/>
                <w:sz w:val="18"/>
                <w:szCs w:val="18"/>
              </w:rPr>
              <w:t>柯宗庆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年至今任本公司董事长；柯宗贵</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年至今任本公司副董事长兼 总裁。</w:t>
            </w:r>
          </w:p>
        </w:tc>
      </w:tr>
      <w:tr>
        <w:trPr>
          <w:trHeight w:val="32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271" w:lineRule="auto" w:before="38"/>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6"/>
        <w:rPr>
          <w:rFonts w:ascii="宋体" w:hAnsi="宋体" w:cs="宋体" w:eastAsia="宋体" w:hint="default"/>
          <w:sz w:val="15"/>
          <w:szCs w:val="15"/>
        </w:rPr>
      </w:pPr>
    </w:p>
    <w:p>
      <w:pPr>
        <w:spacing w:line="2970" w:lineRule="exact"/>
        <w:ind w:left="2539"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334320" cy="188595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27" cstate="print"/>
                    <a:stretch>
                      <a:fillRect/>
                    </a:stretch>
                  </pic:blipFill>
                  <pic:spPr>
                    <a:xfrm>
                      <a:off x="0" y="0"/>
                      <a:ext cx="4334320" cy="1885950"/>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3"/>
        <w:rPr>
          <w:rFonts w:ascii="宋体" w:hAnsi="宋体" w:cs="宋体" w:eastAsia="宋体" w:hint="default"/>
          <w:sz w:val="13"/>
          <w:szCs w:val="1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2"/>
        <w:rPr>
          <w:rFonts w:ascii="宋体" w:hAnsi="宋体" w:cs="宋体" w:eastAsia="宋体" w:hint="default"/>
          <w:b/>
          <w:bCs/>
          <w:sz w:val="21"/>
          <w:szCs w:val="21"/>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556"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558"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王廉君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09"/>
              <w:jc w:val="left"/>
              <w:rPr>
                <w:rFonts w:ascii="宋体" w:hAnsi="宋体" w:cs="宋体" w:eastAsia="宋体" w:hint="default"/>
                <w:sz w:val="18"/>
                <w:szCs w:val="18"/>
              </w:rPr>
            </w:pPr>
            <w:r>
              <w:rPr>
                <w:rFonts w:ascii="宋体" w:hAnsi="宋体" w:cs="宋体" w:eastAsia="宋体" w:hint="default"/>
                <w:sz w:val="18"/>
                <w:szCs w:val="18"/>
              </w:rPr>
              <w:t>投资兴办实业；投资信息 咨询及其他经济信息咨询</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5"/>
        <w:jc w:val="center"/>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spacing w:line="264"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264"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660"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7"/>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9"/>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987" w:type="dxa"/>
        <w:tblLayout w:type="fixed"/>
        <w:tblCellMar>
          <w:top w:w="0" w:type="dxa"/>
          <w:left w:w="0" w:type="dxa"/>
          <w:bottom w:w="0" w:type="dxa"/>
          <w:right w:w="0" w:type="dxa"/>
        </w:tblCellMar>
        <w:tblLook w:val="01E0"/>
      </w:tblPr>
      <w:tblGrid>
        <w:gridCol w:w="710"/>
        <w:gridCol w:w="851"/>
        <w:gridCol w:w="566"/>
        <w:gridCol w:w="568"/>
        <w:gridCol w:w="566"/>
        <w:gridCol w:w="993"/>
        <w:gridCol w:w="992"/>
        <w:gridCol w:w="992"/>
        <w:gridCol w:w="850"/>
        <w:gridCol w:w="852"/>
        <w:gridCol w:w="991"/>
        <w:gridCol w:w="992"/>
      </w:tblGrid>
      <w:tr>
        <w:trPr>
          <w:trHeight w:val="790"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00" w:right="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33" w:lineRule="exact"/>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33" w:lineRule="exact"/>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30" w:right="38"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26"/>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37,381,400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140,571,144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177,952,544</w:t>
            </w: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副董事 长、总裁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37,381,400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528,180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141,099,324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179,008,904</w:t>
            </w: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96"/>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1"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846,560</w:t>
            </w: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18,711,660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18,711,660</w:t>
            </w:r>
          </w:p>
        </w:tc>
      </w:tr>
      <w:tr>
        <w:trPr>
          <w:trHeight w:val="55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胡瑞敏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b/>
          <w:bCs/>
          <w:sz w:val="24"/>
          <w:szCs w:val="24"/>
        </w:rPr>
      </w:pPr>
    </w:p>
    <w:tbl>
      <w:tblPr>
        <w:tblW w:w="0" w:type="auto"/>
        <w:jc w:val="left"/>
        <w:tblInd w:w="987" w:type="dxa"/>
        <w:tblLayout w:type="fixed"/>
        <w:tblCellMar>
          <w:top w:w="0" w:type="dxa"/>
          <w:left w:w="0" w:type="dxa"/>
          <w:bottom w:w="0" w:type="dxa"/>
          <w:right w:w="0" w:type="dxa"/>
        </w:tblCellMar>
        <w:tblLook w:val="01E0"/>
      </w:tblPr>
      <w:tblGrid>
        <w:gridCol w:w="710"/>
        <w:gridCol w:w="851"/>
        <w:gridCol w:w="566"/>
        <w:gridCol w:w="568"/>
        <w:gridCol w:w="566"/>
        <w:gridCol w:w="993"/>
        <w:gridCol w:w="992"/>
        <w:gridCol w:w="992"/>
        <w:gridCol w:w="850"/>
        <w:gridCol w:w="852"/>
        <w:gridCol w:w="991"/>
        <w:gridCol w:w="992"/>
      </w:tblGrid>
      <w:tr>
        <w:trPr>
          <w:trHeight w:val="56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851"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right="7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right="173"/>
              <w:jc w:val="right"/>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61</w:t>
            </w:r>
          </w:p>
        </w:tc>
        <w:tc>
          <w:tcPr>
            <w:tcW w:w="993" w:type="dxa"/>
            <w:tcBorders>
              <w:top w:val="single" w:sz="4" w:space="0" w:color="000000"/>
              <w:left w:val="single" w:sz="4" w:space="0" w:color="000000"/>
              <w:bottom w:val="single" w:sz="9" w:space="0" w:color="D2D2D2"/>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9" w:space="0" w:color="D2D2D2"/>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2"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216"/>
              <w:jc w:val="righ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50" w:right="0"/>
              <w:jc w:val="left"/>
              <w:rPr>
                <w:rFonts w:ascii="Times New Roman" w:hAnsi="Times New Roman" w:cs="Times New Roman" w:eastAsia="Times New Roman" w:hint="default"/>
                <w:sz w:val="18"/>
                <w:szCs w:val="18"/>
              </w:rPr>
            </w:pPr>
            <w:r>
              <w:rPr>
                <w:rFonts w:ascii="Times New Roman"/>
                <w:sz w:val="18"/>
              </w:rPr>
              <w:t>74,955,200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2" w:right="0"/>
              <w:jc w:val="left"/>
              <w:rPr>
                <w:rFonts w:ascii="Times New Roman" w:hAnsi="Times New Roman" w:cs="Times New Roman" w:eastAsia="Times New Roman" w:hint="default"/>
                <w:sz w:val="18"/>
                <w:szCs w:val="18"/>
              </w:rPr>
            </w:pPr>
            <w:r>
              <w:rPr>
                <w:rFonts w:ascii="Times New Roman"/>
                <w:sz w:val="18"/>
              </w:rPr>
              <w:t>528,180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8" w:right="0"/>
              <w:jc w:val="left"/>
              <w:rPr>
                <w:rFonts w:ascii="Times New Roman" w:hAnsi="Times New Roman" w:cs="Times New Roman" w:eastAsia="Times New Roman" w:hint="default"/>
                <w:sz w:val="18"/>
                <w:szCs w:val="18"/>
              </w:rPr>
            </w:pPr>
            <w:r>
              <w:rPr>
                <w:rFonts w:ascii="Times New Roman"/>
                <w:sz w:val="18"/>
              </w:rPr>
              <w:t>301,036,288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8" w:right="0"/>
              <w:jc w:val="left"/>
              <w:rPr>
                <w:rFonts w:ascii="Times New Roman" w:hAnsi="Times New Roman" w:cs="Times New Roman" w:eastAsia="Times New Roman" w:hint="default"/>
                <w:sz w:val="18"/>
                <w:szCs w:val="18"/>
              </w:rPr>
            </w:pPr>
            <w:r>
              <w:rPr>
                <w:rFonts w:ascii="Times New Roman"/>
                <w:sz w:val="18"/>
              </w:rPr>
              <w:t>376,519,668</w:t>
            </w:r>
          </w:p>
        </w:tc>
      </w:tr>
    </w:tbl>
    <w:p>
      <w:pPr>
        <w:spacing w:line="240" w:lineRule="auto" w:before="6"/>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2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55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55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胡瑞敏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2"/>
        <w:rPr>
          <w:rFonts w:ascii="宋体" w:hAnsi="宋体" w:cs="宋体" w:eastAsia="宋体" w:hint="default"/>
          <w:b/>
          <w:bCs/>
          <w:sz w:val="17"/>
          <w:szCs w:val="17"/>
        </w:rPr>
      </w:pPr>
    </w:p>
    <w:p>
      <w:pPr>
        <w:pStyle w:val="Heading2"/>
        <w:spacing w:line="240" w:lineRule="auto" w:before="26"/>
        <w:ind w:left="1134" w:right="0"/>
        <w:jc w:val="left"/>
        <w:rPr>
          <w:b w:val="0"/>
          <w:bCs w:val="0"/>
        </w:rPr>
      </w:pPr>
      <w:bookmarkStart w:name="三、任职情况" w:id="122"/>
      <w:bookmarkEnd w:id="122"/>
      <w:r>
        <w:rPr>
          <w:b w:val="0"/>
          <w:bCs w:val="0"/>
        </w:rPr>
      </w:r>
      <w:r>
        <w:rPr/>
        <w:t>三、任职情况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336" w:lineRule="auto" w:before="143"/>
        <w:ind w:left="1134" w:right="1128" w:firstLine="396"/>
        <w:jc w:val="both"/>
      </w:pPr>
      <w:r>
        <w:rPr>
          <w:rFonts w:ascii="宋体" w:hAnsi="宋体" w:cs="宋体" w:eastAsia="宋体" w:hint="default"/>
          <w:b/>
          <w:bCs/>
        </w:rPr>
        <w:t>柯宗庆：</w:t>
      </w:r>
      <w:r>
        <w:rPr/>
        <w:t>男，</w:t>
      </w:r>
      <w:r>
        <w:rPr>
          <w:rFonts w:ascii="Times New Roman" w:hAnsi="Times New Roman" w:cs="Times New Roman" w:eastAsia="Times New Roman" w:hint="default"/>
        </w:rPr>
        <w:t>1956</w:t>
      </w:r>
      <w:r>
        <w:rPr/>
        <w:t>年出生，中国国籍，无境外永久居留权。</w:t>
      </w:r>
      <w:r>
        <w:rPr>
          <w:rFonts w:ascii="Times New Roman" w:hAnsi="Times New Roman" w:cs="Times New Roman" w:eastAsia="Times New Roman" w:hint="default"/>
        </w:rPr>
        <w:t>1981</w:t>
      </w:r>
      <w:r>
        <w:rPr/>
        <w:t>年毕业于华南师范大学物理系，广东 </w:t>
      </w:r>
      <w:r>
        <w:rPr>
          <w:spacing w:val="-1"/>
        </w:rPr>
        <w:t>省计算机信息网络安全协会副会长，广东省计算机学会副理事长。曾任职于华南师范大学生物系、华南师</w:t>
      </w:r>
      <w:r>
        <w:rPr>
          <w:spacing w:val="-83"/>
        </w:rPr>
        <w:t> </w:t>
      </w:r>
      <w:r>
        <w:rPr>
          <w:spacing w:val="-83"/>
        </w:rPr>
      </w:r>
      <w:r>
        <w:rPr/>
        <w:t>范大学微电子所、广东水晶球技术发展有限公司、广州水晶球信息技术有限公司；</w:t>
      </w:r>
      <w:r>
        <w:rPr>
          <w:rFonts w:ascii="Times New Roman" w:hAnsi="Times New Roman" w:cs="Times New Roman" w:eastAsia="Times New Roman" w:hint="default"/>
        </w:rPr>
        <w:t>2002</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w:t>
      </w:r>
      <w:r>
        <w:rPr>
          <w:spacing w:val="-25"/>
        </w:rPr>
        <w:t> </w:t>
      </w:r>
      <w:r>
        <w:rPr/>
        <w:t>职广东天海威数码技术有限公司，</w:t>
      </w:r>
      <w:r>
        <w:rPr>
          <w:rFonts w:ascii="Times New Roman" w:hAnsi="Times New Roman" w:cs="Times New Roman" w:eastAsia="Times New Roman" w:hint="default"/>
        </w:rPr>
        <w:t>2009</w:t>
      </w:r>
      <w:r>
        <w:rPr/>
        <w:t>年至今任蓝盾信息安全技术股份有限公司董事长。</w:t>
      </w:r>
    </w:p>
    <w:p>
      <w:pPr>
        <w:pStyle w:val="BodyText"/>
        <w:spacing w:line="340" w:lineRule="auto" w:before="56"/>
        <w:ind w:right="1131" w:firstLine="471"/>
        <w:jc w:val="both"/>
      </w:pPr>
      <w:r>
        <w:rPr>
          <w:rFonts w:ascii="宋体" w:hAnsi="宋体" w:cs="宋体" w:eastAsia="宋体" w:hint="default"/>
          <w:b/>
          <w:bCs/>
          <w:spacing w:val="-2"/>
        </w:rPr>
        <w:t>柯宗贵：</w:t>
      </w:r>
      <w:r>
        <w:rPr>
          <w:spacing w:val="-2"/>
        </w:rPr>
        <w:t>男，</w:t>
      </w:r>
      <w:r>
        <w:rPr>
          <w:rFonts w:ascii="Times New Roman" w:hAnsi="Times New Roman" w:cs="Times New Roman" w:eastAsia="Times New Roman" w:hint="default"/>
          <w:spacing w:val="-2"/>
        </w:rPr>
        <w:t>1969</w:t>
      </w:r>
      <w:r>
        <w:rPr>
          <w:spacing w:val="-2"/>
        </w:rPr>
        <w:t>年出生，中国国籍，无境外永久居留权。</w:t>
      </w:r>
      <w:r>
        <w:rPr>
          <w:rFonts w:ascii="Times New Roman" w:hAnsi="Times New Roman" w:cs="Times New Roman" w:eastAsia="Times New Roman" w:hint="default"/>
          <w:spacing w:val="-2"/>
        </w:rPr>
        <w:t>1992</w:t>
      </w:r>
      <w:r>
        <w:rPr>
          <w:spacing w:val="-2"/>
        </w:rPr>
        <w:t>年毕业于深圳大学电子工程系，获学</w:t>
      </w:r>
      <w:r>
        <w:rPr/>
        <w:t> </w:t>
      </w:r>
      <w:r>
        <w:rPr>
          <w:spacing w:val="-1"/>
        </w:rPr>
        <w:t>士学位，广东省计算机信息网络安全协会信息网络安全技术专家委员会委员，广州市计算机信息网络安全</w:t>
      </w:r>
      <w:r>
        <w:rPr>
          <w:spacing w:val="-81"/>
        </w:rPr>
        <w:t> </w:t>
      </w:r>
      <w:r>
        <w:rPr>
          <w:spacing w:val="-81"/>
        </w:rPr>
      </w:r>
      <w:r>
        <w:rPr>
          <w:spacing w:val="-1"/>
        </w:rPr>
        <w:t>协会副会长，广州城建职业学院客座教授。曾获公安部科学技术三等奖、广州市科技进步二等奖、广州市</w:t>
      </w:r>
      <w:r>
        <w:rPr>
          <w:spacing w:val="-86"/>
        </w:rPr>
        <w:t> </w:t>
      </w:r>
      <w:r>
        <w:rPr>
          <w:spacing w:val="-86"/>
        </w:rPr>
      </w:r>
      <w:r>
        <w:rPr>
          <w:spacing w:val="-1"/>
        </w:rPr>
        <w:t>科学技术三等奖，编著《计算机网络安全实用技术》。曾任职于香港中银电脑（深圳）软件开发中心、广</w:t>
      </w:r>
      <w:r>
        <w:rPr>
          <w:spacing w:val="-85"/>
        </w:rPr>
        <w:t> </w:t>
      </w:r>
      <w:r>
        <w:rPr>
          <w:spacing w:val="-85"/>
        </w:rPr>
      </w:r>
      <w:r>
        <w:rPr/>
        <w:t>东水晶球技术发展有限公司、广州水晶球信息技术有限公司；</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月任职广东天海威数码技</w:t>
      </w:r>
      <w:r>
        <w:rPr>
          <w:spacing w:val="-30"/>
        </w:rPr>
        <w:t> </w:t>
      </w:r>
      <w:r>
        <w:rPr>
          <w:spacing w:val="-30"/>
        </w:rPr>
      </w:r>
      <w:r>
        <w:rPr/>
        <w:t>术有限公司，</w:t>
      </w:r>
      <w:r>
        <w:rPr>
          <w:rFonts w:ascii="Times New Roman" w:hAnsi="Times New Roman" w:cs="Times New Roman" w:eastAsia="Times New Roman" w:hint="default"/>
        </w:rPr>
        <w:t>2009</w:t>
      </w:r>
      <w:r>
        <w:rPr/>
        <w:t>年至今任蓝盾信息安全技术股份有限公司副董事长兼总裁。</w:t>
      </w:r>
    </w:p>
    <w:p>
      <w:pPr>
        <w:pStyle w:val="BodyText"/>
        <w:spacing w:line="331" w:lineRule="auto" w:before="52"/>
        <w:ind w:right="1026" w:firstLine="482"/>
        <w:jc w:val="left"/>
      </w:pPr>
      <w:r>
        <w:rPr>
          <w:rFonts w:ascii="宋体" w:hAnsi="宋体" w:cs="宋体" w:eastAsia="宋体" w:hint="default"/>
          <w:b/>
          <w:bCs/>
        </w:rPr>
        <w:t>黄泽华：</w:t>
      </w:r>
      <w:r>
        <w:rPr/>
        <w:t>男，</w:t>
      </w:r>
      <w:r>
        <w:rPr>
          <w:rFonts w:ascii="Times New Roman" w:hAnsi="Times New Roman" w:cs="Times New Roman" w:eastAsia="Times New Roman" w:hint="default"/>
        </w:rPr>
        <w:t>1969</w:t>
      </w:r>
      <w:r>
        <w:rPr/>
        <w:t>年出生，中国国籍，无境外永久居留权，中专学历。</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11</w:t>
      </w:r>
      <w:r>
        <w:rPr/>
        <w:t>月，任 </w:t>
      </w:r>
      <w:r>
        <w:rPr>
          <w:spacing w:val="-3"/>
        </w:rPr>
        <w:t>广州市海洋渔业公司办公室副主任；</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2002</w:t>
      </w:r>
      <w:r>
        <w:rPr>
          <w:spacing w:val="-3"/>
        </w:rPr>
        <w:t>年</w:t>
      </w:r>
      <w:r>
        <w:rPr>
          <w:rFonts w:ascii="Times New Roman" w:hAnsi="Times New Roman" w:cs="Times New Roman" w:eastAsia="Times New Roman" w:hint="default"/>
          <w:spacing w:val="-3"/>
        </w:rPr>
        <w:t>10</w:t>
      </w:r>
      <w:r>
        <w:rPr>
          <w:spacing w:val="-3"/>
        </w:rPr>
        <w:t>月，任广州市燕粤经济发展公司营销副总经理；</w:t>
      </w:r>
      <w:r>
        <w:rPr>
          <w:spacing w:val="-78"/>
        </w:rPr>
        <w:t> </w:t>
      </w:r>
      <w:r>
        <w:rPr>
          <w:spacing w:val="-78"/>
        </w:rPr>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月，任广东天海威数码技术有限公司营销部副总经理；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月，任蓝 盾信息安全技术股份有限公司监事会主席；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月至今任蓝盾信息安全技术股份有限公司董事及副总</w:t>
      </w:r>
      <w:r>
        <w:rPr>
          <w:spacing w:val="-31"/>
        </w:rPr>
        <w:t> </w:t>
      </w:r>
      <w:r>
        <w:rPr>
          <w:spacing w:val="-31"/>
        </w:rPr>
      </w:r>
      <w:r>
        <w:rPr/>
        <w:t>裁。</w:t>
      </w:r>
    </w:p>
    <w:p>
      <w:pPr>
        <w:pStyle w:val="BodyText"/>
        <w:spacing w:line="331" w:lineRule="auto" w:before="85"/>
        <w:ind w:right="1111" w:firstLine="471"/>
        <w:jc w:val="both"/>
      </w:pPr>
      <w:r>
        <w:rPr>
          <w:rFonts w:ascii="宋体" w:hAnsi="宋体" w:cs="宋体" w:eastAsia="宋体" w:hint="default"/>
          <w:b/>
          <w:bCs/>
          <w:spacing w:val="-2"/>
        </w:rPr>
        <w:t>谭晓燕：</w:t>
      </w:r>
      <w:r>
        <w:rPr>
          <w:spacing w:val="-2"/>
        </w:rPr>
        <w:t>女，</w:t>
      </w:r>
      <w:r>
        <w:rPr>
          <w:rFonts w:ascii="Times New Roman" w:hAnsi="Times New Roman" w:cs="Times New Roman" w:eastAsia="Times New Roman" w:hint="default"/>
          <w:spacing w:val="-2"/>
        </w:rPr>
        <w:t>1975</w:t>
      </w:r>
      <w:r>
        <w:rPr>
          <w:spacing w:val="-2"/>
        </w:rPr>
        <w:t>年出生，中国国籍，无境外永久居留权。</w:t>
      </w:r>
      <w:r>
        <w:rPr>
          <w:rFonts w:ascii="Times New Roman" w:hAnsi="Times New Roman" w:cs="Times New Roman" w:eastAsia="Times New Roman" w:hint="default"/>
          <w:spacing w:val="-2"/>
        </w:rPr>
        <w:t>1998</w:t>
      </w:r>
      <w:r>
        <w:rPr>
          <w:spacing w:val="-2"/>
        </w:rPr>
        <w:t>年毕业于暨南大学会计系，获学士学</w:t>
      </w:r>
      <w:r>
        <w:rPr/>
        <w:t> </w:t>
      </w:r>
      <w:r>
        <w:rPr>
          <w:spacing w:val="-1"/>
        </w:rPr>
        <w:t>位；</w:t>
      </w:r>
      <w:r>
        <w:rPr>
          <w:rFonts w:ascii="Times New Roman" w:hAnsi="Times New Roman" w:cs="Times New Roman" w:eastAsia="Times New Roman" w:hint="default"/>
          <w:spacing w:val="-1"/>
        </w:rPr>
        <w:t>2002</w:t>
      </w:r>
      <w:r>
        <w:rPr>
          <w:spacing w:val="-1"/>
        </w:rPr>
        <w:t>年毕业于英国赫尔大学商学院，获工商管理硕士学位。</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w:t>
      </w:r>
      <w:r>
        <w:rPr>
          <w:spacing w:val="-1"/>
        </w:rPr>
        <w:t>月，在佛山市财政局</w:t>
      </w:r>
      <w:r>
        <w:rPr>
          <w:spacing w:val="-81"/>
        </w:rPr>
        <w:t> </w:t>
      </w:r>
      <w:r>
        <w:rPr>
          <w:spacing w:val="-81"/>
        </w:rPr>
      </w:r>
      <w:r>
        <w:rPr/>
        <w:t>任职；</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月，为澳门科技大学基金会属下医疗机构提供财务管理服务及优化运作建议； </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月，在广东天海威数码技术有限公司任职；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月任蓝盾信息安全</w:t>
      </w:r>
    </w:p>
    <w:p>
      <w:pPr>
        <w:spacing w:after="0" w:line="331" w:lineRule="auto"/>
        <w:jc w:val="both"/>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right="0"/>
        <w:jc w:val="left"/>
      </w:pPr>
      <w:r>
        <w:rPr>
          <w:spacing w:val="-1"/>
        </w:rPr>
        <w:t>技术股份有限公司董事会秘书；</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月至今任蓝盾信息安全技术股份有限公司副总裁，</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月至今</w:t>
      </w:r>
      <w:r>
        <w:rPr>
          <w:spacing w:val="-77"/>
        </w:rPr>
        <w:t> </w:t>
      </w:r>
      <w:r>
        <w:rPr/>
        <w:t>任蓝盾信息安全技术股份有限公司董事。</w:t>
      </w:r>
    </w:p>
    <w:p>
      <w:pPr>
        <w:pStyle w:val="BodyText"/>
        <w:spacing w:line="336" w:lineRule="auto" w:before="88"/>
        <w:ind w:right="1130" w:firstLine="482"/>
        <w:jc w:val="both"/>
      </w:pPr>
      <w:r>
        <w:rPr>
          <w:rFonts w:ascii="宋体" w:hAnsi="宋体" w:cs="宋体" w:eastAsia="宋体" w:hint="default"/>
          <w:b/>
          <w:bCs/>
          <w:spacing w:val="-2"/>
        </w:rPr>
        <w:t>赵庆伦</w:t>
      </w:r>
      <w:r>
        <w:rPr>
          <w:spacing w:val="-2"/>
        </w:rPr>
        <w:t>：男，</w:t>
      </w:r>
      <w:r>
        <w:rPr>
          <w:rFonts w:ascii="Times New Roman" w:hAnsi="Times New Roman" w:cs="Times New Roman" w:eastAsia="Times New Roman" w:hint="default"/>
          <w:spacing w:val="-2"/>
        </w:rPr>
        <w:t>1957</w:t>
      </w:r>
      <w:r>
        <w:rPr>
          <w:spacing w:val="-2"/>
        </w:rPr>
        <w:t>年出生，中国国籍，无境外永久居留权。</w:t>
      </w:r>
      <w:r>
        <w:rPr>
          <w:rFonts w:ascii="Times New Roman" w:hAnsi="Times New Roman" w:cs="Times New Roman" w:eastAsia="Times New Roman" w:hint="default"/>
          <w:spacing w:val="-2"/>
        </w:rPr>
        <w:t>1979</w:t>
      </w:r>
      <w:r>
        <w:rPr>
          <w:spacing w:val="-2"/>
        </w:rPr>
        <w:t>年毕业于中南林学院森林工业系运输</w:t>
      </w:r>
      <w:r>
        <w:rPr/>
        <w:t> </w:t>
      </w:r>
      <w:r>
        <w:rPr>
          <w:spacing w:val="-1"/>
        </w:rPr>
        <w:t>机械专业。获讲师职称。</w:t>
      </w:r>
      <w:r>
        <w:rPr>
          <w:rFonts w:ascii="Times New Roman" w:hAnsi="Times New Roman" w:cs="Times New Roman" w:eastAsia="Times New Roman" w:hint="default"/>
          <w:spacing w:val="-1"/>
        </w:rPr>
        <w:t>1974</w:t>
      </w:r>
      <w:r>
        <w:rPr>
          <w:spacing w:val="-1"/>
        </w:rPr>
        <w:t>年参加工作，</w:t>
      </w:r>
      <w:r>
        <w:rPr>
          <w:rFonts w:ascii="Times New Roman" w:hAnsi="Times New Roman" w:cs="Times New Roman" w:eastAsia="Times New Roman" w:hint="default"/>
          <w:spacing w:val="-1"/>
        </w:rPr>
        <w:t>2004</w:t>
      </w:r>
      <w:r>
        <w:rPr>
          <w:spacing w:val="-1"/>
        </w:rPr>
        <w:t>年退休。曾任职于广东省林业厅下属林场，任副场长；曾</w:t>
      </w:r>
      <w:r>
        <w:rPr>
          <w:spacing w:val="-82"/>
        </w:rPr>
        <w:t> </w:t>
      </w:r>
      <w:r>
        <w:rPr>
          <w:spacing w:val="-82"/>
        </w:rPr>
      </w:r>
      <w:r>
        <w:rPr>
          <w:spacing w:val="-1"/>
        </w:rPr>
        <w:t>任职广东省林业中专学校，任党委副书记、副校长；曾任职广州市文化、广播电视、新闻出版局，任办公</w:t>
      </w:r>
      <w:r>
        <w:rPr>
          <w:spacing w:val="-83"/>
        </w:rPr>
        <w:t> </w:t>
      </w:r>
      <w:r>
        <w:rPr>
          <w:spacing w:val="-83"/>
        </w:rPr>
      </w:r>
      <w:r>
        <w:rPr>
          <w:spacing w:val="-3"/>
        </w:rPr>
        <w:t>室副主任、事业处处长、科技处处长、网络安全处处长</w:t>
      </w:r>
      <w:r>
        <w:rPr>
          <w:rFonts w:ascii="Times New Roman" w:hAnsi="Times New Roman" w:cs="Times New Roman" w:eastAsia="Times New Roman" w:hint="default"/>
          <w:spacing w:val="-3"/>
        </w:rPr>
        <w:t>(</w:t>
      </w:r>
      <w:r>
        <w:rPr>
          <w:spacing w:val="-3"/>
        </w:rPr>
        <w:t>兼局机关党委委员、支部书记、广州市建筑智能化</w:t>
      </w:r>
      <w:r>
        <w:rPr>
          <w:spacing w:val="-60"/>
        </w:rPr>
        <w:t> </w:t>
      </w:r>
      <w:r>
        <w:rPr>
          <w:spacing w:val="-60"/>
        </w:rPr>
      </w:r>
      <w:r>
        <w:rPr/>
        <w:t>专家组成员</w:t>
      </w:r>
      <w:r>
        <w:rPr>
          <w:rFonts w:ascii="Times New Roman" w:hAnsi="Times New Roman" w:cs="Times New Roman" w:eastAsia="Times New Roman" w:hint="default"/>
        </w:rPr>
        <w:t>)</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月至今任蓝盾信息安全技术股份有限公司董事。</w:t>
      </w:r>
    </w:p>
    <w:p>
      <w:pPr>
        <w:pStyle w:val="BodyText"/>
        <w:spacing w:line="336" w:lineRule="auto" w:before="56"/>
        <w:ind w:left="1134" w:right="1110" w:firstLine="482"/>
        <w:jc w:val="both"/>
      </w:pPr>
      <w:r>
        <w:rPr>
          <w:rFonts w:ascii="宋体" w:hAnsi="宋体" w:cs="宋体" w:eastAsia="宋体" w:hint="default"/>
          <w:b/>
          <w:bCs/>
          <w:spacing w:val="-2"/>
        </w:rPr>
        <w:t>张远鹏：</w:t>
      </w:r>
      <w:r>
        <w:rPr>
          <w:spacing w:val="-2"/>
        </w:rPr>
        <w:t>男，</w:t>
      </w:r>
      <w:r>
        <w:rPr>
          <w:rFonts w:ascii="Times New Roman" w:hAnsi="Times New Roman" w:cs="Times New Roman" w:eastAsia="Times New Roman" w:hint="default"/>
          <w:spacing w:val="-2"/>
        </w:rPr>
        <w:t>1972</w:t>
      </w:r>
      <w:r>
        <w:rPr>
          <w:spacing w:val="-2"/>
        </w:rPr>
        <w:t>年出生，中国国籍，无境外永久居留权，武汉理工大学</w:t>
      </w:r>
      <w:r>
        <w:rPr>
          <w:rFonts w:ascii="Times New Roman" w:hAnsi="Times New Roman" w:cs="Times New Roman" w:eastAsia="Times New Roman" w:hint="default"/>
          <w:spacing w:val="-2"/>
        </w:rPr>
        <w:t>EMBA</w:t>
      </w:r>
      <w:r>
        <w:rPr>
          <w:spacing w:val="-2"/>
        </w:rPr>
        <w:t>，全国雷电技术标准</w:t>
      </w:r>
      <w:r>
        <w:rPr/>
        <w:t> </w:t>
      </w:r>
      <w:r>
        <w:rPr>
          <w:spacing w:val="-1"/>
        </w:rPr>
        <w:t>化委员会委员，中国质量协会防雷电分会理事；广东省防灾减灾协会副会长。拥有多项发明及实用新型专</w:t>
      </w:r>
      <w:r>
        <w:rPr>
          <w:spacing w:val="-83"/>
        </w:rPr>
        <w:t> </w:t>
      </w:r>
      <w:r>
        <w:rPr>
          <w:spacing w:val="-83"/>
        </w:rPr>
      </w:r>
      <w:r>
        <w:rPr>
          <w:spacing w:val="-1"/>
        </w:rPr>
        <w:t>利技术。</w:t>
      </w:r>
      <w:r>
        <w:rPr>
          <w:rFonts w:ascii="Times New Roman" w:hAnsi="Times New Roman" w:cs="Times New Roman" w:eastAsia="Times New Roman" w:hint="default"/>
          <w:spacing w:val="-1"/>
        </w:rPr>
        <w:t>1998</w:t>
      </w:r>
      <w:r>
        <w:rPr>
          <w:spacing w:val="-1"/>
        </w:rPr>
        <w:t>年创办广州华炜科技有限公司，</w:t>
      </w:r>
      <w:r>
        <w:rPr>
          <w:rFonts w:ascii="Times New Roman" w:hAnsi="Times New Roman" w:cs="Times New Roman" w:eastAsia="Times New Roman" w:hint="default"/>
          <w:spacing w:val="-1"/>
        </w:rPr>
        <w:t>1998</w:t>
      </w:r>
      <w:r>
        <w:rPr>
          <w:spacing w:val="-1"/>
        </w:rPr>
        <w:t>年至</w:t>
      </w:r>
      <w:r>
        <w:rPr>
          <w:rFonts w:ascii="Times New Roman" w:hAnsi="Times New Roman" w:cs="Times New Roman" w:eastAsia="Times New Roman" w:hint="default"/>
          <w:spacing w:val="-1"/>
        </w:rPr>
        <w:t>2012</w:t>
      </w:r>
      <w:r>
        <w:rPr>
          <w:spacing w:val="-1"/>
        </w:rPr>
        <w:t>年任广州华炜科技有限公司总经理；</w:t>
      </w:r>
      <w:r>
        <w:rPr>
          <w:rFonts w:ascii="Times New Roman" w:hAnsi="Times New Roman" w:cs="Times New Roman" w:eastAsia="Times New Roman" w:hint="default"/>
          <w:spacing w:val="-1"/>
        </w:rPr>
        <w:t>2012</w:t>
      </w:r>
      <w:r>
        <w:rPr>
          <w:spacing w:val="-1"/>
        </w:rPr>
        <w:t>年至</w:t>
      </w:r>
      <w:r>
        <w:rPr>
          <w:spacing w:val="-7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月任广州华炜科技股份有限公司董事长、总经理；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月至今任广州华炜科技有限公司董事、 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月至今任蓝盾信息安全技术股份有限公司董事。</w:t>
      </w:r>
    </w:p>
    <w:p>
      <w:pPr>
        <w:pStyle w:val="BodyText"/>
        <w:spacing w:line="336" w:lineRule="auto" w:before="56"/>
        <w:ind w:right="1129" w:firstLine="482"/>
        <w:jc w:val="both"/>
      </w:pPr>
      <w:r>
        <w:rPr>
          <w:rFonts w:ascii="宋体" w:hAnsi="宋体" w:cs="宋体" w:eastAsia="宋体" w:hint="default"/>
          <w:b/>
          <w:bCs/>
          <w:spacing w:val="-2"/>
        </w:rPr>
        <w:t>黎奇：</w:t>
      </w:r>
      <w:r>
        <w:rPr>
          <w:spacing w:val="-2"/>
        </w:rPr>
        <w:t>男，</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3</w:t>
      </w:r>
      <w:r>
        <w:rPr>
          <w:spacing w:val="-2"/>
        </w:rPr>
        <w:t>月出生，中国国籍，无境外永久居留权。华东政法大学经济法学士。</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月至</w:t>
      </w:r>
      <w:r>
        <w:rPr/>
        <w:t> </w:t>
      </w:r>
      <w:r>
        <w:rPr>
          <w:spacing w:val="-2"/>
        </w:rPr>
        <w:t>今在北京市大成（深圳）律师事务所工作，任专职律师</w:t>
      </w:r>
      <w:r>
        <w:rPr>
          <w:rFonts w:ascii="Times New Roman" w:hAnsi="Times New Roman" w:cs="Times New Roman" w:eastAsia="Times New Roman" w:hint="default"/>
          <w:spacing w:val="-2"/>
        </w:rPr>
        <w:t>,</w:t>
      </w:r>
      <w:r>
        <w:rPr>
          <w:spacing w:val="-2"/>
        </w:rPr>
        <w:t>兼任深圳市人大常委会法律助理、深圳市广西商会</w:t>
      </w:r>
      <w:r>
        <w:rPr>
          <w:spacing w:val="-90"/>
        </w:rPr>
        <w:t> </w:t>
      </w:r>
      <w:r>
        <w:rPr>
          <w:spacing w:val="-90"/>
        </w:rPr>
      </w:r>
      <w:r>
        <w:rPr>
          <w:spacing w:val="-1"/>
        </w:rPr>
        <w:t>副秘书长、广西民族大学知识产权学院兼职研究员。黎奇先生在加入大成律师事务所之前，长期担任法官</w:t>
      </w:r>
      <w:r>
        <w:rPr>
          <w:spacing w:val="-83"/>
        </w:rPr>
        <w:t> </w:t>
      </w:r>
      <w:r>
        <w:rPr>
          <w:spacing w:val="-83"/>
        </w:rPr>
      </w:r>
      <w:r>
        <w:rPr>
          <w:spacing w:val="-5"/>
        </w:rPr>
        <w:t>工作，曾先后任职于广西玉林市中级人民法院、广东省深圳市福田区人民法院和深圳市中级人民法院。</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7</w:t>
      </w:r>
      <w:r>
        <w:rPr/>
        <w:t>月至今任蓝盾信息安全技术股份有限公司独立董事。</w:t>
      </w:r>
    </w:p>
    <w:p>
      <w:pPr>
        <w:pStyle w:val="BodyText"/>
        <w:spacing w:line="331" w:lineRule="auto" w:before="57"/>
        <w:ind w:right="1028" w:firstLine="482"/>
        <w:jc w:val="left"/>
      </w:pPr>
      <w:r>
        <w:rPr>
          <w:rFonts w:ascii="宋体" w:hAnsi="宋体" w:cs="宋体" w:eastAsia="宋体" w:hint="default"/>
          <w:b/>
          <w:bCs/>
        </w:rPr>
        <w:t>谭跃：</w:t>
      </w:r>
      <w:r>
        <w:rPr/>
        <w:t>男，</w:t>
      </w:r>
      <w:r>
        <w:rPr>
          <w:rFonts w:ascii="Times New Roman" w:hAnsi="Times New Roman" w:cs="Times New Roman" w:eastAsia="Times New Roman" w:hint="default"/>
        </w:rPr>
        <w:t>1959</w:t>
      </w:r>
      <w:r>
        <w:rPr/>
        <w:t>年出生，中国国籍，无境外永久居留权，香港中文大学，商学院，财务金融学专业， 博士研究生</w:t>
      </w:r>
      <w:r>
        <w:rPr>
          <w:rFonts w:ascii="宋体" w:hAnsi="宋体" w:cs="宋体" w:eastAsia="宋体" w:hint="default"/>
        </w:rPr>
        <w:t>/</w:t>
      </w:r>
      <w:r>
        <w:rPr/>
        <w:t>博士。</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月在暨南大学管理学院工作，执行院长；近年来主持并参与国家 等各级科研项目近</w:t>
      </w:r>
      <w:r>
        <w:rPr>
          <w:rFonts w:ascii="Times New Roman" w:hAnsi="Times New Roman" w:cs="Times New Roman" w:eastAsia="Times New Roman" w:hint="default"/>
        </w:rPr>
        <w:t>10</w:t>
      </w:r>
      <w:r>
        <w:rPr/>
        <w:t>项，其中主持国家社科基金项目和广东省项目等</w:t>
      </w:r>
      <w:r>
        <w:rPr>
          <w:rFonts w:ascii="Times New Roman" w:hAnsi="Times New Roman" w:cs="Times New Roman" w:eastAsia="Times New Roman" w:hint="default"/>
        </w:rPr>
        <w:t>4</w:t>
      </w:r>
      <w:r>
        <w:rPr/>
        <w:t>项，作为负责人参与项目</w:t>
      </w:r>
      <w:r>
        <w:rPr>
          <w:rFonts w:ascii="宋体" w:hAnsi="宋体" w:cs="宋体" w:eastAsia="宋体" w:hint="default"/>
        </w:rPr>
        <w:t>5</w:t>
      </w:r>
      <w:r>
        <w:rPr/>
        <w:t>项，并发 表相关论文</w:t>
      </w:r>
      <w:r>
        <w:rPr>
          <w:rFonts w:ascii="Times New Roman" w:hAnsi="Times New Roman" w:cs="Times New Roman" w:eastAsia="Times New Roman" w:hint="default"/>
        </w:rPr>
        <w:t>16</w:t>
      </w:r>
      <w:r>
        <w:rPr/>
        <w:t>篇。曾任茂硕电源科技股份有限公司独立董事、华安期货有限责任公司独立董事，现任索菲 亚家居股份有限公司独立董事、深圳市德赛电池科技股份有限公司独立董事。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月至今任蓝盾信息</w:t>
      </w:r>
      <w:r>
        <w:rPr>
          <w:spacing w:val="-27"/>
        </w:rPr>
        <w:t> </w:t>
      </w:r>
      <w:r>
        <w:rPr>
          <w:spacing w:val="-27"/>
        </w:rPr>
      </w:r>
      <w:r>
        <w:rPr/>
        <w:t>安全技术股份有限公司独立董事。</w:t>
      </w:r>
    </w:p>
    <w:p>
      <w:pPr>
        <w:pStyle w:val="BodyText"/>
        <w:spacing w:line="336" w:lineRule="auto" w:before="84"/>
        <w:ind w:right="1131" w:firstLine="422"/>
        <w:jc w:val="both"/>
      </w:pPr>
      <w:r>
        <w:rPr>
          <w:rFonts w:ascii="宋体" w:hAnsi="宋体" w:cs="宋体" w:eastAsia="宋体" w:hint="default"/>
          <w:b/>
          <w:bCs/>
        </w:rPr>
        <w:t>周涛：</w:t>
      </w:r>
      <w:r>
        <w:rPr/>
        <w:t>男，出生于</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3</w:t>
      </w:r>
      <w:r>
        <w:rPr/>
        <w:t>月，中国国籍，无境外永久居留权，毕业于解放军通信工程学院，大学本 </w:t>
      </w:r>
      <w:r>
        <w:rPr>
          <w:spacing w:val="-1"/>
        </w:rPr>
        <w:t>科学历。长期在院校担任教职工作，</w:t>
      </w:r>
      <w:r>
        <w:rPr>
          <w:rFonts w:ascii="Times New Roman" w:hAnsi="Times New Roman" w:cs="Times New Roman" w:eastAsia="Times New Roman" w:hint="default"/>
          <w:spacing w:val="-1"/>
        </w:rPr>
        <w:t>1977</w:t>
      </w:r>
      <w:r>
        <w:rPr>
          <w:spacing w:val="-1"/>
        </w:rPr>
        <w:t>年至</w:t>
      </w:r>
      <w:r>
        <w:rPr>
          <w:rFonts w:ascii="Times New Roman" w:hAnsi="Times New Roman" w:cs="Times New Roman" w:eastAsia="Times New Roman" w:hint="default"/>
          <w:spacing w:val="-1"/>
        </w:rPr>
        <w:t>1999</w:t>
      </w:r>
      <w:r>
        <w:rPr>
          <w:spacing w:val="-1"/>
        </w:rPr>
        <w:t>年，先后在广州军区通信训练大队、桂林陆军学院通信</w:t>
      </w:r>
      <w:r>
        <w:rPr>
          <w:spacing w:val="-81"/>
        </w:rPr>
        <w:t> </w:t>
      </w:r>
      <w:r>
        <w:rPr>
          <w:spacing w:val="-81"/>
        </w:rPr>
      </w:r>
      <w:r>
        <w:rPr>
          <w:spacing w:val="-1"/>
        </w:rPr>
        <w:t>大队、解放军广州通信学院担任教员、讲师；</w:t>
      </w:r>
      <w:r>
        <w:rPr>
          <w:rFonts w:ascii="Times New Roman" w:hAnsi="Times New Roman" w:cs="Times New Roman" w:eastAsia="Times New Roman" w:hint="default"/>
          <w:spacing w:val="-1"/>
        </w:rPr>
        <w:t>1999</w:t>
      </w:r>
      <w:r>
        <w:rPr>
          <w:spacing w:val="-1"/>
        </w:rPr>
        <w:t>年至</w:t>
      </w:r>
      <w:r>
        <w:rPr>
          <w:rFonts w:ascii="Times New Roman" w:hAnsi="Times New Roman" w:cs="Times New Roman" w:eastAsia="Times New Roman" w:hint="default"/>
          <w:spacing w:val="-1"/>
        </w:rPr>
        <w:t>2015</w:t>
      </w:r>
      <w:r>
        <w:rPr>
          <w:spacing w:val="-1"/>
        </w:rPr>
        <w:t>年先后在解放军体育学院教研部保密技术教研</w:t>
      </w:r>
      <w:r>
        <w:rPr>
          <w:spacing w:val="-80"/>
        </w:rPr>
        <w:t> </w:t>
      </w:r>
      <w:r>
        <w:rPr>
          <w:spacing w:val="-1"/>
        </w:rPr>
        <w:t>室、广州城建职业学院信息工程系、广东创新科技职业学院计算机和通信系、广东食品药品职业学院软件</w:t>
      </w:r>
      <w:r>
        <w:rPr>
          <w:spacing w:val="-83"/>
        </w:rPr>
        <w:t> </w:t>
      </w:r>
      <w:r>
        <w:rPr>
          <w:spacing w:val="-83"/>
        </w:rPr>
      </w:r>
      <w:r>
        <w:rPr/>
        <w:t>学院担任副教授。工作期间曾在国家及省部级刊物发表学术论文数十篇，参于编写教材数部。</w:t>
      </w:r>
    </w:p>
    <w:p>
      <w:pPr>
        <w:pStyle w:val="BodyText"/>
        <w:spacing w:line="336" w:lineRule="auto" w:before="80"/>
        <w:ind w:right="1124" w:firstLine="482"/>
        <w:jc w:val="left"/>
      </w:pPr>
      <w:r>
        <w:rPr>
          <w:rFonts w:ascii="宋体" w:hAnsi="宋体" w:cs="宋体" w:eastAsia="宋体" w:hint="default"/>
          <w:b/>
          <w:bCs/>
          <w:spacing w:val="-2"/>
        </w:rPr>
        <w:t>冯明强：</w:t>
      </w:r>
      <w:r>
        <w:rPr>
          <w:spacing w:val="-2"/>
        </w:rPr>
        <w:t>男，</w:t>
      </w:r>
      <w:r>
        <w:rPr>
          <w:rFonts w:ascii="Times New Roman" w:hAnsi="Times New Roman" w:cs="Times New Roman" w:eastAsia="Times New Roman" w:hint="default"/>
          <w:spacing w:val="-2"/>
        </w:rPr>
        <w:t>1971</w:t>
      </w:r>
      <w:r>
        <w:rPr>
          <w:spacing w:val="-2"/>
        </w:rPr>
        <w:t>年出生，中国国籍，无境外永久居留权。</w:t>
      </w:r>
      <w:r>
        <w:rPr>
          <w:rFonts w:ascii="Times New Roman" w:hAnsi="Times New Roman" w:cs="Times New Roman" w:eastAsia="Times New Roman" w:hint="default"/>
          <w:spacing w:val="-2"/>
        </w:rPr>
        <w:t>1992</w:t>
      </w:r>
      <w:r>
        <w:rPr>
          <w:spacing w:val="-2"/>
        </w:rPr>
        <w:t>年毕业于四川技术学院电子信息工程</w:t>
      </w:r>
      <w:r>
        <w:rPr/>
        <w:t> </w:t>
      </w:r>
      <w:r>
        <w:rPr>
          <w:spacing w:val="-1"/>
        </w:rPr>
        <w:t>系，获学士学位。曾任四川成都新兴集团技术部经理、广东水晶球技术发展有限公司技术人员、广东天海</w:t>
      </w:r>
      <w:r>
        <w:rPr>
          <w:spacing w:val="-86"/>
        </w:rPr>
        <w:t> </w:t>
      </w:r>
      <w:r>
        <w:rPr>
          <w:spacing w:val="-86"/>
        </w:rPr>
      </w:r>
      <w:r>
        <w:rPr/>
        <w:t>威数码技术有限公司工程师，</w:t>
      </w:r>
      <w:r>
        <w:rPr>
          <w:rFonts w:ascii="Times New Roman" w:hAnsi="Times New Roman" w:cs="Times New Roman" w:eastAsia="Times New Roman" w:hint="default"/>
        </w:rPr>
        <w:t>2009</w:t>
      </w:r>
      <w:r>
        <w:rPr/>
        <w:t>年至今任蓝盾信息安全技术股份有限公司生产部主管；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 任蓝盾信息安全技术股份有限公司监事会监事。</w:t>
      </w:r>
    </w:p>
    <w:p>
      <w:pPr>
        <w:pStyle w:val="BodyText"/>
        <w:spacing w:line="328" w:lineRule="auto" w:before="81"/>
        <w:ind w:right="1131" w:firstLine="482"/>
        <w:jc w:val="both"/>
        <w:rPr>
          <w:rFonts w:ascii="Times New Roman" w:hAnsi="Times New Roman" w:cs="Times New Roman" w:eastAsia="Times New Roman" w:hint="default"/>
        </w:rPr>
      </w:pPr>
      <w:r>
        <w:rPr>
          <w:rFonts w:ascii="宋体" w:hAnsi="宋体" w:cs="宋体" w:eastAsia="宋体" w:hint="default"/>
          <w:b/>
          <w:bCs/>
        </w:rPr>
        <w:t>陈文浩：</w:t>
      </w:r>
      <w:r>
        <w:rPr/>
        <w:t>男，</w:t>
      </w:r>
      <w:r>
        <w:rPr>
          <w:rFonts w:ascii="Times New Roman" w:hAnsi="Times New Roman" w:cs="Times New Roman" w:eastAsia="Times New Roman" w:hint="default"/>
        </w:rPr>
        <w:t>1971</w:t>
      </w:r>
      <w:r>
        <w:rPr/>
        <w:t>年出生，中国国籍，无境外永久居留权。</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月毕业于广州通信学院；曾任广 </w:t>
      </w:r>
      <w:r>
        <w:rPr>
          <w:spacing w:val="-1"/>
        </w:rPr>
        <w:t>东水晶球技术发展有限公司工程师、广东天海威数码技术有限公司开发部副总经理；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p>
    <w:p>
      <w:pPr>
        <w:spacing w:after="0" w:line="328" w:lineRule="auto"/>
        <w:jc w:val="both"/>
        <w:rPr>
          <w:rFonts w:ascii="Times New Roman" w:hAnsi="Times New Roman" w:cs="Times New Roman" w:eastAsia="Times New Roman" w:hint="default"/>
        </w:rPr>
        <w:sectPr>
          <w:pgSz w:w="11910" w:h="16840"/>
          <w:pgMar w:header="0" w:footer="979" w:top="1100" w:bottom="1160" w:left="0" w:right="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65"/>
        <w:ind w:left="1605" w:right="0" w:hanging="472"/>
        <w:jc w:val="left"/>
      </w:pPr>
      <w:r>
        <w:rPr>
          <w:spacing w:val="-1"/>
        </w:rPr>
        <w:t>月任蓝盾信息安全技术股份有限公司监事；</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月至今任蓝盾信息安全技术股份有限公司监事会主席。</w:t>
      </w:r>
      <w:r>
        <w:rPr>
          <w:spacing w:val="-79"/>
        </w:rPr>
        <w:t> </w:t>
      </w:r>
      <w:r>
        <w:rPr>
          <w:spacing w:val="-79"/>
        </w:rPr>
      </w:r>
      <w:r>
        <w:rPr>
          <w:rFonts w:ascii="宋体" w:hAnsi="宋体" w:cs="宋体" w:eastAsia="宋体" w:hint="default"/>
          <w:b/>
          <w:bCs/>
          <w:spacing w:val="-2"/>
        </w:rPr>
        <w:t>詹桂彬：</w:t>
      </w:r>
      <w:r>
        <w:rPr>
          <w:spacing w:val="-2"/>
        </w:rPr>
        <w:t>男，</w:t>
      </w:r>
      <w:r>
        <w:rPr>
          <w:rFonts w:ascii="Times New Roman" w:hAnsi="Times New Roman" w:cs="Times New Roman" w:eastAsia="Times New Roman" w:hint="default"/>
          <w:spacing w:val="-2"/>
        </w:rPr>
        <w:t>1977</w:t>
      </w:r>
      <w:r>
        <w:rPr>
          <w:spacing w:val="-2"/>
        </w:rPr>
        <w:t>年出生，中国国籍，无境外永久居留权，高中学历。曾任广东水晶球技术发展有限</w:t>
      </w:r>
    </w:p>
    <w:p>
      <w:pPr>
        <w:pStyle w:val="BodyText"/>
        <w:spacing w:line="331" w:lineRule="auto"/>
        <w:ind w:left="1134" w:right="0"/>
        <w:jc w:val="left"/>
      </w:pPr>
      <w:r>
        <w:rPr>
          <w:spacing w:val="-1"/>
        </w:rPr>
        <w:t>公司技术主管及经理、广东天海威数码技术有限公司项目经理，新产品部经理与采购部经理，</w:t>
      </w:r>
      <w:r>
        <w:rPr>
          <w:rFonts w:ascii="Times New Roman" w:hAnsi="Times New Roman" w:cs="Times New Roman" w:eastAsia="Times New Roman" w:hint="default"/>
          <w:spacing w:val="-1"/>
        </w:rPr>
        <w:t>2009</w:t>
      </w:r>
      <w:r>
        <w:rPr>
          <w:spacing w:val="-1"/>
        </w:rPr>
        <w:t>年至今</w:t>
      </w:r>
      <w:r>
        <w:rPr>
          <w:spacing w:val="-81"/>
        </w:rPr>
        <w:t> </w:t>
      </w:r>
      <w:r>
        <w:rPr>
          <w:spacing w:val="-81"/>
        </w:rPr>
      </w:r>
      <w:r>
        <w:rPr/>
        <w:t>任蓝盾信息安全技术股份有限公司职工代表监事。</w:t>
      </w:r>
    </w:p>
    <w:p>
      <w:pPr>
        <w:pStyle w:val="BodyText"/>
        <w:spacing w:line="331" w:lineRule="auto" w:before="85"/>
        <w:ind w:right="1026" w:firstLine="464"/>
        <w:jc w:val="both"/>
      </w:pPr>
      <w:r>
        <w:rPr>
          <w:rFonts w:ascii="宋体" w:hAnsi="宋体" w:cs="宋体" w:eastAsia="宋体" w:hint="default"/>
          <w:b/>
          <w:bCs/>
        </w:rPr>
        <w:t>李德桂：</w:t>
      </w:r>
      <w:r>
        <w:rPr/>
        <w:t>男，</w:t>
      </w:r>
      <w:r>
        <w:rPr>
          <w:rFonts w:ascii="Times New Roman" w:hAnsi="Times New Roman" w:cs="Times New Roman" w:eastAsia="Times New Roman" w:hint="default"/>
        </w:rPr>
        <w:t>1976</w:t>
      </w:r>
      <w:r>
        <w:rPr/>
        <w:t>年出生，中国国籍，无境外永久居留权。</w:t>
      </w:r>
      <w:r>
        <w:rPr>
          <w:rFonts w:ascii="Times New Roman" w:hAnsi="Times New Roman" w:cs="Times New Roman" w:eastAsia="Times New Roman" w:hint="default"/>
        </w:rPr>
        <w:t>2000</w:t>
      </w:r>
      <w:r>
        <w:rPr/>
        <w:t>年毕业于中山大学计算机科学系计算 机软件专业，获学士学位，高级程序员。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月，在广发证券股份有限公司任职；</w:t>
      </w:r>
      <w:r>
        <w:rPr>
          <w:rFonts w:ascii="Times New Roman" w:hAnsi="Times New Roman" w:cs="Times New Roman" w:eastAsia="Times New Roman" w:hint="default"/>
        </w:rPr>
        <w:t>2006</w:t>
      </w:r>
      <w:r>
        <w:rPr/>
        <w:t>年 </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月，任职深圳市立友科技有限公司高级技术经理；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月，任北京金泉时</w:t>
      </w:r>
      <w:r>
        <w:rPr>
          <w:spacing w:val="-33"/>
        </w:rPr>
        <w:t> </w:t>
      </w:r>
      <w:r>
        <w:rPr>
          <w:spacing w:val="-33"/>
        </w:rPr>
      </w:r>
      <w:r>
        <w:rPr>
          <w:spacing w:val="-1"/>
        </w:rPr>
        <w:t>代投资管理有限公司交易部经理；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月至今任蓝盾信息安全技术股份有限公司董事会秘书、副总裁。</w:t>
      </w:r>
    </w:p>
    <w:p>
      <w:pPr>
        <w:pStyle w:val="BodyText"/>
        <w:spacing w:line="336" w:lineRule="auto" w:before="61"/>
        <w:ind w:left="1134" w:right="1130" w:firstLine="480"/>
        <w:jc w:val="both"/>
      </w:pPr>
      <w:r>
        <w:rPr>
          <w:rFonts w:ascii="宋体" w:hAnsi="宋体" w:cs="宋体" w:eastAsia="宋体" w:hint="default"/>
          <w:b/>
          <w:bCs/>
          <w:spacing w:val="-2"/>
        </w:rPr>
        <w:t>韩炜</w:t>
      </w:r>
      <w:r>
        <w:rPr>
          <w:spacing w:val="-2"/>
        </w:rPr>
        <w:t>：女，</w:t>
      </w:r>
      <w:r>
        <w:rPr>
          <w:rFonts w:ascii="Times New Roman" w:hAnsi="Times New Roman" w:cs="Times New Roman" w:eastAsia="Times New Roman" w:hint="default"/>
          <w:spacing w:val="-2"/>
        </w:rPr>
        <w:t>1976</w:t>
      </w:r>
      <w:r>
        <w:rPr>
          <w:spacing w:val="-2"/>
        </w:rPr>
        <w:t>年出生，中国国籍，无境外永久居留权。</w:t>
      </w:r>
      <w:r>
        <w:rPr>
          <w:rFonts w:ascii="Times New Roman" w:hAnsi="Times New Roman" w:cs="Times New Roman" w:eastAsia="Times New Roman" w:hint="default"/>
          <w:spacing w:val="-2"/>
        </w:rPr>
        <w:t>2006</w:t>
      </w:r>
      <w:r>
        <w:rPr>
          <w:spacing w:val="-2"/>
        </w:rPr>
        <w:t>年毕业于石家庄陆军学院法律系，获学</w:t>
      </w:r>
      <w:r>
        <w:rPr/>
        <w:t> </w:t>
      </w:r>
      <w:r>
        <w:rPr>
          <w:spacing w:val="-5"/>
        </w:rPr>
        <w:t>士学位，注册信息安全专业人员。曾任职于石家庄市邮政局，河北电信公司，广东电信实业公司，安盟（中</w:t>
      </w:r>
      <w:r>
        <w:rPr/>
        <w:t> </w:t>
      </w:r>
      <w:r>
        <w:rPr>
          <w:spacing w:val="-1"/>
        </w:rPr>
        <w:t>国）信息安全有限公司，广东天海威数码技术有限公司，</w:t>
      </w:r>
      <w:r>
        <w:rPr>
          <w:rFonts w:ascii="Times New Roman" w:hAnsi="Times New Roman" w:cs="Times New Roman" w:eastAsia="Times New Roman" w:hint="default"/>
          <w:spacing w:val="-1"/>
        </w:rPr>
        <w:t>2009</w:t>
      </w:r>
      <w:r>
        <w:rPr>
          <w:spacing w:val="-1"/>
        </w:rPr>
        <w:t>年至今在蓝盾信息安全技术股份有限公司任</w:t>
      </w:r>
      <w:r>
        <w:rPr>
          <w:spacing w:val="-82"/>
        </w:rPr>
        <w:t> </w:t>
      </w:r>
      <w:r>
        <w:rPr>
          <w:spacing w:val="-82"/>
        </w:rPr>
      </w:r>
      <w:r>
        <w:rPr/>
        <w:t>市场总监兼培训中心主任，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月至今任蓝盾信息安全技术股份有限公司副总裁，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w:t>
      </w:r>
      <w:r>
        <w:rPr>
          <w:spacing w:val="-27"/>
        </w:rPr>
        <w:t> </w:t>
      </w:r>
      <w:r>
        <w:rPr>
          <w:spacing w:val="-27"/>
        </w:rPr>
      </w:r>
      <w:r>
        <w:rPr/>
        <w:t>广东省蓝盾职业培训学院院长。</w:t>
      </w:r>
    </w:p>
    <w:p>
      <w:pPr>
        <w:pStyle w:val="BodyText"/>
        <w:spacing w:line="328" w:lineRule="auto" w:before="81"/>
        <w:ind w:left="1134" w:right="1129" w:firstLine="471"/>
        <w:jc w:val="both"/>
      </w:pPr>
      <w:r>
        <w:rPr>
          <w:rFonts w:ascii="宋体" w:hAnsi="宋体" w:cs="宋体" w:eastAsia="宋体" w:hint="default"/>
          <w:b/>
          <w:bCs/>
          <w:spacing w:val="-2"/>
        </w:rPr>
        <w:t>魏树华：</w:t>
      </w:r>
      <w:r>
        <w:rPr>
          <w:spacing w:val="-2"/>
        </w:rPr>
        <w:t>男，</w:t>
      </w:r>
      <w:r>
        <w:rPr>
          <w:rFonts w:ascii="Times New Roman" w:hAnsi="Times New Roman" w:cs="Times New Roman" w:eastAsia="Times New Roman" w:hint="default"/>
          <w:spacing w:val="-2"/>
        </w:rPr>
        <w:t>1972</w:t>
      </w:r>
      <w:r>
        <w:rPr>
          <w:spacing w:val="-2"/>
        </w:rPr>
        <w:t>年出生，中国国籍，无境外永久居留权，高级会计师，中国注册会计师；注册税务</w:t>
      </w:r>
      <w:r>
        <w:rPr/>
        <w:t> 师，</w:t>
      </w:r>
      <w:r>
        <w:rPr>
          <w:rFonts w:ascii="Times New Roman" w:hAnsi="Times New Roman" w:cs="Times New Roman" w:eastAsia="Times New Roman" w:hint="default"/>
        </w:rPr>
        <w:t>2005</w:t>
      </w:r>
      <w:r>
        <w:rPr/>
        <w:t>年毕业于暨南大学会计专业，</w:t>
      </w:r>
      <w:r>
        <w:rPr>
          <w:rFonts w:ascii="Times New Roman" w:hAnsi="Times New Roman" w:cs="Times New Roman" w:eastAsia="Times New Roman" w:hint="default"/>
        </w:rPr>
        <w:t>2010</w:t>
      </w:r>
      <w:r>
        <w:rPr/>
        <w:t>年获中山大学</w:t>
      </w:r>
      <w:r>
        <w:rPr>
          <w:rFonts w:ascii="Times New Roman" w:hAnsi="Times New Roman" w:cs="Times New Roman" w:eastAsia="Times New Roman" w:hint="default"/>
        </w:rPr>
        <w:t>MPACC</w:t>
      </w:r>
      <w:r>
        <w:rPr/>
        <w:t>会计硕士学位；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spacing w:val="-1"/>
        </w:rPr>
        <w:t>月，任湖南省邵阳市制药三厂主管会计；</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2</w:t>
      </w:r>
      <w:r>
        <w:rPr>
          <w:spacing w:val="-1"/>
        </w:rPr>
        <w:t>月，任东莞龙记集团会计主管；</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3</w:t>
      </w:r>
      <w:r>
        <w:rPr>
          <w:spacing w:val="-1"/>
        </w:rPr>
        <w:t>月</w:t>
      </w:r>
    </w:p>
    <w:p>
      <w:pPr>
        <w:pStyle w:val="BodyText"/>
        <w:spacing w:line="331" w:lineRule="auto" w:before="24"/>
        <w:ind w:left="1134" w:right="0"/>
        <w:jc w:val="left"/>
      </w:pP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月，任广州杰赛科技股份有限公司财务部总裁助理；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月，任广东天海威</w:t>
      </w:r>
      <w:r>
        <w:rPr>
          <w:spacing w:val="-30"/>
        </w:rPr>
        <w:t> </w:t>
      </w:r>
      <w:r>
        <w:rPr>
          <w:spacing w:val="-30"/>
        </w:rPr>
      </w:r>
      <w:r>
        <w:rPr/>
        <w:t>数码技术有限公司财务总监；</w:t>
      </w:r>
      <w:r>
        <w:rPr>
          <w:rFonts w:ascii="Times New Roman" w:hAnsi="Times New Roman" w:cs="Times New Roman" w:eastAsia="Times New Roman" w:hint="default"/>
        </w:rPr>
        <w:t>2009</w:t>
      </w:r>
      <w:r>
        <w:rPr/>
        <w:t>年至今任蓝盾信息安全技术股份有限公司财务总监。</w:t>
      </w:r>
    </w:p>
    <w:p>
      <w:pPr>
        <w:spacing w:before="16"/>
        <w:ind w:left="113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26" w:lineRule="auto" w:before="104"/>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557"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华安期货有限责任公司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索菲亚家居股份有限公司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深圳市德赛电池科技股份有限公司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北京市大成（深圳）律师事务所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深圳市人大常委会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法律助理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深圳市广西商会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广西民族大学知识产权学院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2"/>
        <w:rPr>
          <w:rFonts w:ascii="宋体" w:hAnsi="宋体" w:cs="宋体" w:eastAsia="宋体" w:hint="default"/>
          <w:sz w:val="24"/>
          <w:szCs w:val="24"/>
        </w:rPr>
      </w:pPr>
    </w:p>
    <w:p>
      <w:pPr>
        <w:spacing w:line="576" w:lineRule="exact"/>
        <w:ind w:left="112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78.95pt;height:28.8pt;mso-position-horizontal-relative:char;mso-position-vertical-relative:line" coordorigin="0,0" coordsize="9579,576">
            <v:group style="position:absolute;left:21;top:14;width:2;height:548" coordorigin="21,14" coordsize="2,548">
              <v:shape style="position:absolute;left:21;top:14;width:2;height:548" coordorigin="21,14" coordsize="0,548" path="m21,14l21,562e" filled="false" stroked="true" strokeweight="1.140pt" strokecolor="#d2d2d2">
                <v:path arrowok="t"/>
              </v:shape>
            </v:group>
            <v:group style="position:absolute;left:1221;top:14;width:2;height:548" coordorigin="1221,14" coordsize="2,548">
              <v:shape style="position:absolute;left:1221;top:14;width:2;height:548" coordorigin="1221,14" coordsize="0,548" path="m1221,14l1221,562e" filled="false" stroked="true" strokeweight="1.140pt" strokecolor="#d2d2d2">
                <v:path arrowok="t"/>
              </v:shape>
            </v:group>
            <v:group style="position:absolute;left:32;top:14;width:1178;height:274" coordorigin="32,14" coordsize="1178,274">
              <v:shape style="position:absolute;left:32;top:14;width:1178;height:274" coordorigin="32,14" coordsize="1178,274" path="m32,288l1210,288,1210,14,32,14,32,288xe" filled="true" fillcolor="#d2d2d2" stroked="false">
                <v:path arrowok="t"/>
                <v:fill type="solid"/>
              </v:shape>
            </v:group>
            <v:group style="position:absolute;left:32;top:288;width:1178;height:274" coordorigin="32,288" coordsize="1178,274">
              <v:shape style="position:absolute;left:32;top:288;width:1178;height:274" coordorigin="32,288" coordsize="1178,274" path="m32,562l1210,562,1210,288,32,288,32,562xe" filled="true" fillcolor="#d2d2d2" stroked="false">
                <v:path arrowok="t"/>
                <v:fill type="solid"/>
              </v:shape>
            </v:group>
            <v:group style="position:absolute;left:10;top:10;width:1225;height:2" coordorigin="10,10" coordsize="1225,2">
              <v:shape style="position:absolute;left:10;top:10;width:1225;height:2" coordorigin="10,10" coordsize="1225,0" path="m10,10l1234,10e" filled="false" stroked="true" strokeweight=".48pt" strokecolor="#000000">
                <v:path arrowok="t"/>
              </v:shape>
            </v:group>
            <v:group style="position:absolute;left:1244;top:10;width:8326;height:2" coordorigin="1244,10" coordsize="8326,2">
              <v:shape style="position:absolute;left:1244;top:10;width:8326;height:2" coordorigin="1244,10" coordsize="8326,0" path="m1244,10l9569,10e" filled="false" stroked="true" strokeweight=".48pt" strokecolor="#000000">
                <v:path arrowok="t"/>
              </v:shape>
            </v:group>
            <v:group style="position:absolute;left:5;top:5;width:2;height:567" coordorigin="5,5" coordsize="2,567">
              <v:shape style="position:absolute;left:5;top:5;width:2;height:567" coordorigin="5,5" coordsize="0,567" path="m5,5l5,571e" filled="false" stroked="true" strokeweight=".48pt" strokecolor="#000000">
                <v:path arrowok="t"/>
              </v:shape>
            </v:group>
            <v:group style="position:absolute;left:10;top:566;width:1225;height:2" coordorigin="10,566" coordsize="1225,2">
              <v:shape style="position:absolute;left:10;top:566;width:1225;height:2" coordorigin="10,566" coordsize="1225,0" path="m10,566l1234,566e" filled="false" stroked="true" strokeweight=".48pt" strokecolor="#000000">
                <v:path arrowok="t"/>
              </v:shape>
            </v:group>
            <v:group style="position:absolute;left:1239;top:5;width:2;height:567" coordorigin="1239,5" coordsize="2,567">
              <v:shape style="position:absolute;left:1239;top:5;width:2;height:567" coordorigin="1239,5" coordsize="0,567" path="m1239,5l1239,571e" filled="false" stroked="true" strokeweight=".48pt" strokecolor="#000000">
                <v:path arrowok="t"/>
              </v:shape>
            </v:group>
            <v:group style="position:absolute;left:1244;top:566;width:8326;height:2" coordorigin="1244,566" coordsize="8326,2">
              <v:shape style="position:absolute;left:1244;top:566;width:8326;height:2" coordorigin="1244,566" coordsize="8326,0" path="m1244,566l9569,566e" filled="false" stroked="true" strokeweight=".48pt" strokecolor="#000000">
                <v:path arrowok="t"/>
              </v:shape>
            </v:group>
            <v:group style="position:absolute;left:9574;top:5;width:2;height:567" coordorigin="9574,5" coordsize="2,567">
              <v:shape style="position:absolute;left:9574;top:5;width:2;height:567" coordorigin="9574,5" coordsize="0,567" path="m9574,5l9574,571e" filled="false" stroked="true" strokeweight=".48pt" strokecolor="#000000">
                <v:path arrowok="t"/>
              </v:shape>
              <v:shape style="position:absolute;left:5;top:10;width:1234;height:557" type="#_x0000_t202" filled="false" stroked="false">
                <v:textbox inset="0,0,0,0">
                  <w:txbxContent>
                    <w:p>
                      <w:pPr>
                        <w:spacing w:before="14"/>
                        <w:ind w:left="27" w:right="123" w:firstLine="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xbxContent>
                </v:textbox>
                <w10:wrap type="none"/>
              </v:shape>
            </v:group>
          </v:group>
        </w:pict>
      </w:r>
      <w:r>
        <w:rPr>
          <w:rFonts w:ascii="宋体" w:hAnsi="宋体" w:cs="宋体" w:eastAsia="宋体" w:hint="default"/>
          <w:position w:val="-11"/>
          <w:sz w:val="20"/>
          <w:szCs w:val="20"/>
        </w:rPr>
      </w:r>
    </w:p>
    <w:p>
      <w:pPr>
        <w:spacing w:before="5"/>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2"/>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4112"/>
        <w:gridCol w:w="5457"/>
      </w:tblGrid>
      <w:tr>
        <w:trPr>
          <w:trHeight w:val="1283"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45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2" w:right="39"/>
              <w:jc w:val="both"/>
              <w:rPr>
                <w:rFonts w:ascii="宋体" w:hAnsi="宋体" w:cs="宋体" w:eastAsia="宋体" w:hint="default"/>
                <w:sz w:val="18"/>
                <w:szCs w:val="18"/>
              </w:rPr>
            </w:pPr>
            <w:r>
              <w:rPr>
                <w:rFonts w:ascii="宋体" w:hAnsi="宋体" w:cs="宋体" w:eastAsia="宋体" w:hint="default"/>
                <w:sz w:val="18"/>
                <w:szCs w:val="18"/>
              </w:rPr>
              <w:t>公司薪酬与考核委员会根据董事及高级管理人员岗位的主要范围、职 责、重要性以及其他相关企业相关岗位的薪酬水平制定薪酬计划或方 案；其提出的公司董事的薪酬计划，报经董事会同意后，提交股东大 会审议通过后实施；公司高级管理人员的薪酬分配方案须报董事会审 议批准。</w:t>
            </w:r>
          </w:p>
        </w:tc>
      </w:tr>
      <w:tr>
        <w:trPr>
          <w:trHeight w:val="582"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9"/>
              <w:jc w:val="left"/>
              <w:rPr>
                <w:rFonts w:ascii="宋体" w:hAnsi="宋体" w:cs="宋体" w:eastAsia="宋体" w:hint="default"/>
                <w:sz w:val="18"/>
                <w:szCs w:val="18"/>
              </w:rPr>
            </w:pPr>
            <w:r>
              <w:rPr>
                <w:rFonts w:ascii="宋体" w:hAnsi="宋体" w:cs="宋体" w:eastAsia="宋体" w:hint="default"/>
                <w:sz w:val="18"/>
                <w:szCs w:val="18"/>
              </w:rPr>
              <w:t>董事及高级管理人员岗位的主要范围、职责、重要性以及其他相关企 业相关岗位的薪酬水平</w:t>
            </w:r>
          </w:p>
        </w:tc>
      </w:tr>
      <w:tr>
        <w:trPr>
          <w:trHeight w:val="582" w:hRule="exact"/>
        </w:trPr>
        <w:tc>
          <w:tcPr>
            <w:tcW w:w="4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39"/>
              <w:jc w:val="left"/>
              <w:rPr>
                <w:rFonts w:ascii="宋体" w:hAnsi="宋体" w:cs="宋体" w:eastAsia="宋体" w:hint="default"/>
                <w:sz w:val="18"/>
                <w:szCs w:val="18"/>
              </w:rPr>
            </w:pPr>
            <w:r>
              <w:rPr>
                <w:rFonts w:ascii="宋体" w:hAnsi="宋体" w:cs="宋体" w:eastAsia="宋体" w:hint="default"/>
                <w:sz w:val="18"/>
                <w:szCs w:val="18"/>
              </w:rPr>
              <w:t>根据相关决策程序审议通过后的薪酬方案进行支付，并按照税法规定 代扣代缴个人所得税。</w:t>
            </w:r>
          </w:p>
        </w:tc>
      </w:tr>
    </w:tbl>
    <w:p>
      <w:pPr>
        <w:spacing w:line="240" w:lineRule="auto" w:before="4"/>
        <w:rPr>
          <w:rFonts w:ascii="宋体" w:hAnsi="宋体" w:cs="宋体" w:eastAsia="宋体" w:hint="default"/>
          <w:sz w:val="13"/>
          <w:szCs w:val="1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3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370"/>
        <w:gridCol w:w="1750"/>
        <w:gridCol w:w="984"/>
        <w:gridCol w:w="1367"/>
        <w:gridCol w:w="1368"/>
        <w:gridCol w:w="1367"/>
        <w:gridCol w:w="1367"/>
      </w:tblGrid>
      <w:tr>
        <w:trPr>
          <w:trHeight w:val="557"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45.50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副董事长、总裁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黄泽华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谭晓燕</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刘天卓</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赵庆伦</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冯明强</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陈文浩</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詹桂彬</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韩炜</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魏树华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李德桂</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张远鹏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胡瑞敏</w:t>
            </w:r>
          </w:p>
        </w:tc>
        <w:tc>
          <w:tcPr>
            <w:tcW w:w="175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right="19"/>
              <w:jc w:val="right"/>
              <w:rPr>
                <w:rFonts w:ascii="Times New Roman" w:hAnsi="Times New Roman" w:cs="Times New Roman" w:eastAsia="Times New Roman" w:hint="default"/>
                <w:sz w:val="18"/>
                <w:szCs w:val="18"/>
              </w:rPr>
            </w:pPr>
            <w:r>
              <w:rPr>
                <w:rFonts w:ascii="Times New Roman"/>
                <w:sz w:val="18"/>
              </w:rPr>
              <w:t>336.6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18"/>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3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921</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961</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961</w:t>
            </w:r>
          </w:p>
        </w:tc>
      </w:tr>
      <w:tr>
        <w:trPr>
          <w:trHeight w:val="32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1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62</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294</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440</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3"/>
                <w:sz w:val="18"/>
              </w:rPr>
              <w:t>115</w:t>
            </w:r>
          </w:p>
        </w:tc>
      </w:tr>
      <w:tr>
        <w:trPr>
          <w:trHeight w:val="329"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961</w:t>
            </w:r>
          </w:p>
        </w:tc>
      </w:tr>
      <w:tr>
        <w:trPr>
          <w:trHeight w:val="31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37</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420</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127</w:t>
            </w:r>
          </w:p>
        </w:tc>
      </w:tr>
      <w:tr>
        <w:trPr>
          <w:trHeight w:val="32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377</w:t>
            </w:r>
          </w:p>
        </w:tc>
      </w:tr>
      <w:tr>
        <w:trPr>
          <w:trHeight w:val="324"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961</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1554" w:right="0"/>
        <w:jc w:val="left"/>
      </w:pPr>
      <w:r>
        <w:rPr/>
        <w:t>公司实行全员聘用制，无需承担离退休职工的费用，离退休职工由社保基金统筹解决。</w:t>
      </w:r>
    </w:p>
    <w:p>
      <w:pPr>
        <w:spacing w:line="240" w:lineRule="auto" w:before="2"/>
        <w:rPr>
          <w:rFonts w:ascii="宋体" w:hAnsi="宋体" w:cs="宋体" w:eastAsia="宋体" w:hint="default"/>
          <w:sz w:val="24"/>
          <w:szCs w:val="24"/>
        </w:rPr>
      </w:pPr>
    </w:p>
    <w:p>
      <w:pPr>
        <w:pStyle w:val="Heading3"/>
        <w:spacing w:line="240" w:lineRule="auto"/>
        <w:ind w:left="1133"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13"/>
        <w:rPr>
          <w:rFonts w:ascii="宋体" w:hAnsi="宋体" w:cs="宋体" w:eastAsia="宋体" w:hint="default"/>
          <w:b/>
          <w:bCs/>
          <w:sz w:val="29"/>
          <w:szCs w:val="29"/>
        </w:rPr>
      </w:pPr>
    </w:p>
    <w:p>
      <w:pPr>
        <w:pStyle w:val="BodyText"/>
        <w:spacing w:line="345" w:lineRule="auto"/>
        <w:ind w:right="1024" w:firstLine="420"/>
        <w:jc w:val="left"/>
      </w:pPr>
      <w:r>
        <w:rPr>
          <w:rFonts w:ascii="Times New Roman" w:hAnsi="Times New Roman" w:cs="Times New Roman" w:eastAsia="Times New Roman" w:hint="default"/>
        </w:rPr>
        <w:t>2016</w:t>
      </w:r>
      <w:r>
        <w:rPr/>
        <w:t>年公司将完善人才培养机制，多途径、多层次培养人才，加强人才梯队建设、完善继任者计划。 采取内训外训、校企联合等多种方式培养人才，优秀人才重点培养，紧缺人才加快培养；继续作好培训基 础及日常管理工作，弘扬企业文化；建立培训资源网络，进一步丰富企业培训资源，通过建立系统化、规 范化的流程来评估、培训和发展组织内部有潜力的员工，助其获得当前和未来所需的核心能力。通过职业 </w:t>
      </w:r>
      <w:r>
        <w:rPr>
          <w:spacing w:val="-3"/>
        </w:rPr>
        <w:t>发展规划、推行导师制、考核与约束等措施，确保公司随时有一支优秀的后备队伍，确保管理层的连续性，</w:t>
      </w:r>
      <w:r>
        <w:rPr>
          <w:spacing w:val="-96"/>
        </w:rPr>
        <w:t> </w:t>
      </w:r>
      <w:r>
        <w:rPr>
          <w:spacing w:val="-96"/>
        </w:rPr>
      </w:r>
      <w:r>
        <w:rPr/>
        <w:t>并缩短填补职位空缺的周期。</w:t>
      </w:r>
    </w:p>
    <w:p>
      <w:pPr>
        <w:spacing w:line="240" w:lineRule="auto" w:before="13"/>
        <w:rPr>
          <w:rFonts w:ascii="宋体" w:hAnsi="宋体" w:cs="宋体" w:eastAsia="宋体" w:hint="default"/>
          <w:sz w:val="16"/>
          <w:szCs w:val="16"/>
        </w:rPr>
      </w:pPr>
    </w:p>
    <w:p>
      <w:pPr>
        <w:pStyle w:val="Heading3"/>
        <w:spacing w:line="240" w:lineRule="auto"/>
        <w:ind w:left="1133"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5"/>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right="1110" w:firstLine="420"/>
        <w:jc w:val="both"/>
      </w:pPr>
      <w:r>
        <w:rPr/>
        <w:t>公司根据《公司法》、《上市公司治理准则》、《上市公司章程指引》、《上市公司股东大会规则》 及其他相关法律、法规的要求，确立了由股东大会、董事会、监事会和经营管理层组成的公司治理结构， </w:t>
      </w:r>
      <w:r>
        <w:rPr>
          <w:spacing w:val="-1"/>
        </w:rPr>
        <w:t>建立健全了股东大会、董事会、监事会、独立董事、董事会秘书等相关制度，并在公司董事会下设立了战</w:t>
      </w:r>
      <w:r>
        <w:rPr>
          <w:spacing w:val="-83"/>
        </w:rPr>
        <w:t> </w:t>
      </w:r>
      <w:r>
        <w:rPr>
          <w:spacing w:val="-83"/>
        </w:rPr>
      </w:r>
      <w:r>
        <w:rPr/>
        <w:t>略、审计、提名、薪酬与考核等专门委员会。</w:t>
      </w:r>
    </w:p>
    <w:p>
      <w:pPr>
        <w:pStyle w:val="BodyText"/>
        <w:spacing w:line="350" w:lineRule="auto" w:before="29"/>
        <w:ind w:right="1110" w:firstLine="420"/>
        <w:jc w:val="both"/>
      </w:pPr>
      <w:r>
        <w:rPr>
          <w:spacing w:val="-1"/>
        </w:rPr>
        <w:t>公司建立了规范的公司治理结构，股东大会、董事会及专门委员会、监事会、独立董事、董事会秘书</w:t>
      </w:r>
      <w:r>
        <w:rPr/>
        <w:t> </w:t>
      </w:r>
      <w:r>
        <w:rPr>
          <w:spacing w:val="-1"/>
        </w:rPr>
        <w:t>和管理层均严格按照《公司法》、《证券法》、《上市公司治理准则》、《深圳证券交易所创业板股票上</w:t>
      </w:r>
      <w:r>
        <w:rPr>
          <w:spacing w:val="-85"/>
        </w:rPr>
        <w:t> </w:t>
      </w:r>
      <w:r>
        <w:rPr>
          <w:spacing w:val="-85"/>
        </w:rPr>
      </w:r>
      <w:r>
        <w:rPr>
          <w:spacing w:val="-1"/>
        </w:rPr>
        <w:t>市规则》、《深圳证券交易所创业板上市公司规范运作指引》等法律、法规和中国证监会有关法律法规等</w:t>
      </w:r>
      <w:r>
        <w:rPr>
          <w:spacing w:val="-83"/>
        </w:rPr>
        <w:t> </w:t>
      </w:r>
      <w:r>
        <w:rPr>
          <w:spacing w:val="-83"/>
        </w:rPr>
      </w:r>
      <w:r>
        <w:rPr>
          <w:spacing w:val="-1"/>
        </w:rPr>
        <w:t>的要求，履行各自的权利和义务，公司重大生产经营决策、投资决策及财务决策均按照《公司章程》及有</w:t>
      </w:r>
      <w:r>
        <w:rPr>
          <w:spacing w:val="-83"/>
        </w:rPr>
        <w:t> </w:t>
      </w:r>
      <w:r>
        <w:rPr>
          <w:spacing w:val="-83"/>
        </w:rPr>
      </w:r>
      <w:r>
        <w:rPr/>
        <w:t>关内控制度规定的程序和规则进行，截至报告期末，上述机构和人员依法运作，未出现违法、违规现象， </w:t>
      </w:r>
      <w:r>
        <w:rPr>
          <w:spacing w:val="-1"/>
        </w:rPr>
        <w:t>能够切实履行应尽的职责和义务，公司治理的实际状况符合《上市公司治理准则》和《深圳证券交易所创</w:t>
      </w:r>
      <w:r>
        <w:rPr>
          <w:spacing w:val="-86"/>
        </w:rPr>
        <w:t> </w:t>
      </w:r>
      <w:r>
        <w:rPr>
          <w:spacing w:val="-86"/>
        </w:rPr>
      </w:r>
      <w:r>
        <w:rPr/>
        <w:t>业板上市公司规范运作指引》的要求。</w:t>
      </w:r>
    </w:p>
    <w:p>
      <w:pPr>
        <w:pStyle w:val="BodyText"/>
        <w:spacing w:line="350" w:lineRule="auto" w:before="28"/>
        <w:ind w:right="1110" w:firstLine="420"/>
        <w:jc w:val="both"/>
      </w:pPr>
      <w:r>
        <w:rPr/>
        <w:pict>
          <v:shape style="position:absolute;margin-left:56.34pt;margin-top:37.68367pt;width:378.55pt;height:92.95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4"/>
                    <w:gridCol w:w="4220"/>
                    <w:gridCol w:w="1194"/>
                    <w:gridCol w:w="1481"/>
                  </w:tblGrid>
                  <w:tr>
                    <w:trPr>
                      <w:trHeight w:val="30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08"/>
                          <w:jc w:val="right"/>
                          <w:rPr>
                            <w:rFonts w:ascii="宋体" w:hAnsi="宋体" w:cs="宋体" w:eastAsia="宋体" w:hint="default"/>
                            <w:sz w:val="21"/>
                            <w:szCs w:val="21"/>
                          </w:rPr>
                        </w:pPr>
                        <w:r>
                          <w:rPr>
                            <w:rFonts w:ascii="宋体" w:hAnsi="宋体" w:cs="宋体" w:eastAsia="宋体" w:hint="default"/>
                            <w:sz w:val="21"/>
                            <w:szCs w:val="21"/>
                          </w:rPr>
                          <w:t>序号</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417"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制定</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313" w:right="0"/>
                          <w:jc w:val="left"/>
                          <w:rPr>
                            <w:rFonts w:ascii="宋体" w:hAnsi="宋体" w:cs="宋体" w:eastAsia="宋体" w:hint="default"/>
                            <w:sz w:val="21"/>
                            <w:szCs w:val="21"/>
                          </w:rPr>
                        </w:pPr>
                        <w:r>
                          <w:rPr>
                            <w:rFonts w:ascii="宋体" w:hAnsi="宋体" w:cs="宋体" w:eastAsia="宋体" w:hint="default"/>
                            <w:sz w:val="21"/>
                            <w:szCs w:val="21"/>
                          </w:rPr>
                          <w:t>披露日期</w:t>
                        </w:r>
                      </w:p>
                    </w:tc>
                  </w:tr>
                  <w:tr>
                    <w:trPr>
                      <w:trHeight w:val="30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0"/>
                          <w:jc w:val="right"/>
                          <w:rPr>
                            <w:rFonts w:ascii="Times New Roman" w:hAnsi="Times New Roman" w:cs="Times New Roman" w:eastAsia="Times New Roman" w:hint="default"/>
                            <w:sz w:val="21"/>
                            <w:szCs w:val="21"/>
                          </w:rPr>
                        </w:pPr>
                        <w:r>
                          <w:rPr>
                            <w:rFonts w:ascii="Times New Roman"/>
                            <w:sz w:val="21"/>
                          </w:rPr>
                          <w:t>1</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22" w:right="0"/>
                          <w:jc w:val="left"/>
                          <w:rPr>
                            <w:rFonts w:ascii="宋体" w:hAnsi="宋体" w:cs="宋体" w:eastAsia="宋体" w:hint="default"/>
                            <w:sz w:val="21"/>
                            <w:szCs w:val="21"/>
                          </w:rPr>
                        </w:pPr>
                        <w:r>
                          <w:rPr>
                            <w:rFonts w:ascii="宋体" w:hAnsi="宋体" w:cs="宋体" w:eastAsia="宋体" w:hint="default"/>
                            <w:sz w:val="21"/>
                            <w:szCs w:val="21"/>
                          </w:rPr>
                          <w:t>信息披露管理制度（</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85"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60"/>
                          <w:jc w:val="right"/>
                          <w:rPr>
                            <w:rFonts w:ascii="Times New Roman" w:hAnsi="Times New Roman" w:cs="Times New Roman" w:eastAsia="Times New Roman" w:hint="default"/>
                            <w:sz w:val="21"/>
                            <w:szCs w:val="21"/>
                          </w:rPr>
                        </w:pPr>
                        <w:r>
                          <w:rPr>
                            <w:rFonts w:ascii="Times New Roman"/>
                            <w:spacing w:val="-1"/>
                            <w:sz w:val="21"/>
                          </w:rPr>
                          <w:t>2015-01-30</w:t>
                        </w:r>
                      </w:p>
                    </w:tc>
                  </w:tr>
                  <w:tr>
                    <w:trPr>
                      <w:trHeight w:val="30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0"/>
                          <w:jc w:val="right"/>
                          <w:rPr>
                            <w:rFonts w:ascii="Times New Roman" w:hAnsi="Times New Roman" w:cs="Times New Roman" w:eastAsia="Times New Roman" w:hint="default"/>
                            <w:sz w:val="21"/>
                            <w:szCs w:val="21"/>
                          </w:rPr>
                        </w:pPr>
                        <w:r>
                          <w:rPr>
                            <w:rFonts w:ascii="Times New Roman"/>
                            <w:sz w:val="21"/>
                          </w:rPr>
                          <w:t>2</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22" w:right="0"/>
                          <w:jc w:val="left"/>
                          <w:rPr>
                            <w:rFonts w:ascii="宋体" w:hAnsi="宋体" w:cs="宋体" w:eastAsia="宋体" w:hint="default"/>
                            <w:sz w:val="21"/>
                            <w:szCs w:val="21"/>
                          </w:rPr>
                        </w:pP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85"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60"/>
                          <w:jc w:val="right"/>
                          <w:rPr>
                            <w:rFonts w:ascii="Times New Roman" w:hAnsi="Times New Roman" w:cs="Times New Roman" w:eastAsia="Times New Roman" w:hint="default"/>
                            <w:sz w:val="21"/>
                            <w:szCs w:val="21"/>
                          </w:rPr>
                        </w:pPr>
                        <w:r>
                          <w:rPr>
                            <w:rFonts w:ascii="Times New Roman"/>
                            <w:spacing w:val="-1"/>
                            <w:sz w:val="21"/>
                          </w:rPr>
                          <w:t>2015-04-24</w:t>
                        </w:r>
                      </w:p>
                    </w:tc>
                  </w:tr>
                  <w:tr>
                    <w:trPr>
                      <w:trHeight w:val="30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0"/>
                          <w:jc w:val="right"/>
                          <w:rPr>
                            <w:rFonts w:ascii="Times New Roman" w:hAnsi="Times New Roman" w:cs="Times New Roman" w:eastAsia="Times New Roman" w:hint="default"/>
                            <w:sz w:val="21"/>
                            <w:szCs w:val="21"/>
                          </w:rPr>
                        </w:pPr>
                        <w:r>
                          <w:rPr>
                            <w:rFonts w:ascii="Times New Roman"/>
                            <w:sz w:val="21"/>
                          </w:rPr>
                          <w:t>3</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22" w:right="0"/>
                          <w:jc w:val="left"/>
                          <w:rPr>
                            <w:rFonts w:ascii="宋体" w:hAnsi="宋体" w:cs="宋体" w:eastAsia="宋体" w:hint="default"/>
                            <w:sz w:val="21"/>
                            <w:szCs w:val="21"/>
                          </w:rPr>
                        </w:pPr>
                        <w:r>
                          <w:rPr>
                            <w:rFonts w:ascii="宋体" w:hAnsi="宋体" w:cs="宋体" w:eastAsia="宋体" w:hint="default"/>
                            <w:sz w:val="21"/>
                            <w:szCs w:val="21"/>
                          </w:rPr>
                          <w:t>股东大会议事规则（</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85"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60"/>
                          <w:jc w:val="right"/>
                          <w:rPr>
                            <w:rFonts w:ascii="Times New Roman" w:hAnsi="Times New Roman" w:cs="Times New Roman" w:eastAsia="Times New Roman" w:hint="default"/>
                            <w:sz w:val="21"/>
                            <w:szCs w:val="21"/>
                          </w:rPr>
                        </w:pPr>
                        <w:r>
                          <w:rPr>
                            <w:rFonts w:ascii="Times New Roman"/>
                            <w:spacing w:val="-1"/>
                            <w:sz w:val="21"/>
                          </w:rPr>
                          <w:t>2015-04-24</w:t>
                        </w:r>
                      </w:p>
                    </w:tc>
                  </w:tr>
                  <w:tr>
                    <w:trPr>
                      <w:trHeight w:val="307"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0"/>
                          <w:jc w:val="right"/>
                          <w:rPr>
                            <w:rFonts w:ascii="Times New Roman" w:hAnsi="Times New Roman" w:cs="Times New Roman" w:eastAsia="Times New Roman" w:hint="default"/>
                            <w:sz w:val="21"/>
                            <w:szCs w:val="21"/>
                          </w:rPr>
                        </w:pPr>
                        <w:r>
                          <w:rPr>
                            <w:rFonts w:ascii="Times New Roman"/>
                            <w:sz w:val="21"/>
                          </w:rPr>
                          <w:t>4</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22" w:right="0"/>
                          <w:jc w:val="left"/>
                          <w:rPr>
                            <w:rFonts w:ascii="宋体" w:hAnsi="宋体" w:cs="宋体" w:eastAsia="宋体" w:hint="default"/>
                            <w:sz w:val="21"/>
                            <w:szCs w:val="21"/>
                          </w:rPr>
                        </w:pPr>
                        <w:r>
                          <w:rPr>
                            <w:rFonts w:ascii="宋体" w:hAnsi="宋体" w:cs="宋体" w:eastAsia="宋体" w:hint="default"/>
                            <w:sz w:val="21"/>
                            <w:szCs w:val="21"/>
                          </w:rPr>
                          <w:t>蓝盾股份：公司章程（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85"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60"/>
                          <w:jc w:val="right"/>
                          <w:rPr>
                            <w:rFonts w:ascii="Times New Roman" w:hAnsi="Times New Roman" w:cs="Times New Roman" w:eastAsia="Times New Roman" w:hint="default"/>
                            <w:sz w:val="21"/>
                            <w:szCs w:val="21"/>
                          </w:rPr>
                        </w:pPr>
                        <w:r>
                          <w:rPr>
                            <w:rFonts w:ascii="Times New Roman"/>
                            <w:spacing w:val="-1"/>
                            <w:sz w:val="21"/>
                          </w:rPr>
                          <w:t>2015-08-18</w:t>
                        </w:r>
                      </w:p>
                    </w:tc>
                  </w:tr>
                  <w:tr>
                    <w:trPr>
                      <w:trHeight w:val="308" w:hRule="exact"/>
                    </w:trPr>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10"/>
                          <w:jc w:val="right"/>
                          <w:rPr>
                            <w:rFonts w:ascii="Times New Roman" w:hAnsi="Times New Roman" w:cs="Times New Roman" w:eastAsia="Times New Roman" w:hint="default"/>
                            <w:sz w:val="21"/>
                            <w:szCs w:val="21"/>
                          </w:rPr>
                        </w:pPr>
                        <w:r>
                          <w:rPr>
                            <w:rFonts w:ascii="Times New Roman"/>
                            <w:sz w:val="21"/>
                          </w:rPr>
                          <w:t>5</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22" w:right="0"/>
                          <w:jc w:val="left"/>
                          <w:rPr>
                            <w:rFonts w:ascii="宋体" w:hAnsi="宋体" w:cs="宋体" w:eastAsia="宋体" w:hint="default"/>
                            <w:sz w:val="21"/>
                            <w:szCs w:val="21"/>
                          </w:rPr>
                        </w:pPr>
                        <w:r>
                          <w:rPr>
                            <w:rFonts w:ascii="宋体" w:hAnsi="宋体" w:cs="宋体" w:eastAsia="宋体" w:hint="default"/>
                            <w:sz w:val="21"/>
                            <w:szCs w:val="21"/>
                          </w:rPr>
                          <w:t>蓝盾股份：公司章程（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85" w:right="0"/>
                          <w:jc w:val="center"/>
                          <w:rPr>
                            <w:rFonts w:ascii="宋体" w:hAnsi="宋体" w:cs="宋体" w:eastAsia="宋体" w:hint="default"/>
                            <w:sz w:val="21"/>
                            <w:szCs w:val="21"/>
                          </w:rPr>
                        </w:pPr>
                        <w:r>
                          <w:rPr>
                            <w:rFonts w:ascii="宋体" w:hAnsi="宋体" w:cs="宋体" w:eastAsia="宋体" w:hint="default"/>
                            <w:sz w:val="21"/>
                            <w:szCs w:val="21"/>
                          </w:rPr>
                          <w:t>修订</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60"/>
                          <w:jc w:val="right"/>
                          <w:rPr>
                            <w:rFonts w:ascii="Times New Roman" w:hAnsi="Times New Roman" w:cs="Times New Roman" w:eastAsia="Times New Roman" w:hint="default"/>
                            <w:sz w:val="21"/>
                            <w:szCs w:val="21"/>
                          </w:rPr>
                        </w:pPr>
                        <w:r>
                          <w:rPr>
                            <w:rFonts w:ascii="Times New Roman"/>
                            <w:spacing w:val="-1"/>
                            <w:sz w:val="21"/>
                          </w:rPr>
                          <w:t>2015-10-27</w:t>
                        </w:r>
                      </w:p>
                    </w:tc>
                  </w:tr>
                </w:tbl>
                <w:p>
                  <w:pPr/>
                </w:p>
              </w:txbxContent>
            </v:textbox>
            <w10:wrap type="none"/>
          </v:shape>
        </w:pict>
      </w:r>
      <w:r>
        <w:rPr/>
        <w:t>报告期内，公司根据中国证监会或深交所的最新要求，结合公司的实际运作需要，修订了部分制度， 具体如下表：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5"/>
        <w:ind w:left="1554" w:right="0"/>
        <w:jc w:val="left"/>
      </w:pPr>
      <w:r>
        <w:rPr/>
        <w:t>注：以上制度均已登载于巨潮资讯网（</w:t>
      </w:r>
      <w:hyperlink r:id="rId13">
        <w:r>
          <w:rPr>
            <w:rFonts w:ascii="Times New Roman" w:hAnsi="Times New Roman" w:cs="Times New Roman" w:eastAsia="Times New Roman" w:hint="default"/>
          </w:rPr>
          <w:t>www.cninfo.com.cn</w:t>
        </w:r>
      </w:hyperlink>
      <w:r>
        <w:rPr/>
        <w:t>）。</w:t>
      </w:r>
    </w:p>
    <w:p>
      <w:pPr>
        <w:pStyle w:val="BodyText"/>
        <w:spacing w:line="350" w:lineRule="auto" w:before="109"/>
        <w:ind w:left="1553" w:right="0"/>
        <w:jc w:val="left"/>
      </w:pPr>
      <w:r>
        <w:rPr/>
        <w:t>（一）关于股东与股东大会 </w:t>
      </w:r>
      <w:r>
        <w:rPr>
          <w:spacing w:val="-1"/>
        </w:rPr>
        <w:t>公司严格按照《上市公司股东大会规则》、《公司章程》、《股东大会议事规则》等规定和要求，规</w:t>
      </w:r>
    </w:p>
    <w:p>
      <w:pPr>
        <w:pStyle w:val="BodyText"/>
        <w:spacing w:line="240" w:lineRule="auto" w:before="28"/>
        <w:ind w:right="0"/>
        <w:jc w:val="left"/>
      </w:pPr>
      <w:r>
        <w:rPr/>
        <w:t>范地召集、召开股东大会，对公司的相关事项做出了决策，程序规范，决策科学，效果良好。</w:t>
      </w:r>
    </w:p>
    <w:p>
      <w:pPr>
        <w:pStyle w:val="BodyText"/>
        <w:spacing w:line="350" w:lineRule="auto" w:before="124"/>
        <w:ind w:left="1553" w:right="0"/>
        <w:jc w:val="left"/>
      </w:pPr>
      <w:r>
        <w:rPr/>
        <w:t>（二）关于公司与控股股东 </w:t>
      </w:r>
      <w:r>
        <w:rPr>
          <w:spacing w:val="-1"/>
        </w:rPr>
        <w:t>公司控股股东严格规范自身行为，没有直接或间接干预公司的决策和经营活动情况。公司在业务、人</w:t>
      </w:r>
    </w:p>
    <w:p>
      <w:pPr>
        <w:pStyle w:val="BodyText"/>
        <w:spacing w:line="348" w:lineRule="auto" w:before="28"/>
        <w:ind w:right="0"/>
        <w:jc w:val="left"/>
      </w:pPr>
      <w:r>
        <w:rPr>
          <w:spacing w:val="-1"/>
        </w:rPr>
        <w:t>员、资产、机构、财务上独立于控股股东，有独立完整的业务和自主经营能力，公司董事会、监事会和内</w:t>
      </w:r>
      <w:r>
        <w:rPr>
          <w:spacing w:val="-83"/>
        </w:rPr>
        <w:t> </w:t>
      </w:r>
      <w:r>
        <w:rPr>
          <w:spacing w:val="-83"/>
        </w:rPr>
      </w:r>
      <w:r>
        <w:rPr/>
        <w:t>部机构独立运作。</w:t>
      </w:r>
    </w:p>
    <w:p>
      <w:pPr>
        <w:pStyle w:val="BodyText"/>
        <w:spacing w:line="348" w:lineRule="auto" w:before="32"/>
        <w:ind w:left="1553" w:right="1093"/>
        <w:jc w:val="left"/>
      </w:pPr>
      <w:r>
        <w:rPr/>
        <w:t>（三）关于董事和董事会 公司董事会设董事</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名，董事会的人数及人员构成符合法律、法规和《公司章程》</w:t>
      </w:r>
    </w:p>
    <w:p>
      <w:pPr>
        <w:pStyle w:val="BodyText"/>
        <w:spacing w:line="240" w:lineRule="auto" w:before="4"/>
        <w:ind w:right="0"/>
        <w:jc w:val="left"/>
      </w:pPr>
      <w:r>
        <w:rPr/>
        <w:t>的要求。各董事能够依据《公司法》、《深圳证券交易所创业板上市公司规范运作指引》、《公司董事会</w:t>
      </w:r>
    </w:p>
    <w:p>
      <w:pPr>
        <w:spacing w:after="0" w:line="240"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0"/>
        <w:jc w:val="left"/>
      </w:pPr>
      <w:r>
        <w:rPr>
          <w:spacing w:val="-1"/>
        </w:rPr>
        <w:t>议事规则》等法律法规、规章制度开展工作，出席董事会和股东大会，勤勉尽责地履行职责和义务，同时</w:t>
      </w:r>
      <w:r>
        <w:rPr>
          <w:spacing w:val="-83"/>
        </w:rPr>
        <w:t> </w:t>
      </w:r>
      <w:r>
        <w:rPr>
          <w:spacing w:val="-83"/>
        </w:rPr>
      </w:r>
      <w:r>
        <w:rPr/>
        <w:t>积极参加相关培训，熟悉相关法律法规。</w:t>
      </w:r>
    </w:p>
    <w:p>
      <w:pPr>
        <w:pStyle w:val="BodyText"/>
        <w:spacing w:line="350" w:lineRule="auto" w:before="31"/>
        <w:ind w:left="1553" w:right="0"/>
        <w:jc w:val="left"/>
      </w:pPr>
      <w:r>
        <w:rPr/>
        <w:t>（四）关于监事和监事会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名，监事会的人数和构成符合法律、法规的要求。各位监事能</w:t>
      </w:r>
    </w:p>
    <w:p>
      <w:pPr>
        <w:pStyle w:val="BodyText"/>
        <w:spacing w:line="350" w:lineRule="auto" w:before="2"/>
        <w:ind w:right="0"/>
        <w:jc w:val="left"/>
      </w:pPr>
      <w:r>
        <w:rPr>
          <w:spacing w:val="-1"/>
        </w:rPr>
        <w:t>够按照《公司监事会议事规则》的要求，认真履行自己的职责，对公司重大事项、关联交易、财务状况以</w:t>
      </w:r>
      <w:r>
        <w:rPr>
          <w:spacing w:val="-83"/>
        </w:rPr>
        <w:t> </w:t>
      </w:r>
      <w:r>
        <w:rPr>
          <w:spacing w:val="-83"/>
        </w:rPr>
      </w:r>
      <w:r>
        <w:rPr/>
        <w:t>及董事、高级管理人员履行职责的合法合规性进行监督。</w:t>
      </w:r>
    </w:p>
    <w:p>
      <w:pPr>
        <w:pStyle w:val="BodyText"/>
        <w:spacing w:line="348" w:lineRule="auto" w:before="28"/>
        <w:ind w:left="1553" w:right="1093"/>
        <w:jc w:val="left"/>
      </w:pPr>
      <w:r>
        <w:rPr/>
        <w:t>（五）关于绩效评价与激励约束机制 公司已建立企业绩效评价激励体系，经营者的收入与企业经营业绩挂钩，高级管理人员的聘任公开、</w:t>
      </w:r>
    </w:p>
    <w:p>
      <w:pPr>
        <w:pStyle w:val="BodyText"/>
        <w:spacing w:line="348" w:lineRule="auto" w:before="31"/>
        <w:ind w:right="0"/>
        <w:jc w:val="left"/>
      </w:pPr>
      <w:r>
        <w:rPr>
          <w:spacing w:val="-1"/>
        </w:rPr>
        <w:t>透明，符合法律、法规的规定。公司董事会下设的薪酬和考核委员会负责对公司董事及高级管理人员进行</w:t>
      </w:r>
      <w:r>
        <w:rPr>
          <w:spacing w:val="-83"/>
        </w:rPr>
        <w:t> </w:t>
      </w:r>
      <w:r>
        <w:rPr>
          <w:spacing w:val="-83"/>
        </w:rPr>
      </w:r>
      <w:r>
        <w:rPr/>
        <w:t>绩效考核，董事、监事和高级管理人员的津贴标准由公司股东大会批准。</w:t>
      </w:r>
    </w:p>
    <w:p>
      <w:pPr>
        <w:pStyle w:val="BodyText"/>
        <w:spacing w:line="350" w:lineRule="auto" w:before="30"/>
        <w:ind w:left="1553" w:right="1018"/>
        <w:jc w:val="left"/>
      </w:pPr>
      <w:r>
        <w:rPr/>
        <w:t>（六）关于信息披露与透明度 </w:t>
      </w:r>
      <w:r>
        <w:rPr>
          <w:spacing w:val="-3"/>
        </w:rPr>
        <w:t>公司严格按照《上市公司信息披露管理办法》《公司投资者关系管理制度》等规章制度的要求，真实、</w:t>
      </w:r>
    </w:p>
    <w:p>
      <w:pPr>
        <w:pStyle w:val="BodyText"/>
        <w:spacing w:line="343" w:lineRule="auto" w:before="28"/>
        <w:ind w:right="1130"/>
        <w:jc w:val="both"/>
      </w:pPr>
      <w:r>
        <w:rPr>
          <w:spacing w:val="-1"/>
        </w:rPr>
        <w:t>准确、及时、公平、完整地披露有关信息。公司指定董事会秘书负责信息披露工作，协调公司与投资者的</w:t>
      </w:r>
      <w:r>
        <w:rPr>
          <w:spacing w:val="-83"/>
        </w:rPr>
        <w:t> </w:t>
      </w:r>
      <w:r>
        <w:rPr>
          <w:spacing w:val="-83"/>
        </w:rPr>
      </w:r>
      <w:r>
        <w:rPr>
          <w:spacing w:val="-1"/>
        </w:rPr>
        <w:t>关系，回答投资者咨询，接待投资者来访，向投资者提供公司已披露的资料；并指定《证券时报》、《证</w:t>
      </w:r>
      <w:r>
        <w:rPr>
          <w:spacing w:val="-84"/>
        </w:rPr>
        <w:t> </w:t>
      </w:r>
      <w:r>
        <w:rPr>
          <w:spacing w:val="-84"/>
        </w:rPr>
      </w:r>
      <w:r>
        <w:rPr/>
        <w:t>券日报》、《中国证券报》、《上海证券报》和巨潮资讯网</w:t>
      </w:r>
      <w:r>
        <w:rPr>
          <w:rFonts w:ascii="Times New Roman" w:hAnsi="Times New Roman" w:cs="Times New Roman" w:eastAsia="Times New Roman" w:hint="default"/>
        </w:rPr>
        <w:t>(www.cninfo.com.cn)</w:t>
      </w:r>
      <w:r>
        <w:rPr/>
        <w:t>为公司信息披露的指定报 纸和网站，确保公司所有股东能够以平等的机会获得信息。</w:t>
      </w:r>
    </w:p>
    <w:p>
      <w:pPr>
        <w:pStyle w:val="BodyText"/>
        <w:spacing w:line="384" w:lineRule="auto" w:before="34"/>
        <w:ind w:left="1553" w:right="0"/>
        <w:jc w:val="left"/>
      </w:pPr>
      <w:r>
        <w:rPr/>
        <w:t>（七）关于相关利益者 </w:t>
      </w:r>
      <w:r>
        <w:rPr>
          <w:spacing w:val="-1"/>
        </w:rPr>
        <w:t>公司充分尊重和维护相关利益者的合法权益，实现股东、员工、社会等各方利益的协调平衡，共同推</w:t>
      </w:r>
    </w:p>
    <w:p>
      <w:pPr>
        <w:pStyle w:val="BodyText"/>
        <w:spacing w:line="274" w:lineRule="exact"/>
        <w:ind w:right="0"/>
        <w:jc w:val="both"/>
      </w:pPr>
      <w:r>
        <w:rPr/>
        <w:t>动公司持续、健康的发展。</w:t>
      </w:r>
    </w:p>
    <w:p>
      <w:pPr>
        <w:spacing w:before="60"/>
        <w:ind w:left="113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264" w:lineRule="auto" w:before="38"/>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1"/>
          <w:szCs w:val="31"/>
        </w:rPr>
      </w:pPr>
    </w:p>
    <w:p>
      <w:pPr>
        <w:pStyle w:val="BodyText"/>
        <w:spacing w:line="348" w:lineRule="auto"/>
        <w:ind w:right="1120" w:firstLine="420"/>
        <w:jc w:val="left"/>
      </w:pPr>
      <w:r>
        <w:rPr>
          <w:spacing w:val="-1"/>
        </w:rPr>
        <w:t>公司与控股股东在业务、人员、资产、机构、财务等方面相互独立，公司具有独立完整的业务及自主</w:t>
      </w:r>
      <w:r>
        <w:rPr/>
        <w:t> 经营能力。</w:t>
      </w:r>
    </w:p>
    <w:p>
      <w:pPr>
        <w:pStyle w:val="BodyText"/>
        <w:spacing w:line="343" w:lineRule="auto" w:before="30"/>
        <w:ind w:left="1134" w:right="0" w:firstLine="420"/>
        <w:jc w:val="left"/>
      </w:pPr>
      <w:r>
        <w:rPr>
          <w:rFonts w:ascii="Times New Roman" w:hAnsi="Times New Roman" w:cs="Times New Roman" w:eastAsia="Times New Roman" w:hint="default"/>
          <w:spacing w:val="-1"/>
        </w:rPr>
        <w:t>1</w:t>
      </w:r>
      <w:r>
        <w:rPr>
          <w:spacing w:val="-1"/>
        </w:rPr>
        <w:t>、业务独立。公司设有独立的技术中心负责公司核心技术和产品的技术创新、产品开发、产品规划、</w:t>
      </w:r>
      <w:r>
        <w:rPr/>
        <w:t> 推广策划和售后服务，由供应链部门负责原材料采购、产品的生产及供应，并建立了覆盖全国主要区域和 行业立体化营销服务网络。公司具备独立完整的产、供、销及研发系统，其产、供、销、研发均不依赖股 东单位及其他关联企业，拥有独立的生产经营场所和完整的业务体系，具有面向市场自主经营的能力。</w:t>
      </w:r>
    </w:p>
    <w:p>
      <w:pPr>
        <w:pStyle w:val="BodyText"/>
        <w:spacing w:line="345" w:lineRule="auto" w:before="35"/>
        <w:ind w:right="0" w:firstLine="420"/>
        <w:jc w:val="left"/>
      </w:pPr>
      <w:r>
        <w:rPr>
          <w:rFonts w:ascii="Times New Roman" w:hAnsi="Times New Roman" w:cs="Times New Roman" w:eastAsia="Times New Roman" w:hint="default"/>
          <w:spacing w:val="-1"/>
        </w:rPr>
        <w:t>2</w:t>
      </w:r>
      <w:r>
        <w:rPr>
          <w:spacing w:val="-1"/>
        </w:rPr>
        <w:t>、资产完整。公司拥有生产经营所需的各项资产，包括房屋建筑物、土地使用权、办公设备、存货、</w:t>
      </w:r>
      <w:r>
        <w:rPr/>
        <w:t> 车辆以及商标权、计算机软件著作权、专利及非专利技术等。公司拥有的土地使用权为协议出让取得，在 该土地之上自建的生产经营用房屋已取得房产证书，所有知识产权均为公司及下属全资子公司自主设计申 报、自主研发、自主拥有和独占使用的。公司资产完整、产权明晰，不存在资产、资金被控股股东占用而 损害公司利益的情况。</w:t>
      </w:r>
    </w:p>
    <w:p>
      <w:pPr>
        <w:spacing w:after="0" w:line="345"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45" w:lineRule="auto" w:before="35"/>
        <w:ind w:left="1134" w:right="1023" w:firstLine="420"/>
        <w:jc w:val="left"/>
      </w:pPr>
      <w:r>
        <w:rPr>
          <w:rFonts w:ascii="Times New Roman" w:hAnsi="Times New Roman" w:cs="Times New Roman" w:eastAsia="Times New Roman" w:hint="default"/>
        </w:rPr>
        <w:t>3</w:t>
      </w:r>
      <w:r>
        <w:rPr/>
        <w:t>、人员独立。公司设立了专门的人力资源部，建立了独立的劳动人事及工资管理制度，不存在受控 股股东干预的情况。员工的收入由公司独立核算和发放，并已按照国家和地方政府及社会保障部门的有关 规定，为员工缴纳养老、医疗、工伤、失业和生育保险以及住房公积金。公司董事、监事均严格按照《公 司法》和《公司章程》的有关规定选举产生，高级管理人员均由董事会依职权聘任，不存在控股股东或其 他关联方干涉公司人事任免的情况。公司总经理、副总经理、财务负责人和董事会秘书等高级管理人员没 有在控股股东、实际控制人及其控制的其他企业中担任除董事、监事以外的其他职务，没有在控股股东、 </w:t>
      </w:r>
      <w:r>
        <w:rPr>
          <w:spacing w:val="-3"/>
        </w:rPr>
        <w:t>实际控制人及其控制的其他企业领薪，财务人员没有在控股股东、实际控制人及其控制的其他企业中兼职。</w:t>
      </w:r>
    </w:p>
    <w:p>
      <w:pPr>
        <w:pStyle w:val="BodyText"/>
        <w:spacing w:line="345" w:lineRule="auto" w:before="32"/>
        <w:ind w:left="1134" w:right="0" w:firstLine="420"/>
        <w:jc w:val="left"/>
      </w:pPr>
      <w:r>
        <w:rPr>
          <w:rFonts w:ascii="Times New Roman" w:hAnsi="Times New Roman" w:cs="Times New Roman" w:eastAsia="Times New Roman" w:hint="default"/>
        </w:rPr>
        <w:t>4</w:t>
      </w:r>
      <w:r>
        <w:rPr/>
        <w:t>、机构独立。公司具有健全的法人治理结构，设立了股东大会、董事会、监事会，聘任了总经理， </w:t>
      </w:r>
      <w:r>
        <w:rPr>
          <w:spacing w:val="-1"/>
        </w:rPr>
        <w:t>并根据生产经营需要设置了各业务中心和相关职能部门，建立完善了各部门规章制度。公司的业务经营场</w:t>
      </w:r>
      <w:r>
        <w:rPr>
          <w:spacing w:val="-81"/>
        </w:rPr>
        <w:t> </w:t>
      </w:r>
      <w:r>
        <w:rPr>
          <w:spacing w:val="-81"/>
        </w:rPr>
      </w:r>
      <w:r>
        <w:rPr>
          <w:spacing w:val="-1"/>
        </w:rPr>
        <w:t>所和办公机构与股东单位完全分开，不存在混合经营、合署办公的情形，公司的组织机构独立于各股东单</w:t>
      </w:r>
      <w:r>
        <w:rPr>
          <w:spacing w:val="-83"/>
        </w:rPr>
        <w:t> </w:t>
      </w:r>
      <w:r>
        <w:rPr>
          <w:spacing w:val="-83"/>
        </w:rPr>
      </w:r>
      <w:r>
        <w:rPr>
          <w:spacing w:val="-1"/>
        </w:rPr>
        <w:t>位，各职能部门与股东单位及其职能部门之间没有上下级关系，不存在控股股东干预公司内部机构的设置</w:t>
      </w:r>
      <w:r>
        <w:rPr>
          <w:spacing w:val="-81"/>
        </w:rPr>
        <w:t> </w:t>
      </w:r>
      <w:r>
        <w:rPr>
          <w:spacing w:val="-81"/>
        </w:rPr>
      </w:r>
      <w:r>
        <w:rPr/>
        <w:t>和运作的情况。</w:t>
      </w:r>
    </w:p>
    <w:p>
      <w:pPr>
        <w:pStyle w:val="BodyText"/>
        <w:spacing w:line="345" w:lineRule="auto" w:before="32"/>
        <w:ind w:left="1134" w:right="0" w:firstLine="420"/>
        <w:jc w:val="left"/>
      </w:pPr>
      <w:r>
        <w:rPr>
          <w:rFonts w:ascii="Times New Roman" w:hAnsi="Times New Roman" w:cs="Times New Roman" w:eastAsia="Times New Roman" w:hint="default"/>
        </w:rPr>
        <w:t>5</w:t>
      </w:r>
      <w:r>
        <w:rPr/>
        <w:t>、财务独立。公司按照《企业会计准则》等规定制定了规范的财务会计制度和对分公司、子公司的 </w:t>
      </w:r>
      <w:r>
        <w:rPr>
          <w:spacing w:val="-1"/>
        </w:rPr>
        <w:t>财务管理制度，建立了独立的财务会计核算体系，设立了独立的财务会计部门，配备了独立的财务会计人</w:t>
      </w:r>
      <w:r>
        <w:rPr>
          <w:spacing w:val="-82"/>
        </w:rPr>
        <w:t> </w:t>
      </w:r>
      <w:r>
        <w:rPr>
          <w:spacing w:val="-82"/>
        </w:rPr>
      </w:r>
      <w:r>
        <w:rPr>
          <w:spacing w:val="-1"/>
        </w:rPr>
        <w:t>员。公司开设了独立的银行账户，不存在与股东或其他第三方共用银行账户的情况；公司办理了独立的税</w:t>
      </w:r>
      <w:r>
        <w:rPr>
          <w:spacing w:val="-83"/>
        </w:rPr>
        <w:t> </w:t>
      </w:r>
      <w:r>
        <w:rPr>
          <w:spacing w:val="-83"/>
        </w:rPr>
      </w:r>
      <w:r>
        <w:rPr>
          <w:spacing w:val="-1"/>
        </w:rPr>
        <w:t>务登记，依法照章纳税，与股东单位无混合纳税现象。公司不存在货币资金或其他资产被股东单位或其他</w:t>
      </w:r>
      <w:r>
        <w:rPr>
          <w:spacing w:val="-83"/>
        </w:rPr>
        <w:t> </w:t>
      </w:r>
      <w:r>
        <w:rPr>
          <w:spacing w:val="-83"/>
        </w:rPr>
      </w:r>
      <w:r>
        <w:rPr/>
        <w:t>关联方占用的情形，也不存在为股东或其他关联方提供担保的情形。</w:t>
      </w:r>
    </w:p>
    <w:p>
      <w:pPr>
        <w:spacing w:line="240" w:lineRule="auto" w:before="10"/>
        <w:rPr>
          <w:rFonts w:ascii="宋体" w:hAnsi="宋体" w:cs="宋体" w:eastAsia="宋体" w:hint="default"/>
          <w:sz w:val="16"/>
          <w:szCs w:val="16"/>
        </w:rPr>
      </w:pPr>
    </w:p>
    <w:p>
      <w:pPr>
        <w:pStyle w:val="Heading2"/>
        <w:spacing w:line="240" w:lineRule="auto"/>
        <w:ind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44"/>
        <w:ind w:left="0" w:right="929" w:firstLine="0"/>
        <w:jc w:val="right"/>
        <w:rPr>
          <w:rFonts w:ascii="宋体" w:hAnsi="宋体" w:cs="宋体" w:eastAsia="宋体" w:hint="default"/>
          <w:sz w:val="18"/>
          <w:szCs w:val="18"/>
        </w:rPr>
      </w:pPr>
      <w:r>
        <w:rPr/>
        <w:pict>
          <v:shape style="position:absolute;margin-left:56.459999pt;margin-top:-77.828278pt;width:489.85pt;height:221.4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40"/>
                    <w:gridCol w:w="851"/>
                    <w:gridCol w:w="1559"/>
                    <w:gridCol w:w="1559"/>
                    <w:gridCol w:w="2978"/>
                  </w:tblGrid>
                  <w:tr>
                    <w:trPr>
                      <w:trHeight w:val="55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25" w:lineRule="auto" w:before="12"/>
                          <w:ind w:left="22" w:right="23"/>
                          <w:jc w:val="both"/>
                          <w:rPr>
                            <w:rFonts w:ascii="宋体" w:hAnsi="宋体" w:cs="宋体" w:eastAsia="宋体" w:hint="default"/>
                            <w:sz w:val="18"/>
                            <w:szCs w:val="18"/>
                          </w:rPr>
                        </w:pPr>
                        <w:r>
                          <w:rPr>
                            <w:rFonts w:ascii="宋体" w:hAnsi="宋体" w:cs="宋体" w:eastAsia="宋体" w:hint="default"/>
                            <w:spacing w:val="-6"/>
                            <w:w w:val="99"/>
                            <w:sz w:val="18"/>
                            <w:szCs w:val="18"/>
                          </w:rPr>
                          <w:t>（</w:t>
                        </w:r>
                        <w:hyperlink r:id="rId13">
                          <w:r>
                            <w:rPr>
                              <w:rFonts w:ascii="Times New Roman" w:hAnsi="Times New Roman" w:cs="Times New Roman" w:eastAsia="Times New Roman" w:hint="default"/>
                              <w:spacing w:val="-6"/>
                              <w:w w:val="99"/>
                              <w:sz w:val="18"/>
                              <w:szCs w:val="18"/>
                            </w:rPr>
                            <w:t>http://www.cninfo.com.cn</w:t>
                          </w:r>
                        </w:hyperlink>
                        <w:r>
                          <w:rPr>
                            <w:rFonts w:ascii="宋体" w:hAnsi="宋体" w:cs="宋体" w:eastAsia="宋体" w:hint="default"/>
                            <w:spacing w:val="-6"/>
                            <w:w w:val="99"/>
                            <w:sz w:val="18"/>
                            <w:szCs w:val="18"/>
                          </w:rPr>
                          <w:t>）《</w:t>
                        </w:r>
                        <w:r>
                          <w:rPr>
                            <w:rFonts w:ascii="宋体" w:hAnsi="宋体" w:cs="宋体" w:eastAsia="宋体" w:hint="default"/>
                            <w:spacing w:val="11"/>
                            <w:w w:val="99"/>
                            <w:sz w:val="18"/>
                            <w:szCs w:val="18"/>
                          </w:rPr>
                          <w:t> </w:t>
                        </w:r>
                        <w:r>
                          <w:rPr>
                            <w:rFonts w:ascii="宋体" w:hAnsi="宋体" w:cs="宋体" w:eastAsia="宋体" w:hint="default"/>
                            <w:sz w:val="18"/>
                            <w:szCs w:val="18"/>
                          </w:rPr>
                          <w:t>蓝盾股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年第一次临时股东大会决议 </w:t>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2015-014</w:t>
                        </w:r>
                        <w:r>
                          <w:rPr>
                            <w:rFonts w:ascii="宋体" w:hAnsi="宋体" w:cs="宋体" w:eastAsia="宋体" w:hint="default"/>
                            <w:spacing w:val="-5"/>
                            <w:sz w:val="18"/>
                            <w:szCs w:val="18"/>
                          </w:rPr>
                          <w:t>）</w:t>
                        </w:r>
                      </w:p>
                    </w:tc>
                  </w:tr>
                  <w:tr>
                    <w:trPr>
                      <w:trHeight w:val="79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0"/>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3">
                          <w:r>
                            <w:rPr>
                              <w:rFonts w:ascii="Times New Roman" w:hAnsi="Times New Roman" w:cs="Times New Roman" w:eastAsia="Times New Roman" w:hint="default"/>
                              <w:sz w:val="18"/>
                              <w:szCs w:val="18"/>
                            </w:rPr>
                            <w:t>http://www.cninfo.com.cn</w:t>
                          </w:r>
                        </w:hyperlink>
                      </w:p>
                      <w:p>
                        <w:pPr>
                          <w:pStyle w:val="TableParagraph"/>
                          <w:spacing w:line="234" w:lineRule="exact" w:before="15"/>
                          <w:ind w:left="22" w:right="2"/>
                          <w:jc w:val="left"/>
                          <w:rPr>
                            <w:rFonts w:ascii="宋体" w:hAnsi="宋体" w:cs="宋体" w:eastAsia="宋体" w:hint="default"/>
                            <w:sz w:val="18"/>
                            <w:szCs w:val="18"/>
                          </w:rPr>
                        </w:pPr>
                        <w:r>
                          <w:rPr>
                            <w:rFonts w:ascii="宋体" w:hAnsi="宋体" w:cs="宋体" w:eastAsia="宋体" w:hint="default"/>
                            <w:sz w:val="18"/>
                            <w:szCs w:val="18"/>
                          </w:rPr>
                          <w:t>《蓝盾股份：</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年年度股东大会决 议的公告》 （公告编号：</w:t>
                        </w:r>
                        <w:r>
                          <w:rPr>
                            <w:rFonts w:ascii="Times New Roman" w:hAnsi="Times New Roman" w:cs="Times New Roman" w:eastAsia="Times New Roman" w:hint="default"/>
                            <w:sz w:val="18"/>
                            <w:szCs w:val="18"/>
                          </w:rPr>
                          <w:t>2015-050</w:t>
                        </w:r>
                        <w:r>
                          <w:rPr>
                            <w:rFonts w:ascii="宋体" w:hAnsi="宋体" w:cs="宋体" w:eastAsia="宋体" w:hint="default"/>
                            <w:sz w:val="18"/>
                            <w:szCs w:val="18"/>
                          </w:rPr>
                          <w:t>）</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年第二次股东 临时大会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25" w:lineRule="auto" w:before="12"/>
                          <w:ind w:left="22" w:right="23"/>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）《蓝盾股</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年第二次临时股东大会决议 </w:t>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2015-089</w:t>
                        </w:r>
                        <w:r>
                          <w:rPr>
                            <w:rFonts w:ascii="宋体" w:hAnsi="宋体" w:cs="宋体" w:eastAsia="宋体" w:hint="default"/>
                            <w:spacing w:val="-5"/>
                            <w:sz w:val="18"/>
                            <w:szCs w:val="18"/>
                          </w:rPr>
                          <w:t>）</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25" w:lineRule="auto" w:before="12"/>
                          <w:ind w:left="22" w:right="23"/>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）《蓝盾股</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年第三次临时股东大会决议 </w:t>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2015-122</w:t>
                        </w:r>
                        <w:r>
                          <w:rPr>
                            <w:rFonts w:ascii="宋体" w:hAnsi="宋体" w:cs="宋体" w:eastAsia="宋体" w:hint="default"/>
                            <w:spacing w:val="-5"/>
                            <w:sz w:val="18"/>
                            <w:szCs w:val="18"/>
                          </w:rPr>
                          <w:t>）</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596"/>
        <w:gridCol w:w="1240"/>
        <w:gridCol w:w="851"/>
        <w:gridCol w:w="1559"/>
        <w:gridCol w:w="1559"/>
        <w:gridCol w:w="2978"/>
      </w:tblGrid>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25" w:lineRule="auto" w:before="12"/>
              <w:ind w:left="22" w:right="23"/>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）《蓝盾股</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年第四次临时股东大会决议 </w:t>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2015-125</w:t>
            </w:r>
            <w:r>
              <w:rPr>
                <w:rFonts w:ascii="宋体" w:hAnsi="宋体" w:cs="宋体" w:eastAsia="宋体" w:hint="default"/>
                <w:spacing w:val="-5"/>
                <w:sz w:val="18"/>
                <w:szCs w:val="18"/>
              </w:rPr>
              <w:t>）</w:t>
            </w:r>
          </w:p>
        </w:tc>
      </w:tr>
      <w:tr>
        <w:trPr>
          <w:trHeight w:val="10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25" w:lineRule="auto" w:before="12"/>
              <w:ind w:left="22" w:right="23"/>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）《蓝盾股</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年第五次临时股东大会决议 </w:t>
            </w:r>
            <w:r>
              <w:rPr>
                <w:rFonts w:ascii="宋体" w:hAnsi="宋体" w:cs="宋体" w:eastAsia="宋体" w:hint="default"/>
                <w:spacing w:val="-9"/>
                <w:sz w:val="18"/>
                <w:szCs w:val="18"/>
              </w:rPr>
              <w:t>的公告》（公告编号：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2015-144</w:t>
            </w:r>
            <w:r>
              <w:rPr>
                <w:rFonts w:ascii="宋体" w:hAnsi="宋体" w:cs="宋体" w:eastAsia="宋体" w:hint="default"/>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34" w:lineRule="exact"/>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34" w:lineRule="exact" w:before="21"/>
              <w:ind w:left="22" w:right="23"/>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）《蓝盾股</w:t>
            </w:r>
            <w:r>
              <w:rPr>
                <w:rFonts w:ascii="宋体" w:hAnsi="宋体" w:cs="宋体" w:eastAsia="宋体" w:hint="default"/>
                <w:spacing w:val="-76"/>
                <w:w w:val="99"/>
                <w:sz w:val="18"/>
                <w:szCs w:val="18"/>
              </w:rPr>
              <w:t> </w:t>
            </w:r>
            <w:r>
              <w:rPr>
                <w:rFonts w:ascii="宋体" w:hAnsi="宋体" w:cs="宋体" w:eastAsia="宋体" w:hint="default"/>
                <w:spacing w:val="-76"/>
                <w:w w:val="99"/>
                <w:sz w:val="18"/>
                <w:szCs w:val="18"/>
              </w:rPr>
            </w:r>
            <w:r>
              <w:rPr>
                <w:rFonts w:ascii="宋体" w:hAnsi="宋体" w:cs="宋体" w:eastAsia="宋体" w:hint="default"/>
                <w:sz w:val="18"/>
                <w:szCs w:val="18"/>
              </w:rPr>
              <w:t>份：</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年第六次临时股东大会决议 </w:t>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2015-153</w:t>
            </w:r>
            <w:r>
              <w:rPr>
                <w:rFonts w:ascii="宋体" w:hAnsi="宋体" w:cs="宋体" w:eastAsia="宋体" w:hint="default"/>
                <w:spacing w:val="-5"/>
                <w:sz w:val="18"/>
                <w:szCs w:val="18"/>
              </w:rPr>
              <w:t>）</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1133"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32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55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2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徐超汉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王丹舟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贺小勇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谭跃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黎奇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胡瑞敏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264" w:lineRule="auto" w:before="38"/>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133"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264" w:lineRule="auto" w:before="38"/>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348" w:lineRule="auto" w:before="126"/>
        <w:ind w:right="1131" w:firstLine="420"/>
        <w:jc w:val="both"/>
      </w:pPr>
      <w:r>
        <w:rPr>
          <w:spacing w:val="-19"/>
        </w:rPr>
        <w:t>报告期内，公司独立董事严格按照《公司法》、《证券法》、《深圳证券交易所创业板股票上市规则》、《深</w:t>
      </w:r>
      <w:r>
        <w:rPr/>
        <w:t> </w:t>
      </w:r>
      <w:r>
        <w:rPr>
          <w:spacing w:val="-6"/>
        </w:rPr>
        <w:t>圳证券交易所创业板上市公司规范运作指引》、《公司章程》及《独立董事工作细则》等法律法规及规章制</w:t>
      </w:r>
      <w:r>
        <w:rPr>
          <w:spacing w:val="-60"/>
        </w:rPr>
        <w:t> </w:t>
      </w:r>
      <w:r>
        <w:rPr>
          <w:spacing w:val="-60"/>
        </w:rPr>
      </w:r>
      <w:r>
        <w:rPr>
          <w:spacing w:val="-1"/>
        </w:rPr>
        <w:t>度的相关规定，忠实勤勉地履行独立董事职责，积极出席报告期内公司召开的相关会议，认真审议董事会</w:t>
      </w:r>
    </w:p>
    <w:p>
      <w:pPr>
        <w:spacing w:after="0" w:line="348" w:lineRule="auto"/>
        <w:jc w:val="both"/>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093"/>
        <w:jc w:val="left"/>
      </w:pPr>
      <w:r>
        <w:rPr/>
        <w:t>各项议案，对相关事项发表了独立意见，也在公司的制度完善和日常经营决策等方面提出了专业性建议， 并被公司予以采纳，较好的发挥了独立董事的作用，切实维护了公司和股东尤其是中小股东利益。</w:t>
      </w:r>
    </w:p>
    <w:p>
      <w:pPr>
        <w:spacing w:line="240" w:lineRule="auto" w:before="8"/>
        <w:rPr>
          <w:rFonts w:ascii="宋体" w:hAnsi="宋体" w:cs="宋体" w:eastAsia="宋体" w:hint="default"/>
          <w:sz w:val="16"/>
          <w:szCs w:val="16"/>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31"/>
          <w:szCs w:val="31"/>
        </w:rPr>
      </w:pPr>
    </w:p>
    <w:p>
      <w:pPr>
        <w:spacing w:line="362" w:lineRule="auto" w:before="0"/>
        <w:ind w:left="1469" w:right="4327" w:hanging="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、董事会战略委员会履职情况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报告期内，董事会战略委员会共召开了一次会议，具体内容如下：</w:t>
      </w:r>
    </w:p>
    <w:p>
      <w:pPr>
        <w:pStyle w:val="BodyText"/>
        <w:spacing w:line="331" w:lineRule="auto" w:before="57"/>
        <w:ind w:right="1169"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日第二届董事会战略委员会召开第六次会议，与会委员审议并通过了《关于</w:t>
      </w:r>
      <w:r>
        <w:rPr>
          <w:rFonts w:ascii="Times New Roman" w:hAnsi="Times New Roman" w:cs="Times New Roman" w:eastAsia="Times New Roman" w:hint="default"/>
        </w:rPr>
        <w:t>2015</w:t>
      </w:r>
      <w:r>
        <w:rPr/>
        <w:t>年度公司 向银行申请综合授信额度并为其提供担保的议案》。</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362" w:lineRule="auto" w:before="0"/>
        <w:ind w:left="1470" w:right="4326" w:firstLine="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、董事会审计委员会履职情况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报告期内，董事会审计委员会共召开了四次会议，具体内容如下：</w:t>
      </w:r>
    </w:p>
    <w:p>
      <w:pPr>
        <w:pStyle w:val="BodyText"/>
        <w:spacing w:line="331" w:lineRule="auto" w:before="57"/>
        <w:ind w:right="1129" w:firstLine="36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日第二届董事会审计委员会召开第十六次会议，与会委员审议并通过了《关于</w:t>
      </w:r>
      <w:r>
        <w:rPr>
          <w:rFonts w:ascii="Times New Roman" w:hAnsi="Times New Roman" w:cs="Times New Roman" w:eastAsia="Times New Roman" w:hint="default"/>
          <w:spacing w:val="-2"/>
        </w:rPr>
        <w:t>&lt;</w:t>
      </w:r>
      <w:r>
        <w:rPr>
          <w:spacing w:val="-2"/>
        </w:rPr>
        <w:t>公司</w:t>
      </w:r>
      <w:r>
        <w:rPr/>
        <w:t> </w:t>
      </w:r>
      <w:r>
        <w:rPr>
          <w:spacing w:val="-1"/>
        </w:rPr>
        <w:t>内部审计部</w:t>
      </w:r>
      <w:r>
        <w:rPr>
          <w:rFonts w:ascii="Times New Roman" w:hAnsi="Times New Roman" w:cs="Times New Roman" w:eastAsia="Times New Roman" w:hint="default"/>
          <w:spacing w:val="-1"/>
        </w:rPr>
        <w:t>2015</w:t>
      </w:r>
      <w:r>
        <w:rPr>
          <w:spacing w:val="-1"/>
        </w:rPr>
        <w:t>年第一季度工作总结及第二季度工作计划</w:t>
      </w:r>
      <w:r>
        <w:rPr>
          <w:rFonts w:ascii="Times New Roman" w:hAnsi="Times New Roman" w:cs="Times New Roman" w:eastAsia="Times New Roman" w:hint="default"/>
          <w:spacing w:val="-1"/>
        </w:rPr>
        <w:t>&gt;</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2014</w:t>
      </w:r>
      <w:r>
        <w:rPr>
          <w:spacing w:val="-1"/>
        </w:rPr>
        <w:t>年年度财务决算报</w:t>
      </w:r>
      <w:r>
        <w:rPr/>
        <w:t> 告</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2014</w:t>
      </w:r>
      <w:r>
        <w:rPr/>
        <w:t>年年度报告〉及其摘要的议案》、《关于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2014</w:t>
      </w:r>
      <w:r>
        <w:rPr/>
        <w:t>年年度审计报告</w:t>
      </w:r>
      <w:r>
        <w:rPr>
          <w:rFonts w:ascii="Times New Roman" w:hAnsi="Times New Roman" w:cs="Times New Roman" w:eastAsia="Times New Roman" w:hint="default"/>
        </w:rPr>
        <w:t>&gt;</w:t>
      </w:r>
      <w:r>
        <w:rPr/>
        <w:t>的 </w:t>
      </w:r>
      <w:r>
        <w:rPr>
          <w:spacing w:val="-2"/>
        </w:rPr>
        <w:t>议案》、《关于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2014</w:t>
      </w:r>
      <w:r>
        <w:rPr>
          <w:spacing w:val="-2"/>
        </w:rPr>
        <w:t>年年度利润分配预案</w:t>
      </w:r>
      <w:r>
        <w:rPr>
          <w:rFonts w:ascii="Times New Roman" w:hAnsi="Times New Roman" w:cs="Times New Roman" w:eastAsia="Times New Roman" w:hint="default"/>
          <w:spacing w:val="-2"/>
        </w:rPr>
        <w:t>&gt;</w:t>
      </w:r>
      <w:r>
        <w:rPr>
          <w:spacing w:val="-2"/>
        </w:rPr>
        <w:t>的议案》、《关于</w:t>
      </w:r>
      <w:r>
        <w:rPr>
          <w:rFonts w:ascii="Times New Roman" w:hAnsi="Times New Roman" w:cs="Times New Roman" w:eastAsia="Times New Roman" w:hint="default"/>
          <w:spacing w:val="-2"/>
        </w:rPr>
        <w:t>&lt;</w:t>
      </w:r>
      <w:r>
        <w:rPr>
          <w:spacing w:val="-2"/>
        </w:rPr>
        <w:t>公司</w:t>
      </w:r>
      <w:r>
        <w:rPr>
          <w:rFonts w:ascii="Times New Roman" w:hAnsi="Times New Roman" w:cs="Times New Roman" w:eastAsia="Times New Roman" w:hint="default"/>
          <w:spacing w:val="-2"/>
        </w:rPr>
        <w:t>2014</w:t>
      </w:r>
      <w:r>
        <w:rPr>
          <w:spacing w:val="-2"/>
        </w:rPr>
        <w:t>年度内部控制自我评价报告</w:t>
      </w:r>
      <w:r>
        <w:rPr>
          <w:rFonts w:ascii="Times New Roman" w:hAnsi="Times New Roman" w:cs="Times New Roman" w:eastAsia="Times New Roman" w:hint="default"/>
          <w:spacing w:val="-2"/>
        </w:rPr>
        <w:t>&gt;</w:t>
      </w:r>
      <w:r>
        <w:rPr>
          <w:rFonts w:ascii="Times New Roman" w:hAnsi="Times New Roman" w:cs="Times New Roman" w:eastAsia="Times New Roman" w:hint="default"/>
          <w:spacing w:val="-29"/>
        </w:rPr>
        <w:t> </w:t>
      </w:r>
      <w:r>
        <w:rPr>
          <w:spacing w:val="-1"/>
        </w:rPr>
        <w:t>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2014</w:t>
      </w:r>
      <w:r>
        <w:rPr>
          <w:spacing w:val="-1"/>
        </w:rPr>
        <w:t>年度募集资金存放与使用情况的专项报告</w:t>
      </w:r>
      <w:r>
        <w:rPr>
          <w:rFonts w:ascii="Times New Roman" w:hAnsi="Times New Roman" w:cs="Times New Roman" w:eastAsia="Times New Roman" w:hint="default"/>
          <w:spacing w:val="-1"/>
        </w:rPr>
        <w:t>&gt;</w:t>
      </w:r>
      <w:r>
        <w:rPr>
          <w:spacing w:val="-1"/>
        </w:rPr>
        <w:t>的议案》、《关于公司</w:t>
      </w:r>
      <w:r>
        <w:rPr>
          <w:rFonts w:ascii="Times New Roman" w:hAnsi="Times New Roman" w:cs="Times New Roman" w:eastAsia="Times New Roman" w:hint="default"/>
          <w:spacing w:val="-1"/>
        </w:rPr>
        <w:t>2014</w:t>
      </w:r>
      <w:r>
        <w:rPr>
          <w:spacing w:val="-1"/>
        </w:rPr>
        <w:t>年度计</w:t>
      </w:r>
      <w:r>
        <w:rPr/>
        <w:t> </w:t>
      </w:r>
      <w:r>
        <w:rPr>
          <w:spacing w:val="-1"/>
        </w:rPr>
        <w:t>提资产减值准备的议案》、《关于续聘会计师事务所的议案》、《关于</w:t>
      </w:r>
      <w:r>
        <w:rPr>
          <w:rFonts w:ascii="Times New Roman" w:hAnsi="Times New Roman" w:cs="Times New Roman" w:eastAsia="Times New Roman" w:hint="default"/>
          <w:spacing w:val="-1"/>
        </w:rPr>
        <w:t>&lt;</w:t>
      </w:r>
      <w:r>
        <w:rPr>
          <w:spacing w:val="-1"/>
        </w:rPr>
        <w:t>公司</w:t>
      </w:r>
      <w:r>
        <w:rPr>
          <w:rFonts w:ascii="Times New Roman" w:hAnsi="Times New Roman" w:cs="Times New Roman" w:eastAsia="Times New Roman" w:hint="default"/>
          <w:spacing w:val="-1"/>
        </w:rPr>
        <w:t>2015</w:t>
      </w:r>
      <w:r>
        <w:rPr>
          <w:spacing w:val="-1"/>
        </w:rPr>
        <w:t>年第一季度报告全文</w:t>
      </w:r>
      <w:r>
        <w:rPr>
          <w:rFonts w:ascii="Times New Roman" w:hAnsi="Times New Roman" w:cs="Times New Roman" w:eastAsia="Times New Roman" w:hint="default"/>
          <w:spacing w:val="-1"/>
        </w:rPr>
        <w:t>&gt;</w:t>
      </w:r>
      <w:r>
        <w:rPr>
          <w:spacing w:val="-1"/>
        </w:rPr>
        <w:t>的</w:t>
      </w:r>
      <w:r>
        <w:rPr/>
        <w:t> 议案》；</w:t>
      </w:r>
    </w:p>
    <w:p>
      <w:pPr>
        <w:pStyle w:val="BodyText"/>
        <w:spacing w:line="331" w:lineRule="auto" w:before="85"/>
        <w:ind w:right="1132"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13</w:t>
      </w:r>
      <w:r>
        <w:rPr>
          <w:spacing w:val="-2"/>
        </w:rPr>
        <w:t>日第三届董事会审计委员会召开第一次会议，与会委员审议并通过了《关于</w:t>
      </w:r>
      <w:r>
        <w:rPr>
          <w:rFonts w:ascii="Times New Roman" w:hAnsi="Times New Roman" w:cs="Times New Roman" w:eastAsia="Times New Roman" w:hint="default"/>
          <w:spacing w:val="-2"/>
        </w:rPr>
        <w:t>&lt;</w:t>
      </w:r>
      <w:r>
        <w:rPr>
          <w:spacing w:val="-2"/>
        </w:rPr>
        <w:t>公司内</w:t>
      </w:r>
      <w:r>
        <w:rPr/>
        <w:t> 部审计部</w:t>
      </w:r>
      <w:r>
        <w:rPr>
          <w:rFonts w:ascii="Times New Roman" w:hAnsi="Times New Roman" w:cs="Times New Roman" w:eastAsia="Times New Roman" w:hint="default"/>
        </w:rPr>
        <w:t>2015</w:t>
      </w:r>
      <w:r>
        <w:rPr/>
        <w:t>年第二季度工作总结及第三季度工作计划</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2015</w:t>
      </w:r>
      <w:r>
        <w:rPr/>
        <w:t>年半年度报告〉及 其摘要的议案》、《关于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2015</w:t>
      </w:r>
      <w:r>
        <w:rPr/>
        <w:t>年半年度募集资金存放与使用情况的专项报告</w:t>
      </w:r>
      <w:r>
        <w:rPr>
          <w:rFonts w:ascii="Times New Roman" w:hAnsi="Times New Roman" w:cs="Times New Roman" w:eastAsia="Times New Roman" w:hint="default"/>
        </w:rPr>
        <w:t>&gt;</w:t>
      </w:r>
      <w:r>
        <w:rPr/>
        <w:t>的议案》、《关于</w:t>
      </w:r>
      <w:r>
        <w:rPr>
          <w:rFonts w:ascii="Times New Roman" w:hAnsi="Times New Roman" w:cs="Times New Roman" w:eastAsia="Times New Roman" w:hint="default"/>
        </w:rPr>
        <w:t>&lt;</w:t>
      </w:r>
      <w:r>
        <w:rPr/>
        <w:t>公 司</w:t>
      </w:r>
      <w:r>
        <w:rPr>
          <w:rFonts w:ascii="Times New Roman" w:hAnsi="Times New Roman" w:cs="Times New Roman" w:eastAsia="Times New Roman" w:hint="default"/>
        </w:rPr>
        <w:t>2015</w:t>
      </w:r>
      <w:r>
        <w:rPr/>
        <w:t>年半年度审计报告</w:t>
      </w:r>
      <w:r>
        <w:rPr>
          <w:rFonts w:ascii="Times New Roman" w:hAnsi="Times New Roman" w:cs="Times New Roman" w:eastAsia="Times New Roman" w:hint="default"/>
        </w:rPr>
        <w:t>&gt;</w:t>
      </w:r>
      <w:r>
        <w:rPr/>
        <w:t>的议案》；</w:t>
      </w:r>
    </w:p>
    <w:p>
      <w:pPr>
        <w:pStyle w:val="BodyText"/>
        <w:spacing w:line="328" w:lineRule="auto" w:before="61"/>
        <w:ind w:right="1156"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12</w:t>
      </w:r>
      <w:r>
        <w:rPr/>
        <w:t>日第三届董事会审计委员会召开第二次会议，与会委员审议并通过了《关于</w:t>
      </w:r>
      <w:r>
        <w:rPr>
          <w:rFonts w:ascii="Times New Roman" w:hAnsi="Times New Roman" w:cs="Times New Roman" w:eastAsia="Times New Roman" w:hint="default"/>
        </w:rPr>
        <w:t>&lt;</w:t>
      </w:r>
      <w:r>
        <w:rPr/>
        <w:t>公司 内部审计部</w:t>
      </w:r>
      <w:r>
        <w:rPr>
          <w:rFonts w:ascii="Times New Roman" w:hAnsi="Times New Roman" w:cs="Times New Roman" w:eastAsia="Times New Roman" w:hint="default"/>
        </w:rPr>
        <w:t>2015</w:t>
      </w:r>
      <w:r>
        <w:rPr/>
        <w:t>年第三季度工作总结及第四季度工作计划</w:t>
      </w:r>
      <w:r>
        <w:rPr>
          <w:rFonts w:ascii="Times New Roman" w:hAnsi="Times New Roman" w:cs="Times New Roman" w:eastAsia="Times New Roman" w:hint="default"/>
        </w:rPr>
        <w:t>&gt;</w:t>
      </w:r>
      <w:r>
        <w:rPr/>
        <w:t>的议案》、《关于〈公司</w:t>
      </w:r>
      <w:r>
        <w:rPr>
          <w:rFonts w:ascii="Times New Roman" w:hAnsi="Times New Roman" w:cs="Times New Roman" w:eastAsia="Times New Roman" w:hint="default"/>
        </w:rPr>
        <w:t>2015</w:t>
      </w:r>
      <w:r>
        <w:rPr/>
        <w:t>年第三季度报告 全文〉的议案》；</w:t>
      </w:r>
    </w:p>
    <w:p>
      <w:pPr>
        <w:pStyle w:val="BodyText"/>
        <w:spacing w:line="328" w:lineRule="auto" w:before="88"/>
        <w:ind w:right="1132"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日第三届董事会审计委员会召开第三次会议，与会委员审议并通过了《关于公司内</w:t>
      </w:r>
      <w:r>
        <w:rPr/>
        <w:t> 部审计部</w:t>
      </w:r>
      <w:r>
        <w:rPr>
          <w:rFonts w:ascii="Times New Roman" w:hAnsi="Times New Roman" w:cs="Times New Roman" w:eastAsia="Times New Roman" w:hint="default"/>
        </w:rPr>
        <w:t>2016</w:t>
      </w:r>
      <w:r>
        <w:rPr/>
        <w:t>年年度工作计划</w:t>
      </w:r>
      <w:r>
        <w:rPr>
          <w:rFonts w:ascii="Times New Roman" w:hAnsi="Times New Roman" w:cs="Times New Roman" w:eastAsia="Times New Roman" w:hint="default"/>
        </w:rPr>
        <w:t>&gt;</w:t>
      </w:r>
      <w:r>
        <w:rPr/>
        <w:t>的议案》。</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6"/>
          <w:szCs w:val="16"/>
        </w:rPr>
      </w:pPr>
    </w:p>
    <w:p>
      <w:pPr>
        <w:spacing w:line="362" w:lineRule="auto" w:before="0"/>
        <w:ind w:left="1470" w:right="4326" w:firstLine="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、董事会提名委员会履职情况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报告期内，董事会提名委员会共召开了二次会议，具体内容如下：</w:t>
      </w:r>
    </w:p>
    <w:p>
      <w:pPr>
        <w:pStyle w:val="BodyText"/>
        <w:spacing w:line="328" w:lineRule="auto" w:before="59"/>
        <w:ind w:left="1134" w:right="1171"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日第二届董事会提名委员会召开第四次会议，与会委员审议并通过了《关于选举公 司第三届董事会非独立董事的议案》、《关于选举公司第三届董事会独立董事的议案》；</w:t>
      </w:r>
    </w:p>
    <w:p>
      <w:pPr>
        <w:pStyle w:val="BodyText"/>
        <w:spacing w:line="240" w:lineRule="auto" w:before="88"/>
        <w:ind w:left="149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日第三届董事会提名委员会召开第一次会议，与会委员审议并通过了《关于选举公</w:t>
      </w:r>
    </w:p>
    <w:p>
      <w:pPr>
        <w:spacing w:after="0" w:line="240"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024"/>
        <w:jc w:val="left"/>
      </w:pPr>
      <w:r>
        <w:rPr/>
        <w:t>司第三届董事会董事长的议案》、《关于选举公司第三届董事会副董事长的议案》、《关于选举公司第三 </w:t>
      </w:r>
      <w:r>
        <w:rPr>
          <w:spacing w:val="-3"/>
        </w:rPr>
        <w:t>届董事会四个专门委员会委员的议案》、《关于聘任公司总裁的议案》、《关于聘任公司副总裁的议案》、</w:t>
      </w:r>
    </w:p>
    <w:p>
      <w:pPr>
        <w:pStyle w:val="BodyText"/>
        <w:spacing w:line="240" w:lineRule="auto" w:before="31"/>
        <w:ind w:right="0"/>
        <w:jc w:val="left"/>
      </w:pPr>
      <w:r>
        <w:rPr/>
        <w:t>《关于聘任公司财务总监的议案》、《关于聘任公司董事会秘书的议案》。</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362" w:lineRule="auto" w:before="0"/>
        <w:ind w:left="1469" w:right="3697" w:firstLine="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、董事会薪酬与考核委员会履职情况</w:t>
      </w:r>
      <w:r>
        <w:rPr>
          <w:rFonts w:ascii="宋体" w:hAnsi="宋体" w:cs="宋体" w:eastAsia="宋体" w:hint="default"/>
          <w:b/>
          <w:bCs/>
          <w:w w:val="99"/>
          <w:sz w:val="21"/>
          <w:szCs w:val="21"/>
        </w:rPr>
        <w:t> </w:t>
      </w:r>
      <w:r>
        <w:rPr>
          <w:rFonts w:ascii="宋体" w:hAnsi="宋体" w:cs="宋体" w:eastAsia="宋体" w:hint="default"/>
          <w:sz w:val="21"/>
          <w:szCs w:val="21"/>
        </w:rPr>
        <w:t>报告期内，董事会薪酬与考核委员会共召开了二次会议，具体内容如下：</w:t>
      </w:r>
    </w:p>
    <w:p>
      <w:pPr>
        <w:pStyle w:val="BodyText"/>
        <w:spacing w:line="331" w:lineRule="auto" w:before="57"/>
        <w:ind w:right="1130"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日第二届董事会提名委员会召开第五次会议，与会委员审议并通过了《关于</w:t>
      </w:r>
      <w:r>
        <w:rPr>
          <w:rFonts w:ascii="Times New Roman" w:hAnsi="Times New Roman" w:cs="Times New Roman" w:eastAsia="Times New Roman" w:hint="default"/>
        </w:rPr>
        <w:t>&lt;</w:t>
      </w:r>
      <w:r>
        <w:rPr/>
        <w:t>蓝盾信 息安全技术股份有限公司</w:t>
      </w:r>
      <w:r>
        <w:rPr>
          <w:rFonts w:ascii="Times New Roman" w:hAnsi="Times New Roman" w:cs="Times New Roman" w:eastAsia="Times New Roman" w:hint="default"/>
        </w:rPr>
        <w:t>-</w:t>
      </w:r>
      <w:r>
        <w:rPr/>
        <w:t>第一期员工持股计划（修订稿）及其摘要（非公开发行方式认购）</w:t>
      </w:r>
      <w:r>
        <w:rPr>
          <w:rFonts w:ascii="Times New Roman" w:hAnsi="Times New Roman" w:cs="Times New Roman" w:eastAsia="Times New Roman" w:hint="default"/>
        </w:rPr>
        <w:t>&gt;</w:t>
      </w:r>
      <w:r>
        <w:rPr/>
        <w:t>的议案》；</w:t>
      </w:r>
    </w:p>
    <w:p>
      <w:pPr>
        <w:pStyle w:val="BodyText"/>
        <w:spacing w:line="331" w:lineRule="auto" w:before="60"/>
        <w:ind w:left="1134" w:right="1171"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日第三届董事会提名委员会召开第一次会议，与会委员审议并通过了《关于调整公 司高级管理人员薪酬的议案》。</w:t>
      </w:r>
    </w:p>
    <w:p>
      <w:pPr>
        <w:spacing w:line="240" w:lineRule="auto" w:before="8"/>
        <w:rPr>
          <w:rFonts w:ascii="宋体" w:hAnsi="宋体" w:cs="宋体" w:eastAsia="宋体" w:hint="default"/>
          <w:sz w:val="17"/>
          <w:szCs w:val="17"/>
        </w:rPr>
      </w:pPr>
    </w:p>
    <w:p>
      <w:pPr>
        <w:pStyle w:val="Heading2"/>
        <w:spacing w:line="240" w:lineRule="auto"/>
        <w:ind w:left="1134"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6"/>
        <w:rPr>
          <w:rFonts w:ascii="宋体" w:hAnsi="宋体" w:cs="宋体" w:eastAsia="宋体" w:hint="default"/>
          <w:b/>
          <w:bCs/>
          <w:sz w:val="23"/>
          <w:szCs w:val="23"/>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264" w:lineRule="auto" w:before="38"/>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right="1110" w:firstLine="290"/>
        <w:jc w:val="both"/>
      </w:pPr>
      <w:r>
        <w:rPr>
          <w:spacing w:val="-3"/>
        </w:rPr>
        <w:t>公司已建立了完善的企业绩效评价激励体系，公司高级管理人员实行薪酬由基本年薪和浮动奖金两部分</w:t>
      </w:r>
      <w:r>
        <w:rPr/>
        <w:t> </w:t>
      </w:r>
      <w:r>
        <w:rPr>
          <w:spacing w:val="-1"/>
        </w:rPr>
        <w:t>构成，其中基本年薪根据个人工作职务、岗位级别标准按月发放；浮动奖金根据公司经营业绩和个人绩效</w:t>
      </w:r>
      <w:r>
        <w:rPr>
          <w:spacing w:val="-83"/>
        </w:rPr>
        <w:t> </w:t>
      </w:r>
      <w:r>
        <w:rPr>
          <w:spacing w:val="-83"/>
        </w:rPr>
      </w:r>
      <w:r>
        <w:rPr>
          <w:spacing w:val="-1"/>
        </w:rPr>
        <w:t>考核情况确定。公司董事会薪酬与考核委员会依据董事、监事及高级管理人员职责履行情况及业绩，对其</w:t>
      </w:r>
      <w:r>
        <w:rPr>
          <w:spacing w:val="-83"/>
        </w:rPr>
        <w:t> </w:t>
      </w:r>
      <w:r>
        <w:rPr>
          <w:spacing w:val="-83"/>
        </w:rPr>
      </w:r>
      <w:r>
        <w:rPr/>
        <w:t>进行考评，并依据考评结果提出薪酬方案，董事、监事和高级管理人员的津贴标准由公司股东大会批准。</w:t>
      </w:r>
    </w:p>
    <w:p>
      <w:pPr>
        <w:spacing w:line="240" w:lineRule="auto" w:before="6"/>
        <w:rPr>
          <w:rFonts w:ascii="宋体" w:hAnsi="宋体" w:cs="宋体" w:eastAsia="宋体" w:hint="default"/>
          <w:sz w:val="16"/>
          <w:szCs w:val="16"/>
        </w:rPr>
      </w:pPr>
    </w:p>
    <w:p>
      <w:pPr>
        <w:pStyle w:val="Heading2"/>
        <w:spacing w:line="240" w:lineRule="auto"/>
        <w:ind w:left="1134"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4"/>
          <w:szCs w:val="24"/>
        </w:rPr>
      </w:pPr>
    </w:p>
    <w:tbl>
      <w:tblPr>
        <w:tblW w:w="0" w:type="auto"/>
        <w:jc w:val="left"/>
        <w:tblInd w:w="1140" w:type="dxa"/>
        <w:tblLayout w:type="fixed"/>
        <w:tblCellMar>
          <w:top w:w="0" w:type="dxa"/>
          <w:left w:w="0" w:type="dxa"/>
          <w:bottom w:w="0" w:type="dxa"/>
          <w:right w:w="0" w:type="dxa"/>
        </w:tblCellMar>
        <w:tblLook w:val="01E0"/>
      </w:tblPr>
      <w:tblGrid>
        <w:gridCol w:w="3177"/>
        <w:gridCol w:w="3329"/>
        <w:gridCol w:w="3051"/>
      </w:tblGrid>
      <w:tr>
        <w:trPr>
          <w:trHeight w:val="32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32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55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558"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19"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9"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1"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tcPr>
          <w:p>
            <w:pPr>
              <w:pStyle w:val="TableParagraph"/>
              <w:spacing w:line="240" w:lineRule="auto" w:before="9"/>
              <w:ind w:left="16" w:right="48"/>
              <w:jc w:val="left"/>
              <w:rPr>
                <w:rFonts w:ascii="宋体" w:hAnsi="宋体" w:cs="宋体" w:eastAsia="宋体" w:hint="default"/>
                <w:sz w:val="18"/>
                <w:szCs w:val="18"/>
              </w:rPr>
            </w:pPr>
            <w:r>
              <w:rPr>
                <w:rFonts w:ascii="宋体" w:hAnsi="宋体" w:cs="宋体" w:eastAsia="宋体" w:hint="default"/>
                <w:sz w:val="18"/>
                <w:szCs w:val="18"/>
              </w:rPr>
              <w:t>定性指标以法律法规、战略与运营目标作 为衡量指标。重大缺陷认定标准：严重违</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pacing w:val="-4"/>
                <w:sz w:val="18"/>
                <w:szCs w:val="18"/>
              </w:rPr>
              <w:t>定性指标以法律法规、战略与运营目标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作为衡量指标。重大缺陷认定标准：严</w:t>
            </w:r>
          </w:p>
        </w:tc>
      </w:tr>
      <w:tr>
        <w:trPr>
          <w:trHeight w:val="416"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13"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b/>
          <w:bCs/>
          <w:sz w:val="24"/>
          <w:szCs w:val="24"/>
        </w:rPr>
      </w:pPr>
      <w:r>
        <w:rPr/>
        <w:pict>
          <v:group style="position:absolute;margin-left:383.980011pt;margin-top:224.23999pt;width:154.25pt;height:11.7pt;mso-position-horizontal-relative:page;mso-position-vertical-relative:page;z-index:-858784" coordorigin="7680,4485" coordsize="3085,234">
            <v:group style="position:absolute;left:7680;top:4485;width:2996;height:234" coordorigin="7680,4485" coordsize="2996,234">
              <v:shape style="position:absolute;left:7680;top:4485;width:2996;height:234" coordorigin="7680,4485" coordsize="2996,234" path="m7680,4719l10675,4719,10675,4485,7680,4485,7680,4719xe" filled="true" fillcolor="#ffffff" stroked="false">
                <v:path arrowok="t"/>
                <v:fill type="solid"/>
              </v:shape>
              <v:shape style="position:absolute;left:10584;top:451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383.980011pt;margin-top:368.839996pt;width:149.8pt;height:11.65pt;mso-position-horizontal-relative:page;mso-position-vertical-relative:page;z-index:-858760" coordorigin="7680,7377" coordsize="2996,233">
            <v:shape style="position:absolute;left:7680;top:7377;width:2996;height:233" coordorigin="7680,7377" coordsize="2996,233" path="m7680,7610l10675,7610,10675,7377,7680,7377,7680,7610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471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反法律、法规、规章、政府政策、其他规</w:t>
            </w:r>
          </w:p>
          <w:p>
            <w:pPr>
              <w:pStyle w:val="TableParagraph"/>
              <w:spacing w:line="237" w:lineRule="auto" w:before="1"/>
              <w:ind w:left="23" w:right="-39"/>
              <w:jc w:val="left"/>
              <w:rPr>
                <w:rFonts w:ascii="宋体" w:hAnsi="宋体" w:cs="宋体" w:eastAsia="宋体" w:hint="default"/>
                <w:sz w:val="18"/>
                <w:szCs w:val="18"/>
              </w:rPr>
            </w:pPr>
            <w:r>
              <w:rPr>
                <w:rFonts w:ascii="宋体" w:hAnsi="宋体" w:cs="宋体" w:eastAsia="宋体" w:hint="default"/>
                <w:sz w:val="18"/>
                <w:szCs w:val="18"/>
              </w:rPr>
              <w:t>范性文件等，导致中央政府或监管机构的 </w:t>
            </w:r>
            <w:r>
              <w:rPr>
                <w:rFonts w:ascii="宋体" w:hAnsi="宋体" w:cs="宋体" w:eastAsia="宋体" w:hint="default"/>
                <w:spacing w:val="-6"/>
                <w:sz w:val="18"/>
                <w:szCs w:val="18"/>
              </w:rPr>
              <w:t>调查，并被限令行业退出、吊销营业执照、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强制关闭等。战略与运营目标或关键 </w:t>
            </w:r>
            <w:r>
              <w:rPr>
                <w:rFonts w:ascii="宋体" w:hAnsi="宋体" w:cs="宋体" w:eastAsia="宋体" w:hint="default"/>
                <w:sz w:val="18"/>
                <w:szCs w:val="18"/>
              </w:rPr>
              <w:t>业绩</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指标的执行不合理，严重偏离且存在方向 </w:t>
            </w:r>
            <w:r>
              <w:rPr>
                <w:rFonts w:ascii="宋体" w:hAnsi="宋体" w:cs="宋体" w:eastAsia="宋体" w:hint="default"/>
                <w:spacing w:val="-6"/>
                <w:sz w:val="18"/>
                <w:szCs w:val="18"/>
              </w:rPr>
              <w:t>性错误，对战略与运营目</w:t>
            </w:r>
            <w:r>
              <w:rPr>
                <w:rFonts w:ascii="宋体" w:hAnsi="宋体" w:cs="宋体" w:eastAsia="宋体" w:hint="default"/>
                <w:sz w:val="18"/>
                <w:szCs w:val="18"/>
              </w:rPr>
              <w:t> 标的实现产生严</w:t>
            </w:r>
            <w:r>
              <w:rPr>
                <w:rFonts w:ascii="宋体" w:hAnsi="宋体" w:cs="宋体" w:eastAsia="宋体" w:hint="default"/>
                <w:sz w:val="18"/>
                <w:szCs w:val="18"/>
              </w:rPr>
              <w:t> 重负面作用。重要缺陷认定标准：违反法 律、法规、规章、政府政策、其他规范性 文 件等，导致地方政府或监 管机构的调 查，并责令停业整顿等。战略与运营目标 或关键业绩指标执行不合理，严重偏离， 对战略与运营目标 的实现产生明显的消 极作用。一般缺陷认定标准：违反法律、 </w:t>
            </w:r>
            <w:r>
              <w:rPr>
                <w:rFonts w:ascii="宋体" w:hAnsi="宋体" w:cs="宋体" w:eastAsia="宋体" w:hint="default"/>
                <w:spacing w:val="-6"/>
                <w:sz w:val="18"/>
                <w:szCs w:val="18"/>
              </w:rPr>
              <w:t>法规、规章政府政策、其他规范性文件等，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导致地方政府或监管机构的调查，并被处</w:t>
            </w:r>
            <w:r>
              <w:rPr>
                <w:rFonts w:ascii="宋体" w:hAnsi="宋体" w:cs="宋体" w:eastAsia="宋体" w:hint="default"/>
                <w:sz w:val="18"/>
                <w:szCs w:val="18"/>
              </w:rPr>
              <w:t> 以罚款或罚金。战略与运营目标或关键业 绩的执行存在较小范围的不合理，目标偏 离，对战略与运营目标的实现影响轻微。</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05" w:lineRule="exact"/>
              <w:ind w:left="16" w:right="-37"/>
              <w:jc w:val="left"/>
              <w:rPr>
                <w:rFonts w:ascii="宋体" w:hAnsi="宋体" w:cs="宋体" w:eastAsia="宋体" w:hint="default"/>
                <w:sz w:val="18"/>
                <w:szCs w:val="18"/>
              </w:rPr>
            </w:pPr>
            <w:r>
              <w:rPr>
                <w:rFonts w:ascii="宋体" w:hAnsi="宋体" w:cs="宋体" w:eastAsia="宋体" w:hint="default"/>
                <w:sz w:val="18"/>
                <w:szCs w:val="18"/>
              </w:rPr>
              <w:t>重违反法律、法规、规章、政府政策、</w:t>
            </w:r>
          </w:p>
          <w:p>
            <w:pPr>
              <w:pStyle w:val="TableParagraph"/>
              <w:spacing w:line="237" w:lineRule="auto" w:before="1"/>
              <w:ind w:left="16" w:right="-37"/>
              <w:jc w:val="left"/>
              <w:rPr>
                <w:rFonts w:ascii="宋体" w:hAnsi="宋体" w:cs="宋体" w:eastAsia="宋体" w:hint="default"/>
                <w:sz w:val="18"/>
                <w:szCs w:val="18"/>
              </w:rPr>
            </w:pPr>
            <w:r>
              <w:rPr>
                <w:rFonts w:ascii="宋体" w:hAnsi="宋体" w:cs="宋体" w:eastAsia="宋体" w:hint="default"/>
                <w:spacing w:val="-4"/>
                <w:sz w:val="18"/>
                <w:szCs w:val="18"/>
              </w:rPr>
              <w:t>其他规范性文件等，导致中央政府或监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管机构的调查，并被限令行业退出、吊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销营业执照、强制关闭等。战略与运营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目标或 关键业绩指标的执行不合理， </w:t>
            </w:r>
            <w:r>
              <w:rPr>
                <w:rFonts w:ascii="宋体" w:hAnsi="宋体" w:cs="宋体" w:eastAsia="宋体" w:hint="default"/>
                <w:spacing w:val="-4"/>
                <w:sz w:val="18"/>
                <w:szCs w:val="18"/>
              </w:rPr>
              <w:t>严重偏离且存在方向性错误，对战略与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运营目标 的实现产生严重负面作用。 重要缺陷认定标准：违反法律、法规、 规章、政府政策、其他规范性文件等， </w:t>
            </w:r>
            <w:r>
              <w:rPr>
                <w:rFonts w:ascii="宋体" w:hAnsi="宋体" w:cs="宋体" w:eastAsia="宋体" w:hint="default"/>
                <w:spacing w:val="-4"/>
                <w:sz w:val="18"/>
                <w:szCs w:val="18"/>
              </w:rPr>
              <w:t>导致地方政府或监管机构的调查，并责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令停业整顿等。战略与运营目标或关 </w:t>
            </w:r>
            <w:r>
              <w:rPr>
                <w:rFonts w:ascii="宋体" w:hAnsi="宋体" w:cs="宋体" w:eastAsia="宋体" w:hint="default"/>
                <w:spacing w:val="-4"/>
                <w:sz w:val="18"/>
                <w:szCs w:val="18"/>
              </w:rPr>
              <w:t>键业绩指标执行不合理，严重偏离，对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战略与运营目标的实现产生明显的消 </w:t>
            </w:r>
            <w:r>
              <w:rPr>
                <w:rFonts w:ascii="宋体" w:hAnsi="宋体" w:cs="宋体" w:eastAsia="宋体" w:hint="default"/>
                <w:spacing w:val="-10"/>
                <w:sz w:val="18"/>
                <w:szCs w:val="18"/>
              </w:rPr>
              <w:t>极作用。一般缺陷认定标准：违反法律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法规、规章政府政策、其他规范性文件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等，导致地方政府或监管机构的调查， </w:t>
            </w:r>
            <w:r>
              <w:rPr>
                <w:rFonts w:ascii="宋体" w:hAnsi="宋体" w:cs="宋体" w:eastAsia="宋体" w:hint="default"/>
                <w:spacing w:val="-4"/>
                <w:sz w:val="18"/>
                <w:szCs w:val="18"/>
              </w:rPr>
              <w:t>并被处以罚款或罚金。战略与运营目标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或关键业绩的执行存在较小范围的不 </w:t>
            </w:r>
            <w:r>
              <w:rPr>
                <w:rFonts w:ascii="宋体" w:hAnsi="宋体" w:cs="宋体" w:eastAsia="宋体" w:hint="default"/>
                <w:spacing w:val="-4"/>
                <w:sz w:val="18"/>
                <w:szCs w:val="18"/>
              </w:rPr>
              <w:t>合理，目标偏离，对战略与运营目标的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实现影响轻微。</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34" w:lineRule="exact"/>
              <w:ind w:left="16" w:right="-28"/>
              <w:jc w:val="left"/>
              <w:rPr>
                <w:rFonts w:ascii="宋体" w:hAnsi="宋体" w:cs="宋体" w:eastAsia="宋体" w:hint="default"/>
                <w:sz w:val="20"/>
                <w:szCs w:val="20"/>
              </w:rPr>
            </w:pPr>
            <w:r>
              <w:rPr>
                <w:rFonts w:ascii="宋体" w:hAnsi="宋体" w:cs="宋体" w:eastAsia="宋体" w:hint="default"/>
                <w:position w:val="-4"/>
                <w:sz w:val="20"/>
                <w:szCs w:val="20"/>
              </w:rPr>
              <w:pict>
                <v:group style="width:149.8pt;height:11.7pt;mso-position-horizontal-relative:char;mso-position-vertical-relative:line" coordorigin="0,0" coordsize="2996,234">
                  <v:group style="position:absolute;left:0;top:0;width:2996;height:234" coordorigin="0,0" coordsize="2996,234">
                    <v:shape style="position:absolute;left:0;top:0;width:2996;height:234" coordorigin="0,0" coordsize="2996,234" path="m0,234l2996,234,2996,0,0,0,0,234xe" filled="true" fillcolor="#ffffff" stroked="false">
                      <v:path arrowok="t"/>
                      <v:fill type="solid"/>
                    </v:shape>
                  </v:group>
                </v:group>
              </w:pict>
            </w:r>
            <w:r>
              <w:rPr>
                <w:rFonts w:ascii="宋体" w:hAnsi="宋体" w:cs="宋体" w:eastAsia="宋体" w:hint="default"/>
                <w:position w:val="-4"/>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6"/>
                <w:szCs w:val="26"/>
              </w:rPr>
            </w:pPr>
          </w:p>
        </w:tc>
      </w:tr>
      <w:tr>
        <w:trPr>
          <w:trHeight w:val="40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30" w:lineRule="auto"/>
              <w:ind w:left="23" w:right="-39"/>
              <w:jc w:val="left"/>
              <w:rPr>
                <w:rFonts w:ascii="宋体" w:hAnsi="宋体" w:cs="宋体" w:eastAsia="宋体" w:hint="default"/>
                <w:sz w:val="18"/>
                <w:szCs w:val="18"/>
              </w:rPr>
            </w:pPr>
            <w:r>
              <w:rPr>
                <w:rFonts w:ascii="宋体" w:hAnsi="宋体" w:cs="宋体" w:eastAsia="宋体" w:hint="default"/>
                <w:sz w:val="18"/>
                <w:szCs w:val="18"/>
              </w:rPr>
              <w:t>定量标准以利润总额、资产总额、经营收 入作为衡量指标。重大缺陷认定标准：错 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合并会计报表资产总额的</w:t>
            </w:r>
            <w:r>
              <w:rPr>
                <w:rFonts w:ascii="宋体" w:hAnsi="宋体" w:cs="宋体" w:eastAsia="宋体" w:hint="default"/>
                <w:spacing w:val="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，错报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合并</w:t>
            </w:r>
            <w:r>
              <w:rPr>
                <w:rFonts w:ascii="宋体" w:hAnsi="宋体" w:cs="宋体" w:eastAsia="宋体" w:hint="default"/>
                <w:sz w:val="18"/>
                <w:szCs w:val="18"/>
              </w:rPr>
              <w:t> 会计报表主营业务收入或营业收入的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重要缺陷认定标准：合并会计报表利润总</w:t>
            </w:r>
            <w:r>
              <w:rPr>
                <w:rFonts w:ascii="宋体" w:hAnsi="宋体" w:cs="宋体" w:eastAsia="宋体" w:hint="default"/>
                <w:sz w:val="18"/>
                <w:szCs w:val="18"/>
              </w:rPr>
              <w:t> 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错报＜合并会计报表利润总额</w:t>
            </w:r>
          </w:p>
          <w:p>
            <w:pPr>
              <w:pStyle w:val="TableParagraph"/>
              <w:spacing w:line="228" w:lineRule="auto"/>
              <w:ind w:left="23" w:right="15"/>
              <w:jc w:val="left"/>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5%</w:t>
            </w:r>
            <w:r>
              <w:rPr>
                <w:rFonts w:ascii="宋体" w:hAnsi="宋体" w:cs="宋体" w:eastAsia="宋体" w:hint="default"/>
                <w:sz w:val="18"/>
                <w:szCs w:val="18"/>
              </w:rPr>
              <w:t>，合并会计报表资产总额的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错报＜合并会计报表资产总额的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，合并</w:t>
            </w:r>
            <w:r>
              <w:rPr>
                <w:rFonts w:ascii="宋体" w:hAnsi="宋体" w:cs="宋体" w:eastAsia="宋体" w:hint="default"/>
                <w:sz w:val="18"/>
                <w:szCs w:val="18"/>
              </w:rPr>
              <w:t> 会计报表主营业务收入或营业收入的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 ＜合并会计报表主营业务收入或营 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；一般缺陷认定标准：错报</w:t>
            </w:r>
          </w:p>
          <w:p>
            <w:pPr>
              <w:pStyle w:val="TableParagraph"/>
              <w:spacing w:line="225" w:lineRule="auto"/>
              <w:ind w:left="23" w:right="-39"/>
              <w:jc w:val="both"/>
              <w:rPr>
                <w:rFonts w:ascii="宋体" w:hAnsi="宋体" w:cs="宋体" w:eastAsia="宋体" w:hint="default"/>
                <w:sz w:val="18"/>
                <w:szCs w:val="18"/>
              </w:rPr>
            </w:pPr>
            <w:r>
              <w:rPr>
                <w:rFonts w:ascii="宋体" w:hAnsi="宋体" w:cs="宋体" w:eastAsia="宋体" w:hint="default"/>
                <w:sz w:val="18"/>
                <w:szCs w:val="18"/>
              </w:rPr>
              <w:t>＜合并会计报表利润总额的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，错报＜合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并会计报表资产总额的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，错报＜合并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会计报表主营业务收入或营业收入的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z w:val="18"/>
                <w:szCs w:val="18"/>
              </w:rPr>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32" w:lineRule="auto" w:before="17"/>
              <w:ind w:left="16" w:right="21"/>
              <w:jc w:val="left"/>
              <w:rPr>
                <w:rFonts w:ascii="宋体" w:hAnsi="宋体" w:cs="宋体" w:eastAsia="宋体" w:hint="default"/>
                <w:sz w:val="18"/>
                <w:szCs w:val="18"/>
              </w:rPr>
            </w:pPr>
            <w:r>
              <w:rPr>
                <w:rFonts w:ascii="宋体" w:hAnsi="宋体" w:cs="宋体" w:eastAsia="宋体" w:hint="default"/>
                <w:spacing w:val="-4"/>
                <w:sz w:val="18"/>
                <w:szCs w:val="18"/>
              </w:rPr>
              <w:t>定量标准以利润总额、资产总额、经营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收入作为衡量指标。重大缺陷认定标 准：错报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合并会计报表利润总额的 </w:t>
            </w:r>
            <w:r>
              <w:rPr>
                <w:rFonts w:ascii="Times New Roman" w:hAnsi="Times New Roman" w:cs="Times New Roman" w:eastAsia="Times New Roman" w:hint="default"/>
                <w:sz w:val="18"/>
                <w:szCs w:val="18"/>
              </w:rPr>
              <w:t>8%</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合并会计报表资产总额的</w:t>
            </w:r>
          </w:p>
          <w:p>
            <w:pPr>
              <w:pStyle w:val="TableParagraph"/>
              <w:spacing w:line="225" w:lineRule="auto"/>
              <w:ind w:left="16"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合并会计报表主营业务收 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；重要缺陷认定标 </w:t>
            </w:r>
            <w:r>
              <w:rPr>
                <w:rFonts w:ascii="宋体" w:hAnsi="宋体" w:cs="宋体" w:eastAsia="宋体" w:hint="default"/>
                <w:spacing w:val="-7"/>
                <w:sz w:val="18"/>
                <w:szCs w:val="18"/>
              </w:rPr>
              <w:t>准：合并会计报表利润总额的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1"/>
                <w:w w:val="100"/>
                <w:sz w:val="18"/>
                <w:szCs w:val="18"/>
              </w:rPr>
              <w:t>5%</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错报</w:t>
            </w:r>
          </w:p>
          <w:p>
            <w:pPr>
              <w:pStyle w:val="TableParagraph"/>
              <w:spacing w:line="228" w:lineRule="auto"/>
              <w:ind w:left="16" w:right="22"/>
              <w:jc w:val="left"/>
              <w:rPr>
                <w:rFonts w:ascii="宋体" w:hAnsi="宋体" w:cs="宋体" w:eastAsia="宋体" w:hint="default"/>
                <w:sz w:val="18"/>
                <w:szCs w:val="18"/>
              </w:rPr>
            </w:pPr>
            <w:r>
              <w:rPr>
                <w:rFonts w:ascii="宋体" w:hAnsi="宋体" w:cs="宋体" w:eastAsia="宋体" w:hint="default"/>
                <w:sz w:val="18"/>
                <w:szCs w:val="18"/>
              </w:rPr>
              <w:t>＜合并 会计报表利润总额的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17"/>
                <w:sz w:val="18"/>
                <w:szCs w:val="18"/>
              </w:rPr>
              <w:t>8%</w:t>
            </w:r>
            <w:r>
              <w:rPr>
                <w:rFonts w:ascii="宋体" w:hAnsi="宋体" w:cs="宋体" w:eastAsia="宋体" w:hint="default"/>
                <w:spacing w:val="-17"/>
                <w:sz w:val="18"/>
                <w:szCs w:val="18"/>
              </w:rPr>
              <w:t>，合并</w:t>
            </w:r>
            <w:r>
              <w:rPr>
                <w:rFonts w:ascii="宋体" w:hAnsi="宋体" w:cs="宋体" w:eastAsia="宋体" w:hint="default"/>
                <w:sz w:val="18"/>
                <w:szCs w:val="18"/>
              </w:rPr>
              <w:t> 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错报＜合并 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，合并会计 报表主营业务收入或营业收入的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错报＜合并会计报表主营业务收入或 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；一般缺陷认定标准： 错报＜合并会计报表利润总额的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错报＜合并会计报表资产总额的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错报＜合并会计报表主营业务收入或 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left="1134" w:right="0"/>
        <w:jc w:val="left"/>
        <w:rPr>
          <w:b w:val="0"/>
          <w:bCs w:val="0"/>
        </w:rPr>
      </w:pPr>
      <w:r>
        <w:rPr/>
        <w:pict>
          <v:group style="position:absolute;margin-left:383.980011pt;margin-top:-102.284378pt;width:149.8pt;height:11.65pt;mso-position-horizontal-relative:page;mso-position-vertical-relative:paragraph;z-index:-858736" coordorigin="7680,-2046" coordsize="2996,233">
            <v:shape style="position:absolute;left:7680;top:-2046;width:2996;height:233" coordorigin="7680,-2046" coordsize="2996,233" path="m7680,-1813l10675,-1813,10675,-2046,7680,-2046,7680,-1813xe" filled="true" fillcolor="#ffffff" stroked="false">
              <v:path arrowok="t"/>
              <v:fill type="solid"/>
            </v:shape>
            <w10:wrap type="none"/>
          </v:group>
        </w:pict>
      </w:r>
      <w:bookmarkStart w:name="十、内部控制审计报告或鉴证报告" w:id="147"/>
      <w:bookmarkEnd w:id="147"/>
      <w:r>
        <w:rPr>
          <w:b w:val="0"/>
          <w:bCs w:val="0"/>
        </w:rPr>
      </w:r>
      <w:r>
        <w:rPr/>
        <w:t>十、内部控制审计报告或鉴证报告</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32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557"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0"/>
              <w:jc w:val="left"/>
              <w:rPr>
                <w:rFonts w:ascii="宋体" w:hAnsi="宋体" w:cs="宋体" w:eastAsia="宋体" w:hint="default"/>
                <w:sz w:val="18"/>
                <w:szCs w:val="18"/>
              </w:rPr>
            </w:pPr>
            <w:r>
              <w:rPr>
                <w:rFonts w:ascii="宋体" w:hAnsi="宋体" w:cs="宋体" w:eastAsia="宋体" w:hint="default"/>
                <w:spacing w:val="-5"/>
                <w:sz w:val="18"/>
                <w:szCs w:val="18"/>
              </w:rPr>
              <w:t>我们认为，蓝盾股份按照《内部会计控制规范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基本规范（试行）》和相关规定于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 与财务报表相关的有效的内部控制。</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11"/>
        <w:rPr>
          <w:rFonts w:ascii="宋体" w:hAnsi="宋体" w:cs="宋体" w:eastAsia="宋体" w:hint="default"/>
          <w:sz w:val="18"/>
          <w:szCs w:val="18"/>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264" w:lineRule="auto" w:before="37"/>
        <w:ind w:left="113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2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5"/>
        <w:jc w:val="center"/>
        <w:rPr>
          <w:b w:val="0"/>
          <w:bCs w:val="0"/>
        </w:rPr>
      </w:pPr>
      <w:bookmarkStart w:name="第十节 财务报告" w:id="148"/>
      <w:bookmarkEnd w:id="148"/>
      <w:r>
        <w:rPr>
          <w:b w:val="0"/>
          <w:bCs w:val="0"/>
        </w:rPr>
      </w:r>
      <w:bookmarkStart w:name="_bookmark9" w:id="149"/>
      <w:bookmarkEnd w:id="149"/>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0"/>
        <w:jc w:val="left"/>
        <w:rPr>
          <w:b w:val="0"/>
          <w:bCs w:val="0"/>
        </w:rPr>
      </w:pPr>
      <w:bookmarkStart w:name="一、审计报告" w:id="150"/>
      <w:bookmarkEnd w:id="150"/>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005978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范荣，吴朝辉</w:t>
            </w:r>
          </w:p>
        </w:tc>
      </w:tr>
    </w:tbl>
    <w:p>
      <w:pPr>
        <w:spacing w:line="240" w:lineRule="auto" w:before="2"/>
        <w:rPr>
          <w:rFonts w:ascii="宋体" w:hAnsi="宋体" w:cs="宋体" w:eastAsia="宋体" w:hint="default"/>
          <w:b/>
          <w:bCs/>
          <w:sz w:val="6"/>
          <w:szCs w:val="6"/>
        </w:rPr>
      </w:pPr>
    </w:p>
    <w:p>
      <w:pPr>
        <w:pStyle w:val="BodyText"/>
        <w:spacing w:line="384" w:lineRule="auto" w:before="35"/>
        <w:ind w:left="1553" w:right="1168" w:firstLine="3770"/>
        <w:jc w:val="left"/>
      </w:pPr>
      <w:r>
        <w:rPr/>
        <w:t>审计报告正文 我们审计了后附的蓝盾信息安全技术股份有限公司</w:t>
      </w:r>
      <w:r>
        <w:rPr>
          <w:rFonts w:ascii="Times New Roman" w:hAnsi="Times New Roman" w:cs="Times New Roman" w:eastAsia="Times New Roman" w:hint="default"/>
        </w:rPr>
        <w:t>(</w:t>
      </w:r>
      <w:r>
        <w:rPr/>
        <w:t>以下简称蓝盾股份</w:t>
      </w:r>
      <w:r>
        <w:rPr>
          <w:rFonts w:ascii="Times New Roman" w:hAnsi="Times New Roman" w:cs="Times New Roman" w:eastAsia="Times New Roman" w:hint="default"/>
        </w:rPr>
        <w:t>)</w:t>
      </w:r>
      <w:r>
        <w:rPr/>
        <w:t>财务报表，包括</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61" w:lineRule="exact"/>
        <w:ind w:left="1134" w:right="0"/>
        <w:jc w:val="left"/>
      </w:pP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年度的合并及母公司利润表、合并及母公司现金流量表、合并及</w:t>
      </w:r>
    </w:p>
    <w:p>
      <w:pPr>
        <w:pStyle w:val="BodyText"/>
        <w:spacing w:line="384" w:lineRule="auto" w:before="109"/>
        <w:ind w:left="1554" w:right="6552" w:hanging="420"/>
        <w:jc w:val="left"/>
      </w:pPr>
      <w:r>
        <w:rPr/>
        <w:t>母公司股东权益变动表，以及财务报表附注。 一、管理层对财务报表的责任</w:t>
      </w:r>
    </w:p>
    <w:p>
      <w:pPr>
        <w:pStyle w:val="BodyText"/>
        <w:spacing w:line="331" w:lineRule="auto" w:before="38"/>
        <w:ind w:left="1134" w:right="1132" w:firstLine="420"/>
        <w:jc w:val="both"/>
      </w:pPr>
      <w:r>
        <w:rPr>
          <w:spacing w:val="-3"/>
        </w:rPr>
        <w:t>编制和公允列报财务报表是蓝盾股份管理层的责任，这种责任包括：（</w:t>
      </w:r>
      <w:r>
        <w:rPr>
          <w:rFonts w:ascii="Times New Roman" w:hAnsi="Times New Roman" w:cs="Times New Roman" w:eastAsia="Times New Roman" w:hint="default"/>
          <w:spacing w:val="-3"/>
        </w:rPr>
        <w:t>1</w:t>
      </w:r>
      <w:r>
        <w:rPr>
          <w:spacing w:val="-3"/>
        </w:rPr>
        <w:t>）按照企业会计准则的规定编</w:t>
      </w:r>
      <w:r>
        <w:rPr/>
        <w:t> </w:t>
      </w:r>
      <w:r>
        <w:rPr>
          <w:spacing w:val="-3"/>
        </w:rPr>
        <w:t>制财务报表，并使其实现公允反映；（</w:t>
      </w:r>
      <w:r>
        <w:rPr>
          <w:rFonts w:ascii="Times New Roman" w:hAnsi="Times New Roman" w:cs="Times New Roman" w:eastAsia="Times New Roman" w:hint="default"/>
          <w:spacing w:val="-3"/>
        </w:rPr>
        <w:t>2</w:t>
      </w:r>
      <w:r>
        <w:rPr>
          <w:spacing w:val="-3"/>
        </w:rPr>
        <w:t>）设计、执行和维护必要的内部控制，以使财务报表不存在由于舞</w:t>
      </w:r>
      <w:r>
        <w:rPr>
          <w:spacing w:val="-94"/>
        </w:rPr>
        <w:t> </w:t>
      </w:r>
      <w:r>
        <w:rPr>
          <w:spacing w:val="-94"/>
        </w:rPr>
      </w:r>
      <w:r>
        <w:rPr/>
        <w:t>弊或错误导致的重大错报。</w:t>
      </w:r>
    </w:p>
    <w:p>
      <w:pPr>
        <w:pStyle w:val="BodyText"/>
        <w:spacing w:line="384" w:lineRule="auto" w:before="85"/>
        <w:ind w:left="1554" w:right="0"/>
        <w:jc w:val="left"/>
      </w:pPr>
      <w:r>
        <w:rPr/>
        <w:t>二、注册会计师的责任 </w:t>
      </w:r>
      <w:r>
        <w:rPr>
          <w:spacing w:val="-1"/>
        </w:rPr>
        <w:t>我们的责任是在执行审计工作的基础上对财务报表发表审计意见。我们按照中国注册会计师审计准则</w:t>
      </w:r>
    </w:p>
    <w:p>
      <w:pPr>
        <w:pStyle w:val="BodyText"/>
        <w:spacing w:line="348" w:lineRule="auto"/>
        <w:ind w:left="1134" w:right="0"/>
        <w:jc w:val="left"/>
      </w:pPr>
      <w:r>
        <w:rPr>
          <w:spacing w:val="-1"/>
        </w:rPr>
        <w:t>的规定执行了审计工作。中国注册会计师审计准则要求我们遵守职业道德守则，计划和执行审计工作以对</w:t>
      </w:r>
      <w:r>
        <w:rPr>
          <w:spacing w:val="-81"/>
        </w:rPr>
        <w:t> </w:t>
      </w:r>
      <w:r>
        <w:rPr>
          <w:spacing w:val="-81"/>
        </w:rPr>
      </w:r>
      <w:r>
        <w:rPr/>
        <w:t>财务报表是否不存在重大错报获取合理保证。</w:t>
      </w:r>
    </w:p>
    <w:p>
      <w:pPr>
        <w:pStyle w:val="BodyText"/>
        <w:spacing w:line="350" w:lineRule="auto" w:before="71"/>
        <w:ind w:left="1134"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BodyText"/>
        <w:spacing w:line="384" w:lineRule="auto" w:before="67"/>
        <w:ind w:left="1554" w:right="2982"/>
        <w:jc w:val="left"/>
      </w:pPr>
      <w:r>
        <w:rPr/>
        <w:t>我们相信，我们获取的审计证据是充分、适当的，为发表审计意见提供了基础。 三、审计意见</w:t>
      </w:r>
    </w:p>
    <w:p>
      <w:pPr>
        <w:pStyle w:val="BodyText"/>
        <w:spacing w:line="240" w:lineRule="auto" w:before="39"/>
        <w:ind w:left="1554" w:right="0"/>
        <w:jc w:val="left"/>
      </w:pPr>
      <w:r>
        <w:rPr/>
        <w:t>我们认为，蓝盾股份的财务报表在所有重大方面按照企业会计准则的规定编制，公允反映了蓝盾股份</w:t>
      </w:r>
    </w:p>
    <w:p>
      <w:pPr>
        <w:pStyle w:val="BodyText"/>
        <w:tabs>
          <w:tab w:pos="6429" w:val="left" w:leader="none"/>
        </w:tabs>
        <w:spacing w:line="364" w:lineRule="auto" w:before="124"/>
        <w:ind w:left="1449" w:right="1793" w:hanging="3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年度的合并及母公司经营成果和现金流量。 </w:t>
      </w:r>
      <w:r>
        <w:rPr>
          <w:spacing w:val="-1"/>
        </w:rPr>
        <w:t>大华会计师事务所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tab/>
      </w:r>
      <w:r>
        <w:rPr/>
        <w:t>中国注册会计师：范荣</w:t>
      </w:r>
    </w:p>
    <w:p>
      <w:pPr>
        <w:pStyle w:val="BodyText"/>
        <w:tabs>
          <w:tab w:pos="6431" w:val="left" w:leader="none"/>
        </w:tabs>
        <w:spacing w:line="328" w:lineRule="auto"/>
        <w:ind w:left="7866" w:right="1725" w:hanging="5302"/>
        <w:jc w:val="left"/>
      </w:pPr>
      <w:r>
        <w:rPr>
          <w:w w:val="95"/>
        </w:rPr>
        <w:t>中国</w:t>
      </w:r>
      <w:r>
        <w:rPr>
          <w:rFonts w:ascii="Times New Roman" w:hAnsi="Times New Roman" w:cs="Times New Roman" w:eastAsia="Times New Roman" w:hint="default"/>
          <w:w w:val="95"/>
        </w:rPr>
        <w:t>•</w:t>
      </w:r>
      <w:r>
        <w:rPr>
          <w:w w:val="95"/>
        </w:rPr>
        <w:t>北京</w:t>
        <w:tab/>
      </w:r>
      <w:r>
        <w:rPr/>
        <w:t>中国注册会计师：吴朝辉</w:t>
      </w:r>
      <w:r>
        <w:rPr/>
        <w:t> 二〇一六年四月二十二日</w:t>
      </w:r>
    </w:p>
    <w:p>
      <w:pPr>
        <w:spacing w:after="0" w:line="328" w:lineRule="auto"/>
        <w:jc w:val="left"/>
        <w:sectPr>
          <w:pgSz w:w="11910" w:h="16840"/>
          <w:pgMar w:header="0" w:footer="979" w:top="1100" w:bottom="1160" w:left="0" w:right="0"/>
        </w:sectPr>
      </w:pPr>
    </w:p>
    <w:p>
      <w:pPr>
        <w:spacing w:line="240" w:lineRule="auto" w:before="7"/>
        <w:rPr>
          <w:rFonts w:ascii="宋体" w:hAnsi="宋体" w:cs="宋体" w:eastAsia="宋体" w:hint="default"/>
          <w:sz w:val="19"/>
          <w:szCs w:val="19"/>
        </w:rPr>
      </w:pPr>
    </w:p>
    <w:p>
      <w:pPr>
        <w:pStyle w:val="Heading2"/>
        <w:spacing w:line="240" w:lineRule="auto" w:before="26"/>
        <w:ind w:right="0"/>
        <w:jc w:val="left"/>
        <w:rPr>
          <w:b w:val="0"/>
          <w:bCs w:val="0"/>
        </w:rPr>
      </w:pPr>
      <w:bookmarkStart w:name="二、财务报表" w:id="151"/>
      <w:bookmarkEnd w:id="151"/>
      <w:r>
        <w:rPr>
          <w:b w:val="0"/>
          <w:bCs w:val="0"/>
        </w:rPr>
      </w:r>
      <w:r>
        <w:rPr/>
        <w:t>二、财务报表</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bookmarkStart w:name="1、合并资产负债表" w:id="152"/>
      <w:bookmarkEnd w:id="15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979" w:top="110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编制单位：蓝盾信息安全技术股份有限公司</w:t>
      </w:r>
    </w:p>
    <w:p>
      <w:pPr>
        <w:spacing w:line="240" w:lineRule="auto" w:before="4"/>
        <w:rPr>
          <w:rFonts w:ascii="宋体" w:hAnsi="宋体" w:cs="宋体" w:eastAsia="宋体" w:hint="default"/>
          <w:sz w:val="24"/>
          <w:szCs w:val="24"/>
        </w:rPr>
      </w:pPr>
      <w:r>
        <w:rPr/>
        <w:br w:type="column"/>
      </w:r>
      <w:r>
        <w:rPr>
          <w:rFonts w:ascii="宋体"/>
          <w:sz w:val="24"/>
        </w:rPr>
      </w:r>
    </w:p>
    <w:p>
      <w:pPr>
        <w:spacing w:before="0"/>
        <w:ind w:left="61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100" w:bottom="1160" w:left="0" w:right="0"/>
          <w:cols w:num="3" w:equalWidth="0">
            <w:col w:w="4555" w:space="40"/>
            <w:col w:w="2102" w:space="2223"/>
            <w:col w:w="2990"/>
          </w:cols>
        </w:sectPr>
      </w:pP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527,020,911.27</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357,652,024.59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8,866,484.30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602,628,189.14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303,019,792.35</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45,785,855.56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61,322,431.14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19,557,217.89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10,472,512.06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87,178,918.11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52,187,984.15</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1,349,231.61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26,641.58</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1,292,386,807.88</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784,681,385.87</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5" w:space="0" w:color="D2D2D2"/>
              <w:left w:val="single" w:sz="13" w:space="0" w:color="D2D2D2"/>
              <w:bottom w:val="single" w:sz="4" w:space="0" w:color="000000"/>
              <w:right w:val="single" w:sz="4" w:space="0" w:color="000000"/>
            </w:tcBorders>
          </w:tcPr>
          <w:p>
            <w:pPr/>
          </w:p>
        </w:tc>
        <w:tc>
          <w:tcPr>
            <w:tcW w:w="3300" w:type="dxa"/>
            <w:tcBorders>
              <w:top w:val="single" w:sz="5"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2,141,542.81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2,140,665.95</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2,030,916.83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411,877,088.47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334,862,074.06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194,200,297.31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7,619,913.64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116,715,434.47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102,856,773.28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8,472,091.70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5,519,247.60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189,464,955.35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3,077,903.51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4,140,983.07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13,323,223.26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7,148,608.34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22,972,265.97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65,678,847.82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964,275,719.68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529,967,113.76</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2,256,662,527.56</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1,314,648,499.63</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345,000,000.00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223,213,027.00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12,569,974.00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37,959,555.58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192,616,285.42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115,042,753.36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108,763,703.18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74,548,785.27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14,316,889.91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8,166,650.39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48,819,374.61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33,474,339.32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1,376,777.68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588,580.86</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36,261,159.47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560,515.62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779,724,164.27</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553,554,207.40</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165,044,286.46</w:t>
            </w: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49,365,005.34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42,234,419.72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1,612,274.19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216,021,565.99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42,234,419.72</w:t>
            </w: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995,745,730.26</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595,788,627.12</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970,685,034.00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10,159,168.98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312,243,231.67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337,868.86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24,451,981.84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21,847,119.83</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237,111,891.08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183,138,138.73</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1,242,745,944.76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713,228,490.23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18,170,852.54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5,631,382.28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1,260,916,797.30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718,859,872.51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2,256,662,527.56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1,314,648,499.63</w:t>
            </w:r>
          </w:p>
        </w:tc>
      </w:tr>
    </w:tbl>
    <w:p>
      <w:pPr>
        <w:spacing w:line="240" w:lineRule="auto" w:before="7"/>
        <w:rPr>
          <w:rFonts w:ascii="Times New Roman" w:hAnsi="Times New Roman" w:cs="Times New Roman" w:eastAsia="Times New Roman" w:hint="default"/>
          <w:sz w:val="19"/>
          <w:szCs w:val="19"/>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bookmarkStart w:name="2、母公司资产负债表" w:id="153"/>
      <w:bookmarkEnd w:id="15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159,572,548.99</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213,154,843.42</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191,116,116.44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208,387,631.78</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25,661,604.53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33,104,883.30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32,048,146.79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2,338,725.76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24,594,924.30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20,677,237.59</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432,993,341.05</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477,663,321.85</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166,000,000.00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325,359,110.31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314,408,714.23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188,717,794.64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7,619,913.64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74,545,024.81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83,900,300.68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2,012,203.83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3,148,366.47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6,622,806.81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4,974,141.31</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11,052,689.29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65,078,847.82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1,240,309,629.69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645,130,284.15</w:t>
            </w: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6" w:space="0" w:color="D2D2D2"/>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1,673,302,970.74</w:t>
            </w:r>
          </w:p>
        </w:tc>
        <w:tc>
          <w:tcPr>
            <w:tcW w:w="3300"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1,122,793,606.00</w:t>
            </w:r>
          </w:p>
        </w:tc>
      </w:tr>
      <w:tr>
        <w:trPr>
          <w:trHeight w:val="31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185,000,000.00</w:t>
            </w:r>
          </w:p>
        </w:tc>
        <w:tc>
          <w:tcPr>
            <w:tcW w:w="3300"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173,213,027.00</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37,959,555.58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51,916,650.90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68,002,218.19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14,893,441.48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10,386,472.22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1,370,112.90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1,747,151.79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25,468,955.22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30,345,160.74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1,089,657.68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481,247.52</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32,086,084.52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736,394.20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331,824,902.70</w:t>
            </w:r>
          </w:p>
        </w:tc>
        <w:tc>
          <w:tcPr>
            <w:tcW w:w="330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382,871,227.24</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165,044,286.46</w:t>
            </w: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42,363,677.40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41,627,948.72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207,407,963.86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41,627,948.72</w:t>
            </w: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539,232,866.56</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424,499,175.96</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970,685,034.00</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196,000,000.00</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10,159,168.98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312,243,231.67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24,451,981.84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21,847,119.83</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128,773,919.36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168,204,078.54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1,134,070,104.18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698,294,430.04</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1,673,302,970.74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1,122,793,606.00</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right="0"/>
        <w:jc w:val="left"/>
        <w:rPr>
          <w:b w:val="0"/>
          <w:bCs w:val="0"/>
        </w:rPr>
      </w:pPr>
      <w:bookmarkStart w:name="3、合并利润表" w:id="154"/>
      <w:bookmarkEnd w:id="15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1,000,925,196.89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524,904,499.06</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1,000,925,196.89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524,904,499.06</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889,435,495.71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492,720,978.13</w:t>
            </w: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620,017,788.31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306,702,505.37</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6,593,166.41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3,984,501.25</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39,387,721.84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32,532,332.62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212.119995pt;margin-top:205.219986pt;width:157.7pt;height:14.35pt;mso-position-horizontal-relative:page;mso-position-vertical-relative:page;z-index:-858712" coordorigin="4242,4104" coordsize="3154,287">
            <v:shape style="position:absolute;left:4242;top:4104;width:3154;height:287" coordorigin="4242,4104" coordsize="3154,287" path="m4242,4391l7396,4391,7396,4104,4242,4104,4242,4391xe" filled="true" fillcolor="#ffffff" stroked="false">
              <v:path arrowok="t"/>
              <v:fill type="solid"/>
            </v:shape>
            <w10:wrap type="none"/>
          </v:group>
        </w:pict>
      </w:r>
      <w:r>
        <w:rPr/>
        <w:pict>
          <v:group style="position:absolute;margin-left:212.119995pt;margin-top:302.239990pt;width:157.7pt;height:14.35pt;mso-position-horizontal-relative:page;mso-position-vertical-relative:page;z-index:-858688" coordorigin="4242,6045" coordsize="3154,287">
            <v:shape style="position:absolute;left:4242;top:6045;width:3154;height:287" coordorigin="4242,6045" coordsize="3154,287" path="m4242,6332l7396,6332,7396,6045,4242,6045,4242,6332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3080"/>
        <w:gridCol w:w="1060"/>
        <w:gridCol w:w="2151"/>
        <w:gridCol w:w="3278"/>
      </w:tblGrid>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53" w:right="0"/>
              <w:jc w:val="left"/>
              <w:rPr>
                <w:rFonts w:ascii="Times New Roman" w:hAnsi="Times New Roman" w:cs="Times New Roman" w:eastAsia="Times New Roman" w:hint="default"/>
                <w:sz w:val="18"/>
                <w:szCs w:val="18"/>
              </w:rPr>
            </w:pPr>
            <w:r>
              <w:rPr>
                <w:rFonts w:ascii="Times New Roman"/>
                <w:sz w:val="18"/>
              </w:rPr>
              <w:t>174,323,165.55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125,666,859.23</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24,883,243.07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14,252,365.25</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24,230,410.53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9,582,414.41</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499,919.11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665.95</w:t>
            </w: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876.86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655.95</w:t>
            </w:r>
          </w:p>
        </w:tc>
      </w:tr>
      <w:tr>
        <w:trPr>
          <w:trHeight w:val="323"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10"/>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6" w:right="0"/>
              <w:jc w:val="left"/>
              <w:rPr>
                <w:rFonts w:ascii="Times New Roman" w:hAnsi="Times New Roman" w:cs="Times New Roman" w:eastAsia="Times New Roman" w:hint="default"/>
                <w:sz w:val="18"/>
                <w:szCs w:val="18"/>
              </w:rPr>
            </w:pPr>
            <w:r>
              <w:rPr>
                <w:rFonts w:ascii="Times New Roman"/>
                <w:sz w:val="18"/>
              </w:rPr>
              <w:t>111,989,620.29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32,184,186.88</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34,833,623.90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11,275,463.12</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2,402,927.45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4,034,000.50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2,270,339.38</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2,403,327.39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997" w:right="0"/>
              <w:jc w:val="left"/>
              <w:rPr>
                <w:rFonts w:ascii="Times New Roman" w:hAnsi="Times New Roman" w:cs="Times New Roman" w:eastAsia="Times New Roman" w:hint="default"/>
                <w:sz w:val="18"/>
                <w:szCs w:val="18"/>
              </w:rPr>
            </w:pPr>
            <w:r>
              <w:rPr>
                <w:rFonts w:ascii="Times New Roman"/>
                <w:sz w:val="18"/>
              </w:rPr>
              <w:t>142,789,243.69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41,189,310.62</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20,965,317.07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4,265,712.80</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53" w:right="0"/>
              <w:jc w:val="left"/>
              <w:rPr>
                <w:rFonts w:ascii="Times New Roman" w:hAnsi="Times New Roman" w:cs="Times New Roman" w:eastAsia="Times New Roman" w:hint="default"/>
                <w:sz w:val="18"/>
                <w:szCs w:val="18"/>
              </w:rPr>
            </w:pPr>
            <w:r>
              <w:rPr>
                <w:rFonts w:ascii="Times New Roman"/>
                <w:sz w:val="18"/>
              </w:rPr>
              <w:t>121,823,926.62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36,923,597.82</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58" w:right="0"/>
              <w:jc w:val="left"/>
              <w:rPr>
                <w:rFonts w:ascii="Times New Roman" w:hAnsi="Times New Roman" w:cs="Times New Roman" w:eastAsia="Times New Roman" w:hint="default"/>
                <w:sz w:val="18"/>
                <w:szCs w:val="18"/>
              </w:rPr>
            </w:pPr>
            <w:r>
              <w:rPr>
                <w:rFonts w:ascii="Times New Roman"/>
                <w:sz w:val="18"/>
              </w:rPr>
              <w:t>119,452,531.65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35,302,789.86</w:t>
            </w: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2,371,394.97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1,620,807.96</w:t>
            </w: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53" w:right="0"/>
              <w:jc w:val="left"/>
              <w:rPr>
                <w:rFonts w:ascii="Times New Roman" w:hAnsi="Times New Roman" w:cs="Times New Roman" w:eastAsia="Times New Roman" w:hint="default"/>
                <w:sz w:val="18"/>
                <w:szCs w:val="18"/>
              </w:rPr>
            </w:pPr>
            <w:r>
              <w:rPr>
                <w:rFonts w:ascii="Times New Roman"/>
                <w:sz w:val="18"/>
              </w:rPr>
              <w:t>121,823,926.62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36,923,597.82</w:t>
            </w:r>
          </w:p>
        </w:tc>
      </w:tr>
      <w:tr>
        <w:trPr>
          <w:trHeight w:val="298"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65"/>
              <w:jc w:val="right"/>
              <w:rPr>
                <w:rFonts w:ascii="宋体" w:hAnsi="宋体" w:cs="宋体" w:eastAsia="宋体" w:hint="default"/>
                <w:sz w:val="18"/>
                <w:szCs w:val="18"/>
              </w:rPr>
            </w:pPr>
            <w:r>
              <w:rPr>
                <w:rFonts w:ascii="宋体" w:hAnsi="宋体" w:cs="宋体" w:eastAsia="宋体" w:hint="default"/>
                <w:sz w:val="18"/>
                <w:szCs w:val="18"/>
              </w:rPr>
              <w:t>归属于母公司所有者的综合收益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058" w:right="0"/>
              <w:jc w:val="left"/>
              <w:rPr>
                <w:rFonts w:ascii="Times New Roman" w:hAnsi="Times New Roman" w:cs="Times New Roman" w:eastAsia="Times New Roman" w:hint="default"/>
                <w:sz w:val="18"/>
                <w:szCs w:val="18"/>
              </w:rPr>
            </w:pPr>
            <w:r>
              <w:rPr>
                <w:rFonts w:ascii="Times New Roman"/>
                <w:sz w:val="18"/>
              </w:rPr>
              <w:t>119,452,531.65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35,302,789.86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28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2,371,394.97</w:t>
            </w:r>
          </w:p>
        </w:tc>
        <w:tc>
          <w:tcPr>
            <w:tcW w:w="3278"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1,620,807.96</w:t>
            </w:r>
          </w:p>
        </w:tc>
      </w:tr>
      <w:tr>
        <w:trPr>
          <w:trHeight w:val="31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0.13</w:t>
            </w:r>
          </w:p>
        </w:tc>
        <w:tc>
          <w:tcPr>
            <w:tcW w:w="3278"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0.18</w:t>
            </w:r>
          </w:p>
        </w:tc>
      </w:tr>
      <w:tr>
        <w:trPr>
          <w:trHeight w:val="32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7"/>
        <w:rPr>
          <w:rFonts w:ascii="Times New Roman" w:hAnsi="Times New Roman" w:cs="Times New Roman" w:eastAsia="Times New Roman" w:hint="default"/>
          <w:sz w:val="19"/>
          <w:szCs w:val="19"/>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法定代表人：柯宗贵</w:t>
        <w:tab/>
        <w:t>主管会计工作负责人：魏树华</w:t>
        <w:tab/>
        <w:t>会计机构负责人：景丽</w:t>
      </w:r>
    </w:p>
    <w:p>
      <w:pPr>
        <w:spacing w:line="240" w:lineRule="auto" w:before="6"/>
        <w:rPr>
          <w:rFonts w:ascii="宋体" w:hAnsi="宋体" w:cs="宋体" w:eastAsia="宋体" w:hint="default"/>
          <w:sz w:val="22"/>
          <w:szCs w:val="22"/>
        </w:rPr>
      </w:pPr>
    </w:p>
    <w:p>
      <w:pPr>
        <w:pStyle w:val="Heading3"/>
        <w:spacing w:line="240" w:lineRule="auto"/>
        <w:ind w:left="1133" w:right="0"/>
        <w:jc w:val="left"/>
        <w:rPr>
          <w:b w:val="0"/>
          <w:bCs w:val="0"/>
        </w:rPr>
      </w:pPr>
      <w:bookmarkStart w:name="4、母公司利润表" w:id="155"/>
      <w:bookmarkEnd w:id="155"/>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276,566,766.55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312,561,846.51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133,656,132.25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173,931,505.59</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2,073,310.44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2,150,722.88</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7,484,705.72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13,250,570.96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98,244,447.08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86,244,972.20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20,641,859.62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13,080,282.24</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10,778,491.15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5,020,793.42</w:t>
            </w: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3,687,820.29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18,882,999.22</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28,639,328.42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8,012,233.71</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1,316,892.46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2,196,950.16</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31,010,256.25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24,698,282.77</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4,961,636.13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2,776,669.57</w:t>
            </w: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26,048,620.12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21,921,613.20</w:t>
            </w: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9"/>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exact" w:before="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8" w:lineRule="exact"/>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26,048,620.12</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21,921,613.20</w:t>
            </w:r>
          </w:p>
        </w:tc>
      </w:tr>
      <w:tr>
        <w:trPr>
          <w:trHeight w:val="3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9" w:space="0" w:color="D2D2D2"/>
              <w:left w:val="single" w:sz="13" w:space="0" w:color="D2D2D2"/>
              <w:bottom w:val="single" w:sz="4" w:space="0" w:color="000000"/>
              <w:right w:val="single" w:sz="4" w:space="0" w:color="000000"/>
            </w:tcBorders>
          </w:tcPr>
          <w:p>
            <w:pP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合并现金流量表" w:id="156"/>
      <w:bookmarkEnd w:id="15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913,118,223.43</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548,685,899.87</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11,508,196.87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6,082,288.43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86,513,239.40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39,290,445.14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1,011,139,659.70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594,058,633.44</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625,124,895.49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364,229,049.41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73,800,236.94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57,658,416.52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68,433,734.80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26,583,320.41</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132,822,623.86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110,042,988.25</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900,181,491.09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558,513,774.59</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110,958,168.61</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35,544,858.85</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138,102,420.01</w:t>
            </w: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683,428.11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3,080.15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151,388,928.27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236,805,611.46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132,537,633.41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128,931,330.00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33,592,782.93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399,329,724.39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134,677,633.41</w:t>
            </w: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6"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-247,940,796.12</w:t>
            </w:r>
          </w:p>
        </w:tc>
        <w:tc>
          <w:tcPr>
            <w:tcW w:w="3300" w:type="dxa"/>
            <w:tcBorders>
              <w:top w:val="single" w:sz="4" w:space="0" w:color="000000"/>
              <w:left w:val="single" w:sz="4" w:space="0" w:color="000000"/>
              <w:bottom w:val="single" w:sz="6"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-123,977,633.41</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123,000,000.00</w:t>
            </w: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721,831,259.46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223,213,027.00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94,791,961.09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25,861,263.59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939,623,220.55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249,074,290.59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493,134,440.00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172,900,000.00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46,700,012.36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18,473,164.82</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87,515,201.61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32,902,979.42</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627,349,653.97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224,276,144.24</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312,273,566.58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24,798,146.35</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-23,992.41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175,266,946.66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-63,634,628.21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333,182,764.86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396,817,393.07</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508,449,711.52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333,182,764.86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8"/>
        <w:rPr>
          <w:rFonts w:ascii="Times New Roman" w:hAnsi="Times New Roman" w:cs="Times New Roman" w:eastAsia="Times New Roman" w:hint="default"/>
          <w:sz w:val="21"/>
          <w:szCs w:val="21"/>
        </w:rPr>
      </w:pPr>
    </w:p>
    <w:p>
      <w:pPr>
        <w:pStyle w:val="Heading3"/>
        <w:spacing w:line="240" w:lineRule="auto" w:before="35"/>
        <w:ind w:left="1133" w:right="0"/>
        <w:jc w:val="left"/>
        <w:rPr>
          <w:b w:val="0"/>
          <w:bCs w:val="0"/>
        </w:rPr>
      </w:pPr>
      <w:bookmarkStart w:name="6、母公司现金流量表" w:id="157"/>
      <w:bookmarkEnd w:id="15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331,822,693.76</w:t>
            </w:r>
          </w:p>
        </w:tc>
        <w:tc>
          <w:tcPr>
            <w:tcW w:w="330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325,786,957.41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8,953,057.73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2,635,682.43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25,892,729.94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22,293,225.69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366,668,481.43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350,715,865.53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217,640,064.04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197,449,331.78</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0"/>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12,764,725.00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23,808,718.21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31,226,296.46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14,057,268.11</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77,204,242.65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61,659,932.93</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338,835,328.15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296,975,251.03</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27,833,153.28</w:t>
            </w:r>
          </w:p>
        </w:tc>
        <w:tc>
          <w:tcPr>
            <w:tcW w:w="3300"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53,740,614.50</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5" w:space="0" w:color="D2D2D2"/>
              <w:left w:val="single" w:sz="13" w:space="0" w:color="D2D2D2"/>
              <w:bottom w:val="single" w:sz="4" w:space="0" w:color="000000"/>
              <w:right w:val="single" w:sz="4" w:space="0" w:color="000000"/>
            </w:tcBorders>
          </w:tcPr>
          <w:p>
            <w:pPr/>
          </w:p>
        </w:tc>
        <w:tc>
          <w:tcPr>
            <w:tcW w:w="3300" w:type="dxa"/>
            <w:tcBorders>
              <w:top w:val="single" w:sz="5" w:space="0" w:color="D2D2D2"/>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10,700,000.00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10,700,000.00</w:t>
            </w:r>
          </w:p>
        </w:tc>
      </w:tr>
      <w:tr>
        <w:trPr>
          <w:trHeight w:val="55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180,711,881.92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114,871,765.70</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303,511,881.92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154,871,765.70</w:t>
            </w:r>
          </w:p>
        </w:tc>
      </w:tr>
      <w:tr>
        <w:trPr>
          <w:trHeight w:val="33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5" w:space="0" w:color="D2D2D2"/>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-292,111,881.92</w:t>
            </w:r>
          </w:p>
        </w:tc>
        <w:tc>
          <w:tcPr>
            <w:tcW w:w="330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-144,171,765.70</w:t>
            </w:r>
          </w:p>
        </w:tc>
      </w:tr>
      <w:tr>
        <w:trPr>
          <w:trHeight w:val="3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3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115,000,000.00</w:t>
            </w:r>
          </w:p>
        </w:tc>
        <w:tc>
          <w:tcPr>
            <w:tcW w:w="3300" w:type="dxa"/>
            <w:tcBorders>
              <w:top w:val="single" w:sz="9" w:space="0" w:color="D2D2D2"/>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561,831,259.46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173,213,027.00</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91,619,612.16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25,816,725.59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768,450,871.62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199,029,752.59</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172,900,000.00</w:t>
            </w:r>
          </w:p>
        </w:tc>
      </w:tr>
      <w:tr>
        <w:trPr>
          <w:trHeight w:val="557"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41,134,825.25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17,185,431.49</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68,625,862.36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32,902,979.42</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534,760,687.61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222,988,410.91</w:t>
            </w:r>
          </w:p>
        </w:tc>
      </w:tr>
      <w:tr>
        <w:trPr>
          <w:trHeight w:val="32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233,690,184.01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-23,958,658.32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55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-30,588,544.63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-114,389,809.52</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190,073,925.15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304,463,734.67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159,485,380.52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190,073,925.15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pStyle w:val="Heading3"/>
        <w:spacing w:line="240" w:lineRule="auto" w:before="31"/>
        <w:ind w:left="380" w:right="0"/>
        <w:jc w:val="left"/>
        <w:rPr>
          <w:b w:val="0"/>
          <w:bCs w:val="0"/>
        </w:rPr>
      </w:pPr>
      <w:r>
        <w:rPr/>
        <w:pict>
          <v:group style="position:absolute;margin-left:70.5pt;margin-top:2.233667pt;width:701pt;height:.1pt;mso-position-horizontal-relative:page;mso-position-vertical-relative:paragraph;z-index:-858664"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7、合并所有者权益变动表" w:id="158"/>
      <w:bookmarkEnd w:id="15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18"/>
          <w:szCs w:val="18"/>
        </w:rPr>
      </w:pPr>
    </w:p>
    <w:p>
      <w:pPr>
        <w:spacing w:before="44"/>
        <w:ind w:left="38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8"/>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2529"/>
        <w:gridCol w:w="1287"/>
        <w:gridCol w:w="568"/>
        <w:gridCol w:w="566"/>
        <w:gridCol w:w="426"/>
        <w:gridCol w:w="1276"/>
        <w:gridCol w:w="566"/>
        <w:gridCol w:w="710"/>
        <w:gridCol w:w="992"/>
        <w:gridCol w:w="1134"/>
        <w:gridCol w:w="709"/>
        <w:gridCol w:w="1276"/>
        <w:gridCol w:w="1134"/>
        <w:gridCol w:w="1417"/>
      </w:tblGrid>
      <w:tr>
        <w:trPr>
          <w:trHeight w:val="323" w:hRule="exact"/>
        </w:trPr>
        <w:tc>
          <w:tcPr>
            <w:tcW w:w="2529" w:type="dxa"/>
            <w:vMerge w:val="restart"/>
            <w:tcBorders>
              <w:top w:val="single" w:sz="4" w:space="0" w:color="000000"/>
              <w:left w:val="single" w:sz="4" w:space="0" w:color="000000"/>
              <w:right w:val="single" w:sz="4" w:space="0" w:color="000000"/>
            </w:tcBorders>
            <w:shd w:val="clear" w:color="auto" w:fill="D2D2D2"/>
          </w:tcPr>
          <w:p>
            <w:pPr/>
          </w:p>
        </w:tc>
        <w:tc>
          <w:tcPr>
            <w:tcW w:w="1206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19"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95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7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5"/>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80"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1"/>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22" w:space="0" w:color="D2D2D2"/>
              <w:right w:val="single" w:sz="10" w:space="0" w:color="D2D2D2"/>
            </w:tcBorders>
          </w:tcPr>
          <w:p>
            <w:pPr>
              <w:pStyle w:val="TableParagraph"/>
              <w:spacing w:line="233"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2D2D2" w:color="auto" w:val="clear"/>
              </w:rPr>
              <w:t> </w:t>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4"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9"/>
              <w:ind w:left="189"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9"/>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vMerge w:val="restart"/>
            <w:tcBorders>
              <w:top w:val="single" w:sz="51" w:space="0" w:color="D2D2D2"/>
              <w:left w:val="single" w:sz="23" w:space="0" w:color="D2D2D2"/>
              <w:right w:val="single" w:sz="9" w:space="0" w:color="D2D2D2"/>
            </w:tcBorders>
          </w:tcPr>
          <w:p>
            <w:pPr>
              <w:pStyle w:val="TableParagraph"/>
              <w:spacing w:line="240" w:lineRule="auto" w:before="123"/>
              <w:ind w:left="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2"/>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417" w:type="dxa"/>
            <w:vMerge/>
            <w:tcBorders>
              <w:left w:val="single" w:sz="22" w:space="0" w:color="D2D2D2"/>
              <w:bottom w:val="nil" w:sz="6" w:space="0" w:color="auto"/>
              <w:right w:val="single" w:sz="10" w:space="0" w:color="D2D2D2"/>
            </w:tcBorders>
          </w:tcPr>
          <w:p>
            <w:pPr/>
          </w:p>
        </w:tc>
      </w:tr>
      <w:tr>
        <w:trPr>
          <w:trHeight w:val="151" w:hRule="exact"/>
        </w:trPr>
        <w:tc>
          <w:tcPr>
            <w:tcW w:w="2529"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9" w:space="0" w:color="D2D2D2"/>
            </w:tcBorders>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120" w:hRule="exact"/>
        </w:trPr>
        <w:tc>
          <w:tcPr>
            <w:tcW w:w="2529" w:type="dxa"/>
            <w:vMerge/>
            <w:tcBorders>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9" w:space="0" w:color="D2D2D2"/>
            </w:tcBorders>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166"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287"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23" w:space="0" w:color="D2D2D2"/>
              <w:bottom w:val="single" w:sz="50" w:space="0" w:color="D2D2D2"/>
              <w:right w:val="single" w:sz="9" w:space="0" w:color="D2D2D2"/>
            </w:tcBorders>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50"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96" w:right="0"/>
              <w:jc w:val="center"/>
              <w:rPr>
                <w:rFonts w:ascii="Times New Roman" w:hAnsi="Times New Roman" w:cs="Times New Roman" w:eastAsia="Times New Roman" w:hint="default"/>
                <w:sz w:val="18"/>
                <w:szCs w:val="18"/>
              </w:rPr>
            </w:pPr>
            <w:r>
              <w:rPr>
                <w:rFonts w:ascii="Times New Roman"/>
                <w:sz w:val="18"/>
              </w:rPr>
              <w:t>312,243,231.67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21,847,119.83</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183,138,138.73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5,631,382.28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718,859,872.51</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6" w:right="0"/>
              <w:jc w:val="center"/>
              <w:rPr>
                <w:rFonts w:ascii="Times New Roman" w:hAnsi="Times New Roman" w:cs="Times New Roman" w:eastAsia="Times New Roman" w:hint="default"/>
                <w:sz w:val="18"/>
                <w:szCs w:val="18"/>
              </w:rPr>
            </w:pPr>
            <w:r>
              <w:rPr>
                <w:rFonts w:ascii="Times New Roman"/>
                <w:sz w:val="18"/>
              </w:rPr>
              <w:t>312,243,231.67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21,847,119.83</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183,138,138.73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5,631,382.28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718,859,872.51</w:t>
            </w:r>
          </w:p>
        </w:tc>
      </w:tr>
      <w:tr>
        <w:trPr>
          <w:trHeight w:val="558"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20"/>
              <w:ind w:left="12"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774,685,034.00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-302,084,062.69</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337,868.86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2,604,862.01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53,973,752.35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12,539,470.26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542,056,924.79</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119,452,531.65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2,371,394.97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121,823,926.62</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24,610,235.00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6" w:right="0"/>
              <w:jc w:val="center"/>
              <w:rPr>
                <w:rFonts w:ascii="Times New Roman" w:hAnsi="Times New Roman" w:cs="Times New Roman" w:eastAsia="Times New Roman" w:hint="default"/>
                <w:sz w:val="18"/>
                <w:szCs w:val="18"/>
              </w:rPr>
            </w:pPr>
            <w:r>
              <w:rPr>
                <w:rFonts w:ascii="Times New Roman"/>
                <w:sz w:val="18"/>
              </w:rPr>
              <w:t>399,456,484.31</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432,066,719.31</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24,610,235.00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6" w:right="0"/>
              <w:jc w:val="center"/>
              <w:rPr>
                <w:rFonts w:ascii="Times New Roman" w:hAnsi="Times New Roman" w:cs="Times New Roman" w:eastAsia="Times New Roman" w:hint="default"/>
                <w:sz w:val="18"/>
                <w:szCs w:val="18"/>
              </w:rPr>
            </w:pPr>
            <w:r>
              <w:rPr>
                <w:rFonts w:ascii="Times New Roman"/>
                <w:sz w:val="18"/>
              </w:rPr>
              <w:t>399,456,484.31</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432,066,719.31</w:t>
            </w: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42"/>
              <w:ind w:left="1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43"/>
              <w:ind w:left="1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48,534,252.00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2,604,862.01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-65,478,779.30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8"/>
                <w:szCs w:val="18"/>
              </w:rPr>
            </w:pPr>
            <w:r>
              <w:rPr>
                <w:rFonts w:ascii="Times New Roman"/>
                <w:spacing w:val="-1"/>
                <w:sz w:val="18"/>
              </w:rPr>
              <w:t>-14,339,665.29</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2,604,862.01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-2,604,862.01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48,534,252.00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-62,873,917.29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
              <w:jc w:val="right"/>
              <w:rPr>
                <w:rFonts w:ascii="Times New Roman" w:hAnsi="Times New Roman" w:cs="Times New Roman" w:eastAsia="Times New Roman" w:hint="default"/>
                <w:sz w:val="18"/>
                <w:szCs w:val="18"/>
              </w:rPr>
            </w:pPr>
            <w:r>
              <w:rPr>
                <w:rFonts w:ascii="Times New Roman"/>
                <w:spacing w:val="-1"/>
                <w:sz w:val="18"/>
              </w:rPr>
              <w:t>-14,339,665.29</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0"/>
              <w:ind w:right="20"/>
              <w:jc w:val="right"/>
              <w:rPr>
                <w:rFonts w:ascii="Times New Roman" w:hAnsi="Times New Roman" w:cs="Times New Roman" w:eastAsia="Times New Roman" w:hint="default"/>
                <w:sz w:val="18"/>
                <w:szCs w:val="18"/>
              </w:rPr>
            </w:pPr>
            <w:r>
              <w:rPr>
                <w:rFonts w:ascii="Times New Roman"/>
                <w:spacing w:val="-1"/>
                <w:sz w:val="18"/>
              </w:rPr>
              <w:t>701,540,547.00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 w:right="0"/>
              <w:jc w:val="center"/>
              <w:rPr>
                <w:rFonts w:ascii="Times New Roman" w:hAnsi="Times New Roman" w:cs="Times New Roman" w:eastAsia="Times New Roman" w:hint="default"/>
                <w:sz w:val="18"/>
                <w:szCs w:val="18"/>
              </w:rPr>
            </w:pPr>
            <w:r>
              <w:rPr>
                <w:rFonts w:ascii="Times New Roman"/>
                <w:sz w:val="18"/>
              </w:rPr>
              <w:t>-701,540,547.00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6840" w:h="11910" w:orient="landscape"/>
          <w:pgMar w:header="867" w:footer="979" w:top="1060" w:bottom="1260" w:left="1060" w:right="0"/>
          <w:pgNumType w:start="79"/>
        </w:sectPr>
      </w:pPr>
    </w:p>
    <w:p>
      <w:pPr>
        <w:spacing w:line="240" w:lineRule="auto" w:before="12"/>
        <w:rPr>
          <w:rFonts w:ascii="宋体" w:hAnsi="宋体" w:cs="宋体" w:eastAsia="宋体" w:hint="default"/>
          <w:sz w:val="2"/>
          <w:szCs w:val="2"/>
        </w:rPr>
      </w:pPr>
      <w:r>
        <w:rPr/>
        <w:pict>
          <v:group style="position:absolute;margin-left:186.800003pt;margin-top:134.240005pt;width:61.05pt;height:30.55pt;mso-position-horizontal-relative:page;mso-position-vertical-relative:page;z-index:-858640" coordorigin="3736,2685" coordsize="1221,611">
            <v:group style="position:absolute;left:3736;top:2685;width:1221;height:287" coordorigin="3736,2685" coordsize="1221,287">
              <v:shape style="position:absolute;left:3736;top:2685;width:1221;height:287" coordorigin="3736,2685" coordsize="1221,287" path="m3736,2972l4956,2972,4956,2685,3736,2685,3736,2972xe" filled="true" fillcolor="#ffffff" stroked="false">
                <v:path arrowok="t"/>
                <v:fill type="solid"/>
              </v:shape>
            </v:group>
            <v:group style="position:absolute;left:3736;top:3009;width:1221;height:287" coordorigin="3736,3009" coordsize="1221,287">
              <v:shape style="position:absolute;left:3736;top:3009;width:1221;height:287" coordorigin="3736,3009" coordsize="1221,287" path="m3736,3296l4956,3296,4956,3009,3736,3009,3736,3296xe" filled="true" fillcolor="#ffffff" stroked="false">
                <v:path arrowok="t"/>
                <v:fill type="solid"/>
              </v:shape>
            </v:group>
            <w10:wrap type="none"/>
          </v:group>
        </w:pict>
      </w:r>
    </w:p>
    <w:tbl>
      <w:tblPr>
        <w:tblW w:w="0" w:type="auto"/>
        <w:jc w:val="left"/>
        <w:tblInd w:w="122" w:type="dxa"/>
        <w:tblLayout w:type="fixed"/>
        <w:tblCellMar>
          <w:top w:w="0" w:type="dxa"/>
          <w:left w:w="0" w:type="dxa"/>
          <w:bottom w:w="0" w:type="dxa"/>
          <w:right w:w="0" w:type="dxa"/>
        </w:tblCellMar>
        <w:tblLook w:val="01E0"/>
      </w:tblPr>
      <w:tblGrid>
        <w:gridCol w:w="2529"/>
        <w:gridCol w:w="104"/>
        <w:gridCol w:w="1183"/>
        <w:gridCol w:w="568"/>
        <w:gridCol w:w="566"/>
        <w:gridCol w:w="426"/>
        <w:gridCol w:w="1276"/>
        <w:gridCol w:w="566"/>
        <w:gridCol w:w="710"/>
        <w:gridCol w:w="992"/>
        <w:gridCol w:w="1134"/>
        <w:gridCol w:w="709"/>
        <w:gridCol w:w="1276"/>
        <w:gridCol w:w="1134"/>
        <w:gridCol w:w="1417"/>
      </w:tblGrid>
      <w:tr>
        <w:trPr>
          <w:trHeight w:val="338" w:hRule="exact"/>
        </w:trPr>
        <w:tc>
          <w:tcPr>
            <w:tcW w:w="2529" w:type="dxa"/>
            <w:vMerge w:val="restart"/>
            <w:tcBorders>
              <w:top w:val="single" w:sz="15" w:space="0" w:color="000000"/>
              <w:left w:val="single" w:sz="4" w:space="0" w:color="000000"/>
              <w:right w:val="single" w:sz="4" w:space="0" w:color="000000"/>
            </w:tcBorders>
            <w:shd w:val="clear" w:color="auto" w:fill="D2D2D2"/>
          </w:tcPr>
          <w:p>
            <w:pPr/>
          </w:p>
        </w:tc>
        <w:tc>
          <w:tcPr>
            <w:tcW w:w="12061" w:type="dxa"/>
            <w:gridSpan w:val="14"/>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18"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951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49"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gridSpan w:val="2"/>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FFFFFF"/>
            </w:tcBorders>
            <w:shd w:val="clear" w:color="auto" w:fill="D2D2D2"/>
          </w:tcPr>
          <w:p>
            <w:pPr/>
          </w:p>
        </w:tc>
        <w:tc>
          <w:tcPr>
            <w:tcW w:w="992" w:type="dxa"/>
            <w:vMerge w:val="restart"/>
            <w:tcBorders>
              <w:top w:val="single" w:sz="4" w:space="0" w:color="000000"/>
              <w:left w:val="single" w:sz="4" w:space="0" w:color="FFFFFF"/>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23"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287" w:type="dxa"/>
            <w:gridSpan w:val="2"/>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10"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31"/>
              <w:ind w:left="80"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992" w:type="dxa"/>
            <w:vMerge/>
            <w:tcBorders>
              <w:left w:val="single" w:sz="4" w:space="0" w:color="FFFFFF"/>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22" w:space="0" w:color="D2D2D2"/>
              <w:right w:val="single" w:sz="10" w:space="0" w:color="D2D2D2"/>
            </w:tcBorders>
          </w:tcPr>
          <w:p>
            <w:pPr>
              <w:pStyle w:val="TableParagraph"/>
              <w:spacing w:line="224"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2D2D2" w:color="auto" w:val="clear"/>
              </w:rPr>
              <w:t> </w:t>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5"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28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89"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6"/>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vMerge w:val="restart"/>
            <w:tcBorders>
              <w:top w:val="single" w:sz="50" w:space="0" w:color="D2D2D2"/>
              <w:left w:val="single" w:sz="23" w:space="0" w:color="D2D2D2"/>
              <w:right w:val="single" w:sz="13" w:space="0" w:color="D2D2D2"/>
            </w:tcBorders>
          </w:tcPr>
          <w:p>
            <w:pPr>
              <w:pStyle w:val="TableParagraph"/>
              <w:spacing w:line="240" w:lineRule="auto" w:before="125"/>
              <w:ind w:left="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FFFFFF"/>
            </w:tcBorders>
            <w:shd w:val="clear" w:color="auto" w:fill="D2D2D2"/>
          </w:tcPr>
          <w:p>
            <w:pPr/>
          </w:p>
        </w:tc>
        <w:tc>
          <w:tcPr>
            <w:tcW w:w="992"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26"/>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417" w:type="dxa"/>
            <w:vMerge/>
            <w:tcBorders>
              <w:left w:val="single" w:sz="22" w:space="0" w:color="D2D2D2"/>
              <w:bottom w:val="nil" w:sz="6" w:space="0" w:color="auto"/>
              <w:right w:val="single" w:sz="10" w:space="0" w:color="D2D2D2"/>
            </w:tcBorders>
          </w:tcPr>
          <w:p>
            <w:pPr/>
          </w:p>
        </w:tc>
      </w:tr>
      <w:tr>
        <w:trPr>
          <w:trHeight w:val="151" w:hRule="exact"/>
        </w:trPr>
        <w:tc>
          <w:tcPr>
            <w:tcW w:w="2529" w:type="dxa"/>
            <w:vMerge/>
            <w:tcBorders>
              <w:left w:val="single" w:sz="4" w:space="0" w:color="000000"/>
              <w:right w:val="single" w:sz="4" w:space="0" w:color="000000"/>
            </w:tcBorders>
            <w:shd w:val="clear" w:color="auto" w:fill="D2D2D2"/>
          </w:tcPr>
          <w:p>
            <w:pPr/>
          </w:p>
        </w:tc>
        <w:tc>
          <w:tcPr>
            <w:tcW w:w="1287" w:type="dxa"/>
            <w:gridSpan w:val="2"/>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13" w:space="0" w:color="D2D2D2"/>
            </w:tcBorders>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FFFFFF"/>
            </w:tcBorders>
            <w:shd w:val="clear" w:color="auto" w:fill="D2D2D2"/>
          </w:tcPr>
          <w:p>
            <w:pPr/>
          </w:p>
        </w:tc>
        <w:tc>
          <w:tcPr>
            <w:tcW w:w="992" w:type="dxa"/>
            <w:vMerge/>
            <w:tcBorders>
              <w:left w:val="single" w:sz="4" w:space="0" w:color="FFFFFF"/>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119" w:hRule="exact"/>
        </w:trPr>
        <w:tc>
          <w:tcPr>
            <w:tcW w:w="2529" w:type="dxa"/>
            <w:vMerge/>
            <w:tcBorders>
              <w:left w:val="single" w:sz="4" w:space="0" w:color="000000"/>
              <w:right w:val="single" w:sz="4" w:space="0" w:color="000000"/>
            </w:tcBorders>
            <w:shd w:val="clear" w:color="auto" w:fill="D2D2D2"/>
          </w:tcPr>
          <w:p>
            <w:pPr/>
          </w:p>
        </w:tc>
        <w:tc>
          <w:tcPr>
            <w:tcW w:w="1287" w:type="dxa"/>
            <w:gridSpan w:val="2"/>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13" w:space="0" w:color="D2D2D2"/>
            </w:tcBorders>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FFFFFF"/>
            </w:tcBorders>
            <w:shd w:val="clear" w:color="auto" w:fill="D2D2D2"/>
          </w:tcPr>
          <w:p>
            <w:pPr/>
          </w:p>
        </w:tc>
        <w:tc>
          <w:tcPr>
            <w:tcW w:w="992" w:type="dxa"/>
            <w:vMerge w:val="restart"/>
            <w:tcBorders>
              <w:top w:val="nil" w:sz="6" w:space="0" w:color="auto"/>
              <w:left w:val="single" w:sz="4" w:space="0" w:color="FFFFFF"/>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167"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287" w:type="dxa"/>
            <w:gridSpan w:val="2"/>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23" w:space="0" w:color="D2D2D2"/>
              <w:bottom w:val="single" w:sz="51" w:space="0" w:color="D2D2D2"/>
              <w:right w:val="single" w:sz="13" w:space="0" w:color="D2D2D2"/>
            </w:tcBorders>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FFFFFF"/>
            </w:tcBorders>
            <w:shd w:val="clear" w:color="auto" w:fill="D2D2D2"/>
          </w:tcPr>
          <w:p>
            <w:pPr/>
          </w:p>
        </w:tc>
        <w:tc>
          <w:tcPr>
            <w:tcW w:w="992" w:type="dxa"/>
            <w:vMerge/>
            <w:tcBorders>
              <w:left w:val="single" w:sz="4" w:space="0" w:color="FFFFFF"/>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52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04" w:type="dxa"/>
            <w:tcBorders>
              <w:top w:val="single" w:sz="4" w:space="0" w:color="000000"/>
              <w:left w:val="single" w:sz="22" w:space="0" w:color="FFFFFF"/>
              <w:bottom w:val="single" w:sz="4" w:space="0" w:color="000000"/>
              <w:right w:val="nil" w:sz="6" w:space="0" w:color="auto"/>
            </w:tcBorders>
          </w:tcPr>
          <w:p>
            <w:pPr>
              <w:pStyle w:val="TableParagraph"/>
              <w:spacing w:line="240" w:lineRule="auto" w:before="3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1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 w:right="0"/>
              <w:jc w:val="left"/>
              <w:rPr>
                <w:rFonts w:ascii="Times New Roman" w:hAnsi="Times New Roman" w:cs="Times New Roman" w:eastAsia="Times New Roman" w:hint="default"/>
                <w:sz w:val="18"/>
                <w:szCs w:val="18"/>
              </w:rPr>
            </w:pPr>
            <w:r>
              <w:rPr>
                <w:rFonts w:ascii="Times New Roman"/>
                <w:sz w:val="18"/>
              </w:rPr>
              <w:t>701,540,547.00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51"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 w:right="0"/>
              <w:jc w:val="center"/>
              <w:rPr>
                <w:rFonts w:ascii="Times New Roman" w:hAnsi="Times New Roman" w:cs="Times New Roman" w:eastAsia="Times New Roman" w:hint="default"/>
                <w:sz w:val="18"/>
                <w:szCs w:val="18"/>
              </w:rPr>
            </w:pPr>
            <w:r>
              <w:rPr>
                <w:rFonts w:ascii="Times New Roman"/>
                <w:sz w:val="18"/>
              </w:rPr>
              <w:t>-701,540,547.00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3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7" w:type="dxa"/>
            <w:gridSpan w:val="2"/>
            <w:tcBorders>
              <w:top w:val="single" w:sz="4" w:space="0" w:color="000000"/>
              <w:left w:val="single" w:sz="22" w:space="0" w:color="FFFFFF"/>
              <w:bottom w:val="single" w:sz="4" w:space="0" w:color="000000"/>
              <w:right w:val="single" w:sz="4" w:space="0" w:color="000000"/>
            </w:tcBorders>
          </w:tcPr>
          <w:p>
            <w:pPr>
              <w:pStyle w:val="TableParagraph"/>
              <w:spacing w:line="240" w:lineRule="auto" w:before="34"/>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7" w:type="dxa"/>
            <w:gridSpan w:val="2"/>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gridSpan w:val="2"/>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7" w:type="dxa"/>
            <w:gridSpan w:val="2"/>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8"/>
                <w:szCs w:val="18"/>
              </w:rPr>
            </w:pPr>
            <w:r>
              <w:rPr>
                <w:rFonts w:ascii="Times New Roman"/>
                <w:sz w:val="18"/>
              </w:rPr>
              <w:t>337,868.86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8"/>
                <w:szCs w:val="18"/>
              </w:rPr>
            </w:pPr>
            <w:r>
              <w:rPr>
                <w:rFonts w:ascii="Times New Roman"/>
                <w:sz w:val="18"/>
              </w:rPr>
              <w:t>337,868.86</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7" w:type="dxa"/>
            <w:gridSpan w:val="2"/>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337,868.86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337,868.86</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7" w:type="dxa"/>
            <w:gridSpan w:val="2"/>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7" w:type="dxa"/>
            <w:gridSpan w:val="2"/>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2,168,075.29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2,168,075.29</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118" w:right="0"/>
              <w:jc w:val="left"/>
              <w:rPr>
                <w:rFonts w:ascii="Times New Roman" w:hAnsi="Times New Roman" w:cs="Times New Roman" w:eastAsia="Times New Roman" w:hint="default"/>
                <w:sz w:val="18"/>
                <w:szCs w:val="18"/>
              </w:rPr>
            </w:pPr>
            <w:r>
              <w:rPr>
                <w:rFonts w:ascii="Times New Roman"/>
                <w:sz w:val="18"/>
              </w:rPr>
              <w:t>970,685,034.00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86" w:right="0"/>
              <w:jc w:val="center"/>
              <w:rPr>
                <w:rFonts w:ascii="Times New Roman" w:hAnsi="Times New Roman" w:cs="Times New Roman" w:eastAsia="Times New Roman" w:hint="default"/>
                <w:sz w:val="18"/>
                <w:szCs w:val="18"/>
              </w:rPr>
            </w:pPr>
            <w:r>
              <w:rPr>
                <w:rFonts w:ascii="Times New Roman"/>
                <w:sz w:val="18"/>
              </w:rPr>
              <w:t>10,159,168.98</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FFFFFF"/>
            </w:tcBorders>
          </w:tcPr>
          <w:p>
            <w:pPr/>
          </w:p>
        </w:tc>
        <w:tc>
          <w:tcPr>
            <w:tcW w:w="99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8"/>
                <w:szCs w:val="18"/>
              </w:rPr>
            </w:pPr>
            <w:r>
              <w:rPr>
                <w:rFonts w:ascii="Times New Roman"/>
                <w:sz w:val="18"/>
              </w:rPr>
              <w:t>337,868.86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5" w:right="0"/>
              <w:jc w:val="left"/>
              <w:rPr>
                <w:rFonts w:ascii="Times New Roman" w:hAnsi="Times New Roman" w:cs="Times New Roman" w:eastAsia="Times New Roman" w:hint="default"/>
                <w:sz w:val="18"/>
                <w:szCs w:val="18"/>
              </w:rPr>
            </w:pPr>
            <w:r>
              <w:rPr>
                <w:rFonts w:ascii="Times New Roman"/>
                <w:sz w:val="18"/>
              </w:rPr>
              <w:t>24,451,981.84</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31" w:right="0"/>
              <w:jc w:val="left"/>
              <w:rPr>
                <w:rFonts w:ascii="Times New Roman" w:hAnsi="Times New Roman" w:cs="Times New Roman" w:eastAsia="Times New Roman" w:hint="default"/>
                <w:sz w:val="18"/>
                <w:szCs w:val="18"/>
              </w:rPr>
            </w:pPr>
            <w:r>
              <w:rPr>
                <w:rFonts w:ascii="Times New Roman"/>
                <w:sz w:val="18"/>
              </w:rPr>
              <w:t>237,111,891.08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8"/>
                <w:szCs w:val="18"/>
              </w:rPr>
            </w:pPr>
            <w:r>
              <w:rPr>
                <w:rFonts w:ascii="Times New Roman"/>
                <w:spacing w:val="-1"/>
                <w:sz w:val="18"/>
              </w:rPr>
              <w:t>18,170,852.54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Times New Roman" w:hAnsi="Times New Roman" w:cs="Times New Roman" w:eastAsia="Times New Roman" w:hint="default"/>
                <w:sz w:val="18"/>
                <w:szCs w:val="18"/>
              </w:rPr>
            </w:pPr>
            <w:r>
              <w:rPr>
                <w:rFonts w:ascii="Times New Roman"/>
                <w:spacing w:val="-1"/>
                <w:sz w:val="18"/>
              </w:rPr>
              <w:t>1,260,916,797.30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4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8"/>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553"/>
        <w:gridCol w:w="1276"/>
        <w:gridCol w:w="568"/>
        <w:gridCol w:w="566"/>
        <w:gridCol w:w="426"/>
        <w:gridCol w:w="1276"/>
        <w:gridCol w:w="566"/>
        <w:gridCol w:w="710"/>
        <w:gridCol w:w="992"/>
        <w:gridCol w:w="1134"/>
        <w:gridCol w:w="709"/>
        <w:gridCol w:w="1276"/>
        <w:gridCol w:w="1134"/>
        <w:gridCol w:w="1417"/>
      </w:tblGrid>
      <w:tr>
        <w:trPr>
          <w:trHeight w:val="324" w:hRule="exact"/>
        </w:trPr>
        <w:tc>
          <w:tcPr>
            <w:tcW w:w="2553" w:type="dxa"/>
            <w:vMerge w:val="restart"/>
            <w:tcBorders>
              <w:top w:val="single" w:sz="4" w:space="0" w:color="000000"/>
              <w:left w:val="single" w:sz="4" w:space="0" w:color="000000"/>
              <w:right w:val="single" w:sz="4" w:space="0" w:color="000000"/>
            </w:tcBorders>
            <w:shd w:val="clear" w:color="auto" w:fill="D2D2D2"/>
          </w:tcPr>
          <w:p>
            <w:pPr/>
          </w:p>
        </w:tc>
        <w:tc>
          <w:tcPr>
            <w:tcW w:w="120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2553" w:type="dxa"/>
            <w:vMerge/>
            <w:tcBorders>
              <w:left w:val="single" w:sz="4" w:space="0" w:color="000000"/>
              <w:bottom w:val="nil" w:sz="6" w:space="0" w:color="auto"/>
              <w:right w:val="single" w:sz="4" w:space="0" w:color="000000"/>
            </w:tcBorders>
            <w:shd w:val="clear" w:color="auto" w:fill="D2D2D2"/>
          </w:tcPr>
          <w:p>
            <w:pPr/>
          </w:p>
        </w:tc>
        <w:tc>
          <w:tcPr>
            <w:tcW w:w="949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3" w:type="dxa"/>
            <w:vMerge w:val="restart"/>
            <w:tcBorders>
              <w:top w:val="nil" w:sz="6" w:space="0" w:color="auto"/>
              <w:left w:val="single" w:sz="4" w:space="0" w:color="000000"/>
              <w:right w:val="single" w:sz="4" w:space="0" w:color="000000"/>
            </w:tcBorders>
            <w:shd w:val="clear" w:color="auto" w:fill="D2D2D2"/>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34" w:lineRule="exact" w:before="37"/>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2553"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80"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22" w:space="0" w:color="D2D2D2"/>
              <w:right w:val="single" w:sz="10" w:space="0" w:color="D2D2D2"/>
            </w:tcBorders>
          </w:tcPr>
          <w:p>
            <w:pPr>
              <w:pStyle w:val="TableParagraph"/>
              <w:spacing w:line="224"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2D2D2" w:color="auto" w:val="clear"/>
              </w:rPr>
              <w:t> </w:t>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4" w:hRule="exact"/>
        </w:trPr>
        <w:tc>
          <w:tcPr>
            <w:tcW w:w="2553"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89"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vMerge w:val="restart"/>
            <w:tcBorders>
              <w:top w:val="single" w:sz="47" w:space="0" w:color="D2D2D2"/>
              <w:left w:val="single" w:sz="23" w:space="0" w:color="D2D2D2"/>
              <w:right w:val="single" w:sz="9" w:space="0" w:color="D2D2D2"/>
            </w:tcBorders>
          </w:tcPr>
          <w:p>
            <w:pPr>
              <w:pStyle w:val="TableParagraph"/>
              <w:spacing w:line="240" w:lineRule="auto" w:before="119"/>
              <w:ind w:left="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417" w:type="dxa"/>
            <w:vMerge/>
            <w:tcBorders>
              <w:left w:val="single" w:sz="22" w:space="0" w:color="D2D2D2"/>
              <w:bottom w:val="nil" w:sz="6" w:space="0" w:color="auto"/>
              <w:right w:val="single" w:sz="10" w:space="0" w:color="D2D2D2"/>
            </w:tcBorders>
          </w:tcPr>
          <w:p>
            <w:pPr/>
          </w:p>
        </w:tc>
      </w:tr>
      <w:tr>
        <w:trPr>
          <w:trHeight w:val="151" w:hRule="exact"/>
        </w:trPr>
        <w:tc>
          <w:tcPr>
            <w:tcW w:w="2553"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9" w:space="0" w:color="D2D2D2"/>
            </w:tcBorders>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119" w:hRule="exact"/>
        </w:trPr>
        <w:tc>
          <w:tcPr>
            <w:tcW w:w="2553"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9" w:space="0" w:color="D2D2D2"/>
            </w:tcBorders>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167" w:hRule="exact"/>
        </w:trPr>
        <w:tc>
          <w:tcPr>
            <w:tcW w:w="2553"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23" w:space="0" w:color="D2D2D2"/>
              <w:bottom w:val="single" w:sz="47" w:space="0" w:color="D2D2D2"/>
              <w:right w:val="single" w:sz="9" w:space="0" w:color="D2D2D2"/>
            </w:tcBorders>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7"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 w:right="0"/>
              <w:jc w:val="center"/>
              <w:rPr>
                <w:rFonts w:ascii="Times New Roman" w:hAnsi="Times New Roman" w:cs="Times New Roman" w:eastAsia="Times New Roman" w:hint="default"/>
                <w:sz w:val="18"/>
                <w:szCs w:val="18"/>
              </w:rPr>
            </w:pPr>
            <w:r>
              <w:rPr>
                <w:rFonts w:ascii="Times New Roman"/>
                <w:sz w:val="18"/>
              </w:rPr>
              <w:t>312,243,231.67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19,654,958.51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152,967,510.19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4,010,574.32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684,876,274.69</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312,243,231.67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19,654,958.51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152,967,510.19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4,010,574.32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684,876,274.69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040" w:right="0"/>
        </w:sectPr>
      </w:pPr>
    </w:p>
    <w:p>
      <w:pPr>
        <w:spacing w:line="240" w:lineRule="auto" w:before="4"/>
        <w:rPr>
          <w:rFonts w:ascii="Times New Roman" w:hAnsi="Times New Roman" w:cs="Times New Roman" w:eastAsia="Times New Roman" w:hint="default"/>
          <w:sz w:val="3"/>
          <w:szCs w:val="3"/>
        </w:rPr>
      </w:pPr>
      <w:r>
        <w:rPr/>
        <w:pict>
          <v:group style="position:absolute;margin-left:186.800003pt;margin-top:379.540009pt;width:61.05pt;height:30.5pt;mso-position-horizontal-relative:page;mso-position-vertical-relative:page;z-index:-858616" coordorigin="3736,7591" coordsize="1221,610">
            <v:group style="position:absolute;left:3736;top:7591;width:1221;height:287" coordorigin="3736,7591" coordsize="1221,287">
              <v:shape style="position:absolute;left:3736;top:7591;width:1221;height:287" coordorigin="3736,7591" coordsize="1221,287" path="m3736,7878l4956,7878,4956,7591,3736,7591,3736,7878xe" filled="true" fillcolor="#ffffff" stroked="false">
                <v:path arrowok="t"/>
                <v:fill type="solid"/>
              </v:shape>
            </v:group>
            <v:group style="position:absolute;left:3736;top:7914;width:1221;height:288" coordorigin="3736,7914" coordsize="1221,288">
              <v:shape style="position:absolute;left:3736;top:7914;width:1221;height:288" coordorigin="3736,7914" coordsize="1221,288" path="m3736,8201l4956,8201,4956,7914,3736,7914,3736,8201xe" filled="true" fillcolor="#ffffff" stroked="false">
                <v:path arrowok="t"/>
                <v:fill type="solid"/>
              </v:shape>
            </v:group>
            <w10:wrap type="none"/>
          </v:group>
        </w:pict>
      </w:r>
    </w:p>
    <w:tbl>
      <w:tblPr>
        <w:tblW w:w="0" w:type="auto"/>
        <w:jc w:val="left"/>
        <w:tblInd w:w="102" w:type="dxa"/>
        <w:tblLayout w:type="fixed"/>
        <w:tblCellMar>
          <w:top w:w="0" w:type="dxa"/>
          <w:left w:w="0" w:type="dxa"/>
          <w:bottom w:w="0" w:type="dxa"/>
          <w:right w:w="0" w:type="dxa"/>
        </w:tblCellMar>
        <w:tblLook w:val="01E0"/>
      </w:tblPr>
      <w:tblGrid>
        <w:gridCol w:w="2529"/>
        <w:gridCol w:w="1287"/>
        <w:gridCol w:w="568"/>
        <w:gridCol w:w="566"/>
        <w:gridCol w:w="426"/>
        <w:gridCol w:w="1276"/>
        <w:gridCol w:w="566"/>
        <w:gridCol w:w="710"/>
        <w:gridCol w:w="992"/>
        <w:gridCol w:w="1134"/>
        <w:gridCol w:w="709"/>
        <w:gridCol w:w="1276"/>
        <w:gridCol w:w="1134"/>
        <w:gridCol w:w="1417"/>
      </w:tblGrid>
      <w:tr>
        <w:trPr>
          <w:trHeight w:val="338" w:hRule="exact"/>
        </w:trPr>
        <w:tc>
          <w:tcPr>
            <w:tcW w:w="2529" w:type="dxa"/>
            <w:vMerge w:val="restart"/>
            <w:tcBorders>
              <w:top w:val="single" w:sz="15" w:space="0" w:color="000000"/>
              <w:left w:val="single" w:sz="4" w:space="0" w:color="000000"/>
              <w:right w:val="single" w:sz="4" w:space="0" w:color="000000"/>
            </w:tcBorders>
            <w:shd w:val="clear" w:color="auto" w:fill="D2D2D2"/>
          </w:tcPr>
          <w:p>
            <w:pPr/>
          </w:p>
        </w:tc>
        <w:tc>
          <w:tcPr>
            <w:tcW w:w="12061"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18"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95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r>
      <w:tr>
        <w:trPr>
          <w:trHeight w:val="149"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FFFFFF"/>
            </w:tcBorders>
            <w:shd w:val="clear" w:color="auto" w:fill="D2D2D2"/>
          </w:tcPr>
          <w:p>
            <w:pPr/>
          </w:p>
        </w:tc>
        <w:tc>
          <w:tcPr>
            <w:tcW w:w="709" w:type="dxa"/>
            <w:tcBorders>
              <w:top w:val="single" w:sz="4" w:space="0" w:color="000000"/>
              <w:left w:val="single" w:sz="4" w:space="0" w:color="FFFFFF"/>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9"/>
              <w:ind w:left="471" w:right="11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123"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1560"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98" w:right="20" w:hanging="76"/>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left="80"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FFFFFF"/>
            </w:tcBorders>
            <w:shd w:val="clear" w:color="auto" w:fill="D2D2D2"/>
          </w:tcPr>
          <w:p>
            <w:pPr/>
          </w:p>
        </w:tc>
        <w:tc>
          <w:tcPr>
            <w:tcW w:w="709"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20"/>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22" w:space="0" w:color="D2D2D2"/>
              <w:right w:val="single" w:sz="10" w:space="0" w:color="D2D2D2"/>
            </w:tcBorders>
          </w:tcPr>
          <w:p>
            <w:pPr>
              <w:pStyle w:val="TableParagraph"/>
              <w:spacing w:line="224" w:lineRule="exact"/>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5"/>
                <w:sz w:val="18"/>
                <w:szCs w:val="18"/>
                <w:shd w:fill="D2D2D2" w:color="auto" w:val="clear"/>
              </w:rPr>
              <w:t> </w:t>
            </w:r>
            <w:r>
              <w:rPr>
                <w:rFonts w:ascii="宋体" w:hAnsi="宋体" w:cs="宋体" w:eastAsia="宋体" w:hint="default"/>
                <w:sz w:val="18"/>
                <w:szCs w:val="18"/>
                <w:shd w:fill="D2D2D2" w:color="auto" w:val="clear"/>
              </w:rPr>
              <w:t>所有者权益合计</w:t>
            </w:r>
            <w:r>
              <w:rPr>
                <w:rFonts w:ascii="宋体" w:hAnsi="宋体" w:cs="宋体" w:eastAsia="宋体" w:hint="default"/>
                <w:sz w:val="18"/>
                <w:szCs w:val="18"/>
              </w:rPr>
            </w:r>
          </w:p>
        </w:tc>
      </w:tr>
      <w:tr>
        <w:trPr>
          <w:trHeight w:val="155"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89"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88" w:right="9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6" w:type="dxa"/>
            <w:vMerge w:val="restart"/>
            <w:tcBorders>
              <w:top w:val="single" w:sz="50" w:space="0" w:color="D2D2D2"/>
              <w:left w:val="single" w:sz="23" w:space="0" w:color="D2D2D2"/>
              <w:right w:val="single" w:sz="9" w:space="0" w:color="D2D2D2"/>
            </w:tcBorders>
          </w:tcPr>
          <w:p>
            <w:pPr>
              <w:pStyle w:val="TableParagraph"/>
              <w:spacing w:line="240" w:lineRule="auto" w:before="114"/>
              <w:ind w:left="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其他</w:t>
            </w:r>
            <w:r>
              <w:rPr>
                <w:rFonts w:ascii="宋体" w:hAnsi="宋体" w:cs="宋体" w:eastAsia="宋体" w:hint="default"/>
                <w:sz w:val="18"/>
                <w:szCs w:val="18"/>
              </w:rPr>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13"/>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FFFFFF"/>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417" w:type="dxa"/>
            <w:vMerge/>
            <w:tcBorders>
              <w:left w:val="single" w:sz="22" w:space="0" w:color="D2D2D2"/>
              <w:bottom w:val="nil" w:sz="6" w:space="0" w:color="auto"/>
              <w:right w:val="single" w:sz="10" w:space="0" w:color="D2D2D2"/>
            </w:tcBorders>
          </w:tcPr>
          <w:p>
            <w:pPr/>
          </w:p>
        </w:tc>
      </w:tr>
      <w:tr>
        <w:trPr>
          <w:trHeight w:val="151" w:hRule="exact"/>
        </w:trPr>
        <w:tc>
          <w:tcPr>
            <w:tcW w:w="2529"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9" w:space="0" w:color="D2D2D2"/>
            </w:tcBorders>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FFFFFF"/>
            </w:tcBorders>
            <w:shd w:val="clear" w:color="auto" w:fill="D2D2D2"/>
          </w:tcPr>
          <w:p>
            <w:pPr/>
          </w:p>
        </w:tc>
        <w:tc>
          <w:tcPr>
            <w:tcW w:w="709" w:type="dxa"/>
            <w:vMerge/>
            <w:tcBorders>
              <w:left w:val="single" w:sz="4" w:space="0" w:color="FFFFFF"/>
              <w:right w:val="single" w:sz="4" w:space="0" w:color="000000"/>
            </w:tcBorders>
            <w:shd w:val="clear" w:color="auto" w:fill="D2D2D2"/>
          </w:tcPr>
          <w:p>
            <w:pPr/>
          </w:p>
        </w:tc>
        <w:tc>
          <w:tcPr>
            <w:tcW w:w="1276" w:type="dxa"/>
            <w:vMerge/>
            <w:tcBorders>
              <w:left w:val="single" w:sz="4" w:space="0" w:color="000000"/>
              <w:bottom w:val="single" w:sz="18" w:space="0" w:color="FFFFFF"/>
              <w:right w:val="single" w:sz="4" w:space="0" w:color="000000"/>
            </w:tcBorders>
            <w:shd w:val="clear" w:color="auto" w:fill="D2D2D2"/>
          </w:tcPr>
          <w:p>
            <w:pPr/>
          </w:p>
        </w:tc>
        <w:tc>
          <w:tcPr>
            <w:tcW w:w="1134" w:type="dxa"/>
            <w:vMerge/>
            <w:tcBorders>
              <w:left w:val="single" w:sz="4" w:space="0" w:color="000000"/>
              <w:bottom w:val="single" w:sz="18" w:space="0" w:color="FFFFFF"/>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r>
      <w:tr>
        <w:trPr>
          <w:trHeight w:val="119" w:hRule="exact"/>
        </w:trPr>
        <w:tc>
          <w:tcPr>
            <w:tcW w:w="2529" w:type="dxa"/>
            <w:vMerge/>
            <w:tcBorders>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23" w:space="0" w:color="D2D2D2"/>
              <w:right w:val="single" w:sz="9" w:space="0" w:color="D2D2D2"/>
            </w:tcBorders>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FFFFFF"/>
            </w:tcBorders>
            <w:shd w:val="clear" w:color="auto" w:fill="D2D2D2"/>
          </w:tcPr>
          <w:p>
            <w:pPr/>
          </w:p>
        </w:tc>
        <w:tc>
          <w:tcPr>
            <w:tcW w:w="709" w:type="dxa"/>
            <w:vMerge/>
            <w:tcBorders>
              <w:left w:val="single" w:sz="4" w:space="0" w:color="FFFFFF"/>
              <w:bottom w:val="nil" w:sz="6" w:space="0" w:color="auto"/>
              <w:right w:val="single" w:sz="4" w:space="0" w:color="000000"/>
            </w:tcBorders>
            <w:shd w:val="clear" w:color="auto" w:fill="D2D2D2"/>
          </w:tcPr>
          <w:p>
            <w:pPr/>
          </w:p>
        </w:tc>
        <w:tc>
          <w:tcPr>
            <w:tcW w:w="1276" w:type="dxa"/>
            <w:vMerge w:val="restart"/>
            <w:tcBorders>
              <w:top w:val="single" w:sz="18" w:space="0" w:color="FFFFFF"/>
              <w:left w:val="single" w:sz="4" w:space="0" w:color="000000"/>
              <w:right w:val="single" w:sz="4" w:space="0" w:color="000000"/>
            </w:tcBorders>
            <w:shd w:val="clear" w:color="auto" w:fill="D2D2D2"/>
          </w:tcPr>
          <w:p>
            <w:pPr/>
          </w:p>
        </w:tc>
        <w:tc>
          <w:tcPr>
            <w:tcW w:w="1134" w:type="dxa"/>
            <w:vMerge w:val="restart"/>
            <w:tcBorders>
              <w:top w:val="single" w:sz="18" w:space="0" w:color="FFFFFF"/>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r>
      <w:tr>
        <w:trPr>
          <w:trHeight w:val="167"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287"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6" w:type="dxa"/>
            <w:vMerge/>
            <w:tcBorders>
              <w:left w:val="single" w:sz="23" w:space="0" w:color="D2D2D2"/>
              <w:bottom w:val="single" w:sz="51" w:space="0" w:color="D2D2D2"/>
              <w:right w:val="single" w:sz="9" w:space="0" w:color="D2D2D2"/>
            </w:tcBorders>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FFFFFF"/>
            </w:tcBorders>
            <w:shd w:val="clear" w:color="auto" w:fill="D2D2D2"/>
          </w:tcPr>
          <w:p>
            <w:pPr/>
          </w:p>
        </w:tc>
        <w:tc>
          <w:tcPr>
            <w:tcW w:w="709" w:type="dxa"/>
            <w:tcBorders>
              <w:top w:val="nil" w:sz="6" w:space="0" w:color="auto"/>
              <w:left w:val="single" w:sz="4" w:space="0" w:color="FFFFFF"/>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2"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51"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30,170,628.54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1,620,807.96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33,983,597.82</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35,302,789.86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1,620,807.96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36,923,597.82</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4"/>
              <w:ind w:left="1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-5,132,161.32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2,192,161.32</w:t>
            </w: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-2,192,161.32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87"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87"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1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18" w:right="0"/>
              <w:jc w:val="left"/>
              <w:rPr>
                <w:rFonts w:ascii="Times New Roman" w:hAnsi="Times New Roman" w:cs="Times New Roman" w:eastAsia="Times New Roman" w:hint="default"/>
                <w:sz w:val="18"/>
                <w:szCs w:val="18"/>
              </w:rPr>
            </w:pPr>
            <w:r>
              <w:rPr>
                <w:rFonts w:ascii="Times New Roman"/>
                <w:sz w:val="18"/>
              </w:rPr>
              <w:t>196,000,000.00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8" w:right="0"/>
              <w:jc w:val="left"/>
              <w:rPr>
                <w:rFonts w:ascii="Times New Roman" w:hAnsi="Times New Roman" w:cs="Times New Roman" w:eastAsia="Times New Roman" w:hint="default"/>
                <w:sz w:val="18"/>
                <w:szCs w:val="18"/>
              </w:rPr>
            </w:pPr>
            <w:r>
              <w:rPr>
                <w:rFonts w:ascii="Times New Roman"/>
                <w:sz w:val="18"/>
              </w:rPr>
              <w:t>312,243,231.67</w:t>
            </w:r>
          </w:p>
        </w:tc>
        <w:tc>
          <w:tcPr>
            <w:tcW w:w="56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21,847,119.83</w:t>
            </w: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183,138,138.73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5,631,382.28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718,859,872.51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060" w:right="0"/>
        </w:sectPr>
      </w:pPr>
    </w:p>
    <w:p>
      <w:pPr>
        <w:pStyle w:val="Heading3"/>
        <w:spacing w:line="240" w:lineRule="auto" w:before="31"/>
        <w:ind w:left="140" w:right="1424"/>
        <w:jc w:val="left"/>
        <w:rPr>
          <w:b w:val="0"/>
          <w:bCs w:val="0"/>
        </w:rPr>
      </w:pPr>
      <w:r>
        <w:rPr/>
        <w:pict>
          <v:group style="position:absolute;margin-left:70.5pt;margin-top:2.233667pt;width:701pt;height:.1pt;mso-position-horizontal-relative:page;mso-position-vertical-relative:paragraph;z-index:-858592"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201.020004pt;margin-top:472.380005pt;width:68.05pt;height:30.55pt;mso-position-horizontal-relative:page;mso-position-vertical-relative:page;z-index:-858568" coordorigin="4020,9448" coordsize="1361,611">
            <v:group style="position:absolute;left:4020;top:9448;width:1361;height:287" coordorigin="4020,9448" coordsize="1361,287">
              <v:shape style="position:absolute;left:4020;top:9448;width:1361;height:287" coordorigin="4020,9448" coordsize="1361,287" path="m4020,9734l5381,9734,5381,9448,4020,9448,4020,9734xe" filled="true" fillcolor="#ffffff" stroked="false">
                <v:path arrowok="t"/>
                <v:fill type="solid"/>
              </v:shape>
            </v:group>
            <v:group style="position:absolute;left:4020;top:9772;width:1361;height:287" coordorigin="4020,9772" coordsize="1361,287">
              <v:shape style="position:absolute;left:4020;top:9772;width:1361;height:287" coordorigin="4020,9772" coordsize="1361,287" path="m4020,10058l5381,10058,5381,9772,4020,9772,4020,10058xe" filled="true" fillcolor="#ffffff" stroked="false">
                <v:path arrowok="t"/>
                <v:fill type="solid"/>
              </v:shape>
            </v:group>
            <w10:wrap type="none"/>
          </v:group>
        </w:pict>
      </w:r>
      <w:bookmarkStart w:name="8、母公司所有者权益变动表" w:id="159"/>
      <w:bookmarkEnd w:id="15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18"/>
          <w:szCs w:val="18"/>
        </w:rPr>
      </w:pPr>
    </w:p>
    <w:p>
      <w:pPr>
        <w:spacing w:before="44"/>
        <w:ind w:left="140" w:right="142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38"/>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529"/>
        <w:gridCol w:w="174"/>
        <w:gridCol w:w="1255"/>
        <w:gridCol w:w="708"/>
        <w:gridCol w:w="709"/>
        <w:gridCol w:w="851"/>
        <w:gridCol w:w="1276"/>
        <w:gridCol w:w="851"/>
        <w:gridCol w:w="850"/>
        <w:gridCol w:w="852"/>
        <w:gridCol w:w="1274"/>
        <w:gridCol w:w="1276"/>
        <w:gridCol w:w="1418"/>
      </w:tblGrid>
      <w:tr>
        <w:trPr>
          <w:trHeight w:val="318"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9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30"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1"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196,000,000.00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851" w:type="dxa"/>
            <w:tcBorders>
              <w:top w:val="single" w:sz="18" w:space="0" w:color="D2D2D2"/>
              <w:left w:val="single" w:sz="4" w:space="0" w:color="000000"/>
              <w:bottom w:val="single" w:sz="4" w:space="0" w:color="000000"/>
              <w:right w:val="single" w:sz="4" w:space="0" w:color="000000"/>
            </w:tcBorders>
          </w:tcPr>
          <w:p>
            <w:pPr/>
          </w:p>
        </w:tc>
        <w:tc>
          <w:tcPr>
            <w:tcW w:w="850" w:type="dxa"/>
            <w:tcBorders>
              <w:top w:val="single" w:sz="18" w:space="0" w:color="D2D2D2"/>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21,847,119.83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168,204,078.54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698,294,430.04</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196,000,000.00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21,847,119.83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168,204,078.54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698,294,430.04</w:t>
            </w: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774,685,034.00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-302,084,062.69</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2,604,862.01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-39,430,159.18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435,775,674.14</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26,048,620.12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26,048,620.12</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349" w:right="0"/>
              <w:jc w:val="left"/>
              <w:rPr>
                <w:rFonts w:ascii="Times New Roman" w:hAnsi="Times New Roman" w:cs="Times New Roman" w:eastAsia="Times New Roman" w:hint="default"/>
                <w:sz w:val="18"/>
                <w:szCs w:val="18"/>
              </w:rPr>
            </w:pPr>
            <w:r>
              <w:rPr>
                <w:rFonts w:ascii="Times New Roman"/>
                <w:sz w:val="18"/>
              </w:rPr>
              <w:t>24,610,235.00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399,456,484.31</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424,066,719.31</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49" w:right="0"/>
              <w:jc w:val="left"/>
              <w:rPr>
                <w:rFonts w:ascii="Times New Roman" w:hAnsi="Times New Roman" w:cs="Times New Roman" w:eastAsia="Times New Roman" w:hint="default"/>
                <w:sz w:val="18"/>
                <w:szCs w:val="18"/>
              </w:rPr>
            </w:pPr>
            <w:r>
              <w:rPr>
                <w:rFonts w:ascii="Times New Roman"/>
                <w:sz w:val="18"/>
              </w:rPr>
              <w:t>24,610,235.00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399,456,484.31</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424,066,719.31</w:t>
            </w: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349" w:right="0"/>
              <w:jc w:val="left"/>
              <w:rPr>
                <w:rFonts w:ascii="Times New Roman" w:hAnsi="Times New Roman" w:cs="Times New Roman" w:eastAsia="Times New Roman" w:hint="default"/>
                <w:sz w:val="18"/>
                <w:szCs w:val="18"/>
              </w:rPr>
            </w:pPr>
            <w:r>
              <w:rPr>
                <w:rFonts w:ascii="Times New Roman"/>
                <w:sz w:val="18"/>
              </w:rPr>
              <w:t>48,534,252.00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2,604,862.01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-65,478,779.30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-14,339,665.29</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2,604,862.01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-2,604,862.01</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349" w:right="0"/>
              <w:jc w:val="left"/>
              <w:rPr>
                <w:rFonts w:ascii="Times New Roman" w:hAnsi="Times New Roman" w:cs="Times New Roman" w:eastAsia="Times New Roman" w:hint="default"/>
                <w:sz w:val="18"/>
                <w:szCs w:val="18"/>
              </w:rPr>
            </w:pPr>
            <w:r>
              <w:rPr>
                <w:rFonts w:ascii="Times New Roman"/>
                <w:sz w:val="18"/>
              </w:rPr>
              <w:t>48,534,252.00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-62,873,917.29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-14,339,665.29</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701,540,547.00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-701,540,547.00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74"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01" w:right="0"/>
              <w:jc w:val="left"/>
              <w:rPr>
                <w:rFonts w:ascii="Times New Roman" w:hAnsi="Times New Roman" w:cs="Times New Roman" w:eastAsia="Times New Roman" w:hint="default"/>
                <w:sz w:val="18"/>
                <w:szCs w:val="18"/>
              </w:rPr>
            </w:pPr>
            <w:r>
              <w:rPr>
                <w:rFonts w:ascii="Times New Roman"/>
                <w:sz w:val="18"/>
              </w:rPr>
              <w:t>701,540,547.00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-701,540,547.00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gridSpan w:val="2"/>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12"/>
        <w:rPr>
          <w:rFonts w:ascii="宋体" w:hAnsi="宋体" w:cs="宋体" w:eastAsia="宋体" w:hint="default"/>
          <w:sz w:val="2"/>
          <w:szCs w:val="2"/>
        </w:rPr>
      </w:pPr>
      <w:r>
        <w:rPr/>
        <w:pict>
          <v:group style="position:absolute;margin-left:488.859985pt;margin-top:75.030006pt;width:2.8pt;height:28.55pt;mso-position-horizontal-relative:page;mso-position-vertical-relative:page;z-index:-858544" coordorigin="9777,1501" coordsize="56,571">
            <v:group style="position:absolute;left:9789;top:1512;width:2;height:548" coordorigin="9789,1512" coordsize="2,548">
              <v:shape style="position:absolute;left:9789;top:1512;width:2;height:548" coordorigin="9789,1512" coordsize="0,548" path="m9789,1512l9789,2060e" filled="false" stroked="true" strokeweight="1.140pt" strokecolor="#d2d2d2">
                <v:path arrowok="t"/>
              </v:shape>
            </v:group>
            <v:group style="position:absolute;left:9821;top:1512;width:2;height:548" coordorigin="9821,1512" coordsize="2,548">
              <v:shape style="position:absolute;left:9821;top:1512;width:2;height:548" coordorigin="9821,1512" coordsize="0,548" path="m9821,1512l9821,2060e" filled="false" stroked="true" strokeweight="1.140pt" strokecolor="#d2d2d2">
                <v:path arrowok="t"/>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529"/>
        <w:gridCol w:w="1429"/>
        <w:gridCol w:w="708"/>
        <w:gridCol w:w="709"/>
        <w:gridCol w:w="851"/>
        <w:gridCol w:w="1276"/>
        <w:gridCol w:w="851"/>
        <w:gridCol w:w="850"/>
        <w:gridCol w:w="852"/>
        <w:gridCol w:w="1274"/>
        <w:gridCol w:w="1276"/>
        <w:gridCol w:w="1418"/>
      </w:tblGrid>
      <w:tr>
        <w:trPr>
          <w:trHeight w:val="334" w:hRule="exact"/>
        </w:trPr>
        <w:tc>
          <w:tcPr>
            <w:tcW w:w="2529" w:type="dxa"/>
            <w:tcBorders>
              <w:top w:val="single" w:sz="15"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7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30"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2"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22" w:space="0" w:color="D2D2D2"/>
              <w:left w:val="single" w:sz="4" w:space="0" w:color="000000"/>
              <w:bottom w:val="single" w:sz="4" w:space="0" w:color="000000"/>
              <w:right w:val="single" w:sz="4" w:space="0" w:color="000000"/>
            </w:tcBorders>
          </w:tcPr>
          <w:p>
            <w:pPr/>
          </w:p>
        </w:tc>
        <w:tc>
          <w:tcPr>
            <w:tcW w:w="850" w:type="dxa"/>
            <w:tcBorders>
              <w:top w:val="single" w:sz="22" w:space="0" w:color="D2D2D2"/>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970,685,034.00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10,159,168.98</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7" w:right="0"/>
              <w:jc w:val="left"/>
              <w:rPr>
                <w:rFonts w:ascii="Times New Roman" w:hAnsi="Times New Roman" w:cs="Times New Roman" w:eastAsia="Times New Roman" w:hint="default"/>
                <w:sz w:val="18"/>
                <w:szCs w:val="18"/>
              </w:rPr>
            </w:pPr>
            <w:r>
              <w:rPr>
                <w:rFonts w:ascii="Times New Roman"/>
                <w:sz w:val="18"/>
              </w:rPr>
              <w:t>24,451,981.84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8" w:right="0"/>
              <w:jc w:val="left"/>
              <w:rPr>
                <w:rFonts w:ascii="Times New Roman" w:hAnsi="Times New Roman" w:cs="Times New Roman" w:eastAsia="Times New Roman" w:hint="default"/>
                <w:sz w:val="18"/>
                <w:szCs w:val="18"/>
              </w:rPr>
            </w:pPr>
            <w:r>
              <w:rPr>
                <w:rFonts w:ascii="Times New Roman"/>
                <w:sz w:val="18"/>
              </w:rPr>
              <w:t>128,773,919.36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5" w:right="0"/>
              <w:jc w:val="left"/>
              <w:rPr>
                <w:rFonts w:ascii="Times New Roman" w:hAnsi="Times New Roman" w:cs="Times New Roman" w:eastAsia="Times New Roman" w:hint="default"/>
                <w:sz w:val="18"/>
                <w:szCs w:val="18"/>
              </w:rPr>
            </w:pPr>
            <w:r>
              <w:rPr>
                <w:rFonts w:ascii="Times New Roman"/>
                <w:sz w:val="18"/>
              </w:rPr>
              <w:t>1,134,070,104.18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0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38"/>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529"/>
        <w:gridCol w:w="1429"/>
        <w:gridCol w:w="708"/>
        <w:gridCol w:w="709"/>
        <w:gridCol w:w="851"/>
        <w:gridCol w:w="1276"/>
        <w:gridCol w:w="851"/>
        <w:gridCol w:w="850"/>
        <w:gridCol w:w="852"/>
        <w:gridCol w:w="1274"/>
        <w:gridCol w:w="1276"/>
        <w:gridCol w:w="1418"/>
      </w:tblGrid>
      <w:tr>
        <w:trPr>
          <w:trHeight w:val="319" w:hRule="exact"/>
        </w:trPr>
        <w:tc>
          <w:tcPr>
            <w:tcW w:w="2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30"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1"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851" w:type="dxa"/>
            <w:tcBorders>
              <w:top w:val="single" w:sz="18" w:space="0" w:color="D2D2D2"/>
              <w:left w:val="single" w:sz="4" w:space="0" w:color="000000"/>
              <w:bottom w:val="single" w:sz="4" w:space="0" w:color="000000"/>
              <w:right w:val="single" w:sz="4" w:space="0" w:color="000000"/>
            </w:tcBorders>
          </w:tcPr>
          <w:p>
            <w:pPr/>
          </w:p>
        </w:tc>
        <w:tc>
          <w:tcPr>
            <w:tcW w:w="850" w:type="dxa"/>
            <w:tcBorders>
              <w:top w:val="single" w:sz="18" w:space="0" w:color="D2D2D2"/>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19,654,958.51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6" w:right="0"/>
              <w:jc w:val="center"/>
              <w:rPr>
                <w:rFonts w:ascii="Times New Roman" w:hAnsi="Times New Roman" w:cs="Times New Roman" w:eastAsia="Times New Roman" w:hint="default"/>
                <w:sz w:val="18"/>
                <w:szCs w:val="18"/>
              </w:rPr>
            </w:pPr>
            <w:r>
              <w:rPr>
                <w:rFonts w:ascii="Times New Roman"/>
                <w:sz w:val="18"/>
              </w:rPr>
              <w:t>151,414,626.66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679,312,816.84</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19,654,958.51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6" w:right="0"/>
              <w:jc w:val="center"/>
              <w:rPr>
                <w:rFonts w:ascii="Times New Roman" w:hAnsi="Times New Roman" w:cs="Times New Roman" w:eastAsia="Times New Roman" w:hint="default"/>
                <w:sz w:val="18"/>
                <w:szCs w:val="18"/>
              </w:rPr>
            </w:pPr>
            <w:r>
              <w:rPr>
                <w:rFonts w:ascii="Times New Roman"/>
                <w:sz w:val="18"/>
              </w:rPr>
              <w:t>151,414,626.66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679,312,816.84</w:t>
            </w: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p>
          <w:p>
            <w:pPr>
              <w:pStyle w:val="TableParagraph"/>
              <w:spacing w:line="248"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2,192,161.32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16,789,451.88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18,981,613.20</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6" w:right="0"/>
              <w:jc w:val="center"/>
              <w:rPr>
                <w:rFonts w:ascii="Times New Roman" w:hAnsi="Times New Roman" w:cs="Times New Roman" w:eastAsia="Times New Roman" w:hint="default"/>
                <w:sz w:val="18"/>
                <w:szCs w:val="18"/>
              </w:rPr>
            </w:pPr>
            <w:r>
              <w:rPr>
                <w:rFonts w:ascii="Times New Roman"/>
                <w:sz w:val="18"/>
              </w:rPr>
              <w:t>21,921,613.20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21,921,613.20</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1"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40" w:right="0"/>
        </w:sectPr>
      </w:pPr>
    </w:p>
    <w:p>
      <w:pPr>
        <w:spacing w:line="240" w:lineRule="auto" w:before="4"/>
        <w:rPr>
          <w:rFonts w:ascii="Times New Roman" w:hAnsi="Times New Roman" w:cs="Times New Roman" w:eastAsia="Times New Roman" w:hint="default"/>
          <w:sz w:val="3"/>
          <w:szCs w:val="3"/>
        </w:rPr>
      </w:pPr>
      <w:r>
        <w:rPr/>
        <w:pict>
          <v:group style="position:absolute;margin-left:201.020004pt;margin-top:217.580002pt;width:68.05pt;height:30.6pt;mso-position-horizontal-relative:page;mso-position-vertical-relative:page;z-index:-858520" coordorigin="4020,4352" coordsize="1361,612">
            <v:group style="position:absolute;left:4020;top:4352;width:1361;height:287" coordorigin="4020,4352" coordsize="1361,287">
              <v:shape style="position:absolute;left:4020;top:4352;width:1361;height:287" coordorigin="4020,4352" coordsize="1361,287" path="m4020,4638l5381,4638,5381,4352,4020,4352,4020,4638xe" filled="true" fillcolor="#ffffff" stroked="false">
                <v:path arrowok="t"/>
                <v:fill type="solid"/>
              </v:shape>
            </v:group>
            <v:group style="position:absolute;left:4020;top:4676;width:1361;height:288" coordorigin="4020,4676" coordsize="1361,288">
              <v:shape style="position:absolute;left:4020;top:4676;width:1361;height:288" coordorigin="4020,4676" coordsize="1361,288" path="m4020,4963l5381,4963,5381,4676,4020,4676,4020,4963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529"/>
        <w:gridCol w:w="1429"/>
        <w:gridCol w:w="708"/>
        <w:gridCol w:w="709"/>
        <w:gridCol w:w="851"/>
        <w:gridCol w:w="1276"/>
        <w:gridCol w:w="851"/>
        <w:gridCol w:w="850"/>
        <w:gridCol w:w="852"/>
        <w:gridCol w:w="1274"/>
        <w:gridCol w:w="1276"/>
        <w:gridCol w:w="1418"/>
      </w:tblGrid>
      <w:tr>
        <w:trPr>
          <w:trHeight w:val="334" w:hRule="exact"/>
        </w:trPr>
        <w:tc>
          <w:tcPr>
            <w:tcW w:w="2529" w:type="dxa"/>
            <w:tcBorders>
              <w:top w:val="single" w:sz="15" w:space="0" w:color="000000"/>
              <w:left w:val="single" w:sz="4" w:space="0" w:color="000000"/>
              <w:bottom w:val="nil" w:sz="6" w:space="0" w:color="auto"/>
              <w:right w:val="single" w:sz="4" w:space="0" w:color="000000"/>
            </w:tcBorders>
            <w:shd w:val="clear" w:color="auto" w:fill="D2D2D2"/>
          </w:tcPr>
          <w:p>
            <w:pPr/>
          </w:p>
        </w:tc>
        <w:tc>
          <w:tcPr>
            <w:tcW w:w="11494"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72" w:hRule="exact"/>
        </w:trPr>
        <w:tc>
          <w:tcPr>
            <w:tcW w:w="2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8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30"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40" w:right="59"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529"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62" w:hRule="exact"/>
        </w:trPr>
        <w:tc>
          <w:tcPr>
            <w:tcW w:w="2529" w:type="dxa"/>
            <w:vMerge w:val="restart"/>
            <w:tcBorders>
              <w:top w:val="nil" w:sz="6" w:space="0" w:color="auto"/>
              <w:left w:val="single" w:sz="4" w:space="0" w:color="000000"/>
              <w:right w:val="single" w:sz="4" w:space="0" w:color="000000"/>
            </w:tcBorders>
            <w:shd w:val="clear" w:color="auto" w:fill="D2D2D2"/>
          </w:tcPr>
          <w:p>
            <w:pPr/>
          </w:p>
        </w:tc>
        <w:tc>
          <w:tcPr>
            <w:tcW w:w="142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7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8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67" w:hRule="exact"/>
        </w:trPr>
        <w:tc>
          <w:tcPr>
            <w:tcW w:w="2529" w:type="dxa"/>
            <w:vMerge/>
            <w:tcBorders>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22" w:space="0" w:color="D2D2D2"/>
              <w:left w:val="single" w:sz="4" w:space="0" w:color="000000"/>
              <w:bottom w:val="single" w:sz="4" w:space="0" w:color="000000"/>
              <w:right w:val="single" w:sz="4" w:space="0" w:color="000000"/>
            </w:tcBorders>
          </w:tcPr>
          <w:p>
            <w:pPr/>
          </w:p>
        </w:tc>
        <w:tc>
          <w:tcPr>
            <w:tcW w:w="850" w:type="dxa"/>
            <w:tcBorders>
              <w:top w:val="single" w:sz="22" w:space="0" w:color="D2D2D2"/>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2,192,161.32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-5,132,161.32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2,192,161.32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-2,192,161.32</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-2,940,000.00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0"/>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4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29"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196,000,000.00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8" w:right="0"/>
              <w:jc w:val="left"/>
              <w:rPr>
                <w:rFonts w:ascii="Times New Roman" w:hAnsi="Times New Roman" w:cs="Times New Roman" w:eastAsia="Times New Roman" w:hint="default"/>
                <w:sz w:val="18"/>
                <w:szCs w:val="18"/>
              </w:rPr>
            </w:pPr>
            <w:r>
              <w:rPr>
                <w:rFonts w:ascii="Times New Roman"/>
                <w:sz w:val="18"/>
              </w:rPr>
              <w:t>312,243,231.67</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21,847,119.83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168,204,078.54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698,294,430.04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40" w:right="0"/>
        </w:sectPr>
      </w:pPr>
    </w:p>
    <w:p>
      <w:pPr>
        <w:spacing w:line="240" w:lineRule="auto" w:before="2"/>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bookmarkStart w:name="三、公司基本情况" w:id="160"/>
      <w:bookmarkEnd w:id="160"/>
      <w:r>
        <w:rPr>
          <w:b w:val="0"/>
          <w:bCs w:val="0"/>
        </w:rPr>
      </w:r>
      <w:r>
        <w:rPr/>
        <w:t>三、公司基本情况</w:t>
      </w:r>
      <w:r>
        <w:rPr>
          <w:b w:val="0"/>
          <w:bCs w:val="0"/>
        </w:rPr>
      </w:r>
    </w:p>
    <w:p>
      <w:pPr>
        <w:spacing w:line="240" w:lineRule="auto" w:before="7"/>
        <w:rPr>
          <w:rFonts w:ascii="宋体" w:hAnsi="宋体" w:cs="宋体" w:eastAsia="宋体" w:hint="default"/>
          <w:b/>
          <w:bCs/>
          <w:sz w:val="31"/>
          <w:szCs w:val="31"/>
        </w:rPr>
      </w:pPr>
    </w:p>
    <w:p>
      <w:pPr>
        <w:pStyle w:val="BodyText"/>
        <w:spacing w:line="350" w:lineRule="auto"/>
        <w:ind w:left="1553" w:right="1163" w:hanging="420"/>
        <w:jc w:val="left"/>
      </w:pPr>
      <w:r>
        <w:rPr>
          <w:rFonts w:ascii="宋体" w:hAnsi="宋体" w:cs="宋体" w:eastAsia="宋体" w:hint="default"/>
          <w:b/>
          <w:bCs/>
        </w:rPr>
        <w:t>1</w:t>
      </w:r>
      <w:r>
        <w:rPr>
          <w:rFonts w:ascii="宋体" w:hAnsi="宋体" w:cs="宋体" w:eastAsia="宋体" w:hint="default"/>
          <w:b/>
          <w:bCs/>
        </w:rPr>
        <w:t>、公司历史沿革</w:t>
      </w:r>
      <w:r>
        <w:rPr>
          <w:rFonts w:ascii="宋体" w:hAnsi="宋体" w:cs="宋体" w:eastAsia="宋体" w:hint="default"/>
          <w:b/>
          <w:bCs/>
          <w:w w:val="99"/>
        </w:rPr>
        <w:t> </w:t>
      </w:r>
      <w:r>
        <w:rPr/>
        <w:t>蓝盾信息安全技术股份有限公司</w:t>
      </w:r>
      <w:r>
        <w:rPr>
          <w:rFonts w:ascii="Times New Roman" w:hAnsi="Times New Roman" w:cs="Times New Roman" w:eastAsia="Times New Roman" w:hint="default"/>
        </w:rPr>
        <w:t>(</w:t>
      </w:r>
      <w:r>
        <w:rPr/>
        <w:t>以下简称公司</w:t>
      </w:r>
      <w:r>
        <w:rPr>
          <w:rFonts w:ascii="Times New Roman" w:hAnsi="Times New Roman" w:cs="Times New Roman" w:eastAsia="Times New Roman" w:hint="default"/>
        </w:rPr>
        <w:t>)</w:t>
      </w:r>
      <w:r>
        <w:rPr/>
        <w:t>，原名广东天海威数码技术有限公司，于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w:t>
      </w:r>
    </w:p>
    <w:p>
      <w:pPr>
        <w:pStyle w:val="BodyText"/>
        <w:spacing w:line="331" w:lineRule="auto" w:before="2"/>
        <w:ind w:left="1134" w:right="1144"/>
        <w:jc w:val="both"/>
      </w:pPr>
      <w:r>
        <w:rPr>
          <w:rFonts w:ascii="Times New Roman" w:hAnsi="Times New Roman" w:cs="Times New Roman" w:eastAsia="Times New Roman" w:hint="default"/>
        </w:rPr>
        <w:t>29</w:t>
      </w:r>
      <w:r>
        <w:rPr/>
        <w:t>日注册成立，取得广东省工商行政管理局核发的注册号为</w:t>
      </w:r>
      <w:r>
        <w:rPr>
          <w:rFonts w:ascii="Times New Roman" w:hAnsi="Times New Roman" w:cs="Times New Roman" w:eastAsia="Times New Roman" w:hint="default"/>
        </w:rPr>
        <w:t>440000000030094</w:t>
      </w:r>
      <w:r>
        <w:rPr/>
        <w:t>的企业法人营业执照。公司 成立时注册资本和实收资本为人民币</w:t>
      </w:r>
      <w:r>
        <w:rPr>
          <w:rFonts w:ascii="Times New Roman" w:hAnsi="Times New Roman" w:cs="Times New Roman" w:eastAsia="Times New Roman" w:hint="default"/>
        </w:rPr>
        <w:t>100.00</w:t>
      </w:r>
      <w:r>
        <w:rPr/>
        <w:t>万元，其中盘绍基以货币出资</w:t>
      </w:r>
      <w:r>
        <w:rPr>
          <w:rFonts w:ascii="Times New Roman" w:hAnsi="Times New Roman" w:cs="Times New Roman" w:eastAsia="Times New Roman" w:hint="default"/>
        </w:rPr>
        <w:t>60.00</w:t>
      </w:r>
      <w:r>
        <w:rPr/>
        <w:t>万元，持股</w:t>
      </w:r>
      <w:r>
        <w:rPr>
          <w:rFonts w:ascii="Times New Roman" w:hAnsi="Times New Roman" w:cs="Times New Roman" w:eastAsia="Times New Roman" w:hint="default"/>
        </w:rPr>
        <w:t>60%</w:t>
      </w:r>
      <w:r>
        <w:rPr/>
        <w:t>，李根森以 货币出资</w:t>
      </w:r>
      <w:r>
        <w:rPr>
          <w:rFonts w:ascii="Times New Roman" w:hAnsi="Times New Roman" w:cs="Times New Roman" w:eastAsia="Times New Roman" w:hint="default"/>
        </w:rPr>
        <w:t>40.00</w:t>
      </w:r>
      <w:r>
        <w:rPr/>
        <w:t>万元，持股</w:t>
      </w:r>
      <w:r>
        <w:rPr>
          <w:rFonts w:ascii="Times New Roman" w:hAnsi="Times New Roman" w:cs="Times New Roman" w:eastAsia="Times New Roman" w:hint="default"/>
        </w:rPr>
        <w:t>40%</w:t>
      </w:r>
      <w:r>
        <w:rPr/>
        <w:t>。</w:t>
      </w:r>
    </w:p>
    <w:p>
      <w:pPr>
        <w:pStyle w:val="BodyText"/>
        <w:spacing w:line="240" w:lineRule="auto" w:before="20"/>
        <w:ind w:left="1554" w:right="0"/>
        <w:jc w:val="left"/>
      </w:pPr>
      <w:r>
        <w:rPr/>
        <w:t>（</w:t>
      </w:r>
      <w:r>
        <w:rPr>
          <w:rFonts w:ascii="Times New Roman" w:hAnsi="Times New Roman" w:cs="Times New Roman" w:eastAsia="Times New Roman" w:hint="default"/>
        </w:rPr>
        <w:t>1</w:t>
      </w:r>
      <w:r>
        <w:rPr/>
        <w:t>）股份制改制</w:t>
      </w:r>
    </w:p>
    <w:p>
      <w:pPr>
        <w:pStyle w:val="BodyText"/>
        <w:spacing w:line="331" w:lineRule="auto" w:before="109"/>
        <w:ind w:right="1130" w:firstLine="42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16</w:t>
      </w:r>
      <w:r>
        <w:rPr>
          <w:spacing w:val="-1"/>
        </w:rPr>
        <w:t>日，经公司股东会同意，公司以</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日为基准日整体变更为股份有限公司，更名</w:t>
      </w:r>
      <w:r>
        <w:rPr/>
        <w:t> </w:t>
      </w:r>
      <w:r>
        <w:rPr>
          <w:spacing w:val="-1"/>
        </w:rPr>
        <w:t>为蓝盾信息安全技术股份有限公司。改制后公司注册资本为人民币</w:t>
      </w:r>
      <w:r>
        <w:rPr>
          <w:rFonts w:ascii="Times New Roman" w:hAnsi="Times New Roman" w:cs="Times New Roman" w:eastAsia="Times New Roman" w:hint="default"/>
          <w:spacing w:val="-1"/>
        </w:rPr>
        <w:t>6,500.00</w:t>
      </w:r>
      <w:r>
        <w:rPr>
          <w:spacing w:val="-1"/>
        </w:rPr>
        <w:t>万元，股本为人民币</w:t>
      </w:r>
      <w:r>
        <w:rPr>
          <w:rFonts w:ascii="Times New Roman" w:hAnsi="Times New Roman" w:cs="Times New Roman" w:eastAsia="Times New Roman" w:hint="default"/>
          <w:spacing w:val="-1"/>
        </w:rPr>
        <w:t>6,500.00</w:t>
      </w:r>
      <w:r>
        <w:rPr>
          <w:spacing w:val="-1"/>
        </w:rPr>
        <w:t>万</w:t>
      </w:r>
      <w:r>
        <w:rPr>
          <w:spacing w:val="-76"/>
        </w:rPr>
        <w:t> </w:t>
      </w:r>
      <w:r>
        <w:rPr/>
        <w:t>元，业经广东正中珠江会计师事务所有限公司广会所验字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09001820055</w:t>
      </w:r>
      <w:r>
        <w:rPr/>
        <w:t>号验资报告验证确认。</w:t>
      </w:r>
    </w:p>
    <w:p>
      <w:pPr>
        <w:pStyle w:val="BodyText"/>
        <w:spacing w:line="240" w:lineRule="auto" w:before="20"/>
        <w:ind w:left="1553" w:right="0"/>
        <w:jc w:val="left"/>
      </w:pPr>
      <w:r>
        <w:rPr/>
        <w:t>（</w:t>
      </w:r>
      <w:r>
        <w:rPr>
          <w:rFonts w:ascii="Times New Roman" w:hAnsi="Times New Roman" w:cs="Times New Roman" w:eastAsia="Times New Roman" w:hint="default"/>
        </w:rPr>
        <w:t>2</w:t>
      </w:r>
      <w:r>
        <w:rPr/>
        <w:t>）股份制改制后第一次增资</w:t>
      </w:r>
    </w:p>
    <w:p>
      <w:pPr>
        <w:pStyle w:val="BodyText"/>
        <w:spacing w:line="328" w:lineRule="auto" w:before="110"/>
        <w:ind w:right="0" w:firstLine="420"/>
        <w:jc w:val="left"/>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日，根据股东大会决议及修改后公司章程的规定，公司新增股东增资扩股</w:t>
      </w:r>
      <w:r>
        <w:rPr>
          <w:rFonts w:ascii="Times New Roman" w:hAnsi="Times New Roman" w:cs="Times New Roman" w:eastAsia="Times New Roman" w:hint="default"/>
          <w:spacing w:val="-1"/>
        </w:rPr>
        <w:t>850</w:t>
      </w:r>
      <w:r>
        <w:rPr>
          <w:spacing w:val="-1"/>
        </w:rPr>
        <w:t>万元，增加</w:t>
      </w:r>
      <w:r>
        <w:rPr/>
        <w:t> 注册资本人民币</w:t>
      </w:r>
      <w:r>
        <w:rPr>
          <w:rFonts w:ascii="Times New Roman" w:hAnsi="Times New Roman" w:cs="Times New Roman" w:eastAsia="Times New Roman" w:hint="default"/>
        </w:rPr>
        <w:t>850</w:t>
      </w:r>
      <w:r>
        <w:rPr/>
        <w:t>万元。变更后注册资本为人民币</w:t>
      </w:r>
      <w:r>
        <w:rPr>
          <w:rFonts w:ascii="Times New Roman" w:hAnsi="Times New Roman" w:cs="Times New Roman" w:eastAsia="Times New Roman" w:hint="default"/>
        </w:rPr>
        <w:t>7,350.00</w:t>
      </w:r>
      <w:r>
        <w:rPr/>
        <w:t>万元，股本为人民币</w:t>
      </w:r>
      <w:r>
        <w:rPr>
          <w:rFonts w:ascii="Times New Roman" w:hAnsi="Times New Roman" w:cs="Times New Roman" w:eastAsia="Times New Roman" w:hint="default"/>
        </w:rPr>
        <w:t>7,350.00</w:t>
      </w:r>
      <w:r>
        <w:rPr/>
        <w:t>万元，业经广东 正中珠江会计师事务所有限公司广会所验字</w:t>
      </w:r>
      <w:r>
        <w:rPr>
          <w:rFonts w:ascii="Times New Roman" w:hAnsi="Times New Roman" w:cs="Times New Roman" w:eastAsia="Times New Roman" w:hint="default"/>
        </w:rPr>
        <w:t>[2009]09005940018</w:t>
      </w:r>
      <w:r>
        <w:rPr/>
        <w:t>号验资报告验证确认。</w:t>
      </w:r>
    </w:p>
    <w:p>
      <w:pPr>
        <w:pStyle w:val="BodyText"/>
        <w:spacing w:line="240" w:lineRule="auto" w:before="24"/>
        <w:ind w:left="1553" w:right="0"/>
        <w:jc w:val="left"/>
      </w:pPr>
      <w:r>
        <w:rPr/>
        <w:t>（</w:t>
      </w:r>
      <w:r>
        <w:rPr>
          <w:rFonts w:ascii="Times New Roman" w:hAnsi="Times New Roman" w:cs="Times New Roman" w:eastAsia="Times New Roman" w:hint="default"/>
        </w:rPr>
        <w:t>3</w:t>
      </w:r>
      <w:r>
        <w:rPr/>
        <w:t>）公司上市</w:t>
      </w:r>
    </w:p>
    <w:p>
      <w:pPr>
        <w:pStyle w:val="BodyText"/>
        <w:spacing w:line="331" w:lineRule="auto" w:before="109"/>
        <w:ind w:right="1132"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日，公司在深圳证券交易所创业板成功上市，共募集资金人民币</w:t>
      </w:r>
      <w:r>
        <w:rPr>
          <w:rFonts w:ascii="Times New Roman" w:hAnsi="Times New Roman" w:cs="Times New Roman" w:eastAsia="Times New Roman" w:hint="default"/>
        </w:rPr>
        <w:t>392,000,000.00</w:t>
      </w:r>
      <w:r>
        <w:rPr/>
        <w:t>元，扣除 发行费用</w:t>
      </w:r>
      <w:r>
        <w:rPr>
          <w:rFonts w:ascii="Times New Roman" w:hAnsi="Times New Roman" w:cs="Times New Roman" w:eastAsia="Times New Roman" w:hint="default"/>
        </w:rPr>
        <w:t>39,243,336.50</w:t>
      </w:r>
      <w:r>
        <w:rPr/>
        <w:t>元，募集资金净额</w:t>
      </w:r>
      <w:r>
        <w:rPr>
          <w:rFonts w:ascii="Times New Roman" w:hAnsi="Times New Roman" w:cs="Times New Roman" w:eastAsia="Times New Roman" w:hint="default"/>
        </w:rPr>
        <w:t>352,756,663.50</w:t>
      </w:r>
      <w:r>
        <w:rPr/>
        <w:t>元。募集资金转增股本人民币</w:t>
      </w:r>
      <w:r>
        <w:rPr>
          <w:rFonts w:ascii="Times New Roman" w:hAnsi="Times New Roman" w:cs="Times New Roman" w:eastAsia="Times New Roman" w:hint="default"/>
        </w:rPr>
        <w:t>2,450.00</w:t>
      </w:r>
      <w:r>
        <w:rPr/>
        <w:t>万元，其余 </w:t>
      </w:r>
      <w:r>
        <w:rPr>
          <w:spacing w:val="-1"/>
        </w:rPr>
        <w:t>资金计入资本公积。变更后的注册资本为人民币</w:t>
      </w:r>
      <w:r>
        <w:rPr>
          <w:rFonts w:ascii="Times New Roman" w:hAnsi="Times New Roman" w:cs="Times New Roman" w:eastAsia="Times New Roman" w:hint="default"/>
          <w:spacing w:val="-1"/>
        </w:rPr>
        <w:t>9,800.00</w:t>
      </w:r>
      <w:r>
        <w:rPr>
          <w:spacing w:val="-1"/>
        </w:rPr>
        <w:t>万元，股本为人民币</w:t>
      </w:r>
      <w:r>
        <w:rPr>
          <w:rFonts w:ascii="Times New Roman" w:hAnsi="Times New Roman" w:cs="Times New Roman" w:eastAsia="Times New Roman" w:hint="default"/>
          <w:spacing w:val="-1"/>
        </w:rPr>
        <w:t>9,800.00</w:t>
      </w:r>
      <w:r>
        <w:rPr>
          <w:spacing w:val="-1"/>
        </w:rPr>
        <w:t>万元，业经北京永拓</w:t>
      </w:r>
      <w:r>
        <w:rPr>
          <w:spacing w:val="-80"/>
        </w:rPr>
        <w:t> </w:t>
      </w:r>
      <w:r>
        <w:rPr>
          <w:spacing w:val="-80"/>
        </w:rPr>
      </w:r>
      <w:r>
        <w:rPr/>
        <w:t>会计师事务所有限责任公司京永验字（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21001</w:t>
      </w:r>
      <w:r>
        <w:rPr/>
        <w:t>号验资报告验证确认。</w:t>
      </w:r>
    </w:p>
    <w:p>
      <w:pPr>
        <w:pStyle w:val="BodyText"/>
        <w:spacing w:line="240" w:lineRule="auto" w:before="20"/>
        <w:ind w:left="1554" w:right="0"/>
        <w:jc w:val="left"/>
      </w:pPr>
      <w:r>
        <w:rPr/>
        <w:t>（</w:t>
      </w:r>
      <w:r>
        <w:rPr>
          <w:rFonts w:ascii="Times New Roman" w:hAnsi="Times New Roman" w:cs="Times New Roman" w:eastAsia="Times New Roman" w:hint="default"/>
        </w:rPr>
        <w:t>4</w:t>
      </w:r>
      <w:r>
        <w:rPr/>
        <w:t>）第一次资本公积转增股本</w:t>
      </w:r>
    </w:p>
    <w:p>
      <w:pPr>
        <w:pStyle w:val="BodyText"/>
        <w:spacing w:line="331" w:lineRule="auto" w:before="110"/>
        <w:ind w:right="0"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日，根据股东大会决议及修改后章程的规定，公司申请新增注册资本为人民币</w:t>
      </w:r>
      <w:r>
        <w:rPr>
          <w:rFonts w:ascii="Times New Roman" w:hAnsi="Times New Roman" w:cs="Times New Roman" w:eastAsia="Times New Roman" w:hint="default"/>
          <w:spacing w:val="-1"/>
        </w:rPr>
        <w:t>9,800.00</w:t>
      </w:r>
      <w:r>
        <w:rPr>
          <w:spacing w:val="-1"/>
        </w:rPr>
        <w:t>万</w:t>
      </w:r>
      <w:r>
        <w:rPr/>
        <w:t> 元，以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9,800.00</w:t>
      </w:r>
      <w:r>
        <w:rPr/>
        <w:t>万股为基数，以资本公积向股东每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 本</w:t>
      </w:r>
      <w:r>
        <w:rPr>
          <w:rFonts w:ascii="Times New Roman" w:hAnsi="Times New Roman" w:cs="Times New Roman" w:eastAsia="Times New Roman" w:hint="default"/>
        </w:rPr>
        <w:t>9,800.00</w:t>
      </w:r>
      <w:r>
        <w:rPr/>
        <w:t>万股，每股面值</w:t>
      </w:r>
      <w:r>
        <w:rPr>
          <w:rFonts w:ascii="Times New Roman" w:hAnsi="Times New Roman" w:cs="Times New Roman" w:eastAsia="Times New Roman" w:hint="default"/>
        </w:rPr>
        <w:t>1.00</w:t>
      </w:r>
      <w:r>
        <w:rPr/>
        <w:t>元，合计增加股本</w:t>
      </w:r>
      <w:r>
        <w:rPr>
          <w:rFonts w:ascii="Times New Roman" w:hAnsi="Times New Roman" w:cs="Times New Roman" w:eastAsia="Times New Roman" w:hint="default"/>
        </w:rPr>
        <w:t>9,800.00</w:t>
      </w:r>
      <w:r>
        <w:rPr/>
        <w:t>万元，转增股本后公司总股本变更为</w:t>
      </w:r>
      <w:r>
        <w:rPr>
          <w:rFonts w:ascii="Times New Roman" w:hAnsi="Times New Roman" w:cs="Times New Roman" w:eastAsia="Times New Roman" w:hint="default"/>
        </w:rPr>
        <w:t>19,600.00</w:t>
      </w:r>
      <w:r>
        <w:rPr/>
        <w:t>万 元，业经大华会计师事务所（特殊普通合伙）大华验字</w:t>
      </w:r>
      <w:r>
        <w:rPr>
          <w:rFonts w:ascii="Times New Roman" w:hAnsi="Times New Roman" w:cs="Times New Roman" w:eastAsia="Times New Roman" w:hint="default"/>
        </w:rPr>
        <w:t>[2013]000235</w:t>
      </w:r>
      <w:r>
        <w:rPr/>
        <w:t>号验资报告验证确认。</w:t>
      </w:r>
    </w:p>
    <w:p>
      <w:pPr>
        <w:pStyle w:val="BodyText"/>
        <w:spacing w:line="328" w:lineRule="auto" w:before="20"/>
        <w:ind w:left="1554" w:right="0"/>
        <w:jc w:val="left"/>
      </w:pPr>
      <w:r>
        <w:rPr/>
        <w:t>（</w:t>
      </w:r>
      <w:r>
        <w:rPr>
          <w:rFonts w:ascii="Times New Roman" w:hAnsi="Times New Roman" w:cs="Times New Roman" w:eastAsia="Times New Roman" w:hint="default"/>
        </w:rPr>
        <w:t>5</w:t>
      </w:r>
      <w:r>
        <w:rPr/>
        <w:t>）第一次发行股份和支付现金购买资产并募集配套资金 </w:t>
      </w:r>
      <w:r>
        <w:rPr>
          <w:spacing w:val="-1"/>
        </w:rPr>
        <w:t>根据公司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日召开的第二届董事会第二十二次会议、</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19</w:t>
      </w:r>
      <w:r>
        <w:rPr>
          <w:spacing w:val="-1"/>
        </w:rPr>
        <w:t>日召开的</w:t>
      </w:r>
      <w:r>
        <w:rPr>
          <w:rFonts w:ascii="Times New Roman" w:hAnsi="Times New Roman" w:cs="Times New Roman" w:eastAsia="Times New Roman" w:hint="default"/>
          <w:spacing w:val="-1"/>
        </w:rPr>
        <w:t>2014</w:t>
      </w:r>
      <w:r>
        <w:rPr>
          <w:spacing w:val="-1"/>
        </w:rPr>
        <w:t>年第五次</w:t>
      </w:r>
    </w:p>
    <w:p>
      <w:pPr>
        <w:pStyle w:val="BodyText"/>
        <w:spacing w:line="348" w:lineRule="auto" w:before="24"/>
        <w:ind w:right="1132"/>
        <w:jc w:val="both"/>
      </w:pPr>
      <w:r>
        <w:rPr>
          <w:spacing w:val="-1"/>
        </w:rPr>
        <w:t>临时股东大会通过的《蓝盾信息安全技术股份有限公司发行股份及支付现金购买资产并募集配套资金暨关</w:t>
      </w:r>
      <w:r>
        <w:rPr>
          <w:spacing w:val="-81"/>
        </w:rPr>
        <w:t> </w:t>
      </w:r>
      <w:r>
        <w:rPr>
          <w:spacing w:val="-81"/>
        </w:rPr>
      </w:r>
      <w:r>
        <w:rPr/>
        <w:t>联交易报告书（草案）》及修订稿，公司申请非公开发行股票并增加注册资本人民币</w:t>
      </w:r>
      <w:r>
        <w:rPr>
          <w:rFonts w:ascii="Times New Roman" w:hAnsi="Times New Roman" w:cs="Times New Roman" w:eastAsia="Times New Roman" w:hint="default"/>
        </w:rPr>
        <w:t>24,610,235.00</w:t>
      </w:r>
      <w:r>
        <w:rPr/>
        <w:t>元。</w:t>
      </w:r>
    </w:p>
    <w:p>
      <w:pPr>
        <w:pStyle w:val="BodyText"/>
        <w:spacing w:line="331" w:lineRule="auto" w:before="4"/>
        <w:ind w:right="1116" w:firstLine="420"/>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9</w:t>
      </w:r>
      <w:r>
        <w:rPr>
          <w:rFonts w:ascii="Times New Roman" w:hAnsi="Times New Roman" w:cs="Times New Roman" w:eastAsia="Times New Roman" w:hint="default"/>
          <w:spacing w:val="29"/>
        </w:rPr>
        <w:t> </w:t>
      </w:r>
      <w:r>
        <w:rPr/>
        <w:t>日，中国证监会出具《关于核准蓝盾信息安全技术股份有限公司向张远鹏等发行股份购 </w:t>
      </w:r>
      <w:r>
        <w:rPr>
          <w:spacing w:val="-2"/>
        </w:rPr>
        <w:t>买资产并募集配套资金的批复》（证监许可</w:t>
      </w:r>
      <w:r>
        <w:rPr>
          <w:rFonts w:ascii="Times New Roman" w:hAnsi="Times New Roman" w:cs="Times New Roman" w:eastAsia="Times New Roman" w:hint="default"/>
          <w:spacing w:val="-2"/>
        </w:rPr>
        <w:t>[2015]356</w:t>
      </w:r>
      <w:r>
        <w:rPr>
          <w:spacing w:val="-2"/>
        </w:rPr>
        <w:t>号），核准公司发行股份及支付现金购买广州华炜科</w:t>
      </w:r>
      <w:r>
        <w:rPr>
          <w:spacing w:val="-62"/>
        </w:rPr>
        <w:t> </w:t>
      </w:r>
      <w:r>
        <w:rPr>
          <w:spacing w:val="-62"/>
        </w:rPr>
      </w:r>
      <w:r>
        <w:rPr/>
        <w:t>技股份有限公司</w:t>
      </w:r>
      <w:r>
        <w:rPr>
          <w:rFonts w:ascii="Times New Roman" w:hAnsi="Times New Roman" w:cs="Times New Roman" w:eastAsia="Times New Roman" w:hint="default"/>
        </w:rPr>
        <w:t>100.00%</w:t>
      </w:r>
      <w:r>
        <w:rPr/>
        <w:t>股权并募集配套资金，公司本次合计发行</w:t>
      </w:r>
      <w:r>
        <w:rPr>
          <w:rFonts w:ascii="Times New Roman" w:hAnsi="Times New Roman" w:cs="Times New Roman" w:eastAsia="Times New Roman" w:hint="default"/>
        </w:rPr>
        <w:t>24,610,235</w:t>
      </w:r>
      <w:r>
        <w:rPr>
          <w:rFonts w:ascii="Times New Roman" w:hAnsi="Times New Roman" w:cs="Times New Roman" w:eastAsia="Times New Roman" w:hint="default"/>
          <w:spacing w:val="31"/>
        </w:rPr>
        <w:t> </w:t>
      </w:r>
      <w:r>
        <w:rPr/>
        <w:t>股，公司总股本增加至 </w:t>
      </w:r>
      <w:r>
        <w:rPr>
          <w:rFonts w:ascii="Times New Roman" w:hAnsi="Times New Roman" w:cs="Times New Roman" w:eastAsia="Times New Roman" w:hint="default"/>
        </w:rPr>
        <w:t>220,610,235</w:t>
      </w:r>
      <w:r>
        <w:rPr/>
        <w:t>股。以上新增股本业经大华会计师事务所（特殊普通合伙）审验并出具大华验字</w:t>
      </w:r>
      <w:r>
        <w:rPr>
          <w:rFonts w:ascii="Times New Roman" w:hAnsi="Times New Roman" w:cs="Times New Roman" w:eastAsia="Times New Roman" w:hint="default"/>
        </w:rPr>
        <w:t>[2015]000201 </w:t>
      </w:r>
      <w:r>
        <w:rPr/>
        <w:t>号验资报告确认。</w:t>
      </w:r>
    </w:p>
    <w:p>
      <w:pPr>
        <w:pStyle w:val="BodyText"/>
        <w:spacing w:line="240" w:lineRule="auto" w:before="45"/>
        <w:ind w:left="1553" w:right="0"/>
        <w:jc w:val="left"/>
      </w:pPr>
      <w:r>
        <w:rPr/>
        <w:t>（</w:t>
      </w:r>
      <w:r>
        <w:rPr>
          <w:rFonts w:ascii="Times New Roman" w:hAnsi="Times New Roman" w:cs="Times New Roman" w:eastAsia="Times New Roman" w:hint="default"/>
        </w:rPr>
        <w:t>6</w:t>
      </w:r>
      <w:r>
        <w:rPr/>
        <w:t>）第二次资本公积转增股本</w:t>
      </w:r>
    </w:p>
    <w:p>
      <w:pPr>
        <w:spacing w:after="0" w:line="240" w:lineRule="auto"/>
        <w:jc w:val="left"/>
        <w:sectPr>
          <w:headerReference w:type="default" r:id="rId30"/>
          <w:footerReference w:type="default" r:id="rId31"/>
          <w:pgSz w:w="11910" w:h="16840"/>
          <w:pgMar w:header="877" w:footer="979" w:top="1100" w:bottom="1160" w:left="0" w:right="0"/>
          <w:pgNumType w:start="85"/>
        </w:sectPr>
      </w:pPr>
    </w:p>
    <w:p>
      <w:pPr>
        <w:spacing w:line="240" w:lineRule="auto" w:before="7"/>
        <w:rPr>
          <w:rFonts w:ascii="宋体" w:hAnsi="宋体" w:cs="宋体" w:eastAsia="宋体" w:hint="default"/>
          <w:sz w:val="27"/>
          <w:szCs w:val="27"/>
        </w:rPr>
      </w:pPr>
    </w:p>
    <w:p>
      <w:pPr>
        <w:pStyle w:val="BodyText"/>
        <w:spacing w:line="331" w:lineRule="auto" w:before="35"/>
        <w:ind w:right="1150" w:firstLine="420"/>
        <w:jc w:val="both"/>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15 </w:t>
      </w:r>
      <w:r>
        <w:rPr/>
        <w:t>日公司召开</w:t>
      </w:r>
      <w:r>
        <w:rPr>
          <w:rFonts w:ascii="Times New Roman" w:hAnsi="Times New Roman" w:cs="Times New Roman" w:eastAsia="Times New Roman" w:hint="default"/>
        </w:rPr>
        <w:t>2014 </w:t>
      </w:r>
      <w:r>
        <w:rPr/>
        <w:t>年度股东大会，审议通过了《公司</w:t>
      </w:r>
      <w:r>
        <w:rPr>
          <w:rFonts w:ascii="Times New Roman" w:hAnsi="Times New Roman" w:cs="Times New Roman" w:eastAsia="Times New Roman" w:hint="default"/>
        </w:rPr>
        <w:t>2014</w:t>
      </w:r>
      <w:r>
        <w:rPr>
          <w:rFonts w:ascii="Times New Roman" w:hAnsi="Times New Roman" w:cs="Times New Roman" w:eastAsia="Times New Roman" w:hint="default"/>
          <w:spacing w:val="51"/>
        </w:rPr>
        <w:t> </w:t>
      </w:r>
      <w:r>
        <w:rPr/>
        <w:t>年年度利润分配预案》，以 公司分红前总股本</w:t>
      </w:r>
      <w:r>
        <w:rPr>
          <w:rFonts w:ascii="Times New Roman" w:hAnsi="Times New Roman" w:cs="Times New Roman" w:eastAsia="Times New Roman" w:hint="default"/>
        </w:rPr>
        <w:t>220,610,235 </w:t>
      </w:r>
      <w:r>
        <w:rPr/>
        <w:t>股为基数，向全体股东每</w:t>
      </w:r>
      <w:r>
        <w:rPr>
          <w:rFonts w:ascii="Times New Roman" w:hAnsi="Times New Roman" w:cs="Times New Roman" w:eastAsia="Times New Roman" w:hint="default"/>
        </w:rPr>
        <w:t>10 </w:t>
      </w:r>
      <w:r>
        <w:rPr/>
        <w:t>股派现金股利</w:t>
      </w:r>
      <w:r>
        <w:rPr>
          <w:rFonts w:ascii="Times New Roman" w:hAnsi="Times New Roman" w:cs="Times New Roman" w:eastAsia="Times New Roman" w:hint="default"/>
        </w:rPr>
        <w:t>0.1</w:t>
      </w:r>
      <w:r>
        <w:rPr>
          <w:rFonts w:ascii="Times New Roman" w:hAnsi="Times New Roman" w:cs="Times New Roman" w:eastAsia="Times New Roman" w:hint="default"/>
          <w:spacing w:val="-14"/>
        </w:rPr>
        <w:t> </w:t>
      </w:r>
      <w:r>
        <w:rPr/>
        <w:t>元人民币（含税），同时， 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  </w:t>
      </w:r>
      <w:r>
        <w:rPr/>
        <w:t>股。本次利润分配方案实施后，公司总股本变更为</w:t>
      </w:r>
      <w:r>
        <w:rPr>
          <w:rFonts w:ascii="Times New Roman" w:hAnsi="Times New Roman" w:cs="Times New Roman" w:eastAsia="Times New Roman" w:hint="default"/>
        </w:rPr>
        <w:t>485,342,517</w:t>
      </w:r>
      <w:r>
        <w:rPr>
          <w:rFonts w:ascii="Times New Roman" w:hAnsi="Times New Roman" w:cs="Times New Roman" w:eastAsia="Times New Roman" w:hint="default"/>
          <w:spacing w:val="7"/>
        </w:rPr>
        <w:t> </w:t>
      </w:r>
      <w:r>
        <w:rPr/>
        <w:t>股。</w:t>
      </w:r>
    </w:p>
    <w:p>
      <w:pPr>
        <w:pStyle w:val="BodyText"/>
        <w:spacing w:line="240" w:lineRule="auto" w:before="21"/>
        <w:ind w:left="1554" w:right="0"/>
        <w:jc w:val="left"/>
      </w:pPr>
      <w:r>
        <w:rPr/>
        <w:t>（</w:t>
      </w:r>
      <w:r>
        <w:rPr>
          <w:rFonts w:ascii="Times New Roman" w:hAnsi="Times New Roman" w:cs="Times New Roman" w:eastAsia="Times New Roman" w:hint="default"/>
        </w:rPr>
        <w:t>7</w:t>
      </w:r>
      <w:r>
        <w:rPr/>
        <w:t>）第三次资本公积转增股本</w:t>
      </w:r>
    </w:p>
    <w:p>
      <w:pPr>
        <w:pStyle w:val="BodyText"/>
        <w:spacing w:line="331" w:lineRule="auto" w:before="109"/>
        <w:ind w:right="0" w:firstLine="420"/>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2015</w:t>
      </w:r>
      <w:r>
        <w:rPr/>
        <w:t>年第三次临时股东大会，审议通过了《关于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年半年度利润分 </w:t>
      </w:r>
      <w:r>
        <w:rPr>
          <w:spacing w:val="-1"/>
        </w:rPr>
        <w:t>配预案</w:t>
      </w:r>
      <w:r>
        <w:rPr>
          <w:rFonts w:ascii="Times New Roman" w:hAnsi="Times New Roman" w:cs="Times New Roman" w:eastAsia="Times New Roman" w:hint="default"/>
          <w:spacing w:val="-1"/>
        </w:rPr>
        <w:t>&gt;</w:t>
      </w:r>
      <w:r>
        <w:rPr>
          <w:spacing w:val="-1"/>
        </w:rPr>
        <w:t>的议案》，以截至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日公司总股本</w:t>
      </w:r>
      <w:r>
        <w:rPr>
          <w:rFonts w:ascii="Times New Roman" w:hAnsi="Times New Roman" w:cs="Times New Roman" w:eastAsia="Times New Roman" w:hint="default"/>
          <w:spacing w:val="-1"/>
        </w:rPr>
        <w:t>485,342,517</w:t>
      </w:r>
      <w:r>
        <w:rPr>
          <w:spacing w:val="-1"/>
        </w:rPr>
        <w:t>股为基数，向全体股东每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1</w:t>
      </w:r>
      <w:r>
        <w:rPr>
          <w:spacing w:val="-1"/>
        </w:rPr>
        <w:t>股，</w:t>
      </w:r>
      <w:r>
        <w:rPr>
          <w:spacing w:val="-92"/>
        </w:rPr>
        <w:t> </w:t>
      </w:r>
      <w:r>
        <w:rPr/>
        <w:t>派发现金红利</w:t>
      </w:r>
      <w:r>
        <w:rPr>
          <w:rFonts w:ascii="Times New Roman" w:hAnsi="Times New Roman" w:cs="Times New Roman" w:eastAsia="Times New Roman" w:hint="default"/>
        </w:rPr>
        <w:t>0.25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股，公司送股及转增股本 </w:t>
      </w:r>
      <w:r>
        <w:rPr>
          <w:rFonts w:ascii="Times New Roman" w:hAnsi="Times New Roman" w:cs="Times New Roman" w:eastAsia="Times New Roman" w:hint="default"/>
        </w:rPr>
        <w:t>485,342,517</w:t>
      </w:r>
      <w:r>
        <w:rPr/>
        <w:t>股。以上送股及转增方案实施后，公司总股本将增加至</w:t>
      </w:r>
      <w:r>
        <w:rPr>
          <w:spacing w:val="-26"/>
        </w:rPr>
        <w:t> </w:t>
      </w:r>
      <w:r>
        <w:rPr>
          <w:rFonts w:ascii="Times New Roman" w:hAnsi="Times New Roman" w:cs="Times New Roman" w:eastAsia="Times New Roman" w:hint="default"/>
        </w:rPr>
        <w:t>970,685,034</w:t>
      </w:r>
      <w:r>
        <w:rPr/>
        <w:t>股。</w:t>
      </w:r>
    </w:p>
    <w:p>
      <w:pPr>
        <w:pStyle w:val="BodyText"/>
        <w:spacing w:line="429" w:lineRule="auto" w:before="21"/>
        <w:ind w:right="4243" w:firstLine="420"/>
        <w:jc w:val="left"/>
        <w:rPr>
          <w:rFonts w:ascii="宋体" w:hAnsi="宋体" w:cs="宋体" w:eastAsia="宋体" w:hint="default"/>
        </w:rPr>
      </w:pPr>
      <w:r>
        <w:rPr/>
        <w:t>公司法定代表人为柯宗贵，注册地址为广州市天河区天慧路</w:t>
      </w:r>
      <w:r>
        <w:rPr>
          <w:rFonts w:ascii="Times New Roman" w:hAnsi="Times New Roman" w:cs="Times New Roman" w:eastAsia="Times New Roman" w:hint="default"/>
        </w:rPr>
        <w:t>16</w:t>
      </w:r>
      <w:r>
        <w:rPr/>
        <w:t>号。 </w:t>
      </w:r>
      <w:r>
        <w:rPr>
          <w:rFonts w:ascii="宋体" w:hAnsi="宋体" w:cs="宋体" w:eastAsia="宋体" w:hint="default"/>
          <w:b/>
          <w:bCs/>
        </w:rPr>
        <w:t>2</w:t>
      </w:r>
      <w:r>
        <w:rPr>
          <w:rFonts w:ascii="宋体" w:hAnsi="宋体" w:cs="宋体" w:eastAsia="宋体" w:hint="default"/>
          <w:b/>
          <w:bCs/>
        </w:rPr>
        <w:t>、行业性质</w:t>
      </w:r>
      <w:r>
        <w:rPr>
          <w:rFonts w:ascii="宋体" w:hAnsi="宋体" w:cs="宋体" w:eastAsia="宋体" w:hint="default"/>
        </w:rPr>
      </w:r>
    </w:p>
    <w:p>
      <w:pPr>
        <w:pStyle w:val="BodyText"/>
        <w:spacing w:line="234" w:lineRule="exact"/>
        <w:ind w:left="1553" w:right="0"/>
        <w:jc w:val="left"/>
      </w:pPr>
      <w:r>
        <w:rPr/>
        <w:t>公司属信息技术业。</w:t>
      </w:r>
    </w:p>
    <w:p>
      <w:pPr>
        <w:spacing w:line="240" w:lineRule="auto" w:before="10"/>
        <w:rPr>
          <w:rFonts w:ascii="宋体" w:hAnsi="宋体" w:cs="宋体" w:eastAsia="宋体" w:hint="default"/>
          <w:sz w:val="18"/>
          <w:szCs w:val="18"/>
        </w:rPr>
      </w:pPr>
    </w:p>
    <w:p>
      <w:pPr>
        <w:pStyle w:val="Heading3"/>
        <w:spacing w:line="240" w:lineRule="auto"/>
        <w:ind w:left="1133" w:right="0"/>
        <w:jc w:val="left"/>
        <w:rPr>
          <w:b w:val="0"/>
          <w:bCs w:val="0"/>
        </w:rPr>
      </w:pPr>
      <w:r>
        <w:rPr>
          <w:rFonts w:ascii="宋体" w:hAnsi="宋体" w:cs="宋体" w:eastAsia="宋体" w:hint="default"/>
        </w:rPr>
        <w:t>3</w:t>
      </w:r>
      <w:r>
        <w:rPr/>
        <w:t>、经营范围</w:t>
      </w:r>
      <w:r>
        <w:rPr>
          <w:b w:val="0"/>
          <w:bCs w:val="0"/>
        </w:rPr>
      </w:r>
    </w:p>
    <w:p>
      <w:pPr>
        <w:pStyle w:val="BodyText"/>
        <w:spacing w:line="350" w:lineRule="auto" w:before="124"/>
        <w:ind w:right="1024" w:firstLine="420"/>
        <w:jc w:val="left"/>
      </w:pPr>
      <w:r>
        <w:rPr/>
        <w:t>计算机软、硬件开发，计算机信息系统集成、布线，承接网络工程建设项目，信息技术、数码技术开 </w:t>
      </w:r>
      <w:r>
        <w:rPr>
          <w:spacing w:val="-3"/>
        </w:rPr>
        <w:t>发、服务，计算机网络技术服务，网络安全信息咨询；销售：计算机及其配套设备，文化用品，电子产品、</w:t>
      </w:r>
      <w:r>
        <w:rPr>
          <w:spacing w:val="-97"/>
        </w:rPr>
        <w:t> </w:t>
      </w:r>
      <w:r>
        <w:rPr>
          <w:spacing w:val="-97"/>
        </w:rPr>
      </w:r>
      <w:r>
        <w:rPr/>
        <w:t>广播电视设备（不含卫星电视广播地面接收设备、发射设施）；信息服务业务（仅限广东省内互联网信息</w:t>
      </w:r>
      <w:r>
        <w:rPr/>
        <w:t> 服务业务，不含新闻、出版、教育、医疗保健、药品、医疗器械、电子公告以及其他按法律、法规规定需 前置审批或专项审批的服务项目，按有效许可证经营）；第二类增值电信业务中的信息服务业务（不含固 定网电话信息服务和互联网信息服务，按有效许可证经营）。</w:t>
      </w:r>
    </w:p>
    <w:p>
      <w:pPr>
        <w:spacing w:line="348" w:lineRule="auto" w:before="148"/>
        <w:ind w:left="1554" w:right="5922"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、主要产品、劳务</w:t>
      </w:r>
      <w:r>
        <w:rPr>
          <w:rFonts w:ascii="宋体" w:hAnsi="宋体" w:cs="宋体" w:eastAsia="宋体" w:hint="default"/>
          <w:b/>
          <w:bCs/>
          <w:w w:val="99"/>
          <w:sz w:val="21"/>
          <w:szCs w:val="21"/>
        </w:rPr>
        <w:t> </w:t>
      </w:r>
      <w:r>
        <w:rPr>
          <w:rFonts w:ascii="宋体" w:hAnsi="宋体" w:cs="宋体" w:eastAsia="宋体" w:hint="default"/>
          <w:sz w:val="21"/>
          <w:szCs w:val="21"/>
        </w:rPr>
        <w:t>公司的业务主要涉及信息安全领域，主要包括：</w:t>
      </w:r>
    </w:p>
    <w:p>
      <w:pPr>
        <w:pStyle w:val="BodyText"/>
        <w:spacing w:line="338" w:lineRule="auto" w:before="31"/>
        <w:ind w:left="1134" w:right="1120" w:firstLine="420"/>
        <w:jc w:val="left"/>
      </w:pPr>
      <w:r>
        <w:rPr/>
        <w:t>（</w:t>
      </w:r>
      <w:r>
        <w:rPr>
          <w:rFonts w:ascii="Times New Roman" w:hAnsi="Times New Roman" w:cs="Times New Roman" w:eastAsia="Times New Roman" w:hint="default"/>
        </w:rPr>
        <w:t>1</w:t>
      </w:r>
      <w:r>
        <w:rPr/>
        <w:t>）安全产品：应用于计算机网络环境中，能够针对网络和系统提供保护和控制，保证网络和系统 </w:t>
      </w:r>
      <w:r>
        <w:rPr>
          <w:spacing w:val="-1"/>
        </w:rPr>
        <w:t>的完整性、可用性的产品。包括防火墙、入侵检测系统、安全扫描系统、安全审计等自行研发的信息安全</w:t>
      </w:r>
      <w:r>
        <w:rPr>
          <w:spacing w:val="-82"/>
        </w:rPr>
        <w:t> </w:t>
      </w:r>
      <w:r>
        <w:rPr>
          <w:spacing w:val="-82"/>
        </w:rPr>
      </w:r>
      <w:r>
        <w:rPr/>
        <w:t>产品。</w:t>
      </w:r>
    </w:p>
    <w:p>
      <w:pPr>
        <w:pStyle w:val="BodyText"/>
        <w:spacing w:line="328" w:lineRule="auto" w:before="40"/>
        <w:ind w:left="1134" w:right="1197" w:firstLine="420"/>
        <w:jc w:val="left"/>
      </w:pPr>
      <w:r>
        <w:rPr/>
        <w:t>（</w:t>
      </w:r>
      <w:r>
        <w:rPr>
          <w:rFonts w:ascii="Times New Roman" w:hAnsi="Times New Roman" w:cs="Times New Roman" w:eastAsia="Times New Roman" w:hint="default"/>
        </w:rPr>
        <w:t>2</w:t>
      </w:r>
      <w:r>
        <w:rPr/>
        <w:t>）安全集成：基于客户个性化需求，设置或组建信息安全系统。安全集成所需的安全产品及其配 套组件或产品可由公司提供或向第三方采购，安全集成需要较长的安装与测试过程。</w:t>
      </w:r>
    </w:p>
    <w:p>
      <w:pPr>
        <w:pStyle w:val="BodyText"/>
        <w:spacing w:line="240" w:lineRule="auto" w:before="47"/>
        <w:ind w:left="1553" w:right="0"/>
        <w:jc w:val="left"/>
      </w:pPr>
      <w:r>
        <w:rPr/>
        <w:t>（</w:t>
      </w:r>
      <w:r>
        <w:rPr>
          <w:rFonts w:ascii="Times New Roman" w:hAnsi="Times New Roman" w:cs="Times New Roman" w:eastAsia="Times New Roman" w:hint="default"/>
        </w:rPr>
        <w:t>3</w:t>
      </w:r>
      <w:r>
        <w:rPr/>
        <w:t>）安全服务：安全服务指为客户提供的信息安全培训、信息安全等级测评等服务。</w:t>
      </w:r>
    </w:p>
    <w:p>
      <w:pPr>
        <w:pStyle w:val="BodyText"/>
        <w:spacing w:line="338" w:lineRule="auto" w:before="110"/>
        <w:ind w:left="1134" w:right="0" w:firstLine="420"/>
        <w:jc w:val="left"/>
      </w:pPr>
      <w:r>
        <w:rPr/>
        <w:t>（</w:t>
      </w:r>
      <w:r>
        <w:rPr>
          <w:rFonts w:ascii="Times New Roman" w:hAnsi="Times New Roman" w:cs="Times New Roman" w:eastAsia="Times New Roman" w:hint="default"/>
        </w:rPr>
        <w:t>4</w:t>
      </w:r>
      <w:r>
        <w:rPr/>
        <w:t>）电磁安防产品：由通用电磁防护产品和专业特种电磁防护产品构成。通用电磁防护产品主要针 </w:t>
      </w:r>
      <w:r>
        <w:rPr>
          <w:spacing w:val="-1"/>
        </w:rPr>
        <w:t>对民用领域，在广州华炜业务板块中占比较低；广州华炜主要专注于为如军工及航空航天、轨道交通、通</w:t>
      </w:r>
      <w:r>
        <w:rPr>
          <w:spacing w:val="-85"/>
        </w:rPr>
        <w:t> </w:t>
      </w:r>
      <w:r>
        <w:rPr>
          <w:spacing w:val="-85"/>
        </w:rPr>
      </w:r>
      <w:r>
        <w:rPr/>
        <w:t>信系统等专业特种业领域的特殊应用而开发的定制产品。</w:t>
      </w:r>
    </w:p>
    <w:p>
      <w:pPr>
        <w:pStyle w:val="BodyText"/>
        <w:spacing w:line="240" w:lineRule="auto" w:before="40"/>
        <w:ind w:left="1554" w:right="0"/>
        <w:jc w:val="left"/>
      </w:pPr>
      <w:r>
        <w:rPr/>
        <w:t>（</w:t>
      </w:r>
      <w:r>
        <w:rPr>
          <w:rFonts w:ascii="Times New Roman" w:hAnsi="Times New Roman" w:cs="Times New Roman" w:eastAsia="Times New Roman" w:hint="default"/>
        </w:rPr>
        <w:t>5</w:t>
      </w:r>
      <w:r>
        <w:rPr/>
        <w:t>）电磁安防工程：根据专业电磁安防整体解决方案，进行工程施工。</w:t>
      </w:r>
    </w:p>
    <w:p>
      <w:pPr>
        <w:pStyle w:val="BodyText"/>
        <w:spacing w:line="328" w:lineRule="auto" w:before="109"/>
        <w:ind w:left="1134" w:right="1197" w:firstLine="420"/>
        <w:jc w:val="left"/>
      </w:pPr>
      <w:r>
        <w:rPr/>
        <w:t>（</w:t>
      </w:r>
      <w:r>
        <w:rPr>
          <w:rFonts w:ascii="Times New Roman" w:hAnsi="Times New Roman" w:cs="Times New Roman" w:eastAsia="Times New Roman" w:hint="default"/>
        </w:rPr>
        <w:t>6</w:t>
      </w:r>
      <w:r>
        <w:rPr/>
        <w:t>）电磁安防服务：根据专业特种行业领域内客户的特点、个性化需求和特殊应用环境，既提供特 种产品定制，又提供特种工程服务，提供一揽子的电磁安防整体解决方案。</w:t>
      </w:r>
    </w:p>
    <w:p>
      <w:pPr>
        <w:pStyle w:val="Heading3"/>
        <w:spacing w:line="240" w:lineRule="auto" w:before="168"/>
        <w:ind w:left="1133" w:right="0"/>
        <w:jc w:val="left"/>
        <w:rPr>
          <w:b w:val="0"/>
          <w:bCs w:val="0"/>
        </w:rPr>
      </w:pPr>
      <w:r>
        <w:rPr>
          <w:rFonts w:ascii="宋体" w:hAnsi="宋体" w:cs="宋体" w:eastAsia="宋体" w:hint="default"/>
        </w:rPr>
        <w:t>5</w:t>
      </w:r>
      <w:r>
        <w:rPr/>
        <w:t>、财务报表的批准报出</w:t>
      </w:r>
      <w:r>
        <w:rPr>
          <w:b w:val="0"/>
          <w:bCs w:val="0"/>
        </w:rPr>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b/>
          <w:bCs/>
          <w:sz w:val="27"/>
          <w:szCs w:val="27"/>
        </w:rPr>
      </w:pPr>
    </w:p>
    <w:p>
      <w:pPr>
        <w:pStyle w:val="BodyText"/>
        <w:spacing w:line="362" w:lineRule="auto" w:before="35"/>
        <w:ind w:left="1553" w:right="4453"/>
        <w:jc w:val="left"/>
      </w:pPr>
      <w:r>
        <w:rPr/>
        <w:pict>
          <v:shape style="position:absolute;margin-left:56.34pt;margin-top:41.973698pt;width:470.7pt;height:349.25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97"/>
                    <w:gridCol w:w="3296"/>
                  </w:tblGrid>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60%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广东省南方信息技术行业研究院</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75%</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西安市中盾信息安全技术有限公司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50%</w:t>
                        </w:r>
                      </w:p>
                    </w:tc>
                  </w:tr>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r>
                    <w:trPr>
                      <w:trHeight w:val="348"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68%</w:t>
                        </w:r>
                      </w:p>
                    </w:tc>
                  </w:tr>
                  <w:tr>
                    <w:trPr>
                      <w:trHeight w:val="349" w:hRule="exact"/>
                    </w:trPr>
                    <w:tc>
                      <w:tcPr>
                        <w:tcW w:w="6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3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日批准报出。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31" w:lineRule="auto"/>
        <w:ind w:left="1134" w:right="1130" w:firstLine="420"/>
        <w:jc w:val="both"/>
      </w:pPr>
      <w:r>
        <w:rPr>
          <w:spacing w:val="2"/>
        </w:rPr>
        <w:t>与上期相比本期新增合并单位为</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-2015</w:t>
      </w:r>
      <w:r>
        <w:rPr>
          <w:spacing w:val="2"/>
        </w:rPr>
        <w:t>年公司实施的重组并购之标的公司广州华炜科技有限公</w:t>
      </w:r>
      <w:r>
        <w:rPr/>
        <w:t> </w:t>
      </w:r>
      <w:r>
        <w:rPr>
          <w:spacing w:val="-1"/>
        </w:rPr>
        <w:t>司及其四家控股子公司；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月投资设立的控股子公司广东蓝盾新微安全科技有限公司，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月投</w:t>
      </w:r>
      <w:r>
        <w:rPr>
          <w:spacing w:val="-78"/>
        </w:rPr>
        <w:t> </w:t>
      </w:r>
      <w:r>
        <w:rPr/>
        <w:t>资设立的全资子公司北京京穗蓝盾信息安全技术有限公司，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月投资设立的全资子公司广西蓝盾信</w:t>
      </w:r>
      <w:r>
        <w:rPr>
          <w:spacing w:val="-29"/>
        </w:rPr>
        <w:t> </w:t>
      </w:r>
      <w:r>
        <w:rPr>
          <w:spacing w:val="-29"/>
        </w:rPr>
      </w:r>
      <w:r>
        <w:rPr>
          <w:spacing w:val="-1"/>
        </w:rPr>
        <w:t>息安全技术有限公司，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月投资设立的全资子公司深圳中科蓝盾信息安全技有限公司，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月投</w:t>
      </w:r>
      <w:r>
        <w:rPr>
          <w:spacing w:val="-77"/>
        </w:rPr>
        <w:t> </w:t>
      </w:r>
      <w:r>
        <w:rPr>
          <w:spacing w:val="-1"/>
        </w:rPr>
        <w:t>资设立的全资子公司西安市中盾信息安全技术有限公司，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月投资设立的控股子公司广东汇青信息</w:t>
      </w:r>
      <w:r>
        <w:rPr>
          <w:spacing w:val="-81"/>
        </w:rPr>
        <w:t> </w:t>
      </w:r>
      <w:r>
        <w:rPr>
          <w:spacing w:val="-81"/>
        </w:rPr>
      </w:r>
      <w:r>
        <w:rPr/>
        <w:t>科技有限公司，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月投资设立的全资孙公司广州华炜测控技术有限公司。</w:t>
      </w:r>
    </w:p>
    <w:p>
      <w:pPr>
        <w:spacing w:line="240" w:lineRule="auto" w:before="10"/>
        <w:rPr>
          <w:rFonts w:ascii="宋体" w:hAnsi="宋体" w:cs="宋体" w:eastAsia="宋体" w:hint="default"/>
          <w:sz w:val="15"/>
          <w:szCs w:val="15"/>
        </w:rPr>
      </w:pPr>
    </w:p>
    <w:p>
      <w:pPr>
        <w:pStyle w:val="Heading2"/>
        <w:spacing w:line="240" w:lineRule="auto"/>
        <w:ind w:left="1134" w:right="0"/>
        <w:jc w:val="left"/>
        <w:rPr>
          <w:b w:val="0"/>
          <w:bCs w:val="0"/>
        </w:rPr>
      </w:pPr>
      <w:bookmarkStart w:name="四、财务报表的编制基础" w:id="161"/>
      <w:bookmarkEnd w:id="161"/>
      <w:r>
        <w:rPr>
          <w:b w:val="0"/>
          <w:bCs w:val="0"/>
        </w:rPr>
      </w:r>
      <w:r>
        <w:rPr/>
        <w:t>四、财务报表的编制基础</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1133" w:right="0"/>
        <w:jc w:val="left"/>
        <w:rPr>
          <w:b w:val="0"/>
          <w:bCs w:val="0"/>
        </w:rPr>
      </w:pPr>
      <w:bookmarkStart w:name="1、编制基础" w:id="162"/>
      <w:bookmarkEnd w:id="162"/>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3"/>
        <w:rPr>
          <w:rFonts w:ascii="宋体" w:hAnsi="宋体" w:cs="宋体" w:eastAsia="宋体" w:hint="default"/>
          <w:b/>
          <w:bCs/>
          <w:sz w:val="29"/>
          <w:szCs w:val="29"/>
        </w:rPr>
      </w:pPr>
    </w:p>
    <w:p>
      <w:pPr>
        <w:pStyle w:val="BodyText"/>
        <w:spacing w:line="331" w:lineRule="auto"/>
        <w:ind w:right="1130" w:firstLine="420"/>
        <w:jc w:val="both"/>
      </w:pPr>
      <w:r>
        <w:rPr>
          <w:spacing w:val="-1"/>
        </w:rPr>
        <w:t>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基本准则》和具体企业会计</w:t>
      </w:r>
      <w:r>
        <w:rPr/>
        <w:t> 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进行确认和 </w:t>
      </w:r>
      <w:r>
        <w:rPr>
          <w:spacing w:val="-1"/>
        </w:rPr>
        <w:t>计量，在此基础上，结合中国证券监督管理委员会《公开发行证券的公司信息披露编报规则第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w:t>
      </w:r>
      <w:r>
        <w:rPr>
          <w:spacing w:val="-83"/>
        </w:rPr>
        <w:t> </w:t>
      </w:r>
      <w:r>
        <w:rPr/>
        <w:t>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的规定，编制财务报表。</w:t>
      </w:r>
    </w:p>
    <w:p>
      <w:pPr>
        <w:spacing w:after="0" w:line="331"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2、持续经营" w:id="163"/>
      <w:bookmarkEnd w:id="16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30"/>
          <w:szCs w:val="30"/>
        </w:rPr>
      </w:pPr>
    </w:p>
    <w:p>
      <w:pPr>
        <w:pStyle w:val="BodyText"/>
        <w:spacing w:line="328" w:lineRule="auto"/>
        <w:ind w:left="1134" w:right="0" w:firstLine="420"/>
        <w:jc w:val="left"/>
      </w:pPr>
      <w:r>
        <w:rPr>
          <w:spacing w:val="-1"/>
        </w:rPr>
        <w:t>公司对报告期末起</w:t>
      </w:r>
      <w:r>
        <w:rPr>
          <w:rFonts w:ascii="Times New Roman" w:hAnsi="Times New Roman" w:cs="Times New Roman" w:eastAsia="Times New Roman" w:hint="default"/>
          <w:spacing w:val="-1"/>
        </w:rPr>
        <w:t>12</w:t>
      </w:r>
      <w:r>
        <w:rPr>
          <w:spacing w:val="-1"/>
        </w:rPr>
        <w:t>个月的持续经营能力进行了评价，未发现对持续经营能力产生重大怀疑的事项或</w:t>
      </w:r>
      <w:r>
        <w:rPr/>
        <w:t> 情况。因此，本财务报表系在持续经营假设的基础上编制。</w:t>
      </w:r>
    </w:p>
    <w:p>
      <w:pPr>
        <w:spacing w:line="240" w:lineRule="auto" w:before="12"/>
        <w:rPr>
          <w:rFonts w:ascii="宋体" w:hAnsi="宋体" w:cs="宋体" w:eastAsia="宋体" w:hint="default"/>
          <w:sz w:val="17"/>
          <w:szCs w:val="17"/>
        </w:rPr>
      </w:pPr>
    </w:p>
    <w:p>
      <w:pPr>
        <w:pStyle w:val="Heading2"/>
        <w:spacing w:line="240" w:lineRule="auto"/>
        <w:ind w:right="0"/>
        <w:jc w:val="left"/>
        <w:rPr>
          <w:b w:val="0"/>
          <w:bCs w:val="0"/>
        </w:rPr>
      </w:pPr>
      <w:bookmarkStart w:name="五、重要会计政策及会计估计" w:id="164"/>
      <w:bookmarkEnd w:id="164"/>
      <w:r>
        <w:rPr>
          <w:b w:val="0"/>
          <w:bCs w:val="0"/>
        </w:rPr>
      </w:r>
      <w:r>
        <w:rPr/>
        <w:t>五、重要会计政策及会计估计</w:t>
      </w:r>
      <w:r>
        <w:rPr>
          <w:b w:val="0"/>
          <w:bCs w:val="0"/>
        </w:rPr>
      </w:r>
    </w:p>
    <w:p>
      <w:pPr>
        <w:spacing w:line="240" w:lineRule="auto" w:before="6"/>
        <w:rPr>
          <w:rFonts w:ascii="宋体" w:hAnsi="宋体" w:cs="宋体" w:eastAsia="宋体" w:hint="default"/>
          <w:b/>
          <w:bCs/>
          <w:sz w:val="23"/>
          <w:szCs w:val="23"/>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48" w:lineRule="auto" w:before="143"/>
        <w:ind w:right="1120" w:firstLine="420"/>
        <w:jc w:val="left"/>
      </w:pPr>
      <w:r>
        <w:rPr>
          <w:spacing w:val="-1"/>
        </w:rPr>
        <w:t>公司下列重要会计政策、会计估计根据企业会计准则制定。未提及的业务按企业会计准则中相关会计</w:t>
      </w:r>
      <w:r>
        <w:rPr/>
        <w:t> 政策执行。</w:t>
      </w:r>
    </w:p>
    <w:p>
      <w:pPr>
        <w:spacing w:line="240" w:lineRule="auto" w:before="12"/>
        <w:rPr>
          <w:rFonts w:ascii="宋体" w:hAnsi="宋体" w:cs="宋体" w:eastAsia="宋体" w:hint="default"/>
          <w:sz w:val="16"/>
          <w:szCs w:val="16"/>
        </w:rPr>
      </w:pPr>
    </w:p>
    <w:p>
      <w:pPr>
        <w:pStyle w:val="Heading3"/>
        <w:spacing w:line="240" w:lineRule="auto"/>
        <w:ind w:left="1133" w:right="0"/>
        <w:jc w:val="left"/>
        <w:rPr>
          <w:b w:val="0"/>
          <w:bCs w:val="0"/>
        </w:rPr>
      </w:pPr>
      <w:bookmarkStart w:name="1、遵循企业会计准则的声明" w:id="165"/>
      <w:bookmarkEnd w:id="16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3"/>
        <w:rPr>
          <w:rFonts w:ascii="宋体" w:hAnsi="宋体" w:cs="宋体" w:eastAsia="宋体" w:hint="default"/>
          <w:b/>
          <w:bCs/>
          <w:sz w:val="29"/>
          <w:szCs w:val="29"/>
        </w:rPr>
      </w:pPr>
    </w:p>
    <w:p>
      <w:pPr>
        <w:pStyle w:val="BodyText"/>
        <w:spacing w:line="350" w:lineRule="auto"/>
        <w:ind w:right="0" w:firstLine="420"/>
        <w:jc w:val="left"/>
      </w:pPr>
      <w:r>
        <w:rPr>
          <w:spacing w:val="-1"/>
        </w:rPr>
        <w:t>公司所编制的财务报表符合企业会计准则的要求，真实、完整地反映了报告期公司的财务状况、经营</w:t>
      </w:r>
      <w:r>
        <w:rPr/>
        <w:t> 成果、现金流量等有关信息。</w:t>
      </w:r>
    </w:p>
    <w:p>
      <w:pPr>
        <w:spacing w:line="240" w:lineRule="auto" w:before="8"/>
        <w:rPr>
          <w:rFonts w:ascii="宋体" w:hAnsi="宋体" w:cs="宋体" w:eastAsia="宋体" w:hint="default"/>
          <w:sz w:val="16"/>
          <w:szCs w:val="16"/>
        </w:rPr>
      </w:pPr>
    </w:p>
    <w:p>
      <w:pPr>
        <w:pStyle w:val="Heading3"/>
        <w:spacing w:line="240" w:lineRule="auto"/>
        <w:ind w:left="1133" w:right="0"/>
        <w:jc w:val="left"/>
        <w:rPr>
          <w:b w:val="0"/>
          <w:bCs w:val="0"/>
        </w:rPr>
      </w:pPr>
      <w:bookmarkStart w:name="2、会计期间" w:id="166"/>
      <w:bookmarkEnd w:id="16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1553"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3、营业周期" w:id="167"/>
      <w:bookmarkEnd w:id="16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1554" w:right="0"/>
        <w:jc w:val="left"/>
      </w:pPr>
      <w:r>
        <w:rPr/>
        <w:t>本公司营业周期为</w:t>
      </w:r>
      <w:r>
        <w:rPr>
          <w:rFonts w:ascii="Times New Roman" w:hAnsi="Times New Roman" w:cs="Times New Roman" w:eastAsia="Times New Roman" w:hint="default"/>
        </w:rPr>
        <w:t>12</w:t>
      </w:r>
      <w:r>
        <w:rPr/>
        <w:t>个月。</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4、记账本位币" w:id="168"/>
      <w:bookmarkEnd w:id="16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1554" w:right="0"/>
        <w:jc w:val="left"/>
      </w:pPr>
      <w:r>
        <w:rPr/>
        <w:t>采用人民币为记账本位币。</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bookmarkStart w:name="5、同一控制下和非同一控制下企业合并的会计处理方法" w:id="169"/>
      <w:bookmarkEnd w:id="16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30"/>
          <w:szCs w:val="30"/>
        </w:rPr>
      </w:pPr>
    </w:p>
    <w:p>
      <w:pPr>
        <w:pStyle w:val="Heading3"/>
        <w:spacing w:line="328" w:lineRule="auto"/>
        <w:ind w:right="1121" w:firstLine="422"/>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2"/>
        </w:rPr>
        <w:t>分步实现企业合并过程中的各项交易的条款、条件以及经济影响符合以下一种或多种情况，将多次</w:t>
      </w:r>
      <w:r>
        <w:rPr>
          <w:w w:val="99"/>
        </w:rPr>
        <w:t> </w:t>
      </w:r>
      <w:r>
        <w:rPr/>
        <w:t>交易事项作为一揽子交易进行会计处理：</w:t>
      </w:r>
      <w:r>
        <w:rPr>
          <w:b w:val="0"/>
          <w:bCs w:val="0"/>
        </w:rPr>
      </w:r>
    </w:p>
    <w:p>
      <w:pPr>
        <w:pStyle w:val="BodyText"/>
        <w:spacing w:line="240" w:lineRule="auto" w:before="47"/>
        <w:ind w:left="1554" w:right="0"/>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0"/>
        <w:ind w:left="1553" w:right="0"/>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109"/>
        <w:ind w:left="1553" w:right="0"/>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9"/>
        <w:ind w:left="1553" w:right="0"/>
        <w:jc w:val="left"/>
      </w:pPr>
      <w:r>
        <w:rPr>
          <w:rFonts w:ascii="Times New Roman" w:hAnsi="Times New Roman" w:cs="Times New Roman" w:eastAsia="Times New Roman" w:hint="default"/>
        </w:rPr>
        <w:t>4</w:t>
      </w:r>
      <w:r>
        <w:rPr/>
        <w:t>）一项交易单独看是不经济的，但是和其他交易一并考虑时是经济的。</w:t>
      </w:r>
    </w:p>
    <w:p>
      <w:pPr>
        <w:spacing w:line="331" w:lineRule="auto" w:before="110"/>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公司在企业合并中取得的资产和负债，按照合并日在被合并方资产、负债（包括最终控制方收购被合</w:t>
      </w:r>
    </w:p>
    <w:p>
      <w:pPr>
        <w:pStyle w:val="BodyText"/>
        <w:spacing w:line="350" w:lineRule="auto" w:before="45"/>
        <w:ind w:left="1134" w:right="0"/>
        <w:jc w:val="left"/>
      </w:pPr>
      <w:r>
        <w:rPr>
          <w:spacing w:val="-1"/>
        </w:rPr>
        <w:t>并方而形成的商誉）在最终控制方合并财务报表中的账面价值计量。在合并中取得的净资产账面价值与支</w:t>
      </w:r>
      <w:r>
        <w:rPr>
          <w:spacing w:val="-81"/>
        </w:rPr>
        <w:t> </w:t>
      </w:r>
      <w:r>
        <w:rPr>
          <w:spacing w:val="-81"/>
        </w:rPr>
      </w:r>
      <w:r>
        <w:rPr>
          <w:spacing w:val="-1"/>
        </w:rPr>
        <w:t>付的合并对价账面价值（或发行股份面值总额）的差额，调整资本公积中的股本溢价，资本公积中的股本</w:t>
      </w:r>
    </w:p>
    <w:p>
      <w:pPr>
        <w:spacing w:after="0" w:line="35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溢价不足冲减的，调整留存收益。 </w:t>
      </w:r>
      <w:r>
        <w:rPr>
          <w:spacing w:val="-1"/>
        </w:rPr>
        <w:t>如果存在或有对价并需要确认预计负债或资产，该预计负债或资产金额与后续或有对价结算金额的差</w:t>
      </w:r>
    </w:p>
    <w:p>
      <w:pPr>
        <w:pStyle w:val="BodyText"/>
        <w:spacing w:line="350" w:lineRule="auto" w:before="31"/>
        <w:ind w:left="1553" w:right="0" w:hanging="420"/>
        <w:jc w:val="left"/>
      </w:pPr>
      <w:r>
        <w:rPr/>
        <w:t>额，调整资本公积（资本溢价或股本溢价），资本公积不足的，调整留存收益。 </w:t>
      </w:r>
      <w:r>
        <w:rPr>
          <w:spacing w:val="-1"/>
        </w:rPr>
        <w:t>对于通过多次交易最终实现企业合并的，属于一揽子交易的，将各项交易作为一项取得控制权的交易</w:t>
      </w:r>
    </w:p>
    <w:p>
      <w:pPr>
        <w:pStyle w:val="BodyText"/>
        <w:spacing w:line="350" w:lineRule="auto" w:before="28"/>
        <w:ind w:right="1109"/>
        <w:jc w:val="both"/>
      </w:pPr>
      <w:r>
        <w:rPr>
          <w:spacing w:val="-1"/>
        </w:rPr>
        <w:t>进行会计处理；不属于一揽子交易的，在取得控制权日，长期股权投资初始投资成本，与达到合并前的长</w:t>
      </w:r>
      <w:r>
        <w:rPr>
          <w:spacing w:val="-86"/>
        </w:rPr>
        <w:t> </w:t>
      </w:r>
      <w:r>
        <w:rPr>
          <w:spacing w:val="-86"/>
        </w:rPr>
      </w:r>
      <w:r>
        <w:rPr>
          <w:spacing w:val="-1"/>
        </w:rPr>
        <w:t>期股权投资账面价值加上合并日进一步取得股份新支付对价的账面价值之和的差额，调整资本公积；资本</w:t>
      </w:r>
      <w:r>
        <w:rPr>
          <w:spacing w:val="-81"/>
        </w:rPr>
        <w:t> </w:t>
      </w:r>
      <w:r>
        <w:rPr>
          <w:spacing w:val="-81"/>
        </w:rPr>
      </w:r>
      <w:r>
        <w:rPr>
          <w:spacing w:val="-1"/>
        </w:rPr>
        <w:t>公积不足冲减的，调整留存收益。对于合并日之前持有的股权投资，因采用权益法核算或金融工具确认和</w:t>
      </w:r>
      <w:r>
        <w:rPr>
          <w:spacing w:val="-83"/>
        </w:rPr>
        <w:t> </w:t>
      </w:r>
      <w:r>
        <w:rPr>
          <w:spacing w:val="-83"/>
        </w:rPr>
      </w:r>
      <w:r>
        <w:rPr>
          <w:spacing w:val="-1"/>
        </w:rPr>
        <w:t>计量准则核算而确认的其他综合收益，暂不进行会计处理，直至处置该项投资时采用与被投资单位直接处</w:t>
      </w:r>
      <w:r>
        <w:rPr>
          <w:spacing w:val="-81"/>
        </w:rPr>
        <w:t> </w:t>
      </w:r>
      <w:r>
        <w:rPr>
          <w:spacing w:val="-81"/>
        </w:rPr>
      </w:r>
      <w:r>
        <w:rPr/>
        <w:t>置相关资产或负债相同的基础进行会计处理；因采用权益法核算而确认的被投资单位净资产中除净损益、 </w:t>
      </w:r>
      <w:r>
        <w:rPr>
          <w:spacing w:val="-1"/>
        </w:rPr>
        <w:t>其他综合收益和利润分配以外的所有者权益其他变动，暂不进行会计处理，直至处置该项投资时转入当期</w:t>
      </w:r>
      <w:r>
        <w:rPr>
          <w:spacing w:val="-81"/>
        </w:rPr>
        <w:t> </w:t>
      </w:r>
      <w:r>
        <w:rPr>
          <w:spacing w:val="-81"/>
        </w:rPr>
      </w:r>
      <w:r>
        <w:rPr/>
        <w:t>损益。</w:t>
      </w:r>
    </w:p>
    <w:p>
      <w:pPr>
        <w:spacing w:line="328" w:lineRule="auto" w:before="29"/>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公司在购买日对作为企业合并对价付出的资产、发生或承担的负债按照公允价值计量，公允价值与其</w:t>
      </w:r>
    </w:p>
    <w:p>
      <w:pPr>
        <w:pStyle w:val="BodyText"/>
        <w:spacing w:line="350" w:lineRule="auto" w:before="47"/>
        <w:ind w:left="1553" w:right="0" w:hanging="420"/>
        <w:jc w:val="left"/>
      </w:pPr>
      <w:r>
        <w:rPr/>
        <w:t>账面价值的差额，计入当期损益。 </w:t>
      </w:r>
      <w:r>
        <w:rPr>
          <w:spacing w:val="-1"/>
        </w:rPr>
        <w:t>公司对合并成本大于合并中取得的被购买方可辨认净资产公允价值份额的差额，确认为商誉；合并成</w:t>
      </w:r>
    </w:p>
    <w:p>
      <w:pPr>
        <w:pStyle w:val="BodyText"/>
        <w:spacing w:line="350" w:lineRule="auto" w:before="28"/>
        <w:ind w:right="0"/>
        <w:jc w:val="left"/>
      </w:pPr>
      <w:r>
        <w:rPr/>
        <w:t>本小于合并中取得的被购买方可辨认净资产公允价值份额的差额，经复核后，计入当期损益。 </w:t>
      </w:r>
      <w:r>
        <w:rPr>
          <w:spacing w:val="-1"/>
        </w:rPr>
        <w:t>通过多次交换交易分步实现的非同一控制下企业合并，属于一揽子交易的，将各项交易作为一项取得控制</w:t>
      </w:r>
      <w:r>
        <w:rPr>
          <w:spacing w:val="-81"/>
        </w:rPr>
        <w:t> </w:t>
      </w:r>
      <w:r>
        <w:rPr>
          <w:spacing w:val="-81"/>
        </w:rPr>
      </w:r>
      <w:r>
        <w:rPr>
          <w:spacing w:val="-1"/>
        </w:rPr>
        <w:t>权的交易进行会计处理；不属于一揽子交易的，合并日之前持有的股权投资采用权益法核算的，以购买日</w:t>
      </w:r>
      <w:r>
        <w:rPr>
          <w:spacing w:val="-83"/>
        </w:rPr>
        <w:t> </w:t>
      </w:r>
      <w:r>
        <w:rPr>
          <w:spacing w:val="-83"/>
        </w:rPr>
      </w:r>
      <w:r>
        <w:rPr>
          <w:spacing w:val="-1"/>
        </w:rPr>
        <w:t>之前所持被购买方的股权投资的账面价值与购买日新增投资成本之和，作为该项投资的初始投资成本；购</w:t>
      </w:r>
      <w:r>
        <w:rPr>
          <w:spacing w:val="-81"/>
        </w:rPr>
        <w:t> </w:t>
      </w:r>
      <w:r>
        <w:rPr>
          <w:spacing w:val="-81"/>
        </w:rPr>
      </w:r>
      <w:r>
        <w:rPr>
          <w:spacing w:val="-1"/>
        </w:rPr>
        <w:t>买日之前持有的股权投资因采用权益法核算而确认的其他综合收益，在处置该项投资时采用与被投资单位</w:t>
      </w:r>
      <w:r>
        <w:rPr>
          <w:spacing w:val="-81"/>
        </w:rPr>
        <w:t> </w:t>
      </w:r>
      <w:r>
        <w:rPr>
          <w:spacing w:val="-81"/>
        </w:rPr>
      </w:r>
      <w:r>
        <w:rPr>
          <w:spacing w:val="-1"/>
        </w:rPr>
        <w:t>直接处置相关资产或负债相同的基础进行会计处理。合并日之前持有的股权投资采用金融工具确认和计量</w:t>
      </w:r>
      <w:r>
        <w:rPr>
          <w:spacing w:val="-81"/>
        </w:rPr>
        <w:t> </w:t>
      </w:r>
      <w:r>
        <w:rPr>
          <w:spacing w:val="-81"/>
        </w:rPr>
      </w:r>
      <w:r>
        <w:rPr>
          <w:spacing w:val="-1"/>
        </w:rPr>
        <w:t>准则核算的，以该股权投资在合并日的公允价值加上新增投资成本之和，作为合并日的初始投资成本。原</w:t>
      </w:r>
      <w:r>
        <w:rPr>
          <w:spacing w:val="-83"/>
        </w:rPr>
        <w:t> </w:t>
      </w:r>
      <w:r>
        <w:rPr>
          <w:spacing w:val="-83"/>
        </w:rPr>
      </w:r>
      <w:r>
        <w:rPr/>
        <w:t>持有股权的公允价值与账面价值之间的差额以及原计入其他综合收益的累计公允价值变动应全部转入合 并日当期的投资收益。</w:t>
      </w:r>
    </w:p>
    <w:p>
      <w:pPr>
        <w:spacing w:line="328" w:lineRule="auto" w:before="28"/>
        <w:ind w:left="155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为合并发生的相关费用</w:t>
      </w:r>
      <w:r>
        <w:rPr>
          <w:rFonts w:ascii="宋体" w:hAnsi="宋体" w:cs="宋体" w:eastAsia="宋体" w:hint="default"/>
          <w:b/>
          <w:bCs/>
          <w:w w:val="99"/>
          <w:sz w:val="21"/>
          <w:szCs w:val="21"/>
        </w:rPr>
        <w:t> </w:t>
      </w:r>
      <w:r>
        <w:rPr>
          <w:rFonts w:ascii="宋体" w:hAnsi="宋体" w:cs="宋体" w:eastAsia="宋体" w:hint="default"/>
          <w:spacing w:val="-1"/>
          <w:sz w:val="21"/>
          <w:szCs w:val="21"/>
        </w:rPr>
        <w:t>为企业合并发生的审计、法律服务、评估咨询等中介费用以及其他直接相关费用，于发生时计入当期</w:t>
      </w:r>
    </w:p>
    <w:p>
      <w:pPr>
        <w:pStyle w:val="BodyText"/>
        <w:spacing w:line="240" w:lineRule="auto" w:before="48"/>
        <w:ind w:right="0"/>
        <w:jc w:val="left"/>
      </w:pPr>
      <w:r>
        <w:rPr/>
        <w:t>损益；为企业合并而发行权益性证券的交易费用，可直接归属于权益性交易的从权益中扣减。</w:t>
      </w:r>
    </w:p>
    <w:p>
      <w:pPr>
        <w:spacing w:line="240" w:lineRule="auto" w:before="0"/>
        <w:rPr>
          <w:rFonts w:ascii="宋体" w:hAnsi="宋体" w:cs="宋体" w:eastAsia="宋体" w:hint="default"/>
          <w:sz w:val="24"/>
          <w:szCs w:val="24"/>
        </w:rPr>
      </w:pPr>
    </w:p>
    <w:p>
      <w:pPr>
        <w:pStyle w:val="Heading3"/>
        <w:spacing w:line="240" w:lineRule="auto"/>
        <w:ind w:left="1133" w:right="0"/>
        <w:jc w:val="left"/>
        <w:rPr>
          <w:b w:val="0"/>
          <w:bCs w:val="0"/>
        </w:rPr>
      </w:pPr>
      <w:bookmarkStart w:name="6、合并财务报表的编制方法" w:id="170"/>
      <w:bookmarkEnd w:id="17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
        <w:rPr>
          <w:rFonts w:ascii="宋体" w:hAnsi="宋体" w:cs="宋体" w:eastAsia="宋体" w:hint="default"/>
          <w:b/>
          <w:bCs/>
          <w:sz w:val="30"/>
          <w:szCs w:val="30"/>
        </w:rPr>
      </w:pPr>
    </w:p>
    <w:p>
      <w:pPr>
        <w:pStyle w:val="BodyText"/>
        <w:spacing w:line="328" w:lineRule="auto"/>
        <w:ind w:left="1553" w:right="1120" w:hanging="8"/>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公司合并财务报表的合并范围以控制为基础确定，所有子公司（包括公司所控制的单独主体）均纳入</w:t>
      </w:r>
    </w:p>
    <w:p>
      <w:pPr>
        <w:pStyle w:val="BodyText"/>
        <w:spacing w:line="240" w:lineRule="auto" w:before="48"/>
        <w:ind w:right="0"/>
        <w:jc w:val="left"/>
      </w:pPr>
      <w:r>
        <w:rPr/>
        <w:t>合并财务报表。</w:t>
      </w:r>
    </w:p>
    <w:p>
      <w:pPr>
        <w:pStyle w:val="BodyText"/>
        <w:spacing w:line="328" w:lineRule="auto" w:before="124"/>
        <w:ind w:left="1553" w:right="1120" w:hanging="8"/>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公司以自身和各子公司的财务报表为基础，根据其他有关资料，编制合并财务报表。公司编制合并财</w:t>
      </w:r>
    </w:p>
    <w:p>
      <w:pPr>
        <w:spacing w:after="0" w:line="32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3"/>
        <w:jc w:val="both"/>
      </w:pP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w:t>
      </w:r>
    </w:p>
    <w:p>
      <w:pPr>
        <w:pStyle w:val="BodyText"/>
        <w:spacing w:line="348" w:lineRule="auto" w:before="31"/>
        <w:ind w:right="1131" w:firstLine="420"/>
        <w:jc w:val="both"/>
      </w:pPr>
      <w:r>
        <w:rPr>
          <w:spacing w:val="-1"/>
        </w:rPr>
        <w:t>所有纳入合并财务报表合并范围的子公司所采用的会计政策、会计期间与公司一致，如子公司采用的</w:t>
      </w:r>
      <w:r>
        <w:rPr/>
        <w:t> </w:t>
      </w:r>
      <w:r>
        <w:rPr>
          <w:spacing w:val="-1"/>
        </w:rPr>
        <w:t>会计政策、会计期间与公司不一致的，在编制合并财务报表时，按公司的会计政策、会计期间进行必要的</w:t>
      </w:r>
      <w:r>
        <w:rPr>
          <w:spacing w:val="-86"/>
        </w:rPr>
        <w:t> </w:t>
      </w:r>
      <w:r>
        <w:rPr>
          <w:spacing w:val="-86"/>
        </w:rPr>
      </w:r>
      <w:r>
        <w:rPr/>
        <w:t>调整。</w:t>
      </w:r>
    </w:p>
    <w:p>
      <w:pPr>
        <w:pStyle w:val="BodyText"/>
        <w:spacing w:line="348" w:lineRule="auto" w:before="31"/>
        <w:ind w:right="1131" w:firstLine="420"/>
        <w:jc w:val="both"/>
      </w:pPr>
      <w:r>
        <w:rPr>
          <w:spacing w:val="-1"/>
        </w:rPr>
        <w:t>合并财务报表时抵销公司与各子公司、各子公司相互之间发生的内部交易对合并资产负债表、合并利</w:t>
      </w:r>
      <w:r>
        <w:rPr/>
        <w:t> </w:t>
      </w:r>
      <w:r>
        <w:rPr>
          <w:spacing w:val="-1"/>
        </w:rPr>
        <w:t>润表、合并现金流量表、合并股东权益变动表的影响。如果站在企业集团合并财务报表角度与以公司或子</w:t>
      </w:r>
      <w:r>
        <w:rPr>
          <w:spacing w:val="-83"/>
        </w:rPr>
        <w:t> </w:t>
      </w:r>
      <w:r>
        <w:rPr>
          <w:spacing w:val="-83"/>
        </w:rPr>
      </w:r>
      <w:r>
        <w:rPr/>
        <w:t>公司为会计主体对同一交易的认定不同时，从企业集团的角度对该交易予以调整。</w:t>
      </w:r>
    </w:p>
    <w:p>
      <w:pPr>
        <w:pStyle w:val="BodyText"/>
        <w:spacing w:line="348" w:lineRule="auto" w:before="31"/>
        <w:ind w:right="1131"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348" w:lineRule="auto" w:before="31"/>
        <w:ind w:right="1131" w:firstLine="420"/>
        <w:jc w:val="both"/>
      </w:pPr>
      <w:r>
        <w:rPr>
          <w:spacing w:val="-1"/>
        </w:rPr>
        <w:t>对于同一控制下企业合并取得的子公司，以其资产、负债（包括最终控制方收购该子公司而形成的商</w:t>
      </w:r>
      <w:r>
        <w:rPr/>
        <w:t> 誉）在最终控制方财务报表中的账面价值为基础对其财务报表进行调整。</w:t>
      </w:r>
    </w:p>
    <w:p>
      <w:pPr>
        <w:pStyle w:val="BodyText"/>
        <w:spacing w:line="350" w:lineRule="auto" w:before="30"/>
        <w:ind w:right="1132" w:firstLine="420"/>
        <w:jc w:val="both"/>
      </w:pPr>
      <w:r>
        <w:rPr>
          <w:spacing w:val="-1"/>
        </w:rPr>
        <w:t>对于非同一控制下企业合并取得的子公司，以购买日可辨认净资产公允价值为基础对其财务报表进行</w:t>
      </w:r>
      <w:r>
        <w:rPr/>
        <w:t> 调整</w:t>
      </w:r>
    </w:p>
    <w:p>
      <w:pPr>
        <w:pStyle w:val="BodyText"/>
        <w:spacing w:line="328" w:lineRule="auto" w:before="28"/>
        <w:ind w:left="1554"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w:t>
      </w:r>
    </w:p>
    <w:p>
      <w:pPr>
        <w:pStyle w:val="BodyText"/>
        <w:spacing w:line="348" w:lineRule="auto" w:before="48"/>
        <w:ind w:left="1134"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350" w:lineRule="auto" w:before="31"/>
        <w:ind w:left="1134" w:right="113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350" w:lineRule="auto" w:before="28"/>
        <w:ind w:right="1131"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350" w:lineRule="auto" w:before="28"/>
        <w:ind w:right="1024" w:firstLine="420"/>
        <w:jc w:val="left"/>
      </w:pPr>
      <w:r>
        <w:rPr/>
        <w:t>因追加投资等原因能够对非同一控制下的被投资方实施控制的，对于购买日之前持有的被购买方的股 </w:t>
      </w:r>
      <w:r>
        <w:rPr>
          <w:spacing w:val="-3"/>
        </w:rPr>
        <w:t>权，公司按照该股权在购买日的公允价值进行重新计量，公允价值与其账面价值的差额计入当期投资收益。</w:t>
      </w:r>
      <w:r>
        <w:rPr>
          <w:spacing w:val="-92"/>
        </w:rPr>
        <w:t> </w:t>
      </w:r>
      <w:r>
        <w:rPr>
          <w:spacing w:val="-92"/>
        </w:rPr>
      </w:r>
      <w:r>
        <w:rPr/>
        <w:t>购买日之前持有的被购买方的股权涉及权益法核算下的其他综合收益以及除净损益、其他综合收益和利润</w:t>
      </w:r>
      <w:r>
        <w:rPr/>
        <w:t>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BodyText"/>
        <w:spacing w:line="240" w:lineRule="auto" w:before="29"/>
        <w:ind w:left="1553" w:right="0"/>
        <w:jc w:val="left"/>
      </w:pPr>
      <w:r>
        <w:rPr/>
        <w:t>（</w:t>
      </w:r>
      <w:r>
        <w:rPr>
          <w:rFonts w:ascii="Times New Roman" w:hAnsi="Times New Roman" w:cs="Times New Roman" w:eastAsia="Times New Roman" w:hint="default"/>
        </w:rPr>
        <w:t>2</w:t>
      </w:r>
      <w:r>
        <w:rPr/>
        <w:t>）处置子公司或业务</w:t>
      </w:r>
    </w:p>
    <w:p>
      <w:pPr>
        <w:pStyle w:val="BodyText"/>
        <w:spacing w:line="240" w:lineRule="auto" w:before="109"/>
        <w:ind w:left="1553" w:right="0"/>
        <w:jc w:val="left"/>
      </w:pPr>
      <w:r>
        <w:rPr>
          <w:rFonts w:ascii="Times New Roman" w:hAnsi="Times New Roman" w:cs="Times New Roman" w:eastAsia="Times New Roman" w:hint="default"/>
        </w:rPr>
        <w:t>1</w:t>
      </w:r>
      <w:r>
        <w:rPr/>
        <w:t>）一般处理方法</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2" w:firstLine="420"/>
        <w:jc w:val="both"/>
      </w:pPr>
      <w:r>
        <w:rPr>
          <w:spacing w:val="-1"/>
        </w:rPr>
        <w:t>在报告期内，公司处置子公司或业务，则该子公司或业务期初至处置日的收入、费用、利润纳入合并</w:t>
      </w:r>
      <w:r>
        <w:rPr/>
        <w:t> 利润表；该子公司或业务期初至处置日的现金流量纳入合并现金流量表。</w:t>
      </w:r>
    </w:p>
    <w:p>
      <w:pPr>
        <w:pStyle w:val="BodyText"/>
        <w:spacing w:line="350" w:lineRule="auto" w:before="31"/>
        <w:ind w:right="1131" w:firstLine="420"/>
        <w:jc w:val="both"/>
      </w:pPr>
      <w:r>
        <w:rPr>
          <w:spacing w:val="-1"/>
        </w:rPr>
        <w:t>因处置部分股权投资或其他原因丧失了对被投资方控制权时，对于处置后的剩余股权投资，公司按照</w:t>
      </w:r>
      <w:r>
        <w:rPr/>
        <w:t> </w:t>
      </w:r>
      <w:r>
        <w:rPr>
          <w:spacing w:val="-1"/>
        </w:rPr>
        <w:t>其在丧失控制权日的公允价值进行重新计量。处置股权取得的对价与剩余股权公允价值之和，减去按原持</w:t>
      </w:r>
      <w:r>
        <w:rPr>
          <w:spacing w:val="-81"/>
        </w:rPr>
        <w:t> </w:t>
      </w:r>
      <w:r>
        <w:rPr>
          <w:spacing w:val="-81"/>
        </w:rPr>
      </w:r>
      <w:r>
        <w:rPr>
          <w:spacing w:val="-1"/>
        </w:rPr>
        <w:t>股比例计算应享有原有子公司自购买日或合并日开始持续计算的净资产的份额与商誉之和的差额，计入丧</w:t>
      </w:r>
      <w:r>
        <w:rPr>
          <w:spacing w:val="-81"/>
        </w:rPr>
        <w:t> </w:t>
      </w:r>
      <w:r>
        <w:rPr>
          <w:spacing w:val="-81"/>
        </w:rPr>
      </w:r>
      <w:r>
        <w:rPr>
          <w:spacing w:val="-1"/>
        </w:rPr>
        <w:t>失控制权当期的投资收益。与原有子公司股权投资相关的其他综合收益或除净损益、其他综合收益及利润</w:t>
      </w:r>
      <w:r>
        <w:rPr>
          <w:spacing w:val="-81"/>
        </w:rPr>
        <w:t> </w:t>
      </w:r>
      <w:r>
        <w:rPr>
          <w:spacing w:val="-81"/>
        </w:rPr>
      </w:r>
      <w:r>
        <w:rPr>
          <w:spacing w:val="-1"/>
        </w:rPr>
        <w:t>分配之外的其他所有者权益变动，在丧失控制权时转为当期投资收益，由于被投资方重新计量设定受益计</w:t>
      </w:r>
      <w:r>
        <w:rPr>
          <w:spacing w:val="-81"/>
        </w:rPr>
        <w:t> </w:t>
      </w:r>
      <w:r>
        <w:rPr>
          <w:spacing w:val="-81"/>
        </w:rPr>
      </w:r>
      <w:r>
        <w:rPr/>
        <w:t>划净负债或净资产变动而产生的其他综合收益除外。</w:t>
      </w:r>
    </w:p>
    <w:p>
      <w:pPr>
        <w:pStyle w:val="BodyText"/>
        <w:spacing w:line="328" w:lineRule="auto" w:before="29"/>
        <w:ind w:left="1553" w:right="0"/>
        <w:jc w:val="left"/>
      </w:pPr>
      <w:r>
        <w:rPr>
          <w:rFonts w:ascii="Times New Roman" w:hAnsi="Times New Roman" w:cs="Times New Roman" w:eastAsia="Times New Roman" w:hint="default"/>
        </w:rPr>
        <w:t>2</w:t>
      </w:r>
      <w:r>
        <w:rPr/>
        <w:t>）分步处置子公司 </w:t>
      </w:r>
      <w:r>
        <w:rPr>
          <w:spacing w:val="-1"/>
        </w:rPr>
        <w:t>通过多次交易分步处置对子公司股权投资直至丧失控制权的，处置对子公司股权投资的各项交易的条</w:t>
      </w:r>
    </w:p>
    <w:p>
      <w:pPr>
        <w:pStyle w:val="BodyText"/>
        <w:spacing w:line="350" w:lineRule="auto" w:before="47"/>
        <w:ind w:right="1120"/>
        <w:jc w:val="left"/>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331" w:lineRule="auto" w:before="28"/>
        <w:ind w:left="1553" w:right="3829"/>
        <w:jc w:val="left"/>
      </w:pP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50" w:lineRule="auto" w:before="20"/>
        <w:ind w:right="1131" w:firstLine="420"/>
        <w:jc w:val="both"/>
      </w:pPr>
      <w:r>
        <w:rPr>
          <w:spacing w:val="-1"/>
        </w:rPr>
        <w:t>处置对子公司股权投资直至丧失控制权的各项交易属于一揽子交易的，公司将各项交易作为一项处置</w:t>
      </w:r>
      <w:r>
        <w:rPr/>
        <w:t> </w:t>
      </w:r>
      <w:r>
        <w:rPr>
          <w:spacing w:val="-1"/>
        </w:rPr>
        <w:t>子公司并丧失控制权的交易进行会计处理；但是，在丧失控制权之前每一次处置价款与处置投资对应的享</w:t>
      </w:r>
      <w:r>
        <w:rPr>
          <w:spacing w:val="-81"/>
        </w:rPr>
        <w:t> </w:t>
      </w:r>
      <w:r>
        <w:rPr>
          <w:spacing w:val="-81"/>
        </w:rPr>
      </w:r>
      <w:r>
        <w:rPr>
          <w:spacing w:val="-1"/>
        </w:rPr>
        <w:t>有该子公司净资产份额的差额，在合并财务报表中确认为其他综合收益，在丧失控制权时一并转入丧失控</w:t>
      </w:r>
      <w:r>
        <w:rPr>
          <w:spacing w:val="-81"/>
        </w:rPr>
        <w:t> </w:t>
      </w:r>
      <w:r>
        <w:rPr>
          <w:spacing w:val="-81"/>
        </w:rPr>
      </w:r>
      <w:r>
        <w:rPr/>
        <w:t>制权当期的损益。</w:t>
      </w:r>
    </w:p>
    <w:p>
      <w:pPr>
        <w:pStyle w:val="BodyText"/>
        <w:spacing w:line="348" w:lineRule="auto" w:before="29"/>
        <w:ind w:right="113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328" w:lineRule="auto" w:before="31"/>
        <w:ind w:left="1554" w:right="0"/>
        <w:jc w:val="left"/>
      </w:pPr>
      <w:r>
        <w:rPr/>
        <w:t>（</w:t>
      </w:r>
      <w:r>
        <w:rPr>
          <w:rFonts w:ascii="Times New Roman" w:hAnsi="Times New Roman" w:cs="Times New Roman" w:eastAsia="Times New Roman" w:hint="default"/>
        </w:rPr>
        <w:t>3</w:t>
      </w:r>
      <w:r>
        <w:rPr/>
        <w:t>）购买子公司少数股权 </w:t>
      </w:r>
      <w:r>
        <w:rPr>
          <w:spacing w:val="-1"/>
        </w:rPr>
        <w:t>公司因购买少数股权新取得的长期股权投资与按照新增持股比例计算应享有子公司自购买日（或合并</w:t>
      </w:r>
    </w:p>
    <w:p>
      <w:pPr>
        <w:pStyle w:val="BodyText"/>
        <w:spacing w:line="350" w:lineRule="auto" w:before="47"/>
        <w:ind w:left="1134" w:right="0"/>
        <w:jc w:val="left"/>
      </w:pP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BodyText"/>
        <w:spacing w:line="328" w:lineRule="auto" w:before="28"/>
        <w:ind w:left="1554" w:right="1302"/>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w:t>
      </w:r>
    </w:p>
    <w:p>
      <w:pPr>
        <w:pStyle w:val="BodyText"/>
        <w:spacing w:line="348" w:lineRule="auto" w:before="48"/>
        <w:ind w:left="1134"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11"/>
        <w:rPr>
          <w:rFonts w:ascii="宋体" w:hAnsi="宋体" w:cs="宋体" w:eastAsia="宋体" w:hint="default"/>
          <w:sz w:val="16"/>
          <w:szCs w:val="16"/>
        </w:rPr>
      </w:pPr>
    </w:p>
    <w:p>
      <w:pPr>
        <w:pStyle w:val="Heading3"/>
        <w:spacing w:line="240" w:lineRule="auto"/>
        <w:ind w:right="0"/>
        <w:jc w:val="left"/>
        <w:rPr>
          <w:b w:val="0"/>
          <w:bCs w:val="0"/>
        </w:rPr>
      </w:pPr>
      <w:bookmarkStart w:name="7、合营安排分类及共同经营会计处理方法" w:id="171"/>
      <w:bookmarkEnd w:id="17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
        <w:rPr>
          <w:rFonts w:ascii="宋体" w:hAnsi="宋体" w:cs="宋体" w:eastAsia="宋体" w:hint="default"/>
          <w:b/>
          <w:bCs/>
          <w:sz w:val="30"/>
          <w:szCs w:val="30"/>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合营安排的分类</w:t>
      </w:r>
      <w:r>
        <w:rPr>
          <w:b w:val="0"/>
          <w:bCs w:val="0"/>
        </w:rPr>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b/>
          <w:bCs/>
          <w:sz w:val="27"/>
          <w:szCs w:val="27"/>
        </w:rPr>
      </w:pPr>
    </w:p>
    <w:p>
      <w:pPr>
        <w:pStyle w:val="BodyText"/>
        <w:spacing w:line="348" w:lineRule="auto" w:before="35"/>
        <w:ind w:right="0" w:firstLine="420"/>
        <w:jc w:val="left"/>
      </w:pPr>
      <w:r>
        <w:rPr>
          <w:spacing w:val="-1"/>
        </w:rPr>
        <w:t>公司根据合营安排的结构、法律形式以及合营安排中约定的条款、其他相关事实和情况等因素，将合</w:t>
      </w:r>
      <w:r>
        <w:rPr/>
        <w:t> 营安排分为共同经营和合营企业。</w:t>
      </w:r>
    </w:p>
    <w:p>
      <w:pPr>
        <w:pStyle w:val="BodyText"/>
        <w:spacing w:line="350" w:lineRule="auto" w:before="31"/>
        <w:ind w:right="0" w:firstLine="420"/>
        <w:jc w:val="left"/>
      </w:pPr>
      <w:r>
        <w:rPr>
          <w:spacing w:val="-1"/>
        </w:rPr>
        <w:t>未通过单独主体达成的合营安排，划分为共同经营；通过单独主体达成的合营安排，通常划分为合营</w:t>
      </w:r>
      <w:r>
        <w:rPr/>
        <w:t> 企业；但有确凿证据表明满足下列任一条件并且符合相关法律法规规定的合营安排划分为共同经营：</w:t>
      </w:r>
    </w:p>
    <w:p>
      <w:pPr>
        <w:pStyle w:val="BodyText"/>
        <w:spacing w:line="240" w:lineRule="auto" w:before="28"/>
        <w:ind w:left="1553" w:right="0"/>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110"/>
        <w:ind w:left="1554" w:right="0"/>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28" w:lineRule="auto" w:before="109"/>
        <w:ind w:left="1551" w:right="1200"/>
        <w:jc w:val="left"/>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 合营方享有与合营安排相关的几乎所有产出，并且该安排中负债的清偿持续依赖于合营方的支持。</w:t>
      </w:r>
    </w:p>
    <w:p>
      <w:pPr>
        <w:spacing w:line="328" w:lineRule="auto" w:before="48"/>
        <w:ind w:left="155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公司确认共同经营中利益份额中与公司相关的下列项目，并按照相关企业会计准则的规定进行会计处</w:t>
      </w:r>
    </w:p>
    <w:p>
      <w:pPr>
        <w:pStyle w:val="BodyText"/>
        <w:spacing w:line="240" w:lineRule="auto" w:before="47"/>
        <w:ind w:left="1134" w:right="0"/>
        <w:jc w:val="left"/>
      </w:pPr>
      <w:r>
        <w:rPr/>
        <w:t>理：</w:t>
      </w:r>
    </w:p>
    <w:p>
      <w:pPr>
        <w:pStyle w:val="BodyText"/>
        <w:spacing w:line="240" w:lineRule="auto" w:before="126"/>
        <w:ind w:left="1554" w:right="0"/>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9"/>
        <w:ind w:left="1553" w:right="0"/>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9"/>
        <w:ind w:left="1553" w:right="0"/>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10"/>
        <w:ind w:left="1553" w:right="0"/>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28" w:lineRule="auto" w:before="109"/>
        <w:ind w:left="1554" w:right="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1"/>
        </w:rPr>
        <w:t>公司向共同经营投出或出售资产等（该资产构成业务的除外），在该资产等由共同经营出售给第三方</w:t>
      </w:r>
    </w:p>
    <w:p>
      <w:pPr>
        <w:pStyle w:val="BodyText"/>
        <w:spacing w:line="348" w:lineRule="auto" w:before="48"/>
        <w:ind w:left="1134" w:right="0"/>
        <w:jc w:val="left"/>
      </w:pPr>
      <w:r>
        <w:rPr>
          <w:spacing w:val="-1"/>
        </w:rPr>
        <w:t>之前，仅确认因该交易产生的损益中归属于共同经营其他参与方的部分。投出或出售的资产发生符合《企</w:t>
      </w:r>
      <w:r>
        <w:rPr>
          <w:spacing w:val="-83"/>
        </w:rPr>
        <w:t> </w:t>
      </w:r>
      <w:r>
        <w:rPr>
          <w:spacing w:val="-83"/>
        </w:rPr>
      </w:r>
      <w:r>
        <w:rPr/>
        <w:t>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资产减值》等规定的资产减值损失的，公司全额确认该损失。</w:t>
      </w:r>
    </w:p>
    <w:p>
      <w:pPr>
        <w:pStyle w:val="BodyText"/>
        <w:spacing w:line="340" w:lineRule="auto" w:before="4"/>
        <w:ind w:right="0" w:firstLine="420"/>
        <w:jc w:val="left"/>
      </w:pPr>
      <w:r>
        <w:rPr>
          <w:spacing w:val="-1"/>
        </w:rPr>
        <w:t>公司自共同经营购买资产等（该资产构成业务的除外），在将该资产等出售给第三方之前，仅确认因</w:t>
      </w:r>
      <w:r>
        <w:rPr/>
        <w:t> 该交易产生的损益中归属于共同经营其他参与方的部分。购入的资产发生符合《企业会计准则第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 </w:t>
      </w:r>
      <w:r>
        <w:rPr/>
        <w:t>资产减值》等规定的资产减值损失的，公司按承担的份额确认该部分损失。</w:t>
      </w:r>
    </w:p>
    <w:p>
      <w:pPr>
        <w:pStyle w:val="BodyText"/>
        <w:spacing w:line="350" w:lineRule="auto" w:before="36"/>
        <w:ind w:right="1093" w:firstLine="420"/>
        <w:jc w:val="left"/>
      </w:pPr>
      <w:r>
        <w:rPr/>
        <w:t>公司对共同经营不享有共同控制，如果公司享有该共同经营相关资产且承担该共同经营相关负债的， 仍按上述原则进行会计处理，否则，应当按照相关企业会计准则的规定进行会计处理。</w:t>
      </w:r>
    </w:p>
    <w:p>
      <w:pPr>
        <w:spacing w:line="240" w:lineRule="auto" w:before="8"/>
        <w:rPr>
          <w:rFonts w:ascii="宋体" w:hAnsi="宋体" w:cs="宋体" w:eastAsia="宋体" w:hint="default"/>
          <w:sz w:val="16"/>
          <w:szCs w:val="16"/>
        </w:rPr>
      </w:pPr>
    </w:p>
    <w:p>
      <w:pPr>
        <w:pStyle w:val="Heading3"/>
        <w:spacing w:line="240" w:lineRule="auto"/>
        <w:ind w:left="1133" w:right="0"/>
        <w:jc w:val="left"/>
        <w:rPr>
          <w:b w:val="0"/>
          <w:bCs w:val="0"/>
        </w:rPr>
      </w:pPr>
      <w:bookmarkStart w:name="8、现金及现金等价物的确定标准" w:id="172"/>
      <w:bookmarkEnd w:id="17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1553" w:right="0"/>
        <w:jc w:val="left"/>
      </w:pPr>
      <w:r>
        <w:rPr/>
        <w:t>在编制现金流量表时，将公司库存现金以及可以随时用于支付的存款确认为现金。将同时具备期限短</w:t>
      </w:r>
    </w:p>
    <w:p>
      <w:pPr>
        <w:pStyle w:val="BodyText"/>
        <w:spacing w:line="350" w:lineRule="auto" w:before="124"/>
        <w:ind w:right="0"/>
        <w:jc w:val="left"/>
      </w:pPr>
      <w:r>
        <w:rPr>
          <w:spacing w:val="-1"/>
        </w:rPr>
        <w:t>（一般从购买日起，三个月内到期）、流动性强、易于转换为已知金额的现金、价值变动风险很小四个条</w:t>
      </w:r>
      <w:r>
        <w:rPr>
          <w:spacing w:val="-83"/>
        </w:rPr>
        <w:t> </w:t>
      </w:r>
      <w:r>
        <w:rPr>
          <w:spacing w:val="-83"/>
        </w:rPr>
      </w:r>
      <w:r>
        <w:rPr/>
        <w:t>件的投资，确定为现金等价物。</w:t>
      </w:r>
    </w:p>
    <w:p>
      <w:pPr>
        <w:spacing w:line="240" w:lineRule="auto" w:before="8"/>
        <w:rPr>
          <w:rFonts w:ascii="宋体" w:hAnsi="宋体" w:cs="宋体" w:eastAsia="宋体" w:hint="default"/>
          <w:sz w:val="16"/>
          <w:szCs w:val="16"/>
        </w:rPr>
      </w:pPr>
    </w:p>
    <w:p>
      <w:pPr>
        <w:pStyle w:val="Heading3"/>
        <w:spacing w:line="240" w:lineRule="auto"/>
        <w:ind w:left="1133" w:right="0"/>
        <w:jc w:val="left"/>
        <w:rPr>
          <w:b w:val="0"/>
          <w:bCs w:val="0"/>
        </w:rPr>
      </w:pPr>
      <w:bookmarkStart w:name="9、外币业务和外币报表折算" w:id="173"/>
      <w:bookmarkEnd w:id="17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
        <w:rPr>
          <w:rFonts w:ascii="宋体" w:hAnsi="宋体" w:cs="宋体" w:eastAsia="宋体" w:hint="default"/>
          <w:b/>
          <w:bCs/>
          <w:sz w:val="30"/>
          <w:szCs w:val="30"/>
        </w:rPr>
      </w:pPr>
    </w:p>
    <w:p>
      <w:pPr>
        <w:pStyle w:val="BodyText"/>
        <w:spacing w:line="338" w:lineRule="auto"/>
        <w:ind w:left="1553" w:right="1120" w:hanging="8"/>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外币业务交易在初始确认时，采用交易发生日的即期汇率作为折算汇率折合成人民币记账。 </w:t>
      </w:r>
      <w:r>
        <w:rPr>
          <w:spacing w:val="-1"/>
        </w:rPr>
        <w:t>资产负债表日，外币货币性项目按资产负债表日即期汇率折算，由此产生的汇兑差额，除属于与购建</w:t>
      </w:r>
    </w:p>
    <w:p>
      <w:pPr>
        <w:spacing w:after="0" w:line="33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right="1131"/>
        <w:jc w:val="both"/>
      </w:pPr>
      <w:r>
        <w:rPr>
          <w:spacing w:val="-1"/>
        </w:rPr>
        <w:t>符合资本化条件的资产相关的外币专门借款产生的汇兑差额按照借款费用资本化的原则处理外，均计入当</w:t>
      </w:r>
      <w:r>
        <w:rPr>
          <w:spacing w:val="-81"/>
        </w:rPr>
        <w:t> </w:t>
      </w:r>
      <w:r>
        <w:rPr>
          <w:spacing w:val="-81"/>
        </w:rPr>
      </w:r>
      <w:r>
        <w:rPr>
          <w:spacing w:val="-1"/>
        </w:rPr>
        <w:t>期损益。以历史成本计量的外币非货币性项目，仍采用交易发生日的即期汇率折算，不改变其记账本位币</w:t>
      </w:r>
      <w:r>
        <w:rPr>
          <w:spacing w:val="-83"/>
        </w:rPr>
        <w:t> </w:t>
      </w:r>
      <w:r>
        <w:rPr>
          <w:spacing w:val="-83"/>
        </w:rPr>
      </w:r>
      <w:r>
        <w:rPr/>
        <w:t>金额。</w:t>
      </w:r>
    </w:p>
    <w:p>
      <w:pPr>
        <w:pStyle w:val="BodyText"/>
        <w:spacing w:line="350" w:lineRule="auto" w:before="28"/>
        <w:ind w:right="1130" w:firstLine="420"/>
        <w:jc w:val="both"/>
      </w:pPr>
      <w:r>
        <w:rPr>
          <w:spacing w:val="-1"/>
        </w:rPr>
        <w:t>以公允价值计量的外币非货币性项目，采用公允价值确定日的即期汇率折算，由此产生的汇兑差额作</w:t>
      </w:r>
      <w:r>
        <w:rPr/>
        <w:t> </w:t>
      </w:r>
      <w:r>
        <w:rPr>
          <w:spacing w:val="-1"/>
        </w:rPr>
        <w:t>为公允价值变动损益计入当期损益。如属于可供出售外币非货币性项目的，形成的汇兑差额计入其他综合</w:t>
      </w:r>
      <w:r>
        <w:rPr>
          <w:spacing w:val="-81"/>
        </w:rPr>
        <w:t> </w:t>
      </w:r>
      <w:r>
        <w:rPr>
          <w:spacing w:val="-81"/>
        </w:rPr>
      </w:r>
      <w:r>
        <w:rPr/>
        <w:t>收益。</w:t>
      </w:r>
    </w:p>
    <w:p>
      <w:pPr>
        <w:spacing w:line="328" w:lineRule="auto" w:before="28"/>
        <w:ind w:left="1553" w:right="1210" w:firstLine="9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28" w:lineRule="auto" w:before="24"/>
        <w:ind w:right="1226"/>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汇率折算。按照上述折算产生的外币财务报表折算差额计入其他综合收益。</w:t>
      </w:r>
    </w:p>
    <w:p>
      <w:pPr>
        <w:pStyle w:val="BodyText"/>
        <w:spacing w:line="350" w:lineRule="auto" w:before="47"/>
        <w:ind w:right="1131" w:firstLine="420"/>
        <w:jc w:val="both"/>
      </w:pPr>
      <w:r>
        <w:rPr>
          <w:spacing w:val="-1"/>
        </w:rPr>
        <w:t>处置境外经营时，将资产负债表中其他综合收益项目中列示的、与该境外经营相关的外币财务报表折</w:t>
      </w:r>
      <w:r>
        <w:rPr/>
        <w:t> </w:t>
      </w:r>
      <w:r>
        <w:rPr>
          <w:spacing w:val="-1"/>
        </w:rPr>
        <w:t>算差额，自其他综合收益项目转入处置当期损益；在处置部分股权投资或其他原因导致持有境外经营权益</w:t>
      </w:r>
      <w:r>
        <w:rPr>
          <w:spacing w:val="-81"/>
        </w:rPr>
        <w:t> </w:t>
      </w:r>
      <w:r>
        <w:rPr>
          <w:spacing w:val="-81"/>
        </w:rPr>
      </w:r>
      <w:r>
        <w:rPr>
          <w:spacing w:val="-1"/>
        </w:rPr>
        <w:t>比例降低但不丧失对境外经营控制权时，与该境外经营处置部分相关的外币报表折算差额将归属于少数股</w:t>
      </w:r>
      <w:r>
        <w:rPr>
          <w:spacing w:val="-81"/>
        </w:rPr>
        <w:t> </w:t>
      </w:r>
      <w:r>
        <w:rPr>
          <w:spacing w:val="-81"/>
        </w:rPr>
      </w:r>
      <w:r>
        <w:rPr>
          <w:spacing w:val="-1"/>
        </w:rPr>
        <w:t>东权益，不转入当期损益。在处置境外经营为联营企业或合营企业的部分股权时，与该境外经营相关的外</w:t>
      </w:r>
      <w:r>
        <w:rPr>
          <w:spacing w:val="-83"/>
        </w:rPr>
        <w:t> </w:t>
      </w:r>
      <w:r>
        <w:rPr>
          <w:spacing w:val="-83"/>
        </w:rPr>
      </w:r>
      <w:r>
        <w:rPr/>
        <w:t>币报表折算差额，按处置该境外经营的比例转入处置当期损益。</w:t>
      </w:r>
    </w:p>
    <w:p>
      <w:pPr>
        <w:spacing w:line="240" w:lineRule="auto" w:before="8"/>
        <w:rPr>
          <w:rFonts w:ascii="宋体" w:hAnsi="宋体" w:cs="宋体" w:eastAsia="宋体" w:hint="default"/>
          <w:sz w:val="16"/>
          <w:szCs w:val="16"/>
        </w:rPr>
      </w:pPr>
    </w:p>
    <w:p>
      <w:pPr>
        <w:pStyle w:val="Heading3"/>
        <w:spacing w:line="240" w:lineRule="auto"/>
        <w:ind w:left="1133" w:right="0"/>
        <w:jc w:val="left"/>
        <w:rPr>
          <w:b w:val="0"/>
          <w:bCs w:val="0"/>
        </w:rPr>
      </w:pPr>
      <w:bookmarkStart w:name="10、金融工具" w:id="174"/>
      <w:bookmarkEnd w:id="17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1554" w:right="0"/>
        <w:jc w:val="left"/>
      </w:pPr>
      <w:r>
        <w:rPr/>
        <w:t>金融工具包括金融资产、金融负债和权益工具。</w:t>
      </w:r>
    </w:p>
    <w:p>
      <w:pPr>
        <w:pStyle w:val="BodyText"/>
        <w:spacing w:line="331" w:lineRule="auto" w:before="124"/>
        <w:ind w:left="1554" w:right="0" w:firstLine="2"/>
        <w:jc w:val="left"/>
      </w:pP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管理层根据所发行金融工具的合同条款及其所反映的经济实质而非仅以法律形式，结合取得持有金融</w:t>
      </w:r>
    </w:p>
    <w:p>
      <w:pPr>
        <w:pStyle w:val="BodyText"/>
        <w:spacing w:line="348" w:lineRule="auto" w:before="45"/>
        <w:ind w:left="1134" w:right="1131"/>
        <w:jc w:val="both"/>
      </w:pPr>
      <w:r>
        <w:rPr>
          <w:spacing w:val="-1"/>
        </w:rPr>
        <w:t>资产和承担金融负债的目的，将金融资产和金融负债分为不同类别：以公允价值计量且其变动计入当期损</w:t>
      </w:r>
      <w:r>
        <w:rPr>
          <w:spacing w:val="-81"/>
        </w:rPr>
        <w:t> </w:t>
      </w:r>
      <w:r>
        <w:rPr>
          <w:spacing w:val="-81"/>
        </w:rPr>
      </w:r>
      <w:r>
        <w:rPr/>
        <w:t>益的金融资产（或金融负债）；持有至到期投资；应收款项；可供出售金融资产；其他金融负债等。</w:t>
      </w:r>
    </w:p>
    <w:p>
      <w:pPr>
        <w:pStyle w:val="Heading3"/>
        <w:spacing w:line="240" w:lineRule="auto" w:before="31"/>
        <w:ind w:left="1556"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BodyText"/>
        <w:spacing w:line="328" w:lineRule="auto" w:before="109"/>
        <w:ind w:left="1553"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以公允价值计量且其变动计入当期损益的金融资产或金融负债，包括交易性金融资产或金融负债和直</w:t>
      </w:r>
    </w:p>
    <w:p>
      <w:pPr>
        <w:pStyle w:val="BodyText"/>
        <w:spacing w:line="348" w:lineRule="auto" w:before="48"/>
        <w:ind w:left="1553" w:right="3403" w:hanging="420"/>
        <w:jc w:val="left"/>
      </w:pPr>
      <w:r>
        <w:rPr/>
        <w:t>接指定为以公允价值计量且其变动计入当期损益的金融资产或金融负债。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28" w:lineRule="auto" w:before="5"/>
        <w:ind w:left="1134" w:right="1215" w:firstLine="420"/>
        <w:jc w:val="both"/>
      </w:pPr>
      <w:r>
        <w:rPr>
          <w:rFonts w:ascii="Times New Roman" w:hAnsi="Times New Roman" w:cs="Times New Roman" w:eastAsia="Times New Roman" w:hint="default"/>
        </w:rPr>
        <w:t>2</w:t>
      </w:r>
      <w:r>
        <w:rPr/>
        <w:t>）属于进行集中管理的可辨认金融工具组合的一部分，且有客观证据表明公司近期采用短期获利方 式对该组合进行管理；</w:t>
      </w:r>
    </w:p>
    <w:p>
      <w:pPr>
        <w:pStyle w:val="BodyText"/>
        <w:spacing w:line="340" w:lineRule="auto" w:before="47"/>
        <w:ind w:left="1134" w:right="1197" w:firstLine="420"/>
        <w:jc w:val="left"/>
      </w:pPr>
      <w:r>
        <w:rPr>
          <w:rFonts w:ascii="Times New Roman" w:hAnsi="Times New Roman" w:cs="Times New Roman" w:eastAsia="Times New Roman" w:hint="default"/>
        </w:rPr>
        <w:t>3</w:t>
      </w:r>
      <w:r>
        <w:rPr/>
        <w:t>）属于衍生金融工具，但是被指定为有效套期工具的衍生工具、属于财务担保合同的衍生工具、与 在活跃市场中没有报价且其公允价值不能可靠计量的权益工具投资挂钩并须通过交付该权益工具结算的 衍生工具除外。</w:t>
      </w:r>
    </w:p>
    <w:p>
      <w:pPr>
        <w:pStyle w:val="BodyText"/>
        <w:spacing w:line="240" w:lineRule="auto" w:before="36"/>
        <w:ind w:left="1554" w:right="0"/>
        <w:jc w:val="left"/>
      </w:pPr>
      <w:r>
        <w:rPr/>
        <w:t>只有符合以下条件之一，金融资产或金融负债才可在初始计量时指定为以公允价值计量且其变动计入</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both"/>
      </w:pPr>
      <w:r>
        <w:rPr/>
        <w:t>损益的金融资产或金融负债：</w:t>
      </w:r>
    </w:p>
    <w:p>
      <w:pPr>
        <w:pStyle w:val="BodyText"/>
        <w:spacing w:line="331" w:lineRule="auto" w:before="124"/>
        <w:ind w:right="1198" w:firstLine="420"/>
        <w:jc w:val="left"/>
      </w:pPr>
      <w:r>
        <w:rPr>
          <w:rFonts w:ascii="Times New Roman" w:hAnsi="Times New Roman" w:cs="Times New Roman" w:eastAsia="Times New Roman" w:hint="default"/>
        </w:rPr>
        <w:t>1</w:t>
      </w:r>
      <w:r>
        <w:rPr/>
        <w:t>）该项指定可以消除或明显减少由于金融资产或金融负债的计量基础不同所导致的相关利得或损失 在确认或计量方面不一致的情况；</w:t>
      </w:r>
    </w:p>
    <w:p>
      <w:pPr>
        <w:pStyle w:val="BodyText"/>
        <w:spacing w:line="328" w:lineRule="auto" w:before="45"/>
        <w:ind w:right="1198" w:firstLine="420"/>
        <w:jc w:val="left"/>
      </w:pPr>
      <w:r>
        <w:rPr>
          <w:rFonts w:ascii="Times New Roman" w:hAnsi="Times New Roman" w:cs="Times New Roman" w:eastAsia="Times New Roman" w:hint="default"/>
        </w:rPr>
        <w:t>2</w:t>
      </w:r>
      <w:r>
        <w:rPr/>
        <w:t>）风险管理或投资策略的正式书面文件已载明，该金融资产组合、该金融负债组合、或该金融资产 和金融负债组合，以公允价值为基础进行管理、评价并向关键管理人员报告；</w:t>
      </w:r>
    </w:p>
    <w:p>
      <w:pPr>
        <w:pStyle w:val="BodyText"/>
        <w:spacing w:line="328" w:lineRule="auto" w:before="48"/>
        <w:ind w:right="1198" w:firstLine="420"/>
        <w:jc w:val="left"/>
      </w:pPr>
      <w:r>
        <w:rPr>
          <w:rFonts w:ascii="Times New Roman" w:hAnsi="Times New Roman" w:cs="Times New Roman" w:eastAsia="Times New Roman" w:hint="default"/>
        </w:rPr>
        <w:t>3</w:t>
      </w:r>
      <w:r>
        <w:rPr/>
        <w:t>）包含一项或多项嵌入衍生工具的混合工具，除非嵌入衍生工具对混合工具的现金流量没有重大改 变，或所嵌入的衍生工具明显不应当从相关混合工具中分拆；</w:t>
      </w:r>
    </w:p>
    <w:p>
      <w:pPr>
        <w:pStyle w:val="BodyText"/>
        <w:spacing w:line="331" w:lineRule="auto" w:before="47"/>
        <w:ind w:right="1198" w:firstLine="42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 具。</w:t>
      </w:r>
    </w:p>
    <w:p>
      <w:pPr>
        <w:pStyle w:val="BodyText"/>
        <w:spacing w:line="350" w:lineRule="auto" w:before="45"/>
        <w:ind w:left="1134" w:right="1130" w:firstLine="420"/>
        <w:jc w:val="both"/>
      </w:pPr>
      <w:r>
        <w:rPr>
          <w:spacing w:val="-1"/>
        </w:rPr>
        <w:t>公司对以公允价值计量且其变动计入当期损益的金融资产或金融负债，在取得时以公允价值（扣除已</w:t>
      </w:r>
      <w:r>
        <w:rPr/>
        <w:t> </w:t>
      </w:r>
      <w:r>
        <w:rPr>
          <w:spacing w:val="-1"/>
        </w:rPr>
        <w:t>宣告但尚未发放的现金股利或已到付息期但尚未领取的债券利息）作为初始确认金额，相关的交易费用计</w:t>
      </w:r>
      <w:r>
        <w:rPr>
          <w:spacing w:val="-81"/>
        </w:rPr>
        <w:t> </w:t>
      </w:r>
      <w:r>
        <w:rPr>
          <w:spacing w:val="-81"/>
        </w:rPr>
      </w:r>
      <w:r>
        <w:rPr>
          <w:spacing w:val="-1"/>
        </w:rPr>
        <w:t>入当期损益。持有期间将取得的利息或现金股利确认为投资收益，期末将公允价值变动计入当期损益。处</w:t>
      </w:r>
      <w:r>
        <w:rPr>
          <w:spacing w:val="-83"/>
        </w:rPr>
        <w:t> </w:t>
      </w:r>
      <w:r>
        <w:rPr>
          <w:spacing w:val="-83"/>
        </w:rPr>
      </w:r>
      <w:r>
        <w:rPr/>
        <w:t>置时，其公允价值与初始入账金额之间的差额确认为投资收益，同时调整公允价值变动损益。</w:t>
      </w:r>
    </w:p>
    <w:p>
      <w:pPr>
        <w:pStyle w:val="BodyText"/>
        <w:spacing w:line="331" w:lineRule="auto" w:before="28"/>
        <w:ind w:left="1553" w:right="0"/>
        <w:jc w:val="left"/>
      </w:pPr>
      <w:r>
        <w:rPr/>
        <w:t>（</w:t>
      </w:r>
      <w:r>
        <w:rPr>
          <w:rFonts w:ascii="Times New Roman" w:hAnsi="Times New Roman" w:cs="Times New Roman" w:eastAsia="Times New Roman" w:hint="default"/>
        </w:rPr>
        <w:t>2</w:t>
      </w:r>
      <w:r>
        <w:rPr/>
        <w:t>）应收款项 </w:t>
      </w:r>
      <w:r>
        <w:rPr>
          <w:spacing w:val="-1"/>
        </w:rPr>
        <w:t>公司对外销售商品或提供劳务形成的应收债权，以及公司持有的其他企业的不包括在活跃市场上有报</w:t>
      </w:r>
    </w:p>
    <w:p>
      <w:pPr>
        <w:pStyle w:val="BodyText"/>
        <w:spacing w:line="348" w:lineRule="auto" w:before="45"/>
        <w:ind w:right="1133"/>
        <w:jc w:val="both"/>
      </w:pPr>
      <w:r>
        <w:rPr>
          <w:spacing w:val="-1"/>
        </w:rPr>
        <w:t>价的债务工具的债权，包括应收账款、其他应收款、应收票据、预付账款等，以向购货方应收的合同或协</w:t>
      </w:r>
      <w:r>
        <w:rPr>
          <w:spacing w:val="-83"/>
        </w:rPr>
        <w:t> </w:t>
      </w:r>
      <w:r>
        <w:rPr>
          <w:spacing w:val="-83"/>
        </w:rPr>
      </w:r>
      <w:r>
        <w:rPr/>
        <w:t>议价款作为初始确认金额；具有融资性质的，按其现值进行初始确认。</w:t>
      </w:r>
    </w:p>
    <w:p>
      <w:pPr>
        <w:pStyle w:val="BodyText"/>
        <w:spacing w:line="240" w:lineRule="auto" w:before="32"/>
        <w:ind w:left="1553" w:right="0"/>
        <w:jc w:val="left"/>
      </w:pPr>
      <w:r>
        <w:rPr/>
        <w:t>收回或处置时，将取得的价款与该应收款项账面价值之间的差额计入当期损益。</w:t>
      </w:r>
    </w:p>
    <w:p>
      <w:pPr>
        <w:pStyle w:val="BodyText"/>
        <w:spacing w:line="328" w:lineRule="auto" w:before="124"/>
        <w:ind w:left="1553" w:right="0"/>
        <w:jc w:val="left"/>
      </w:pPr>
      <w:r>
        <w:rPr/>
        <w:t>（</w:t>
      </w:r>
      <w:r>
        <w:rPr>
          <w:rFonts w:ascii="Times New Roman" w:hAnsi="Times New Roman" w:cs="Times New Roman" w:eastAsia="Times New Roman" w:hint="default"/>
        </w:rPr>
        <w:t>3</w:t>
      </w:r>
      <w:r>
        <w:rPr/>
        <w:t>）持有至到期投资 </w:t>
      </w:r>
      <w:r>
        <w:rPr>
          <w:spacing w:val="-1"/>
        </w:rPr>
        <w:t>持有至到期投资是指到期日固定、回收金额固定或可确定，且公司有明确意图和能力持有至到期的非</w:t>
      </w:r>
    </w:p>
    <w:p>
      <w:pPr>
        <w:pStyle w:val="BodyText"/>
        <w:spacing w:line="348" w:lineRule="auto" w:before="48"/>
        <w:ind w:left="1553" w:right="0" w:hanging="420"/>
        <w:jc w:val="left"/>
      </w:pPr>
      <w:r>
        <w:rPr/>
        <w:t>衍生性金融资产。 </w:t>
      </w:r>
      <w:r>
        <w:rPr>
          <w:spacing w:val="-1"/>
        </w:rPr>
        <w:t>公司对持有至到期投资，在取得时按公允价值（扣除已到付息期但尚未领取的债券利息）和相关交易</w:t>
      </w:r>
    </w:p>
    <w:p>
      <w:pPr>
        <w:pStyle w:val="BodyText"/>
        <w:spacing w:line="350" w:lineRule="auto" w:before="30"/>
        <w:ind w:right="1131"/>
        <w:jc w:val="both"/>
      </w:pPr>
      <w:r>
        <w:rPr>
          <w:spacing w:val="-1"/>
        </w:rPr>
        <w:t>费用之和作为初始确认金额。持有期间按照摊余成本和实际利率计算确认利息收入，计入投资收益。实际</w:t>
      </w:r>
      <w:r>
        <w:rPr>
          <w:spacing w:val="-83"/>
        </w:rPr>
        <w:t> </w:t>
      </w:r>
      <w:r>
        <w:rPr>
          <w:spacing w:val="-83"/>
        </w:rPr>
      </w:r>
      <w:r>
        <w:rPr>
          <w:spacing w:val="-1"/>
        </w:rPr>
        <w:t>利率在取得时确定，在该预期存续期间或适用的更短期间内保持不变。处置时，将所取得价款与该投资账</w:t>
      </w:r>
      <w:r>
        <w:rPr>
          <w:spacing w:val="-83"/>
        </w:rPr>
        <w:t> </w:t>
      </w:r>
      <w:r>
        <w:rPr>
          <w:spacing w:val="-83"/>
        </w:rPr>
      </w:r>
      <w:r>
        <w:rPr/>
        <w:t>面价值之间的差额计入投资收益。</w:t>
      </w:r>
    </w:p>
    <w:p>
      <w:pPr>
        <w:pStyle w:val="BodyText"/>
        <w:spacing w:line="350" w:lineRule="auto" w:before="28"/>
        <w:ind w:right="0" w:firstLine="420"/>
        <w:jc w:val="left"/>
      </w:pPr>
      <w:r>
        <w:rPr>
          <w:spacing w:val="-1"/>
        </w:rPr>
        <w:t>如果持有至到期投资处置或重分类为其他类金融资产的金额，相对于公司全部持有至到期投资在出售</w:t>
      </w:r>
      <w:r>
        <w:rPr/>
        <w:t> 或重分类前的总额较大，在处置或重分类后应立即将其剩余的持有至到期投资重分类为可供出售金融资 </w:t>
      </w:r>
      <w:r>
        <w:rPr>
          <w:spacing w:val="-1"/>
        </w:rPr>
        <w:t>产；重分类日，该投资的账面价值与其公允价值之间的差额计入其他综合收益，在该可供出售金融资产发</w:t>
      </w:r>
      <w:r>
        <w:rPr>
          <w:spacing w:val="-83"/>
        </w:rPr>
        <w:t> </w:t>
      </w:r>
      <w:r>
        <w:rPr>
          <w:spacing w:val="-83"/>
        </w:rPr>
      </w:r>
      <w:r>
        <w:rPr/>
        <w:t>生减值或终止确认时转出，计入当期损益。但是，遇到下列情况可以除外：</w:t>
      </w:r>
    </w:p>
    <w:p>
      <w:pPr>
        <w:pStyle w:val="BodyText"/>
        <w:spacing w:line="328" w:lineRule="auto" w:before="29"/>
        <w:ind w:right="0" w:firstLine="420"/>
        <w:jc w:val="left"/>
      </w:pPr>
      <w:r>
        <w:rPr>
          <w:rFonts w:ascii="Times New Roman" w:hAnsi="Times New Roman" w:cs="Times New Roman" w:eastAsia="Times New Roman" w:hint="default"/>
          <w:spacing w:val="-2"/>
        </w:rPr>
        <w:t>1</w:t>
      </w:r>
      <w:r>
        <w:rPr>
          <w:spacing w:val="-2"/>
        </w:rPr>
        <w:t>）出售日或重分类日距离该项投资到期日或赎回日较近</w:t>
      </w:r>
      <w:r>
        <w:rPr>
          <w:rFonts w:ascii="Times New Roman" w:hAnsi="Times New Roman" w:cs="Times New Roman" w:eastAsia="Times New Roman" w:hint="default"/>
          <w:spacing w:val="-2"/>
        </w:rPr>
        <w:t>(</w:t>
      </w:r>
      <w:r>
        <w:rPr>
          <w:spacing w:val="-2"/>
        </w:rPr>
        <w:t>如到期前三个月内</w:t>
      </w:r>
      <w:r>
        <w:rPr>
          <w:rFonts w:ascii="Times New Roman" w:hAnsi="Times New Roman" w:cs="Times New Roman" w:eastAsia="Times New Roman" w:hint="default"/>
          <w:spacing w:val="-2"/>
        </w:rPr>
        <w:t>)</w:t>
      </w:r>
      <w:r>
        <w:rPr>
          <w:spacing w:val="-2"/>
        </w:rPr>
        <w:t>，且市场利率变化对该项</w:t>
      </w:r>
      <w:r>
        <w:rPr/>
        <w:t> 投资的公允价值没有显著影响。</w:t>
      </w:r>
    </w:p>
    <w:p>
      <w:pPr>
        <w:pStyle w:val="BodyText"/>
        <w:spacing w:line="240" w:lineRule="auto" w:before="47"/>
        <w:ind w:left="1554"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110"/>
        <w:ind w:left="1553"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240" w:lineRule="auto" w:before="109"/>
        <w:ind w:left="1554" w:right="0"/>
        <w:jc w:val="left"/>
      </w:pPr>
      <w:r>
        <w:rPr/>
        <w:t>（</w:t>
      </w:r>
      <w:r>
        <w:rPr>
          <w:rFonts w:ascii="Times New Roman" w:hAnsi="Times New Roman" w:cs="Times New Roman" w:eastAsia="Times New Roman" w:hint="default"/>
        </w:rPr>
        <w:t>4</w:t>
      </w:r>
      <w:r>
        <w:rPr/>
        <w:t>）可供出售金融资产</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1" w:firstLine="420"/>
        <w:jc w:val="both"/>
      </w:pPr>
      <w:r>
        <w:rPr>
          <w:spacing w:val="-1"/>
        </w:rPr>
        <w:t>可供出售金融资产，是指初始确认时即指定为可供出售的非衍生金融资产，以及除其他金融资产类别</w:t>
      </w:r>
      <w:r>
        <w:rPr/>
        <w:t> 以外的金融资产。</w:t>
      </w:r>
    </w:p>
    <w:p>
      <w:pPr>
        <w:pStyle w:val="BodyText"/>
        <w:spacing w:line="350" w:lineRule="auto" w:before="31"/>
        <w:ind w:right="1131" w:firstLine="420"/>
        <w:jc w:val="both"/>
      </w:pPr>
      <w:r>
        <w:rPr>
          <w:spacing w:val="-1"/>
        </w:rPr>
        <w:t>公司对可供出售金融资产，在取得时按公允价值（扣除已宣告但尚未发放的现金股利或已到付息期但</w:t>
      </w:r>
      <w:r>
        <w:rPr/>
        <w:t> </w:t>
      </w:r>
      <w:r>
        <w:rPr>
          <w:spacing w:val="-1"/>
        </w:rPr>
        <w:t>尚未领取的债券利息）和相关交易费用之和作为初始确认金额。持有期间将取得的利息或现金股利确认为</w:t>
      </w:r>
      <w:r>
        <w:rPr>
          <w:spacing w:val="-81"/>
        </w:rPr>
        <w:t> </w:t>
      </w:r>
      <w:r>
        <w:rPr>
          <w:spacing w:val="-81"/>
        </w:rPr>
      </w:r>
      <w:r>
        <w:rPr>
          <w:spacing w:val="-1"/>
        </w:rPr>
        <w:t>投资收益。可供出售金融资产的公允价值变动形成的利得或损失，除减值损失和外币货币性金融资产形成</w:t>
      </w:r>
      <w:r>
        <w:rPr>
          <w:spacing w:val="-81"/>
        </w:rPr>
        <w:t> </w:t>
      </w:r>
      <w:r>
        <w:rPr>
          <w:spacing w:val="-81"/>
        </w:rPr>
      </w:r>
      <w:r>
        <w:rPr>
          <w:spacing w:val="-1"/>
        </w:rPr>
        <w:t>的汇兑差额外，直接计入其他综合收益。处置可供出售金融资产时，将取得的价款与该金融资产账面价值</w:t>
      </w:r>
      <w:r>
        <w:rPr>
          <w:spacing w:val="-83"/>
        </w:rPr>
        <w:t> </w:t>
      </w:r>
      <w:r>
        <w:rPr>
          <w:spacing w:val="-83"/>
        </w:rPr>
      </w:r>
      <w:r>
        <w:rPr>
          <w:spacing w:val="-1"/>
        </w:rPr>
        <w:t>之间的差额，计入投资损益；同时，将原直接计入其他综合收益的公允价值变动累计额对应处置部分的金</w:t>
      </w:r>
      <w:r>
        <w:rPr>
          <w:spacing w:val="-83"/>
        </w:rPr>
        <w:t> </w:t>
      </w:r>
      <w:r>
        <w:rPr>
          <w:spacing w:val="-83"/>
        </w:rPr>
      </w:r>
      <w:r>
        <w:rPr/>
        <w:t>额转出，计入投资损益。</w:t>
      </w:r>
    </w:p>
    <w:p>
      <w:pPr>
        <w:pStyle w:val="BodyText"/>
        <w:spacing w:line="348" w:lineRule="auto" w:before="29"/>
        <w:ind w:left="1134" w:right="1132" w:firstLine="420"/>
        <w:jc w:val="both"/>
      </w:pPr>
      <w:r>
        <w:rPr>
          <w:spacing w:val="-1"/>
        </w:rPr>
        <w:t>公司对在活跃市场中没有报价且其公允价值不能可靠计量的权益工具投资，以及与该权益工具挂钩并</w:t>
      </w:r>
      <w:r>
        <w:rPr/>
        <w:t> 须通过交付该权益工具结算的衍生金融资产，按照成本计量。</w:t>
      </w:r>
    </w:p>
    <w:p>
      <w:pPr>
        <w:pStyle w:val="BodyText"/>
        <w:spacing w:line="336" w:lineRule="auto" w:before="30"/>
        <w:ind w:left="1546" w:right="1120" w:firstLine="7"/>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1"/>
        </w:rPr>
        <w:t>公司发生金融资产转移时，如已将金融资产所有权上几乎所有的风险和报酬转移给转入方，则终止确</w:t>
      </w:r>
    </w:p>
    <w:p>
      <w:pPr>
        <w:pStyle w:val="BodyText"/>
        <w:spacing w:line="348" w:lineRule="auto" w:before="42"/>
        <w:ind w:left="1553" w:right="0"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350" w:lineRule="auto" w:before="30"/>
        <w:ind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28"/>
        <w:ind w:left="1553" w:right="0"/>
        <w:jc w:val="left"/>
      </w:pPr>
      <w:r>
        <w:rPr/>
        <w:t>（</w:t>
      </w:r>
      <w:r>
        <w:rPr>
          <w:rFonts w:ascii="Times New Roman" w:hAnsi="Times New Roman" w:cs="Times New Roman" w:eastAsia="Times New Roman" w:hint="default"/>
        </w:rPr>
        <w:t>1</w:t>
      </w:r>
      <w:r>
        <w:rPr/>
        <w:t>）所转移金融资产的账面价值；</w:t>
      </w:r>
    </w:p>
    <w:p>
      <w:pPr>
        <w:pStyle w:val="BodyText"/>
        <w:spacing w:line="331" w:lineRule="auto" w:before="109"/>
        <w:ind w:right="1215" w:firstLine="420"/>
        <w:jc w:val="both"/>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 为可供出售金融资产的情形）之和。</w:t>
      </w:r>
    </w:p>
    <w:p>
      <w:pPr>
        <w:pStyle w:val="BodyText"/>
        <w:spacing w:line="348" w:lineRule="auto" w:before="45"/>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31"/>
        <w:ind w:left="1553" w:right="0"/>
        <w:jc w:val="left"/>
      </w:pPr>
      <w:r>
        <w:rPr/>
        <w:t>（</w:t>
      </w:r>
      <w:r>
        <w:rPr>
          <w:rFonts w:ascii="Times New Roman" w:hAnsi="Times New Roman" w:cs="Times New Roman" w:eastAsia="Times New Roman" w:hint="default"/>
        </w:rPr>
        <w:t>1</w:t>
      </w:r>
      <w:r>
        <w:rPr/>
        <w:t>）终止确认部分的账面价值；</w:t>
      </w:r>
    </w:p>
    <w:p>
      <w:pPr>
        <w:pStyle w:val="BodyText"/>
        <w:spacing w:line="328" w:lineRule="auto" w:before="109"/>
        <w:ind w:right="1215" w:firstLine="420"/>
        <w:jc w:val="both"/>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338" w:lineRule="auto" w:before="48"/>
        <w:ind w:left="1546" w:right="0" w:firstLine="7"/>
        <w:jc w:val="left"/>
      </w:pPr>
      <w:r>
        <w:rPr/>
        <w:t>金融资产转移不满足终止确认条件的，继续确认该金融资产，所收到的对价确认为一项金融负债。 </w:t>
      </w:r>
      <w:r>
        <w:rPr>
          <w:rFonts w:ascii="Times New Roman" w:hAnsi="Times New Roman" w:cs="Times New Roman" w:eastAsia="Times New Roman" w:hint="default"/>
          <w:b/>
          <w:bCs/>
        </w:rPr>
        <w:t>4.</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金融负债的现时义务全部或部分已经解除的，则终止确认该金融负债或其一部分；公司若与债权人签</w:t>
      </w:r>
    </w:p>
    <w:p>
      <w:pPr>
        <w:pStyle w:val="BodyText"/>
        <w:spacing w:line="348" w:lineRule="auto" w:before="40"/>
        <w:ind w:right="0"/>
        <w:jc w:val="left"/>
      </w:pPr>
      <w:r>
        <w:rPr>
          <w:spacing w:val="-1"/>
        </w:rPr>
        <w:t>定协议，以承担新金融负债方式替换现存金融负债，且新金融负债与现存金融负债的合同条款实质上不同</w:t>
      </w:r>
      <w:r>
        <w:rPr>
          <w:spacing w:val="-81"/>
        </w:rPr>
        <w:t> </w:t>
      </w:r>
      <w:r>
        <w:rPr>
          <w:spacing w:val="-81"/>
        </w:rPr>
      </w:r>
      <w:r>
        <w:rPr/>
        <w:t>的，则终止确认现存金融负债，并同时确认新金融负债。</w:t>
      </w:r>
    </w:p>
    <w:p>
      <w:pPr>
        <w:pStyle w:val="BodyText"/>
        <w:spacing w:line="350" w:lineRule="auto" w:before="30"/>
        <w:ind w:left="1134"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40" w:lineRule="auto" w:before="28"/>
        <w:ind w:left="1554" w:right="0"/>
        <w:jc w:val="left"/>
      </w:pPr>
      <w:r>
        <w:rPr/>
        <w:t>金融负债全部或部分终止确认时，终止确认的金融负债账面价值与支付对价（包括转出的非现金资产</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或承担的新金融负债）之间的差额，计入当期损益。 </w:t>
      </w:r>
      <w:r>
        <w:rPr>
          <w:spacing w:val="-1"/>
        </w:rPr>
        <w:t>公司若回购部分金融负债的，在回购日按照继续确认部分与终止确认部分的相对公允价值，将该金融</w:t>
      </w:r>
    </w:p>
    <w:p>
      <w:pPr>
        <w:pStyle w:val="BodyText"/>
        <w:spacing w:line="350" w:lineRule="auto" w:before="31"/>
        <w:ind w:right="0"/>
        <w:jc w:val="left"/>
      </w:pPr>
      <w:r>
        <w:rPr>
          <w:spacing w:val="-1"/>
        </w:rPr>
        <w:t>负债整体的账面价值进行分配。分配给终止确认部分的账面价值与支付的对价（包括转出的非现金资产或</w:t>
      </w:r>
      <w:r>
        <w:rPr>
          <w:spacing w:val="-81"/>
        </w:rPr>
        <w:t> </w:t>
      </w:r>
      <w:r>
        <w:rPr>
          <w:spacing w:val="-81"/>
        </w:rPr>
      </w:r>
      <w:r>
        <w:rPr/>
        <w:t>承担的新金融负债）之间的差额，计入当期损益。</w:t>
      </w:r>
    </w:p>
    <w:p>
      <w:pPr>
        <w:spacing w:line="331" w:lineRule="auto" w:before="28"/>
        <w:ind w:left="155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公司采用公允价值计量的金融资产和金融负债存在活跃市场的金融资产或金融负债，以活跃市场的报</w:t>
      </w:r>
    </w:p>
    <w:p>
      <w:pPr>
        <w:spacing w:line="357" w:lineRule="auto" w:before="45"/>
        <w:ind w:left="1133" w:right="0" w:firstLine="0"/>
        <w:jc w:val="left"/>
        <w:rPr>
          <w:rFonts w:ascii="宋体" w:hAnsi="宋体" w:cs="宋体" w:eastAsia="宋体" w:hint="default"/>
          <w:sz w:val="21"/>
          <w:szCs w:val="21"/>
        </w:rPr>
      </w:pPr>
      <w:r>
        <w:rPr>
          <w:rFonts w:ascii="宋体" w:hAnsi="宋体" w:cs="宋体" w:eastAsia="宋体" w:hint="default"/>
          <w:spacing w:val="-1"/>
          <w:sz w:val="21"/>
          <w:szCs w:val="21"/>
        </w:rPr>
        <w:t>价确定其公允价值；初始取得或衍生的金融资产或承担的金融负债，以市场交易价格作为确定其公允价值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的基础；不存在活跃市场的金融资产或金融负债，采用估值技术确定其公允价值。</w:t>
      </w:r>
      <w:r>
        <w:rPr>
          <w:rFonts w:ascii="宋体" w:hAnsi="宋体" w:cs="宋体" w:eastAsia="宋体" w:hint="default"/>
          <w:sz w:val="20"/>
          <w:szCs w:val="20"/>
        </w:rPr>
        <w:t>在估值时，公司采用在</w:t>
      </w:r>
      <w:r>
        <w:rPr>
          <w:rFonts w:ascii="宋体" w:hAnsi="宋体" w:cs="宋体" w:eastAsia="宋体" w:hint="default"/>
          <w:w w:val="100"/>
          <w:sz w:val="20"/>
          <w:szCs w:val="20"/>
        </w:rPr>
        <w:t> </w:t>
      </w:r>
      <w:r>
        <w:rPr>
          <w:rFonts w:ascii="宋体" w:hAnsi="宋体" w:cs="宋体" w:eastAsia="宋体" w:hint="default"/>
          <w:sz w:val="20"/>
          <w:szCs w:val="20"/>
        </w:rPr>
        <w:t>当前情况下适用并且有足够可利用数据和其他信息支持的估值技术，选择与市场参与者在相关资产或负债的交</w:t>
      </w:r>
      <w:r>
        <w:rPr>
          <w:rFonts w:ascii="宋体" w:hAnsi="宋体" w:cs="宋体" w:eastAsia="宋体" w:hint="default"/>
          <w:w w:val="100"/>
          <w:sz w:val="20"/>
          <w:szCs w:val="20"/>
        </w:rPr>
        <w:t> </w:t>
      </w:r>
      <w:r>
        <w:rPr>
          <w:rFonts w:ascii="宋体" w:hAnsi="宋体" w:cs="宋体" w:eastAsia="宋体" w:hint="default"/>
          <w:sz w:val="20"/>
          <w:szCs w:val="20"/>
        </w:rPr>
        <w:t>易中所考虑的资产或负债特征相一致的输入值，并尽可能优先使用相关可观察输入值。在相关可观察输入值无</w:t>
      </w:r>
      <w:r>
        <w:rPr>
          <w:rFonts w:ascii="宋体" w:hAnsi="宋体" w:cs="宋体" w:eastAsia="宋体" w:hint="default"/>
          <w:w w:val="100"/>
          <w:sz w:val="20"/>
          <w:szCs w:val="20"/>
        </w:rPr>
        <w:t> </w:t>
      </w:r>
      <w:r>
        <w:rPr>
          <w:rFonts w:ascii="宋体" w:hAnsi="宋体" w:cs="宋体" w:eastAsia="宋体" w:hint="default"/>
          <w:sz w:val="20"/>
          <w:szCs w:val="20"/>
        </w:rPr>
        <w:t>法取得或取得不切实可行的情况下，使用不可观察输入值</w:t>
      </w:r>
      <w:r>
        <w:rPr>
          <w:rFonts w:ascii="宋体" w:hAnsi="宋体" w:cs="宋体" w:eastAsia="宋体" w:hint="default"/>
          <w:sz w:val="21"/>
          <w:szCs w:val="21"/>
        </w:rPr>
        <w:t>。</w:t>
      </w:r>
    </w:p>
    <w:p>
      <w:pPr>
        <w:spacing w:line="328" w:lineRule="auto" w:before="23"/>
        <w:ind w:left="1554" w:right="1302"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z w:val="21"/>
          <w:szCs w:val="21"/>
        </w:rPr>
        <w:t>资产负债表日对以公允价值计量且其变动计入当期损益的金融资产以外的金融资产的账面价值进行</w:t>
      </w:r>
    </w:p>
    <w:p>
      <w:pPr>
        <w:pStyle w:val="BodyText"/>
        <w:spacing w:line="350" w:lineRule="auto" w:before="47"/>
        <w:ind w:left="1554" w:right="4662" w:hanging="420"/>
        <w:jc w:val="left"/>
      </w:pPr>
      <w:r>
        <w:rPr/>
        <w:t>检查，如有客观证据表明该金融资产发生减值的，计提减值准备。 金融资产发生减值的客观证据，包括但不限于：</w:t>
      </w:r>
    </w:p>
    <w:p>
      <w:pPr>
        <w:pStyle w:val="BodyText"/>
        <w:spacing w:line="240" w:lineRule="auto" w:before="28"/>
        <w:ind w:left="1554"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109"/>
        <w:ind w:left="1554"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110"/>
        <w:ind w:left="1554"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109"/>
        <w:ind w:left="1554"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109"/>
        <w:ind w:left="1554"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43" w:lineRule="auto" w:before="110"/>
        <w:ind w:left="1134" w:right="1092" w:firstLine="420"/>
        <w:jc w:val="left"/>
      </w:pPr>
      <w:r>
        <w:rPr/>
        <w:t>（</w:t>
      </w:r>
      <w:r>
        <w:rPr>
          <w:rFonts w:ascii="Times New Roman" w:hAnsi="Times New Roman" w:cs="Times New Roman" w:eastAsia="Times New Roman" w:hint="default"/>
        </w:rPr>
        <w:t>6</w:t>
      </w:r>
      <w:r>
        <w:rPr/>
        <w:t>）无法辨认一组金融资产中的某项资产的现金流量是否已经减少，但根据公开的数据对其进行总 </w:t>
      </w:r>
      <w:r>
        <w:rPr>
          <w:spacing w:val="-1"/>
        </w:rPr>
        <w:t>体评价后发现，该组金融资产自初始确认以来的预计未来现金流量确已减少且可计量，如该组金融资产的</w:t>
      </w:r>
      <w:r>
        <w:rPr>
          <w:spacing w:val="-81"/>
        </w:rPr>
        <w:t> </w:t>
      </w:r>
      <w:r>
        <w:rPr>
          <w:spacing w:val="-81"/>
        </w:rPr>
      </w:r>
      <w:r>
        <w:rPr/>
        <w:t>债务人支付能力逐步恶化，或债务人所在国家或地区失业率提高、担保物在其所在地区的价格明显下降、 所处行业不景气等；</w:t>
      </w:r>
    </w:p>
    <w:p>
      <w:pPr>
        <w:pStyle w:val="BodyText"/>
        <w:spacing w:line="328" w:lineRule="auto" w:before="34"/>
        <w:ind w:left="1134" w:right="1197" w:firstLine="420"/>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 资人可能无法收回投资成本；</w:t>
      </w:r>
    </w:p>
    <w:p>
      <w:pPr>
        <w:pStyle w:val="BodyText"/>
        <w:spacing w:line="328" w:lineRule="auto" w:before="48"/>
        <w:ind w:left="1554" w:right="4977"/>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331" w:lineRule="auto" w:before="47"/>
        <w:ind w:left="1554" w:right="0"/>
        <w:jc w:val="left"/>
      </w:pPr>
      <w:r>
        <w:rPr/>
        <w:t>（</w:t>
      </w:r>
      <w:r>
        <w:rPr>
          <w:rFonts w:ascii="Times New Roman" w:hAnsi="Times New Roman" w:cs="Times New Roman" w:eastAsia="Times New Roman" w:hint="default"/>
        </w:rPr>
        <w:t>1</w:t>
      </w:r>
      <w:r>
        <w:rPr/>
        <w:t>）可供出售金融资产的减值准备 </w:t>
      </w:r>
      <w:r>
        <w:rPr>
          <w:spacing w:val="-1"/>
        </w:rPr>
        <w:t>公司于资产负债表日对各项可供出售金融资产采用个别认定的方式评估减值损失，其中：表明可供出</w:t>
      </w:r>
    </w:p>
    <w:p>
      <w:pPr>
        <w:pStyle w:val="BodyText"/>
        <w:spacing w:line="343" w:lineRule="auto" w:before="45"/>
        <w:ind w:left="1134" w:right="0"/>
        <w:jc w:val="left"/>
      </w:pPr>
      <w:r>
        <w:rPr/>
        <w:t>售权益工具投资发生减值的客观证据包括权益工具投资的公允价值发生严重或非暂时性下跌，具体量化标 准为：公司于资产负债表日对各项可供出售权益工具投资单独进行检查，若该权益工具投资于资产负债表 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 </w:t>
      </w:r>
      <w:r>
        <w:rPr>
          <w:spacing w:val="-1"/>
        </w:rPr>
        <w:t>生减值；若该权益工具投资于资产负债表日的公允价值低于其成本超过</w:t>
      </w:r>
      <w:r>
        <w:rPr>
          <w:rFonts w:ascii="Times New Roman" w:hAnsi="Times New Roman" w:cs="Times New Roman" w:eastAsia="Times New Roman" w:hint="default"/>
          <w:spacing w:val="-1"/>
        </w:rPr>
        <w:t>20%</w:t>
      </w:r>
      <w:r>
        <w:rPr>
          <w:spacing w:val="-1"/>
        </w:rPr>
        <w:t>（含</w:t>
      </w:r>
      <w:r>
        <w:rPr>
          <w:rFonts w:ascii="Times New Roman" w:hAnsi="Times New Roman" w:cs="Times New Roman" w:eastAsia="Times New Roman" w:hint="default"/>
          <w:spacing w:val="-1"/>
        </w:rPr>
        <w:t>20%</w:t>
      </w:r>
      <w:r>
        <w:rPr>
          <w:spacing w:val="-1"/>
        </w:rPr>
        <w:t>）但尚未达到</w:t>
      </w:r>
      <w:r>
        <w:rPr>
          <w:rFonts w:ascii="Times New Roman" w:hAnsi="Times New Roman" w:cs="Times New Roman" w:eastAsia="Times New Roman" w:hint="default"/>
          <w:spacing w:val="-1"/>
        </w:rPr>
        <w:t>50%</w:t>
      </w:r>
      <w:r>
        <w:rPr>
          <w:spacing w:val="-1"/>
        </w:rPr>
        <w:t>的，</w:t>
      </w:r>
      <w:r>
        <w:rPr/>
      </w:r>
    </w:p>
    <w:p>
      <w:pPr>
        <w:spacing w:after="0" w:line="343"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公司会综合考虑其他相关因素诸如价格波动率等，判断该权益工具投资是否发生减值。 </w:t>
      </w:r>
      <w:r>
        <w:rPr>
          <w:spacing w:val="-1"/>
        </w:rPr>
        <w:t>可供出售金融资产发生减值时，即使该金融资产没有终止确认，公司将原直接计入其他综合收益的因</w:t>
      </w:r>
    </w:p>
    <w:p>
      <w:pPr>
        <w:pStyle w:val="BodyText"/>
        <w:spacing w:line="348" w:lineRule="auto" w:before="31"/>
        <w:ind w:right="1120"/>
        <w:jc w:val="left"/>
      </w:pPr>
      <w:r>
        <w:rPr>
          <w:spacing w:val="-1"/>
        </w:rPr>
        <w:t>公允价值下降形成的累计损失从其他综合收益转出，计入当期损益。该转出的累计损失，等于可供出售金</w:t>
      </w:r>
      <w:r>
        <w:rPr>
          <w:spacing w:val="-83"/>
        </w:rPr>
        <w:t> </w:t>
      </w:r>
      <w:r>
        <w:rPr>
          <w:spacing w:val="-83"/>
        </w:rPr>
      </w:r>
      <w:r>
        <w:rPr/>
        <w:t>融资产的初始取得成本扣除已收回本金和已摊余金额、当前公允价值和原已计入损益的减值损失后的余 额。</w:t>
      </w:r>
    </w:p>
    <w:p>
      <w:pPr>
        <w:pStyle w:val="BodyText"/>
        <w:spacing w:line="350" w:lineRule="auto" w:before="31"/>
        <w:ind w:left="1134" w:right="1131" w:firstLine="420"/>
        <w:jc w:val="both"/>
      </w:pPr>
      <w:r>
        <w:rPr>
          <w:spacing w:val="-1"/>
        </w:rPr>
        <w:t>对于已确认减值损失的可供出售债务工具，在随后的会计期间公允价值已上升且客观上与确认原减值</w:t>
      </w:r>
      <w:r>
        <w:rPr/>
        <w:t> </w:t>
      </w:r>
      <w:r>
        <w:rPr>
          <w:spacing w:val="-1"/>
        </w:rPr>
        <w:t>损失后发生的事项有关的，原确认的减值损失予以转回计入当期损益；对于可供出售权益工具投资发生的</w:t>
      </w:r>
      <w:r>
        <w:rPr>
          <w:spacing w:val="-81"/>
        </w:rPr>
        <w:t> </w:t>
      </w:r>
      <w:r>
        <w:rPr>
          <w:spacing w:val="-81"/>
        </w:rPr>
      </w:r>
      <w:r>
        <w:rPr>
          <w:spacing w:val="-1"/>
        </w:rPr>
        <w:t>减值损失，在该权益工具价值回升时通过权益转回；但在活跃市场中没有报价且其公允价值不能可靠计量</w:t>
      </w:r>
      <w:r>
        <w:rPr>
          <w:spacing w:val="-81"/>
        </w:rPr>
        <w:t> </w:t>
      </w:r>
      <w:r>
        <w:rPr>
          <w:spacing w:val="-81"/>
        </w:rPr>
      </w:r>
      <w:r>
        <w:rPr>
          <w:spacing w:val="-1"/>
        </w:rPr>
        <w:t>的权益工具投资，或与该权益工具挂钩并须通过交付该权益工具结算的衍生金融资产发生的减值损失，不</w:t>
      </w:r>
      <w:r>
        <w:rPr>
          <w:spacing w:val="-81"/>
        </w:rPr>
        <w:t> </w:t>
      </w:r>
      <w:r>
        <w:rPr>
          <w:spacing w:val="-81"/>
        </w:rPr>
      </w:r>
      <w:r>
        <w:rPr/>
        <w:t>得转回。</w:t>
      </w:r>
    </w:p>
    <w:p>
      <w:pPr>
        <w:pStyle w:val="BodyText"/>
        <w:spacing w:line="331" w:lineRule="auto" w:before="28"/>
        <w:ind w:left="1554" w:right="0"/>
        <w:jc w:val="left"/>
      </w:pPr>
      <w:r>
        <w:rPr/>
        <w:t>（</w:t>
      </w:r>
      <w:r>
        <w:rPr>
          <w:rFonts w:ascii="Times New Roman" w:hAnsi="Times New Roman" w:cs="Times New Roman" w:eastAsia="Times New Roman" w:hint="default"/>
        </w:rPr>
        <w:t>2</w:t>
      </w:r>
      <w:r>
        <w:rPr/>
        <w:t>）持有至到期投资的减值准备 </w:t>
      </w:r>
      <w:r>
        <w:rPr>
          <w:spacing w:val="-1"/>
        </w:rPr>
        <w:t>对于持有至到期投资，有客观证据表明其发生了减值的，根据其账面价值与预计未来现金流量现值之</w:t>
      </w:r>
    </w:p>
    <w:p>
      <w:pPr>
        <w:pStyle w:val="BodyText"/>
        <w:spacing w:line="348" w:lineRule="auto" w:before="45"/>
        <w:ind w:left="1134" w:right="0"/>
        <w:jc w:val="left"/>
      </w:pPr>
      <w:r>
        <w:rPr>
          <w:spacing w:val="-1"/>
        </w:rPr>
        <w:t>间差额计算确认减值损失；计提后如有证据表明其价值已恢复，原确认的减值损失可予以转回，记入当期</w:t>
      </w:r>
      <w:r>
        <w:rPr>
          <w:spacing w:val="-83"/>
        </w:rPr>
        <w:t> </w:t>
      </w:r>
      <w:r>
        <w:rPr>
          <w:spacing w:val="-83"/>
        </w:rPr>
      </w:r>
      <w:r>
        <w:rPr/>
        <w:t>损益，但该转回的账面价值不超过假定不计提减值准备情况下该金融资产在转回日的摊余成本。</w:t>
      </w:r>
    </w:p>
    <w:p>
      <w:pPr>
        <w:spacing w:line="328" w:lineRule="auto" w:before="31"/>
        <w:ind w:left="1553"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1"/>
          <w:sz w:val="21"/>
          <w:szCs w:val="21"/>
        </w:rPr>
        <w:t>金融资产和金融负债在资产负债表内分别列示，没有相互抵销。但是，同时满足下列条件的，以相互</w:t>
      </w:r>
    </w:p>
    <w:p>
      <w:pPr>
        <w:pStyle w:val="BodyText"/>
        <w:spacing w:line="240" w:lineRule="auto" w:before="47"/>
        <w:ind w:right="0"/>
        <w:jc w:val="left"/>
      </w:pPr>
      <w:r>
        <w:rPr/>
        <w:t>抵销后的净额在资产负债表内列示：</w:t>
      </w:r>
    </w:p>
    <w:p>
      <w:pPr>
        <w:pStyle w:val="BodyText"/>
        <w:spacing w:line="240" w:lineRule="auto" w:before="126"/>
        <w:ind w:left="1553" w:right="0"/>
        <w:jc w:val="left"/>
      </w:pPr>
      <w:r>
        <w:rPr/>
        <w:t>（</w:t>
      </w:r>
      <w:r>
        <w:rPr>
          <w:rFonts w:ascii="Times New Roman" w:hAnsi="Times New Roman" w:cs="Times New Roman" w:eastAsia="Times New Roman" w:hint="default"/>
        </w:rPr>
        <w:t>1</w:t>
      </w:r>
      <w:r>
        <w:rPr/>
        <w:t>）公司具有抵销已确认金额的法定权利，且该种法定权利是当前可执行的；</w:t>
      </w:r>
    </w:p>
    <w:p>
      <w:pPr>
        <w:pStyle w:val="BodyText"/>
        <w:spacing w:line="240" w:lineRule="auto" w:before="109"/>
        <w:ind w:left="1554" w:right="0"/>
        <w:jc w:val="left"/>
      </w:pPr>
      <w:r>
        <w:rPr/>
        <w:t>（</w:t>
      </w:r>
      <w:r>
        <w:rPr>
          <w:rFonts w:ascii="Times New Roman" w:hAnsi="Times New Roman" w:cs="Times New Roman" w:eastAsia="Times New Roman" w:hint="default"/>
        </w:rPr>
        <w:t>2</w:t>
      </w:r>
      <w:r>
        <w:rPr/>
        <w:t>）公司计划以净额结算，或同时变现该金融资产和清偿该金融负债。</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11、应收款项" w:id="175"/>
      <w:bookmarkEnd w:id="175"/>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单项金额重大并单独计提坏账准备的应收款项" w:id="176"/>
      <w:bookmarkEnd w:id="17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单项金额重大的应收款项是指单项金额超过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2" w:lineRule="exact"/>
              <w:ind w:left="23" w:right="0"/>
              <w:jc w:val="left"/>
              <w:rPr>
                <w:rFonts w:ascii="宋体" w:hAnsi="宋体" w:cs="宋体" w:eastAsia="宋体" w:hint="default"/>
                <w:sz w:val="18"/>
                <w:szCs w:val="18"/>
              </w:rPr>
            </w:pPr>
            <w:r>
              <w:rPr>
                <w:rFonts w:ascii="宋体" w:hAnsi="宋体" w:cs="宋体" w:eastAsia="宋体" w:hint="default"/>
                <w:sz w:val="18"/>
                <w:szCs w:val="18"/>
              </w:rPr>
              <w:t>的应收账款和单项金额超过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元的其他应收款。</w:t>
            </w:r>
          </w:p>
        </w:tc>
      </w:tr>
      <w:tr>
        <w:trPr>
          <w:trHeight w:val="79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2）按信用风险特征组合计提坏账准备的应收款项" w:id="177"/>
      <w:bookmarkEnd w:id="17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38"/>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4"/>
          <w:szCs w:val="4"/>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64" w:lineRule="auto" w:before="3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2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3）单项金额不重大但单独计提坏账准备的应收款项" w:id="178"/>
      <w:bookmarkEnd w:id="17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3"/>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69"/>
              <w:jc w:val="left"/>
              <w:rPr>
                <w:rFonts w:ascii="宋体" w:hAnsi="宋体" w:cs="宋体" w:eastAsia="宋体" w:hint="default"/>
                <w:sz w:val="18"/>
                <w:szCs w:val="18"/>
              </w:rPr>
            </w:pPr>
            <w:r>
              <w:rPr>
                <w:rFonts w:ascii="宋体" w:hAnsi="宋体" w:cs="宋体" w:eastAsia="宋体" w:hint="default"/>
                <w:sz w:val="18"/>
                <w:szCs w:val="18"/>
              </w:rPr>
              <w:t>客户公司财务状况恶化、涉及诉讼且金额不属于重大的应收 款项。</w:t>
            </w:r>
          </w:p>
        </w:tc>
      </w:tr>
      <w:tr>
        <w:trPr>
          <w:trHeight w:val="10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值的差额计提坏账准备，计入当期损益。对应收票据、预付 款项、应收利息、长期应收款等其他应收款项，根据其未来 现金流量现值低于其账面价值的差额计提坏账准备。</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both"/>
        <w:rPr>
          <w:b w:val="0"/>
          <w:bCs w:val="0"/>
        </w:rPr>
      </w:pPr>
      <w:bookmarkStart w:name="12、存货" w:id="179"/>
      <w:bookmarkEnd w:id="179"/>
      <w:r>
        <w:rPr>
          <w:b w:val="0"/>
          <w:bCs w:val="0"/>
        </w:rPr>
      </w:r>
      <w:r>
        <w:rPr>
          <w:rFonts w:ascii="Times New Roman" w:hAnsi="Times New Roman" w:cs="Times New Roman" w:eastAsia="Times New Roman" w:hint="default"/>
        </w:rPr>
        <w:t>12</w:t>
      </w:r>
      <w:r>
        <w:rPr/>
        <w:t>、存货</w:t>
      </w:r>
      <w:r>
        <w:rPr>
          <w:b w:val="0"/>
          <w:bCs w:val="0"/>
        </w:rPr>
      </w:r>
    </w:p>
    <w:p>
      <w:pPr>
        <w:spacing w:line="240" w:lineRule="auto" w:before="1"/>
        <w:rPr>
          <w:rFonts w:ascii="宋体" w:hAnsi="宋体" w:cs="宋体" w:eastAsia="宋体" w:hint="default"/>
          <w:b/>
          <w:bCs/>
          <w:sz w:val="30"/>
          <w:szCs w:val="30"/>
        </w:rPr>
      </w:pPr>
    </w:p>
    <w:p>
      <w:pPr>
        <w:pStyle w:val="BodyText"/>
        <w:spacing w:line="328" w:lineRule="auto"/>
        <w:ind w:left="1554" w:right="0"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存货的分类</w:t>
      </w:r>
      <w:r>
        <w:rPr>
          <w:rFonts w:ascii="宋体" w:hAnsi="宋体" w:cs="宋体" w:eastAsia="宋体" w:hint="default"/>
          <w:b/>
          <w:bCs/>
          <w:w w:val="99"/>
        </w:rPr>
        <w:t> </w:t>
      </w:r>
      <w:r>
        <w:rPr>
          <w:spacing w:val="-1"/>
        </w:rPr>
        <w:t>存货是指公司在日常活动中持有以备出售的产成品或商品、处在生产过程中的在产品、在生产过程或</w:t>
      </w:r>
    </w:p>
    <w:p>
      <w:pPr>
        <w:pStyle w:val="BodyText"/>
        <w:spacing w:line="240" w:lineRule="auto" w:before="47"/>
        <w:ind w:left="1134" w:right="0"/>
        <w:jc w:val="both"/>
      </w:pPr>
      <w:r>
        <w:rPr/>
        <w:t>提供劳务过程中耗用的材料和物料等。主要包括原材料、在产品、库存商品、发出商品等。</w:t>
      </w:r>
    </w:p>
    <w:p>
      <w:pPr>
        <w:pStyle w:val="BodyText"/>
        <w:spacing w:line="331" w:lineRule="auto" w:before="126"/>
        <w:ind w:left="1554" w:right="0" w:firstLine="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38"/>
        </w:rPr>
        <w:t> </w:t>
      </w:r>
      <w:r>
        <w:rPr>
          <w:rFonts w:ascii="宋体" w:hAnsi="宋体" w:cs="宋体" w:eastAsia="宋体" w:hint="default"/>
          <w:b/>
          <w:bCs/>
        </w:rPr>
        <w:t>存货的计价方法</w:t>
      </w:r>
      <w:r>
        <w:rPr>
          <w:rFonts w:ascii="宋体" w:hAnsi="宋体" w:cs="宋体" w:eastAsia="宋体" w:hint="default"/>
          <w:b/>
          <w:bCs/>
          <w:w w:val="99"/>
        </w:rPr>
        <w:t> </w:t>
      </w:r>
      <w:r>
        <w:rPr>
          <w:spacing w:val="-1"/>
        </w:rPr>
        <w:t>存货在取得时，按成本进行初始计量，包括采购成本、加工成本和其他成本。存货发出时按月末一次</w:t>
      </w:r>
    </w:p>
    <w:p>
      <w:pPr>
        <w:pStyle w:val="BodyText"/>
        <w:spacing w:line="240" w:lineRule="auto" w:before="45"/>
        <w:ind w:left="1134" w:right="0"/>
        <w:jc w:val="both"/>
      </w:pPr>
      <w:r>
        <w:rPr/>
        <w:t>加权平均法计价。</w:t>
      </w:r>
    </w:p>
    <w:p>
      <w:pPr>
        <w:spacing w:line="328" w:lineRule="auto" w:before="126"/>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期末对存货进行全面清查后，按存货的成本与可变现净值孰低提取或调整存货跌价准备。产成品、库</w:t>
      </w:r>
    </w:p>
    <w:p>
      <w:pPr>
        <w:pStyle w:val="BodyText"/>
        <w:spacing w:line="350" w:lineRule="auto" w:before="47"/>
        <w:ind w:right="1131"/>
        <w:jc w:val="both"/>
      </w:pPr>
      <w:r>
        <w:rPr>
          <w:spacing w:val="-1"/>
        </w:rPr>
        <w:t>存商品和用于出售的材料等直接用于出售的商品存货，在正常生产经营过程中，以该存货的估计售价减去</w:t>
      </w:r>
      <w:r>
        <w:rPr>
          <w:spacing w:val="-81"/>
        </w:rPr>
        <w:t> </w:t>
      </w:r>
      <w:r>
        <w:rPr>
          <w:spacing w:val="-81"/>
        </w:rPr>
      </w:r>
      <w:r>
        <w:rPr>
          <w:spacing w:val="-1"/>
        </w:rPr>
        <w:t>估计的销售费用和相关税费后的金额，确定其可变现净值；需要经过加工的材料存货，在正常生产经营过</w:t>
      </w:r>
      <w:r>
        <w:rPr>
          <w:spacing w:val="-83"/>
        </w:rPr>
        <w:t> </w:t>
      </w:r>
      <w:r>
        <w:rPr>
          <w:spacing w:val="-83"/>
        </w:rPr>
      </w:r>
      <w:r>
        <w:rPr>
          <w:spacing w:val="-1"/>
        </w:rPr>
        <w:t>程中，以所生产的产成品的估计售价减去至完工时估计将要发生的成本、估计的销售费用和相关税费后的</w:t>
      </w:r>
      <w:r>
        <w:rPr>
          <w:spacing w:val="-81"/>
        </w:rPr>
        <w:t> </w:t>
      </w:r>
      <w:r>
        <w:rPr>
          <w:spacing w:val="-81"/>
        </w:rPr>
      </w:r>
      <w:r>
        <w:rPr>
          <w:spacing w:val="-1"/>
        </w:rPr>
        <w:t>金额，确定其可变现净值；为执行销售合同或者劳务合同而持有的存货，其可变现净值以合同价格为基础</w:t>
      </w:r>
      <w:r>
        <w:rPr>
          <w:spacing w:val="-83"/>
        </w:rPr>
        <w:t> </w:t>
      </w:r>
      <w:r>
        <w:rPr>
          <w:spacing w:val="-83"/>
        </w:rPr>
      </w:r>
      <w:r>
        <w:rPr>
          <w:spacing w:val="-1"/>
        </w:rPr>
        <w:t>计算，若持有存货的数量多于销售合同订购数量的，超出部分的存货的可变现净值以一般销售价格为基础</w:t>
      </w:r>
      <w:r>
        <w:rPr>
          <w:spacing w:val="-81"/>
        </w:rPr>
        <w:t> </w:t>
      </w:r>
      <w:r>
        <w:rPr>
          <w:spacing w:val="-81"/>
        </w:rPr>
      </w:r>
      <w:r>
        <w:rPr/>
        <w:t>计算。</w:t>
      </w:r>
    </w:p>
    <w:p>
      <w:pPr>
        <w:pStyle w:val="BodyText"/>
        <w:spacing w:line="350" w:lineRule="auto" w:before="28"/>
        <w:ind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350" w:lineRule="auto" w:before="28"/>
        <w:ind w:left="1134" w:right="1131" w:firstLine="420"/>
        <w:jc w:val="both"/>
      </w:pPr>
      <w:r>
        <w:rPr>
          <w:spacing w:val="-1"/>
        </w:rPr>
        <w:t>以前减记存货价值的影响因素已经消失的，减记的金额予以恢复，并在原已计提的存货跌价准备金额</w:t>
      </w:r>
      <w:r>
        <w:rPr/>
        <w:t> 内转回，转回的金额计入当期损益。</w:t>
      </w:r>
    </w:p>
    <w:p>
      <w:pPr>
        <w:pStyle w:val="BodyText"/>
        <w:spacing w:line="328" w:lineRule="auto" w:before="28"/>
        <w:ind w:left="1554" w:right="1039" w:firstLine="2"/>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8"/>
        </w:rPr>
        <w:t> </w:t>
      </w:r>
      <w:r>
        <w:rPr>
          <w:rFonts w:ascii="宋体" w:hAnsi="宋体" w:cs="宋体" w:eastAsia="宋体" w:hint="default"/>
          <w:b/>
          <w:bCs/>
        </w:rPr>
        <w:t>存货的盘存制度</w:t>
      </w:r>
      <w:r>
        <w:rPr>
          <w:rFonts w:ascii="宋体" w:hAnsi="宋体" w:cs="宋体" w:eastAsia="宋体" w:hint="default"/>
          <w:b/>
          <w:bCs/>
          <w:w w:val="99"/>
        </w:rPr>
        <w:t> </w:t>
      </w:r>
      <w:r>
        <w:rPr/>
        <w:t>采用永续盘存制，并且定期对存货进行盘点</w:t>
      </w:r>
      <w:r>
        <w:rPr>
          <w:rFonts w:ascii="Times New Roman" w:hAnsi="Times New Roman" w:cs="Times New Roman" w:eastAsia="Times New Roman" w:hint="default"/>
        </w:rPr>
        <w:t>,</w:t>
      </w:r>
      <w:r>
        <w:rPr/>
        <w:t>盘点结果如与账面记录不符，根据管理权限报经批准后，</w:t>
      </w:r>
    </w:p>
    <w:p>
      <w:pPr>
        <w:spacing w:after="0" w:line="32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right="0"/>
        <w:jc w:val="left"/>
      </w:pPr>
      <w:r>
        <w:rPr/>
        <w:t>在年终结账前处理完毕，计入当期损益。</w:t>
      </w:r>
    </w:p>
    <w:p>
      <w:pPr>
        <w:pStyle w:val="Heading3"/>
        <w:spacing w:line="240" w:lineRule="auto" w:before="124"/>
        <w:ind w:left="1556" w:right="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35"/>
        </w:rPr>
        <w:t> </w:t>
      </w:r>
      <w:r>
        <w:rPr/>
        <w:t>低值易耗品和包装物的摊销方法</w:t>
      </w:r>
      <w:r>
        <w:rPr>
          <w:b w:val="0"/>
          <w:bCs w:val="0"/>
        </w:rPr>
      </w:r>
    </w:p>
    <w:p>
      <w:pPr>
        <w:pStyle w:val="BodyText"/>
        <w:spacing w:line="240" w:lineRule="auto" w:before="110"/>
        <w:ind w:left="1553"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09"/>
        <w:ind w:left="1553" w:right="0"/>
        <w:jc w:val="left"/>
      </w:pPr>
      <w:r>
        <w:rPr/>
        <w:t>（</w:t>
      </w:r>
      <w:r>
        <w:rPr>
          <w:rFonts w:ascii="Times New Roman" w:hAnsi="Times New Roman" w:cs="Times New Roman" w:eastAsia="Times New Roman" w:hint="default"/>
        </w:rPr>
        <w:t>2</w:t>
      </w:r>
      <w:r>
        <w:rPr/>
        <w:t>）包装物采用一次转销法。</w:t>
      </w:r>
    </w:p>
    <w:p>
      <w:pPr>
        <w:spacing w:line="240" w:lineRule="auto" w:before="11"/>
        <w:rPr>
          <w:rFonts w:ascii="宋体" w:hAnsi="宋体" w:cs="宋体" w:eastAsia="宋体" w:hint="default"/>
          <w:sz w:val="22"/>
          <w:szCs w:val="22"/>
        </w:rPr>
      </w:pPr>
    </w:p>
    <w:p>
      <w:pPr>
        <w:pStyle w:val="Heading3"/>
        <w:spacing w:line="240" w:lineRule="auto"/>
        <w:ind w:left="1133" w:right="0"/>
        <w:jc w:val="left"/>
        <w:rPr>
          <w:b w:val="0"/>
          <w:bCs w:val="0"/>
        </w:rPr>
      </w:pPr>
      <w:bookmarkStart w:name="13、长期股权投资" w:id="180"/>
      <w:bookmarkEnd w:id="180"/>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1"/>
        <w:rPr>
          <w:rFonts w:ascii="宋体" w:hAnsi="宋体" w:cs="宋体" w:eastAsia="宋体" w:hint="default"/>
          <w:b/>
          <w:bCs/>
          <w:sz w:val="30"/>
          <w:szCs w:val="30"/>
        </w:rPr>
      </w:pPr>
    </w:p>
    <w:p>
      <w:pPr>
        <w:pStyle w:val="Heading3"/>
        <w:spacing w:line="240" w:lineRule="auto"/>
        <w:ind w:left="1556" w:right="0"/>
        <w:jc w:val="left"/>
        <w:rPr>
          <w:b w:val="0"/>
          <w:bCs w:val="0"/>
        </w:rPr>
      </w:pPr>
      <w:r>
        <w:rPr>
          <w:rFonts w:ascii="Times New Roman" w:hAnsi="Times New Roman" w:cs="Times New Roman" w:eastAsia="Times New Roman" w:hint="default"/>
        </w:rPr>
        <w:t>1.</w:t>
      </w:r>
      <w:r>
        <w:rPr/>
        <w:t>投资成本的确定</w:t>
      </w:r>
      <w:r>
        <w:rPr>
          <w:b w:val="0"/>
          <w:bCs w:val="0"/>
        </w:rPr>
      </w:r>
    </w:p>
    <w:p>
      <w:pPr>
        <w:pStyle w:val="BodyText"/>
        <w:spacing w:line="328" w:lineRule="auto" w:before="110"/>
        <w:ind w:right="1198" w:firstLine="420"/>
        <w:jc w:val="left"/>
      </w:pPr>
      <w:r>
        <w:rPr/>
        <w:t>（</w:t>
      </w:r>
      <w:r>
        <w:rPr>
          <w:rFonts w:ascii="Times New Roman" w:hAnsi="Times New Roman" w:cs="Times New Roman" w:eastAsia="Times New Roman" w:hint="default"/>
        </w:rPr>
        <w:t>1</w:t>
      </w:r>
      <w:r>
        <w:rPr/>
        <w:t>）企业合并形成的长期股权投资，具体会计政策详见本附注四／（四）同一控制下和非同一控制 下企业合并的会计处理方法</w:t>
      </w:r>
    </w:p>
    <w:p>
      <w:pPr>
        <w:pStyle w:val="BodyText"/>
        <w:spacing w:line="331" w:lineRule="auto" w:before="47"/>
        <w:ind w:left="1554" w:right="0"/>
        <w:jc w:val="left"/>
      </w:pPr>
      <w:r>
        <w:rPr/>
        <w:t>（</w:t>
      </w:r>
      <w:r>
        <w:rPr>
          <w:rFonts w:ascii="Times New Roman" w:hAnsi="Times New Roman" w:cs="Times New Roman" w:eastAsia="Times New Roman" w:hint="default"/>
        </w:rPr>
        <w:t>2</w:t>
      </w:r>
      <w:r>
        <w:rPr/>
        <w:t>）其他方式取得的长期股权投资 </w:t>
      </w:r>
      <w:r>
        <w:rPr>
          <w:spacing w:val="-1"/>
        </w:rPr>
        <w:t>以支付现金方式取得的长期股权投资，按照实际支付的购买价款作为初始投资成本。初始投资成本包</w:t>
      </w:r>
    </w:p>
    <w:p>
      <w:pPr>
        <w:pStyle w:val="BodyText"/>
        <w:spacing w:line="348" w:lineRule="auto" w:before="45"/>
        <w:ind w:left="1553" w:right="0" w:hanging="420"/>
        <w:jc w:val="left"/>
      </w:pPr>
      <w:r>
        <w:rPr/>
        <w:t>括与取得长期股权投资直接相关的费用、税金及其他必要支出。 </w:t>
      </w:r>
      <w:r>
        <w:rPr>
          <w:spacing w:val="-1"/>
        </w:rPr>
        <w:t>以发行权益性证券取得的长期股权投资，按照发行权益性证券的公允价值作为初始投资成本；发行或</w:t>
      </w:r>
    </w:p>
    <w:p>
      <w:pPr>
        <w:pStyle w:val="BodyText"/>
        <w:spacing w:line="348" w:lineRule="auto" w:before="31"/>
        <w:ind w:left="1553" w:right="0" w:hanging="420"/>
        <w:jc w:val="left"/>
      </w:pPr>
      <w:r>
        <w:rPr/>
        <w:t>取得自身权益工具时发生的交易费用，可直接归属于权益性交易的从权益中扣减。 </w:t>
      </w:r>
      <w:r>
        <w:rPr>
          <w:spacing w:val="-1"/>
        </w:rPr>
        <w:t>在非货币性资产交换具备商业实质和换入资产或换出资产的公允价值能够可靠计量的前提下，非货币</w:t>
      </w:r>
    </w:p>
    <w:p>
      <w:pPr>
        <w:pStyle w:val="BodyText"/>
        <w:spacing w:line="350" w:lineRule="auto" w:before="30"/>
        <w:ind w:right="1130"/>
        <w:jc w:val="both"/>
      </w:pPr>
      <w:r>
        <w:rPr>
          <w:spacing w:val="-1"/>
        </w:rPr>
        <w:t>性资产交换换入的长期股权投资以换出资产的公允价值为基础确定其初始投资成本，除非有确凿证据表明</w:t>
      </w:r>
      <w:r>
        <w:rPr>
          <w:spacing w:val="-80"/>
        </w:rPr>
        <w:t> </w:t>
      </w:r>
      <w:r>
        <w:rPr>
          <w:spacing w:val="-80"/>
        </w:rPr>
      </w:r>
      <w:r>
        <w:rPr>
          <w:spacing w:val="-1"/>
        </w:rPr>
        <w:t>换入资产的公允价值更加可靠；不满足上述前提的非货币性资产交换，以换出资产的账面价值和应支付的</w:t>
      </w:r>
      <w:r>
        <w:rPr>
          <w:spacing w:val="-81"/>
        </w:rPr>
        <w:t> </w:t>
      </w:r>
      <w:r>
        <w:rPr>
          <w:spacing w:val="-81"/>
        </w:rPr>
      </w:r>
      <w:r>
        <w:rPr/>
        <w:t>相关税费作为换入长期股权投资的初始投资成本。</w:t>
      </w:r>
    </w:p>
    <w:p>
      <w:pPr>
        <w:pStyle w:val="BodyText"/>
        <w:spacing w:line="240" w:lineRule="auto" w:before="28"/>
        <w:ind w:left="1554" w:right="0"/>
        <w:jc w:val="left"/>
      </w:pPr>
      <w:r>
        <w:rPr/>
        <w:t>通过债务重组取得的长期股权投资，其初始投资成本按照公允价值为基础确定。</w:t>
      </w:r>
    </w:p>
    <w:p>
      <w:pPr>
        <w:pStyle w:val="Heading3"/>
        <w:spacing w:line="240" w:lineRule="auto" w:before="126"/>
        <w:ind w:left="1556"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328" w:lineRule="auto" w:before="109"/>
        <w:ind w:left="1553" w:right="1120"/>
        <w:jc w:val="left"/>
      </w:pPr>
      <w:r>
        <w:rPr/>
        <w:t>（</w:t>
      </w:r>
      <w:r>
        <w:rPr>
          <w:rFonts w:ascii="Times New Roman" w:hAnsi="Times New Roman" w:cs="Times New Roman" w:eastAsia="Times New Roman" w:hint="default"/>
        </w:rPr>
        <w:t>1</w:t>
      </w:r>
      <w:r>
        <w:rPr/>
        <w:t>）成本法 </w:t>
      </w:r>
      <w:r>
        <w:rPr>
          <w:spacing w:val="-1"/>
        </w:rPr>
        <w:t>公司能够对被投资单位实施控制的长期股权投资采用成本法核算，并按照初始投资成本计价，追加或</w:t>
      </w:r>
    </w:p>
    <w:p>
      <w:pPr>
        <w:pStyle w:val="BodyText"/>
        <w:spacing w:line="348" w:lineRule="auto" w:before="48"/>
        <w:ind w:left="1553" w:right="0" w:hanging="420"/>
        <w:jc w:val="left"/>
      </w:pPr>
      <w:r>
        <w:rPr/>
        <w:t>收回投资调整长期股权投资的成本。 </w:t>
      </w:r>
      <w:r>
        <w:rPr>
          <w:spacing w:val="-1"/>
        </w:rPr>
        <w:t>除取得投资时实际支付的价款或对价中包含的已宣告但尚未发放的现金股利或利润外，公司按照享有</w:t>
      </w:r>
    </w:p>
    <w:p>
      <w:pPr>
        <w:pStyle w:val="BodyText"/>
        <w:spacing w:line="240" w:lineRule="auto" w:before="30"/>
        <w:ind w:right="0"/>
        <w:jc w:val="left"/>
      </w:pPr>
      <w:r>
        <w:rPr/>
        <w:t>被投资单位宣告分派的现金股利或利润确认为当期投资收益。</w:t>
      </w:r>
    </w:p>
    <w:p>
      <w:pPr>
        <w:pStyle w:val="BodyText"/>
        <w:spacing w:line="328" w:lineRule="auto" w:before="126"/>
        <w:ind w:left="1553" w:right="1120"/>
        <w:jc w:val="left"/>
      </w:pPr>
      <w:r>
        <w:rPr/>
        <w:t>（</w:t>
      </w:r>
      <w:r>
        <w:rPr>
          <w:rFonts w:ascii="Times New Roman" w:hAnsi="Times New Roman" w:cs="Times New Roman" w:eastAsia="Times New Roman" w:hint="default"/>
        </w:rPr>
        <w:t>2</w:t>
      </w:r>
      <w:r>
        <w:rPr/>
        <w:t>）权益法 </w:t>
      </w:r>
      <w:r>
        <w:rPr>
          <w:spacing w:val="-1"/>
        </w:rPr>
        <w:t>公司对联营企业和合营企业的长期股权投资采用权益法核算；对于其中一部分通过风险投资机构、共</w:t>
      </w:r>
    </w:p>
    <w:p>
      <w:pPr>
        <w:pStyle w:val="BodyText"/>
        <w:spacing w:line="350" w:lineRule="auto" w:before="47"/>
        <w:ind w:right="1131"/>
        <w:jc w:val="both"/>
      </w:pPr>
      <w:r>
        <w:rPr>
          <w:spacing w:val="-1"/>
        </w:rPr>
        <w:t>同基金、信托公司或包括投连险基金在内的类似主体间接持有的联营企业的权益性投资，采用公允价值计</w:t>
      </w:r>
      <w:r>
        <w:rPr>
          <w:spacing w:val="-81"/>
        </w:rPr>
        <w:t> </w:t>
      </w:r>
      <w:r>
        <w:rPr>
          <w:spacing w:val="-81"/>
        </w:rPr>
      </w:r>
      <w:r>
        <w:rPr/>
        <w:t>量且其变动计入损益。</w:t>
      </w:r>
    </w:p>
    <w:p>
      <w:pPr>
        <w:pStyle w:val="BodyText"/>
        <w:spacing w:line="350" w:lineRule="auto" w:before="28"/>
        <w:ind w:right="1132" w:firstLine="420"/>
        <w:jc w:val="both"/>
      </w:pPr>
      <w:r>
        <w:rPr>
          <w:spacing w:val="-1"/>
        </w:rPr>
        <w:t>长期股权投资的初始投资成本大于投资时应享有被投资单位可辨认净资产公允价值份额的差额，不调</w:t>
      </w:r>
      <w:r>
        <w:rPr/>
        <w:t> </w:t>
      </w:r>
      <w:r>
        <w:rPr>
          <w:spacing w:val="-1"/>
        </w:rPr>
        <w:t>整长期股权投资的初始投资成本；初始投资成本小于投资时应享有被投资单位可辨认净资产公允价值份额</w:t>
      </w:r>
      <w:r>
        <w:rPr>
          <w:spacing w:val="-81"/>
        </w:rPr>
        <w:t> </w:t>
      </w:r>
      <w:r>
        <w:rPr>
          <w:spacing w:val="-81"/>
        </w:rPr>
      </w:r>
      <w:r>
        <w:rPr/>
        <w:t>的差额，计入当期损益。</w:t>
      </w:r>
    </w:p>
    <w:p>
      <w:pPr>
        <w:pStyle w:val="BodyText"/>
        <w:spacing w:line="348" w:lineRule="auto" w:before="28"/>
        <w:ind w:right="1093" w:firstLine="420"/>
        <w:jc w:val="left"/>
      </w:pPr>
      <w:r>
        <w:rPr/>
        <w:t>公司取得长期股权投资后，按照应享有或应分担的被投资单位实现的净损益和其他综合收益的份额， </w:t>
      </w:r>
      <w:r>
        <w:rPr>
          <w:spacing w:val="-1"/>
        </w:rPr>
        <w:t>分别确认投资收益和其他综合收益，同时调整长期股权投资的账面价值；并按照被投资单位宣告分派的利</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1"/>
        <w:jc w:val="both"/>
      </w:pPr>
      <w:r>
        <w:rPr>
          <w:spacing w:val="-1"/>
        </w:rPr>
        <w:t>润或现金股利计算应享有的部分，相应减少长期股权投资的账面价值；对于被投资单位除净损益、其他综</w:t>
      </w:r>
      <w:r>
        <w:rPr>
          <w:spacing w:val="-83"/>
        </w:rPr>
        <w:t> </w:t>
      </w:r>
      <w:r>
        <w:rPr>
          <w:spacing w:val="-83"/>
        </w:rPr>
      </w:r>
      <w:r>
        <w:rPr/>
        <w:t>合收益和利润分配以外所有者权益的其他变动，调整长期股权投资的账面价值并计入所有者权益。</w:t>
      </w:r>
    </w:p>
    <w:p>
      <w:pPr>
        <w:pStyle w:val="BodyText"/>
        <w:spacing w:line="348" w:lineRule="auto" w:before="31"/>
        <w:ind w:right="1131" w:firstLine="420"/>
        <w:jc w:val="both"/>
      </w:pPr>
      <w:r>
        <w:rPr>
          <w:spacing w:val="-1"/>
        </w:rPr>
        <w:t>公司在确认应享有被投资单位净损益的份额时，以取得投资时被投资单位各项可辨认资产等的公允价</w:t>
      </w:r>
      <w:r>
        <w:rPr/>
        <w:t> </w:t>
      </w:r>
      <w:r>
        <w:rPr>
          <w:spacing w:val="-1"/>
        </w:rPr>
        <w:t>值为基础，对被投资单位的净利润进行调整后确认。公司与联营企业、合营企业之间发生的未实现内部交</w:t>
      </w:r>
      <w:r>
        <w:rPr>
          <w:spacing w:val="-83"/>
        </w:rPr>
        <w:t> </w:t>
      </w:r>
      <w:r>
        <w:rPr>
          <w:spacing w:val="-83"/>
        </w:rPr>
      </w:r>
      <w:r>
        <w:rPr/>
        <w:t>易损益按照应享有的比例计算归属于公司的部分予以抵销，在此基础上确认投资损益。</w:t>
      </w:r>
    </w:p>
    <w:p>
      <w:pPr>
        <w:pStyle w:val="BodyText"/>
        <w:spacing w:line="350" w:lineRule="auto" w:before="31"/>
        <w:ind w:right="1131" w:firstLine="420"/>
        <w:jc w:val="both"/>
      </w:pPr>
      <w:r>
        <w:rPr>
          <w:spacing w:val="-1"/>
        </w:rPr>
        <w:t>公司确认应分担被投资单位发生的亏损时，按照以下顺序进行处理：首先，冲减长期股权投资的账面</w:t>
      </w:r>
      <w:r>
        <w:rPr/>
        <w:t> </w:t>
      </w:r>
      <w:r>
        <w:rPr>
          <w:spacing w:val="-1"/>
        </w:rPr>
        <w:t>价值。其次，长期股权投资的账面价值不足以冲减的，以其他实质上构成对被投资单位净投资的长期权益</w:t>
      </w:r>
      <w:r>
        <w:rPr>
          <w:spacing w:val="-83"/>
        </w:rPr>
        <w:t> </w:t>
      </w:r>
      <w:r>
        <w:rPr>
          <w:spacing w:val="-83"/>
        </w:rPr>
      </w:r>
      <w:r>
        <w:rPr>
          <w:spacing w:val="-1"/>
        </w:rPr>
        <w:t>账面价值为限继续确认投资损失，冲减长期应收项目等的账面价值。最后，经过上述处理，按照投资合同</w:t>
      </w:r>
      <w:r>
        <w:rPr>
          <w:spacing w:val="-86"/>
        </w:rPr>
        <w:t> </w:t>
      </w:r>
      <w:r>
        <w:rPr>
          <w:spacing w:val="-86"/>
        </w:rPr>
      </w:r>
      <w:r>
        <w:rPr/>
        <w:t>或协议约定企业仍承担额外义务的，按预计承担的义务确认预计负债，计入当期投资损失。</w:t>
      </w:r>
    </w:p>
    <w:p>
      <w:pPr>
        <w:pStyle w:val="BodyText"/>
        <w:spacing w:line="350" w:lineRule="auto" w:before="28"/>
        <w:ind w:right="1131" w:firstLine="420"/>
        <w:jc w:val="both"/>
      </w:pPr>
      <w:r>
        <w:rPr>
          <w:spacing w:val="-1"/>
        </w:rPr>
        <w:t>被投资单位以后期间实现盈利的，公司在扣除未确认的亏损分担额后，按与上述相反的顺序处理，减</w:t>
      </w:r>
      <w:r>
        <w:rPr/>
        <w:t> </w:t>
      </w:r>
      <w:r>
        <w:rPr>
          <w:spacing w:val="-1"/>
        </w:rPr>
        <w:t>记已确认预计负债的账面余额、恢复其他实质上构成对被投资单位净投资的长期权益及长期股权投资的账</w:t>
      </w:r>
      <w:r>
        <w:rPr>
          <w:spacing w:val="-81"/>
        </w:rPr>
        <w:t> </w:t>
      </w:r>
      <w:r>
        <w:rPr>
          <w:spacing w:val="-81"/>
        </w:rPr>
      </w:r>
      <w:r>
        <w:rPr/>
        <w:t>面价值后，恢复确认投资收益。</w:t>
      </w:r>
    </w:p>
    <w:p>
      <w:pPr>
        <w:pStyle w:val="Heading3"/>
        <w:spacing w:line="240" w:lineRule="auto" w:before="28"/>
        <w:ind w:left="1556" w:right="0"/>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31" w:lineRule="auto" w:before="109"/>
        <w:ind w:left="1553" w:right="0"/>
        <w:jc w:val="left"/>
      </w:pPr>
      <w:r>
        <w:rPr/>
        <w:t>（</w:t>
      </w:r>
      <w:r>
        <w:rPr>
          <w:rFonts w:ascii="Times New Roman" w:hAnsi="Times New Roman" w:cs="Times New Roman" w:eastAsia="Times New Roman" w:hint="default"/>
        </w:rPr>
        <w:t>1</w:t>
      </w:r>
      <w:r>
        <w:rPr/>
        <w:t>）公允价值计量转权益法核算 </w:t>
      </w:r>
      <w:r>
        <w:rPr>
          <w:spacing w:val="-1"/>
        </w:rPr>
        <w:t>公司原持有的对被投资单位不具有控制、共同控制或重大影响的按金融工具确认和计量准则进行会计</w:t>
      </w:r>
    </w:p>
    <w:p>
      <w:pPr>
        <w:pStyle w:val="BodyText"/>
        <w:spacing w:line="340" w:lineRule="auto" w:before="45"/>
        <w:ind w:right="1110"/>
        <w:jc w:val="both"/>
      </w:pPr>
      <w:r>
        <w:rPr/>
        <w:t>处理的权益性投资，因追加投资等原因能够对被投资单位施加重大影响或实施共同控制但不构成控制的， </w:t>
      </w:r>
      <w:r>
        <w:rPr>
          <w:spacing w:val="-1"/>
        </w:rPr>
        <w:t>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金融工具确认和计量》确定的原持有的股权投资的公允价值加上新增投资</w:t>
      </w:r>
      <w:r>
        <w:rPr>
          <w:spacing w:val="-83"/>
        </w:rPr>
        <w:t> </w:t>
      </w:r>
      <w:r>
        <w:rPr>
          <w:spacing w:val="-83"/>
        </w:rPr>
      </w:r>
      <w:r>
        <w:rPr/>
        <w:t>成本之和，作为改按权益法核算的初始投资成本。</w:t>
      </w:r>
    </w:p>
    <w:p>
      <w:pPr>
        <w:pStyle w:val="BodyText"/>
        <w:spacing w:line="348" w:lineRule="auto" w:before="36"/>
        <w:ind w:left="1134" w:right="1131" w:firstLine="420"/>
        <w:jc w:val="both"/>
      </w:pPr>
      <w:r>
        <w:rPr>
          <w:spacing w:val="-1"/>
        </w:rPr>
        <w:t>原持有的股权投资分类为可供出售金融资产的，其公允价值与账面价值之间的差额，以及原计入其他</w:t>
      </w:r>
      <w:r>
        <w:rPr/>
        <w:t> 综合收益的累计公允价值变动转入改按权益法核算的当期损益。</w:t>
      </w:r>
    </w:p>
    <w:p>
      <w:pPr>
        <w:pStyle w:val="BodyText"/>
        <w:spacing w:line="348" w:lineRule="auto" w:before="31"/>
        <w:ind w:right="1120" w:firstLine="420"/>
        <w:jc w:val="left"/>
      </w:pPr>
      <w:r>
        <w:rPr/>
        <w:t>按权益法核算的初始投资成本小于按照追加投资后全新的持股比例计算确定的应享有被投资单位在 </w:t>
      </w:r>
      <w:r>
        <w:rPr>
          <w:spacing w:val="-1"/>
        </w:rPr>
        <w:t>追加投资日可辨认净资产公允价值份额之间的差额，调整长期股权投资的账面价值，并计入当期营业外收</w:t>
      </w:r>
      <w:r>
        <w:rPr>
          <w:spacing w:val="-81"/>
        </w:rPr>
        <w:t> </w:t>
      </w:r>
      <w:r>
        <w:rPr>
          <w:spacing w:val="-81"/>
        </w:rPr>
      </w:r>
      <w:r>
        <w:rPr/>
        <w:t>入。</w:t>
      </w:r>
    </w:p>
    <w:p>
      <w:pPr>
        <w:pStyle w:val="BodyText"/>
        <w:spacing w:line="328" w:lineRule="auto" w:before="31"/>
        <w:ind w:left="1554" w:right="0"/>
        <w:jc w:val="left"/>
      </w:pPr>
      <w:r>
        <w:rPr/>
        <w:t>（</w:t>
      </w:r>
      <w:r>
        <w:rPr>
          <w:rFonts w:ascii="Times New Roman" w:hAnsi="Times New Roman" w:cs="Times New Roman" w:eastAsia="Times New Roman" w:hint="default"/>
        </w:rPr>
        <w:t>2</w:t>
      </w:r>
      <w:r>
        <w:rPr/>
        <w:t>）公允价值计量或权益法核算转成本法核算 </w:t>
      </w:r>
      <w:r>
        <w:rPr>
          <w:spacing w:val="-1"/>
        </w:rPr>
        <w:t>公司原持有的对被投资单位不具有控制、共同控制或重大影响的按金融工具确认和计量准则进行会计</w:t>
      </w:r>
    </w:p>
    <w:p>
      <w:pPr>
        <w:pStyle w:val="BodyText"/>
        <w:spacing w:line="350" w:lineRule="auto" w:before="47"/>
        <w:ind w:left="1134" w:right="1131"/>
        <w:jc w:val="both"/>
      </w:pPr>
      <w:r>
        <w:rPr>
          <w:spacing w:val="-1"/>
        </w:rPr>
        <w:t>处理的权益性投资，或原持有对联营企业、合营企业的长期股权投资，因追加投资等原因能够对非同一控</w:t>
      </w:r>
      <w:r>
        <w:rPr>
          <w:spacing w:val="-83"/>
        </w:rPr>
        <w:t> </w:t>
      </w:r>
      <w:r>
        <w:rPr>
          <w:spacing w:val="-83"/>
        </w:rPr>
      </w:r>
      <w:r>
        <w:rPr>
          <w:spacing w:val="-1"/>
        </w:rPr>
        <w:t>制下的被投资单位实施控制的，在编制个别财务报表时，按照原持有的股权投资账面价值加上新增投资成</w:t>
      </w:r>
      <w:r>
        <w:rPr>
          <w:spacing w:val="-81"/>
        </w:rPr>
        <w:t> </w:t>
      </w:r>
      <w:r>
        <w:rPr>
          <w:spacing w:val="-81"/>
        </w:rPr>
      </w:r>
      <w:r>
        <w:rPr/>
        <w:t>本之和，作为改按成本法核算的初始投资成本。</w:t>
      </w:r>
    </w:p>
    <w:p>
      <w:pPr>
        <w:pStyle w:val="BodyText"/>
        <w:spacing w:line="350" w:lineRule="auto" w:before="28"/>
        <w:ind w:left="1134" w:right="1132" w:firstLine="420"/>
        <w:jc w:val="both"/>
      </w:pPr>
      <w:r>
        <w:rPr>
          <w:spacing w:val="-1"/>
        </w:rPr>
        <w:t>购买日之前持有的股权投资因采用权益法核算而确认的其他综合收益，在处置该项投资时采用与被投</w:t>
      </w:r>
      <w:r>
        <w:rPr/>
        <w:t> 资单位直接处置相关资产或负债相同的基础进行会计处理。</w:t>
      </w:r>
    </w:p>
    <w:p>
      <w:pPr>
        <w:pStyle w:val="BodyText"/>
        <w:spacing w:line="331" w:lineRule="auto" w:before="28"/>
        <w:ind w:right="1131" w:firstLine="420"/>
        <w:jc w:val="both"/>
      </w:pPr>
      <w:r>
        <w:rPr>
          <w:spacing w:val="-1"/>
        </w:rPr>
        <w:t>购买日之前持有的股权投资按照《企业会计准则第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w:t>
      </w:r>
      <w:r>
        <w:rPr/>
        <w:t> 计处理的，原计入其他综合收益的累计公允价值变动在改按成本法核算时转入当期损益。</w:t>
      </w:r>
    </w:p>
    <w:p>
      <w:pPr>
        <w:pStyle w:val="BodyText"/>
        <w:spacing w:line="328" w:lineRule="auto" w:before="46"/>
        <w:ind w:left="1553" w:right="0"/>
        <w:jc w:val="left"/>
      </w:pPr>
      <w:r>
        <w:rPr/>
        <w:t>（</w:t>
      </w:r>
      <w:r>
        <w:rPr>
          <w:rFonts w:ascii="Times New Roman" w:hAnsi="Times New Roman" w:cs="Times New Roman" w:eastAsia="Times New Roman" w:hint="default"/>
        </w:rPr>
        <w:t>3</w:t>
      </w:r>
      <w:r>
        <w:rPr/>
        <w:t>）权益法核算转公允价值计量 </w:t>
      </w:r>
      <w:r>
        <w:rPr>
          <w:spacing w:val="-1"/>
        </w:rPr>
        <w:t>公司因处置部分股权投资等原因丧失了对被投资单位的共同控制或重大影响的，处置后的剩余股权改</w:t>
      </w:r>
    </w:p>
    <w:p>
      <w:pPr>
        <w:spacing w:after="0" w:line="328" w:lineRule="auto"/>
        <w:jc w:val="left"/>
        <w:sectPr>
          <w:footerReference w:type="default" r:id="rId32"/>
          <w:pgSz w:w="11910" w:h="16840"/>
          <w:pgMar w:footer="979" w:header="877" w:top="1100" w:bottom="1160" w:left="0" w:right="0"/>
        </w:sectPr>
      </w:pPr>
    </w:p>
    <w:p>
      <w:pPr>
        <w:spacing w:line="240" w:lineRule="auto" w:before="7"/>
        <w:rPr>
          <w:rFonts w:ascii="宋体" w:hAnsi="宋体" w:cs="宋体" w:eastAsia="宋体" w:hint="default"/>
          <w:sz w:val="27"/>
          <w:szCs w:val="27"/>
        </w:rPr>
      </w:pPr>
    </w:p>
    <w:p>
      <w:pPr>
        <w:pStyle w:val="BodyText"/>
        <w:spacing w:line="328" w:lineRule="auto" w:before="35"/>
        <w:ind w:left="1134" w:right="0"/>
        <w:jc w:val="left"/>
      </w:pPr>
      <w:r>
        <w:rPr>
          <w:spacing w:val="-1"/>
        </w:rPr>
        <w:t>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金融工具确认和计量》核算，其在丧失共同控制或重大影响之日的公允价值</w:t>
      </w:r>
      <w:r>
        <w:rPr>
          <w:spacing w:val="-83"/>
        </w:rPr>
        <w:t> </w:t>
      </w:r>
      <w:r>
        <w:rPr>
          <w:spacing w:val="-83"/>
        </w:rPr>
      </w:r>
      <w:r>
        <w:rPr/>
        <w:t>与账面价值之间的差额计入当期损益。</w:t>
      </w:r>
    </w:p>
    <w:p>
      <w:pPr>
        <w:pStyle w:val="BodyText"/>
        <w:spacing w:line="350" w:lineRule="auto" w:before="48"/>
        <w:ind w:left="1134" w:right="0" w:firstLine="420"/>
        <w:jc w:val="left"/>
      </w:pPr>
      <w:r>
        <w:rPr>
          <w:spacing w:val="-1"/>
        </w:rPr>
        <w:t>原股权投资因采用权益法核算而确认的其他综合收益，在终止采用权益法核算时采用与被投资单位直</w:t>
      </w:r>
      <w:r>
        <w:rPr/>
        <w:t> 接处置相关资产或负债相同的基础进行会计处理。</w:t>
      </w:r>
    </w:p>
    <w:p>
      <w:pPr>
        <w:pStyle w:val="BodyText"/>
        <w:spacing w:line="331" w:lineRule="auto" w:before="28"/>
        <w:ind w:left="1554" w:right="0"/>
        <w:jc w:val="left"/>
      </w:pPr>
      <w:r>
        <w:rPr/>
        <w:t>（</w:t>
      </w:r>
      <w:r>
        <w:rPr>
          <w:rFonts w:ascii="Times New Roman" w:hAnsi="Times New Roman" w:cs="Times New Roman" w:eastAsia="Times New Roman" w:hint="default"/>
        </w:rPr>
        <w:t>4</w:t>
      </w:r>
      <w:r>
        <w:rPr/>
        <w:t>）成本法转权益法 </w:t>
      </w:r>
      <w:r>
        <w:rPr>
          <w:spacing w:val="-1"/>
        </w:rPr>
        <w:t>公司因处置部分权益性投资等原因丧失了对被投资单位的控制的，在编制个别财务报表时，处置后的</w:t>
      </w:r>
    </w:p>
    <w:p>
      <w:pPr>
        <w:pStyle w:val="BodyText"/>
        <w:spacing w:line="348" w:lineRule="auto" w:before="45"/>
        <w:ind w:left="1134" w:right="0"/>
        <w:jc w:val="left"/>
      </w:pPr>
      <w:r>
        <w:rPr>
          <w:spacing w:val="-1"/>
        </w:rPr>
        <w:t>剩余股权能够对被投资单位实施共同控制或施加重大影响的，改按权益法核算，并对该剩余股权视同自取</w:t>
      </w:r>
      <w:r>
        <w:rPr>
          <w:spacing w:val="-81"/>
        </w:rPr>
        <w:t> </w:t>
      </w:r>
      <w:r>
        <w:rPr>
          <w:spacing w:val="-81"/>
        </w:rPr>
      </w:r>
      <w:r>
        <w:rPr/>
        <w:t>得时即采用权益法核算进行调整。</w:t>
      </w:r>
    </w:p>
    <w:p>
      <w:pPr>
        <w:pStyle w:val="BodyText"/>
        <w:spacing w:line="328" w:lineRule="auto" w:before="31"/>
        <w:ind w:left="1554" w:right="0"/>
        <w:jc w:val="left"/>
      </w:pPr>
      <w:r>
        <w:rPr/>
        <w:t>（</w:t>
      </w:r>
      <w:r>
        <w:rPr>
          <w:rFonts w:ascii="Times New Roman" w:hAnsi="Times New Roman" w:cs="Times New Roman" w:eastAsia="Times New Roman" w:hint="default"/>
        </w:rPr>
        <w:t>5</w:t>
      </w:r>
      <w:r>
        <w:rPr/>
        <w:t>）成本法转公允价值计量 </w:t>
      </w:r>
      <w:r>
        <w:rPr>
          <w:spacing w:val="-1"/>
        </w:rPr>
        <w:t>公司因处置部分权益性投资等原因丧失了对被投资单位的控制的，在编制个别财务报表时，处置后的</w:t>
      </w:r>
    </w:p>
    <w:p>
      <w:pPr>
        <w:pStyle w:val="BodyText"/>
        <w:spacing w:line="331" w:lineRule="auto" w:before="47"/>
        <w:ind w:right="1093"/>
        <w:jc w:val="left"/>
      </w:pPr>
      <w:r>
        <w:rPr>
          <w:spacing w:val="-1"/>
        </w:rPr>
        <w:t>剩余股权不能对被投资单位实施共同控制或施加重大影响的，改按《企业会计准则第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w:t>
      </w:r>
      <w:r>
        <w:rPr>
          <w:spacing w:val="-81"/>
        </w:rPr>
        <w:t> </w:t>
      </w:r>
      <w:r>
        <w:rPr/>
        <w:t>认和计量》的有关规定进行会计处理，其在丧失控制之日的公允价值与账面价值间的差额计入当期损益。</w:t>
      </w:r>
    </w:p>
    <w:p>
      <w:pPr>
        <w:spacing w:line="328" w:lineRule="auto" w:before="45"/>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BodyText"/>
        <w:spacing w:line="348" w:lineRule="auto" w:before="48"/>
        <w:ind w:left="1134" w:right="0"/>
        <w:jc w:val="left"/>
      </w:pPr>
      <w:r>
        <w:rPr>
          <w:spacing w:val="-1"/>
        </w:rPr>
        <w:t>长期股权投资，在处置该项投资时，采用与被投资单位直接处置相关资产或负债相同的基础，按相应比例</w:t>
      </w:r>
      <w:r>
        <w:rPr>
          <w:spacing w:val="-82"/>
        </w:rPr>
        <w:t> </w:t>
      </w:r>
      <w:r>
        <w:rPr>
          <w:spacing w:val="-82"/>
        </w:rPr>
      </w:r>
      <w:r>
        <w:rPr/>
        <w:t>对原计入其他综合收益的部分进行会计处理。</w:t>
      </w:r>
    </w:p>
    <w:p>
      <w:pPr>
        <w:pStyle w:val="BodyText"/>
        <w:spacing w:line="350" w:lineRule="auto" w:before="30"/>
        <w:ind w:left="1134" w:right="0" w:firstLine="420"/>
        <w:jc w:val="left"/>
      </w:pPr>
      <w:r>
        <w:rPr>
          <w:spacing w:val="-1"/>
        </w:rPr>
        <w:t>处置对子公司股权投资的各项交易的条款、条件以及经济影响符合以下一种或多种情况，将多次交易</w:t>
      </w:r>
      <w:r>
        <w:rPr/>
        <w:t> 事项作为一揽子交易进行会计处理：</w:t>
      </w:r>
    </w:p>
    <w:p>
      <w:pPr>
        <w:pStyle w:val="BodyText"/>
        <w:spacing w:line="240" w:lineRule="auto" w:before="28"/>
        <w:ind w:left="1554"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9"/>
        <w:ind w:left="1554"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10"/>
        <w:ind w:left="1554"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28" w:lineRule="auto" w:before="109"/>
        <w:ind w:left="1554" w:right="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1"/>
        </w:rPr>
        <w:t>因处置部分股权投资或其他原因丧失了对原有子公司控制权的，不属于一揽子交易的，区分个别财务</w:t>
      </w:r>
    </w:p>
    <w:p>
      <w:pPr>
        <w:pStyle w:val="BodyText"/>
        <w:spacing w:line="240" w:lineRule="auto" w:before="48"/>
        <w:ind w:left="1134" w:right="0"/>
        <w:jc w:val="left"/>
      </w:pPr>
      <w:r>
        <w:rPr/>
        <w:t>报表和合并财务报表进行相关会计处理：</w:t>
      </w:r>
    </w:p>
    <w:p>
      <w:pPr>
        <w:pStyle w:val="BodyText"/>
        <w:spacing w:line="340" w:lineRule="auto" w:before="124"/>
        <w:ind w:left="1134" w:right="0" w:firstLine="420"/>
        <w:jc w:val="left"/>
      </w:pPr>
      <w:r>
        <w:rPr/>
        <w:t>（</w:t>
      </w:r>
      <w:r>
        <w:rPr>
          <w:rFonts w:ascii="Times New Roman" w:hAnsi="Times New Roman" w:cs="Times New Roman" w:eastAsia="Times New Roman" w:hint="default"/>
        </w:rPr>
        <w:t>1</w:t>
      </w:r>
      <w:r>
        <w:rPr/>
        <w:t>）在个别财务报表中，对于处置的股权，其账面价值与实际取得价款之间的差额计入当期损益。 </w:t>
      </w:r>
      <w:r>
        <w:rPr>
          <w:spacing w:val="-1"/>
        </w:rPr>
        <w:t>处置后的剩余股权能够对被投资单位实施共同控制或施加重大影响的，改按权益法核算，并对该剩余股权</w:t>
      </w:r>
      <w:r>
        <w:rPr>
          <w:spacing w:val="-81"/>
        </w:rPr>
        <w:t> </w:t>
      </w:r>
      <w:r>
        <w:rPr>
          <w:spacing w:val="-81"/>
        </w:rPr>
      </w:r>
      <w:r>
        <w:rPr>
          <w:spacing w:val="-1"/>
        </w:rPr>
        <w:t>视同自取得时即采用权益法核算进行调整；处置后的剩余股权不能对被投资单位实施共同控制或施加重大</w:t>
      </w:r>
      <w:r>
        <w:rPr>
          <w:spacing w:val="-81"/>
        </w:rPr>
        <w:t> </w:t>
      </w:r>
      <w:r>
        <w:rPr>
          <w:spacing w:val="-81"/>
        </w:rPr>
      </w:r>
      <w:r>
        <w:rPr>
          <w:spacing w:val="-1"/>
        </w:rPr>
        <w:t>影响的，改按《企业会计准则第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金融工具确认和计量》的有关规定进行会计处理，其在丧失控制</w:t>
      </w:r>
      <w:r>
        <w:rPr>
          <w:spacing w:val="-86"/>
        </w:rPr>
        <w:t> </w:t>
      </w:r>
      <w:r>
        <w:rPr>
          <w:spacing w:val="-86"/>
        </w:rPr>
      </w:r>
      <w:r>
        <w:rPr/>
        <w:t>之日的公允价值与账面价值间的差额计入当期损益。</w:t>
      </w:r>
    </w:p>
    <w:p>
      <w:pPr>
        <w:pStyle w:val="BodyText"/>
        <w:spacing w:line="345" w:lineRule="auto" w:before="37"/>
        <w:ind w:left="1134" w:right="1092" w:firstLine="420"/>
        <w:jc w:val="left"/>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 资相应对享有子公司自购买日或合并日开始持续计算的净资产份额之间的差额，调整资本公积（股本溢 </w:t>
      </w:r>
      <w:r>
        <w:rPr>
          <w:spacing w:val="-1"/>
        </w:rPr>
        <w:t>价），资本公积不足冲减的，调整留存收益；在丧失对子公司控制权时，对于剩余股权，按照其在丧失控</w:t>
      </w:r>
      <w:r>
        <w:rPr>
          <w:spacing w:val="-83"/>
        </w:rPr>
        <w:t> </w:t>
      </w:r>
      <w:r>
        <w:rPr>
          <w:spacing w:val="-83"/>
        </w:rPr>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w:t>
      </w:r>
    </w:p>
    <w:p>
      <w:pPr>
        <w:spacing w:after="0" w:line="345" w:lineRule="auto"/>
        <w:jc w:val="left"/>
        <w:sectPr>
          <w:footerReference w:type="default" r:id="rId33"/>
          <w:pgSz w:w="11910" w:h="16840"/>
          <w:pgMar w:footer="979" w:header="877" w:top="1100" w:bottom="1160" w:left="0" w:right="0"/>
          <w:pgNumType w:start="101"/>
        </w:sectPr>
      </w:pPr>
    </w:p>
    <w:p>
      <w:pPr>
        <w:spacing w:line="240" w:lineRule="auto" w:before="7"/>
        <w:rPr>
          <w:rFonts w:ascii="宋体" w:hAnsi="宋体" w:cs="宋体" w:eastAsia="宋体" w:hint="default"/>
          <w:sz w:val="27"/>
          <w:szCs w:val="27"/>
        </w:rPr>
      </w:pPr>
    </w:p>
    <w:p>
      <w:pPr>
        <w:pStyle w:val="BodyText"/>
        <w:spacing w:line="348" w:lineRule="auto" w:before="35"/>
        <w:ind w:left="1553" w:right="0" w:hanging="420"/>
        <w:jc w:val="left"/>
      </w:pPr>
      <w:r>
        <w:rPr/>
        <w:t>同时冲减商誉。与原有子公司股权投资相关的其他综合收益等，在丧失控制权时转为当期投资收益。 </w:t>
      </w:r>
      <w:r>
        <w:rPr>
          <w:spacing w:val="-1"/>
        </w:rPr>
        <w:t>处置对子公司股权投资直至丧失控制权的各项交易属于一揽子交易的，将各项交易作为一项处置子公</w:t>
      </w:r>
    </w:p>
    <w:p>
      <w:pPr>
        <w:pStyle w:val="BodyText"/>
        <w:spacing w:line="240" w:lineRule="auto" w:before="31"/>
        <w:ind w:right="0"/>
        <w:jc w:val="left"/>
      </w:pPr>
      <w:r>
        <w:rPr/>
        <w:t>司股权投资并丧失控制权的交易进行会计处理，区分个别财务报表和合并财务报表进行相关会计处理：</w:t>
      </w:r>
    </w:p>
    <w:p>
      <w:pPr>
        <w:pStyle w:val="BodyText"/>
        <w:spacing w:line="328" w:lineRule="auto" w:before="125"/>
        <w:ind w:right="1198" w:firstLine="420"/>
        <w:jc w:val="left"/>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 价值之间的差额，确认为其他综合收益，在丧失控制权时一并转入丧失控制权当期的损益。</w:t>
      </w:r>
    </w:p>
    <w:p>
      <w:pPr>
        <w:pStyle w:val="BodyText"/>
        <w:spacing w:line="328" w:lineRule="auto" w:before="48"/>
        <w:ind w:right="1198" w:firstLine="420"/>
        <w:jc w:val="left"/>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 份额的差额，确认为其他综合收益，在丧失控制权时一并转入丧失控制权当期的损益。</w:t>
      </w:r>
    </w:p>
    <w:p>
      <w:pPr>
        <w:spacing w:line="331" w:lineRule="auto" w:before="47"/>
        <w:ind w:left="1553" w:right="130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z w:val="21"/>
          <w:szCs w:val="21"/>
        </w:rPr>
        <w:t>如果公司按照相关约定与其他参与方集体控制某项安排，并且对该安排回报具有重大影响的活动决</w:t>
      </w:r>
    </w:p>
    <w:p>
      <w:pPr>
        <w:pStyle w:val="BodyText"/>
        <w:spacing w:line="348" w:lineRule="auto" w:before="45"/>
        <w:ind w:right="0"/>
        <w:jc w:val="left"/>
      </w:pPr>
      <w:r>
        <w:rPr>
          <w:spacing w:val="-1"/>
        </w:rPr>
        <w:t>策，需要经过分享控制权的参与方一致同意时才存在，则视为公司与其他参与方共同控制某项安排，该安</w:t>
      </w:r>
      <w:r>
        <w:rPr>
          <w:spacing w:val="-83"/>
        </w:rPr>
        <w:t> </w:t>
      </w:r>
      <w:r>
        <w:rPr>
          <w:spacing w:val="-83"/>
        </w:rPr>
      </w:r>
      <w:r>
        <w:rPr/>
        <w:t>排即属于合营安排。</w:t>
      </w:r>
    </w:p>
    <w:p>
      <w:pPr>
        <w:pStyle w:val="BodyText"/>
        <w:spacing w:line="350" w:lineRule="auto" w:before="31"/>
        <w:ind w:right="1110" w:firstLine="420"/>
        <w:jc w:val="both"/>
      </w:pPr>
      <w:r>
        <w:rPr>
          <w:spacing w:val="-1"/>
        </w:rPr>
        <w:t>合营安排通过单独主体达成的，根据相关约定判断公司对该单独主体的净资产享有权利时，将该单独</w:t>
      </w:r>
      <w:r>
        <w:rPr/>
        <w:t> 主体作为合营企业，采用权益法核算。若根据相关约定判断公司并非对该单独主体的净资产享有权利时， </w:t>
      </w:r>
      <w:r>
        <w:rPr>
          <w:spacing w:val="-1"/>
        </w:rPr>
        <w:t>该单独主体作为共同经营，公司确认与共同经营利益份额相关的项目，并按照相关企业会计准则的规定进</w:t>
      </w:r>
      <w:r>
        <w:rPr>
          <w:spacing w:val="-81"/>
        </w:rPr>
        <w:t> </w:t>
      </w:r>
      <w:r>
        <w:rPr>
          <w:spacing w:val="-81"/>
        </w:rPr>
      </w:r>
      <w:r>
        <w:rPr/>
        <w:t>行会计处理。</w:t>
      </w:r>
    </w:p>
    <w:p>
      <w:pPr>
        <w:pStyle w:val="BodyText"/>
        <w:spacing w:line="343" w:lineRule="auto" w:before="28"/>
        <w:ind w:right="1028" w:firstLine="420"/>
        <w:jc w:val="both"/>
      </w:pPr>
      <w:r>
        <w:rPr/>
        <w:t>重大影响，是指投资方对被投资单位的财务和经营政策有参与决策的权力，但并不能够控制或者与其 他方一起共同控制这些政策的制定。公司通过以下一种或多种情形，并综合考虑所有事实和情况后，判断 对被投资单位具有重大影响。（</w:t>
      </w:r>
      <w:r>
        <w:rPr>
          <w:rFonts w:ascii="Times New Roman" w:hAnsi="Times New Roman" w:cs="Times New Roman" w:eastAsia="Times New Roman" w:hint="default"/>
        </w:rPr>
        <w:t>1</w:t>
      </w:r>
      <w:r>
        <w:rPr/>
        <w:t>）在被投资单位的董事会或类似权力机构中派有代表；（</w:t>
      </w:r>
      <w:r>
        <w:rPr>
          <w:rFonts w:ascii="Times New Roman" w:hAnsi="Times New Roman" w:cs="Times New Roman" w:eastAsia="Times New Roman" w:hint="default"/>
        </w:rPr>
        <w:t>2</w:t>
      </w:r>
      <w:r>
        <w:rPr/>
        <w:t>）参与被投资 </w:t>
      </w:r>
      <w:r>
        <w:rPr>
          <w:spacing w:val="-3"/>
        </w:rPr>
        <w:t>单位财务和经营政策制定过程；（</w:t>
      </w:r>
      <w:r>
        <w:rPr>
          <w:rFonts w:ascii="Times New Roman" w:hAnsi="Times New Roman" w:cs="Times New Roman" w:eastAsia="Times New Roman" w:hint="default"/>
          <w:spacing w:val="-3"/>
        </w:rPr>
        <w:t>3</w:t>
      </w:r>
      <w:r>
        <w:rPr>
          <w:spacing w:val="-3"/>
        </w:rPr>
        <w:t>）与被投资单位之间发生重要交易；（</w:t>
      </w:r>
      <w:r>
        <w:rPr>
          <w:rFonts w:ascii="Times New Roman" w:hAnsi="Times New Roman" w:cs="Times New Roman" w:eastAsia="Times New Roman" w:hint="default"/>
          <w:spacing w:val="-3"/>
        </w:rPr>
        <w:t>4</w:t>
      </w:r>
      <w:r>
        <w:rPr>
          <w:spacing w:val="-3"/>
        </w:rPr>
        <w:t>）向被投资单位派出管理人员；</w:t>
      </w:r>
    </w:p>
    <w:p>
      <w:pPr>
        <w:pStyle w:val="BodyText"/>
        <w:spacing w:line="240" w:lineRule="auto" w:before="9"/>
        <w:ind w:right="0"/>
        <w:jc w:val="left"/>
      </w:pPr>
      <w:r>
        <w:rPr/>
        <w:t>（</w:t>
      </w:r>
      <w:r>
        <w:rPr>
          <w:rFonts w:ascii="Times New Roman" w:hAnsi="Times New Roman" w:cs="Times New Roman" w:eastAsia="Times New Roman" w:hint="default"/>
        </w:rPr>
        <w:t>5</w:t>
      </w:r>
      <w:r>
        <w:rPr/>
        <w:t>）向被投资单位提供关键技术资料。</w:t>
      </w:r>
    </w:p>
    <w:p>
      <w:pPr>
        <w:spacing w:line="240" w:lineRule="auto" w:before="12"/>
        <w:rPr>
          <w:rFonts w:ascii="宋体" w:hAnsi="宋体" w:cs="宋体" w:eastAsia="宋体" w:hint="default"/>
          <w:sz w:val="22"/>
          <w:szCs w:val="22"/>
        </w:rPr>
      </w:pPr>
    </w:p>
    <w:p>
      <w:pPr>
        <w:pStyle w:val="Heading3"/>
        <w:spacing w:line="240" w:lineRule="auto"/>
        <w:ind w:left="1133" w:right="0"/>
        <w:jc w:val="left"/>
        <w:rPr>
          <w:b w:val="0"/>
          <w:bCs w:val="0"/>
        </w:rPr>
      </w:pPr>
      <w:bookmarkStart w:name="14、投资性房地产" w:id="181"/>
      <w:bookmarkEnd w:id="181"/>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0"/>
        <w:rPr>
          <w:rFonts w:ascii="宋体" w:hAnsi="宋体" w:cs="宋体" w:eastAsia="宋体" w:hint="default"/>
          <w:b/>
          <w:bCs/>
          <w:sz w:val="22"/>
          <w:szCs w:val="22"/>
        </w:rPr>
      </w:pPr>
    </w:p>
    <w:p>
      <w:pPr>
        <w:spacing w:line="278" w:lineRule="auto" w:before="0"/>
        <w:ind w:left="1133" w:right="8953"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4"/>
        <w:ind w:left="2593" w:right="0"/>
        <w:jc w:val="left"/>
      </w:pPr>
      <w:r>
        <w:rPr/>
        <w:t>投资性房地产的预计使用寿命、净残值率及年折旧（摊销）率列示如下：</w:t>
      </w:r>
    </w:p>
    <w:p>
      <w:pPr>
        <w:spacing w:line="240" w:lineRule="auto" w:before="7"/>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685"/>
        <w:gridCol w:w="2224"/>
        <w:gridCol w:w="2428"/>
        <w:gridCol w:w="2004"/>
      </w:tblGrid>
      <w:tr>
        <w:trPr>
          <w:trHeight w:val="269"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年折旧（摊销）率</w:t>
            </w:r>
          </w:p>
        </w:tc>
      </w:tr>
      <w:tr>
        <w:trPr>
          <w:trHeight w:val="269"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50</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0</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Times New Roman" w:hAnsi="Times New Roman" w:cs="Times New Roman" w:eastAsia="Times New Roman" w:hint="default"/>
                <w:sz w:val="18"/>
                <w:szCs w:val="18"/>
              </w:rPr>
            </w:pPr>
            <w:r>
              <w:rPr>
                <w:rFonts w:ascii="Times New Roman"/>
                <w:sz w:val="18"/>
              </w:rPr>
              <w:t>2.00</w:t>
            </w:r>
          </w:p>
        </w:tc>
      </w:tr>
      <w:tr>
        <w:trPr>
          <w:trHeight w:val="269" w:hRule="exact"/>
        </w:trPr>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Times New Roman"/>
                <w:sz w:val="18"/>
              </w:rPr>
              <w:t>20</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5</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Times New Roman" w:hAnsi="Times New Roman" w:cs="Times New Roman" w:eastAsia="Times New Roman" w:hint="default"/>
                <w:sz w:val="18"/>
                <w:szCs w:val="18"/>
              </w:rPr>
            </w:pPr>
            <w:r>
              <w:rPr>
                <w:rFonts w:ascii="Times New Roman"/>
                <w:sz w:val="18"/>
              </w:rPr>
              <w:t>4.75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3"/>
        <w:spacing w:line="240" w:lineRule="auto"/>
        <w:ind w:right="0"/>
        <w:jc w:val="left"/>
        <w:rPr>
          <w:b w:val="0"/>
          <w:bCs w:val="0"/>
        </w:rPr>
      </w:pPr>
      <w:bookmarkStart w:name="15、固定资产" w:id="182"/>
      <w:bookmarkEnd w:id="182"/>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
        <w:rPr>
          <w:rFonts w:ascii="宋体" w:hAnsi="宋体" w:cs="宋体" w:eastAsia="宋体" w:hint="default"/>
          <w:b/>
          <w:bCs/>
          <w:sz w:val="30"/>
          <w:szCs w:val="30"/>
        </w:rPr>
      </w:pPr>
    </w:p>
    <w:p>
      <w:pPr>
        <w:pStyle w:val="BodyText"/>
        <w:spacing w:line="348" w:lineRule="auto"/>
        <w:ind w:left="1134" w:right="0" w:firstLine="420"/>
        <w:jc w:val="left"/>
      </w:pPr>
      <w:r>
        <w:rPr>
          <w:spacing w:val="-1"/>
        </w:rPr>
        <w:t>固定资产指为生产商品、提供劳务、出租或经营管理而持有，并且使用寿命超过一个会计年度的有形</w:t>
      </w:r>
      <w:r>
        <w:rPr/>
        <w:t> 资产。固定资产在同时满足下列条件时予以确认：</w:t>
      </w:r>
    </w:p>
    <w:p>
      <w:pPr>
        <w:pStyle w:val="BodyText"/>
        <w:spacing w:line="240" w:lineRule="auto" w:before="71"/>
        <w:ind w:left="1554" w:right="0"/>
        <w:jc w:val="left"/>
      </w:pPr>
      <w:r>
        <w:rPr>
          <w:rFonts w:ascii="Times New Roman" w:hAnsi="Times New Roman" w:cs="Times New Roman" w:eastAsia="Times New Roman" w:hint="default"/>
        </w:rPr>
        <w:t>1</w:t>
      </w:r>
      <w:r>
        <w:rPr/>
        <w:t>）与该固定资产有关的经济利益很可能流入企业；</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r>
        <w:rPr>
          <w:rFonts w:ascii="Times New Roman" w:hAnsi="Times New Roman" w:cs="Times New Roman" w:eastAsia="Times New Roman" w:hint="default"/>
        </w:rPr>
        <w:t>2</w:t>
      </w:r>
      <w:r>
        <w:rPr/>
        <w:t>）该固定资产的成本能够可靠地计量。</w:t>
      </w:r>
    </w:p>
    <w:p>
      <w:pPr>
        <w:spacing w:line="240" w:lineRule="auto" w:before="12"/>
        <w:rPr>
          <w:rFonts w:ascii="宋体" w:hAnsi="宋体" w:cs="宋体" w:eastAsia="宋体" w:hint="default"/>
          <w:sz w:val="22"/>
          <w:szCs w:val="22"/>
        </w:rPr>
      </w:pPr>
    </w:p>
    <w:p>
      <w:pPr>
        <w:pStyle w:val="Heading3"/>
        <w:spacing w:line="240" w:lineRule="auto"/>
        <w:ind w:left="1133"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2.37</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9.5-31.67</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9.5-19</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both"/>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1554" w:right="0"/>
        <w:jc w:val="left"/>
      </w:pPr>
      <w:r>
        <w:rPr/>
        <w:t>当公司租入的固定资产符合下列一项或数项标准时，确认为融资租入固定资产：</w:t>
      </w:r>
    </w:p>
    <w:p>
      <w:pPr>
        <w:pStyle w:val="BodyText"/>
        <w:spacing w:line="240" w:lineRule="auto" w:before="165"/>
        <w:ind w:left="1553" w:right="0"/>
        <w:jc w:val="left"/>
      </w:pPr>
      <w:r>
        <w:rPr>
          <w:rFonts w:ascii="Times New Roman" w:hAnsi="Times New Roman" w:cs="Times New Roman" w:eastAsia="Times New Roman" w:hint="default"/>
        </w:rPr>
        <w:t>1</w:t>
      </w:r>
      <w:r>
        <w:rPr/>
        <w:t>）在租赁期届满时，租赁资产的所有权转移给公司。</w:t>
      </w:r>
    </w:p>
    <w:p>
      <w:pPr>
        <w:pStyle w:val="BodyText"/>
        <w:spacing w:line="328" w:lineRule="auto" w:before="149"/>
        <w:ind w:left="1134" w:right="1197" w:firstLine="420"/>
        <w:jc w:val="left"/>
      </w:pPr>
      <w:r>
        <w:rPr>
          <w:rFonts w:ascii="Times New Roman" w:hAnsi="Times New Roman" w:cs="Times New Roman" w:eastAsia="Times New Roman" w:hint="default"/>
        </w:rPr>
        <w:t>2</w:t>
      </w:r>
      <w:r>
        <w:rPr/>
        <w:t>）公司有购买租赁资产的选择权，所订立的购买价款预计将远低于行使选择权时租赁资产的公允价 值，因而在租赁开始日就可以合理确定公司将会行使这种选择权。</w:t>
      </w:r>
    </w:p>
    <w:p>
      <w:pPr>
        <w:pStyle w:val="BodyText"/>
        <w:spacing w:line="240" w:lineRule="auto" w:before="88"/>
        <w:ind w:left="1554" w:right="0"/>
        <w:jc w:val="left"/>
      </w:pP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48"/>
        <w:ind w:left="1554" w:right="0"/>
        <w:jc w:val="left"/>
      </w:pPr>
      <w:r>
        <w:rPr>
          <w:rFonts w:ascii="Times New Roman" w:hAnsi="Times New Roman" w:cs="Times New Roman" w:eastAsia="Times New Roman" w:hint="default"/>
        </w:rPr>
        <w:t>4</w:t>
      </w:r>
      <w:r>
        <w:rPr/>
        <w:t>）公司在租赁开始日的最低租赁付款额现值，几乎相当于租赁开始日租赁资产公允价值。</w:t>
      </w:r>
    </w:p>
    <w:p>
      <w:pPr>
        <w:pStyle w:val="BodyText"/>
        <w:spacing w:line="362" w:lineRule="auto" w:before="150"/>
        <w:ind w:left="1554" w:right="1092"/>
        <w:jc w:val="left"/>
      </w:pPr>
      <w:r>
        <w:rPr>
          <w:rFonts w:ascii="Times New Roman" w:hAnsi="Times New Roman" w:cs="Times New Roman" w:eastAsia="Times New Roman" w:hint="default"/>
        </w:rPr>
        <w:t>5</w:t>
      </w:r>
      <w:r>
        <w:rPr/>
        <w:t>）租赁资产性质特殊，如果不作较大改造，只有公司才能使用。 融资租赁租入的固定资产，按租赁开始日租赁资产公允价值与最低租赁付款额的现值两者中较低者，</w:t>
      </w:r>
    </w:p>
    <w:p>
      <w:pPr>
        <w:pStyle w:val="BodyText"/>
        <w:spacing w:line="350" w:lineRule="auto" w:before="17"/>
        <w:ind w:left="1134" w:right="1131"/>
        <w:jc w:val="both"/>
      </w:pPr>
      <w:r>
        <w:rPr>
          <w:spacing w:val="-1"/>
        </w:rPr>
        <w:t>作为入账价值。最低租赁付款额作为长期应付款的入账价值，其差额作为未确认融资费用。在租赁谈判和</w:t>
      </w:r>
      <w:r>
        <w:rPr>
          <w:spacing w:val="-83"/>
        </w:rPr>
        <w:t> </w:t>
      </w:r>
      <w:r>
        <w:rPr>
          <w:spacing w:val="-83"/>
        </w:rPr>
      </w:r>
      <w:r>
        <w:rPr>
          <w:spacing w:val="-1"/>
        </w:rPr>
        <w:t>签订租赁合同过程中发生的，可归属于租赁项目的手续费、律师费、差旅费、印花税等初始直接费用，计</w:t>
      </w:r>
      <w:r>
        <w:rPr>
          <w:spacing w:val="-83"/>
        </w:rPr>
        <w:t> </w:t>
      </w:r>
      <w:r>
        <w:rPr>
          <w:spacing w:val="-83"/>
        </w:rPr>
      </w:r>
      <w:r>
        <w:rPr/>
        <w:t>入租入资产价值。未确认融资费用在租赁期内各个期间采用实际利率法进行分摊。</w:t>
      </w:r>
    </w:p>
    <w:p>
      <w:pPr>
        <w:pStyle w:val="BodyText"/>
        <w:spacing w:line="350" w:lineRule="auto" w:before="67"/>
        <w:ind w:left="1134" w:right="1131" w:firstLine="420"/>
        <w:jc w:val="both"/>
      </w:pPr>
      <w:r>
        <w:rPr>
          <w:spacing w:val="-1"/>
        </w:rPr>
        <w:t>公司采用与自有固定资产相一致的折旧政策计提融资租入固定资产折旧。能够合理确定租赁期届满时</w:t>
      </w:r>
      <w:r>
        <w:rPr/>
        <w:t> </w:t>
      </w:r>
      <w:r>
        <w:rPr>
          <w:spacing w:val="-1"/>
        </w:rPr>
        <w:t>取得租赁资产所有权的，在租赁资产使用寿命内计提折旧。无法合理确定租赁期届满时能够取得租赁资产</w:t>
      </w:r>
      <w:r>
        <w:rPr>
          <w:spacing w:val="-81"/>
        </w:rPr>
        <w:t> </w:t>
      </w:r>
      <w:r>
        <w:rPr>
          <w:spacing w:val="-81"/>
        </w:rPr>
      </w:r>
      <w:r>
        <w:rPr/>
        <w:t>所有权的，在租赁期与租赁资产使用寿命两者中较短的期间内计提折旧。</w:t>
      </w:r>
    </w:p>
    <w:p>
      <w:pPr>
        <w:spacing w:line="240" w:lineRule="auto" w:before="10"/>
        <w:rPr>
          <w:rFonts w:ascii="宋体" w:hAnsi="宋体" w:cs="宋体" w:eastAsia="宋体" w:hint="default"/>
          <w:sz w:val="16"/>
          <w:szCs w:val="16"/>
        </w:rPr>
      </w:pPr>
    </w:p>
    <w:p>
      <w:pPr>
        <w:pStyle w:val="Heading3"/>
        <w:spacing w:line="240" w:lineRule="auto"/>
        <w:ind w:right="0"/>
        <w:jc w:val="both"/>
        <w:rPr>
          <w:b w:val="0"/>
          <w:bCs w:val="0"/>
        </w:rPr>
      </w:pPr>
      <w:bookmarkStart w:name="16、在建工程" w:id="186"/>
      <w:bookmarkEnd w:id="186"/>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13"/>
        <w:rPr>
          <w:rFonts w:ascii="宋体" w:hAnsi="宋体" w:cs="宋体" w:eastAsia="宋体" w:hint="default"/>
          <w:b/>
          <w:bCs/>
          <w:sz w:val="29"/>
          <w:szCs w:val="29"/>
        </w:rPr>
      </w:pPr>
    </w:p>
    <w:p>
      <w:pPr>
        <w:pStyle w:val="BodyText"/>
        <w:spacing w:line="328" w:lineRule="auto"/>
        <w:ind w:left="1554" w:right="0"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在建工程的类别</w:t>
      </w:r>
      <w:r>
        <w:rPr>
          <w:rFonts w:ascii="宋体" w:hAnsi="宋体" w:cs="宋体" w:eastAsia="宋体" w:hint="default"/>
          <w:b/>
          <w:bCs/>
          <w:w w:val="99"/>
        </w:rPr>
        <w:t> </w:t>
      </w:r>
      <w:r>
        <w:rPr>
          <w:spacing w:val="-1"/>
        </w:rPr>
        <w:t>公司自行建造的在建工程按实际成本计价，实际成本由建造该项资产达到预定可使用状态前所发生的</w:t>
      </w:r>
    </w:p>
    <w:p>
      <w:pPr>
        <w:pStyle w:val="BodyText"/>
        <w:spacing w:line="350" w:lineRule="auto" w:before="48"/>
        <w:ind w:left="1134" w:right="1133"/>
        <w:jc w:val="both"/>
      </w:pPr>
      <w:r>
        <w:rPr>
          <w:spacing w:val="-1"/>
        </w:rPr>
        <w:t>必要支出构成，包括工程用物资成本、人工成本、交纳的相关税费、应予资本化的借款费用以及应分摊的</w:t>
      </w:r>
      <w:r>
        <w:rPr>
          <w:spacing w:val="-86"/>
        </w:rPr>
        <w:t> </w:t>
      </w:r>
      <w:r>
        <w:rPr>
          <w:spacing w:val="-86"/>
        </w:rPr>
      </w:r>
      <w:r>
        <w:rPr/>
        <w:t>间接费用等。公司的在建工程以项目分类核算。</w:t>
      </w:r>
    </w:p>
    <w:p>
      <w:pPr>
        <w:spacing w:line="331" w:lineRule="auto" w:before="28"/>
        <w:ind w:left="155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spacing w:after="0" w:line="331"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right="1130"/>
        <w:jc w:val="both"/>
      </w:pP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起，根据工程预算、造价或者工程实际成本等，按估计的价值转入固定资产，并按公司固定资产折旧政策</w:t>
      </w:r>
      <w:r>
        <w:rPr>
          <w:spacing w:val="-86"/>
        </w:rPr>
        <w:t> </w:t>
      </w:r>
      <w:r>
        <w:rPr>
          <w:spacing w:val="-86"/>
        </w:rPr>
      </w:r>
      <w:r>
        <w:rPr>
          <w:spacing w:val="-1"/>
        </w:rPr>
        <w:t>计提固定资产的折旧，待办理竣工决算后，再按实际成本调整原来的暂估价值，但不调整原已计提的折旧</w:t>
      </w:r>
      <w:r>
        <w:rPr>
          <w:spacing w:val="-82"/>
        </w:rPr>
        <w:t> </w:t>
      </w:r>
      <w:r>
        <w:rPr>
          <w:spacing w:val="-82"/>
        </w:rPr>
      </w:r>
      <w:r>
        <w:rPr/>
        <w:t>额。</w:t>
      </w:r>
    </w:p>
    <w:p>
      <w:pPr>
        <w:spacing w:line="240" w:lineRule="auto" w:before="8"/>
        <w:rPr>
          <w:rFonts w:ascii="宋体" w:hAnsi="宋体" w:cs="宋体" w:eastAsia="宋体" w:hint="default"/>
          <w:sz w:val="16"/>
          <w:szCs w:val="16"/>
        </w:rPr>
      </w:pPr>
    </w:p>
    <w:p>
      <w:pPr>
        <w:pStyle w:val="Heading3"/>
        <w:spacing w:line="240" w:lineRule="auto"/>
        <w:ind w:right="0"/>
        <w:jc w:val="both"/>
        <w:rPr>
          <w:b w:val="0"/>
          <w:bCs w:val="0"/>
        </w:rPr>
      </w:pPr>
      <w:bookmarkStart w:name="17、借款费用" w:id="187"/>
      <w:bookmarkEnd w:id="187"/>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1"/>
        <w:rPr>
          <w:rFonts w:ascii="宋体" w:hAnsi="宋体" w:cs="宋体" w:eastAsia="宋体" w:hint="default"/>
          <w:b/>
          <w:bCs/>
          <w:sz w:val="30"/>
          <w:szCs w:val="30"/>
        </w:rPr>
      </w:pPr>
    </w:p>
    <w:p>
      <w:pPr>
        <w:spacing w:line="331" w:lineRule="auto" w:before="0"/>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公司发生的借款费用，可直接归属于符合资本化条件的资产的购建或者生产的，在符合资本化条件的</w:t>
      </w:r>
    </w:p>
    <w:p>
      <w:pPr>
        <w:pStyle w:val="BodyText"/>
        <w:spacing w:line="348" w:lineRule="auto" w:before="45"/>
        <w:ind w:left="1134" w:right="1133"/>
        <w:jc w:val="both"/>
      </w:pPr>
      <w:r>
        <w:rPr>
          <w:spacing w:val="-1"/>
        </w:rPr>
        <w:t>情况下开始资本化，计入相关资产成本；其他借款费用，在发生时根据其发生额确认为费用，计入当期损</w:t>
      </w:r>
      <w:r>
        <w:rPr>
          <w:spacing w:val="-86"/>
        </w:rPr>
        <w:t> </w:t>
      </w:r>
      <w:r>
        <w:rPr>
          <w:spacing w:val="-86"/>
        </w:rPr>
      </w:r>
      <w:r>
        <w:rPr/>
        <w:t>益。</w:t>
      </w:r>
    </w:p>
    <w:p>
      <w:pPr>
        <w:pStyle w:val="BodyText"/>
        <w:spacing w:line="348" w:lineRule="auto" w:before="31"/>
        <w:ind w:left="1134" w:right="0" w:firstLine="420"/>
        <w:jc w:val="left"/>
      </w:pPr>
      <w:r>
        <w:rPr>
          <w:spacing w:val="-1"/>
        </w:rPr>
        <w:t>符合资本化条件的资产，是指需要经过相当长时间的购建或者生产活动才能达到预定可使用或者可销</w:t>
      </w:r>
      <w:r>
        <w:rPr/>
        <w:t> 售状态的固定资产、投资性房地产和存货等资产。</w:t>
      </w:r>
    </w:p>
    <w:p>
      <w:pPr>
        <w:pStyle w:val="BodyText"/>
        <w:spacing w:line="240" w:lineRule="auto" w:before="30"/>
        <w:ind w:left="1554" w:right="0"/>
        <w:jc w:val="left"/>
      </w:pPr>
      <w:r>
        <w:rPr/>
        <w:t>借款费用同时满足下列条件时开始资本化：</w:t>
      </w:r>
    </w:p>
    <w:p>
      <w:pPr>
        <w:pStyle w:val="BodyText"/>
        <w:spacing w:line="328" w:lineRule="auto" w:before="126"/>
        <w:ind w:left="1134" w:right="1197"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 非现金资产或者承担带息债务形式发生的支出；</w:t>
      </w:r>
    </w:p>
    <w:p>
      <w:pPr>
        <w:pStyle w:val="BodyText"/>
        <w:spacing w:line="240" w:lineRule="auto" w:before="47"/>
        <w:ind w:left="1554"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10"/>
        <w:ind w:left="15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28" w:lineRule="auto" w:before="109"/>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48"/>
        <w:ind w:left="1134" w:right="0"/>
        <w:jc w:val="both"/>
      </w:pPr>
      <w:r>
        <w:rPr/>
        <w:t>包括在内。</w:t>
      </w:r>
    </w:p>
    <w:p>
      <w:pPr>
        <w:pStyle w:val="BodyText"/>
        <w:spacing w:line="348" w:lineRule="auto" w:before="124"/>
        <w:ind w:left="155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before="31"/>
        <w:ind w:right="0"/>
        <w:jc w:val="both"/>
      </w:pPr>
      <w:r>
        <w:rPr/>
        <w:t>止资本化。</w:t>
      </w:r>
    </w:p>
    <w:p>
      <w:pPr>
        <w:pStyle w:val="BodyText"/>
        <w:spacing w:line="348" w:lineRule="auto" w:before="124"/>
        <w:ind w:left="1134" w:right="0" w:firstLine="420"/>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328" w:lineRule="auto" w:before="31"/>
        <w:ind w:left="1554" w:right="1197" w:firstLine="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38"/>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350" w:lineRule="auto" w:before="23"/>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331" w:lineRule="auto" w:before="28"/>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348" w:lineRule="auto" w:before="45"/>
        <w:ind w:left="1134" w:right="1110"/>
        <w:jc w:val="both"/>
      </w:pPr>
      <w:r>
        <w:rPr/>
        <w:t>投资收益）及其辅助费用在所购建或者生产的符合资本化条件的资产达到预定可使用或者可销售状态前， 予以资本化。</w:t>
      </w:r>
    </w:p>
    <w:p>
      <w:pPr>
        <w:spacing w:after="0" w:line="348"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right="1132" w:firstLine="420"/>
        <w:jc w:val="both"/>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BodyText"/>
        <w:spacing w:line="350" w:lineRule="auto" w:before="31"/>
        <w:ind w:right="1131" w:firstLine="420"/>
        <w:jc w:val="both"/>
      </w:pPr>
      <w:r>
        <w:rPr>
          <w:spacing w:val="-1"/>
        </w:rPr>
        <w:t>借款存在折价或者溢价的，按照实际利率法确定每一会计期间应摊销的折价或者溢价金额，调整每期</w:t>
      </w:r>
      <w:r>
        <w:rPr/>
        <w:t> 利息金额。</w:t>
      </w:r>
    </w:p>
    <w:p>
      <w:pPr>
        <w:spacing w:line="240" w:lineRule="auto" w:before="8"/>
        <w:rPr>
          <w:rFonts w:ascii="宋体" w:hAnsi="宋体" w:cs="宋体" w:eastAsia="宋体" w:hint="default"/>
          <w:sz w:val="16"/>
          <w:szCs w:val="16"/>
        </w:rPr>
      </w:pPr>
    </w:p>
    <w:p>
      <w:pPr>
        <w:pStyle w:val="Heading3"/>
        <w:spacing w:line="240" w:lineRule="auto"/>
        <w:ind w:left="1133" w:right="0"/>
        <w:jc w:val="left"/>
        <w:rPr>
          <w:b w:val="0"/>
          <w:bCs w:val="0"/>
        </w:rPr>
      </w:pPr>
      <w:bookmarkStart w:name="18、无形资产" w:id="188"/>
      <w:bookmarkEnd w:id="188"/>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
        <w:rPr>
          <w:rFonts w:ascii="宋体" w:hAnsi="宋体" w:cs="宋体" w:eastAsia="宋体" w:hint="default"/>
          <w:b/>
          <w:bCs/>
          <w:sz w:val="30"/>
          <w:szCs w:val="30"/>
        </w:rPr>
      </w:pPr>
    </w:p>
    <w:p>
      <w:pPr>
        <w:pStyle w:val="BodyText"/>
        <w:spacing w:line="348" w:lineRule="auto"/>
        <w:ind w:left="1134" w:right="1130" w:firstLine="420"/>
        <w:jc w:val="both"/>
      </w:pPr>
      <w:r>
        <w:rPr>
          <w:spacing w:val="-1"/>
        </w:rPr>
        <w:t>无形资产是指公司拥有或者控制的没有实物形态的可辨认非货币性资产，包括土地使用权、软件、商</w:t>
      </w:r>
      <w:r>
        <w:rPr/>
        <w:t> 标权、专利技术等。</w:t>
      </w:r>
    </w:p>
    <w:p>
      <w:pPr>
        <w:spacing w:line="328" w:lineRule="auto" w:before="31"/>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pacing w:val="-1"/>
          <w:sz w:val="21"/>
          <w:szCs w:val="21"/>
        </w:rPr>
        <w:t>外购无形资产的成本，包括购买价款、相关税费以及直接归属于使该项资产达到预定用途所发生的其</w:t>
      </w:r>
    </w:p>
    <w:p>
      <w:pPr>
        <w:pStyle w:val="BodyText"/>
        <w:spacing w:line="350" w:lineRule="auto" w:before="47"/>
        <w:ind w:left="1134"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348" w:lineRule="auto" w:before="28"/>
        <w:ind w:left="1134" w:right="113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350" w:lineRule="auto" w:before="31"/>
        <w:ind w:right="113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348" w:lineRule="auto" w:before="28"/>
        <w:ind w:right="1132" w:firstLine="420"/>
        <w:jc w:val="both"/>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pStyle w:val="BodyText"/>
        <w:spacing w:line="348" w:lineRule="auto" w:before="31"/>
        <w:ind w:right="1131" w:firstLine="420"/>
        <w:jc w:val="both"/>
      </w:pPr>
      <w:r>
        <w:rPr>
          <w:spacing w:val="-1"/>
        </w:rPr>
        <w:t>内部自行开发的无形资产，其成本包括：开发该无形资产时耗用的材料、劳务成本、注册费、在开发</w:t>
      </w:r>
      <w:r>
        <w:rPr/>
        <w:t> </w:t>
      </w:r>
      <w:r>
        <w:rPr>
          <w:spacing w:val="-1"/>
        </w:rPr>
        <w:t>过程中使用的其他专利权和特许权的摊销以及满足资本化条件的利息费用，以及为使该无形资产达到预定</w:t>
      </w:r>
      <w:r>
        <w:rPr>
          <w:spacing w:val="-81"/>
        </w:rPr>
        <w:t> </w:t>
      </w:r>
      <w:r>
        <w:rPr>
          <w:spacing w:val="-81"/>
        </w:rPr>
      </w:r>
      <w:r>
        <w:rPr/>
        <w:t>用途前所发生的其他直接费用。</w:t>
      </w:r>
    </w:p>
    <w:p>
      <w:pPr>
        <w:spacing w:line="328" w:lineRule="auto" w:before="31"/>
        <w:ind w:left="1554" w:right="13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无形资产的后续计量</w:t>
      </w:r>
      <w:r>
        <w:rPr>
          <w:rFonts w:ascii="宋体" w:hAnsi="宋体" w:cs="宋体" w:eastAsia="宋体" w:hint="default"/>
          <w:b/>
          <w:bCs/>
          <w:w w:val="99"/>
          <w:sz w:val="21"/>
          <w:szCs w:val="21"/>
        </w:rPr>
        <w:t> </w:t>
      </w:r>
      <w:r>
        <w:rPr>
          <w:rFonts w:ascii="宋体" w:hAnsi="宋体" w:cs="宋体" w:eastAsia="宋体" w:hint="default"/>
          <w:sz w:val="21"/>
          <w:szCs w:val="21"/>
        </w:rPr>
        <w:t>公司在取得无形资产时分析判断其使用寿命，划分为使用寿命有限和使用寿命不确定的无形资产。</w:t>
      </w:r>
    </w:p>
    <w:p>
      <w:pPr>
        <w:pStyle w:val="BodyText"/>
        <w:spacing w:line="331" w:lineRule="auto" w:before="47"/>
        <w:ind w:left="1553" w:right="0"/>
        <w:jc w:val="left"/>
      </w:pPr>
      <w:r>
        <w:rPr/>
        <w:t>（</w:t>
      </w:r>
      <w:r>
        <w:rPr>
          <w:rFonts w:ascii="Times New Roman" w:hAnsi="Times New Roman" w:cs="Times New Roman" w:eastAsia="Times New Roman" w:hint="default"/>
        </w:rPr>
        <w:t>1</w:t>
      </w:r>
      <w:r>
        <w:rPr/>
        <w:t>）使用寿命有限的无形资产 </w:t>
      </w:r>
      <w:r>
        <w:rPr>
          <w:spacing w:val="-1"/>
        </w:rPr>
        <w:t>对于使用寿命有限的无形资产，在为企业带来经济利益的期限内按直线法摊销。使用寿命有限的无形</w:t>
      </w:r>
    </w:p>
    <w:p>
      <w:pPr>
        <w:pStyle w:val="BodyText"/>
        <w:spacing w:line="240" w:lineRule="auto" w:before="45"/>
        <w:ind w:right="0"/>
        <w:jc w:val="left"/>
      </w:pPr>
      <w:r>
        <w:rPr/>
        <w:t>资产预计寿命及依据如下：</w:t>
      </w:r>
    </w:p>
    <w:p>
      <w:pPr>
        <w:spacing w:line="240" w:lineRule="auto" w:before="10"/>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2806"/>
        <w:gridCol w:w="1872"/>
        <w:gridCol w:w="3743"/>
      </w:tblGrid>
      <w:tr>
        <w:trPr>
          <w:trHeight w:val="269"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269"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软件及软件著作权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269"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专有技术</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r>
        <w:trPr>
          <w:trHeight w:val="269" w:hRule="exact"/>
        </w:trPr>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3"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受益年限</w:t>
            </w:r>
          </w:p>
        </w:tc>
      </w:tr>
    </w:tbl>
    <w:p>
      <w:pPr>
        <w:spacing w:line="240" w:lineRule="auto" w:before="3"/>
        <w:rPr>
          <w:rFonts w:ascii="宋体" w:hAnsi="宋体" w:cs="宋体" w:eastAsia="宋体" w:hint="default"/>
          <w:sz w:val="12"/>
          <w:szCs w:val="12"/>
        </w:rPr>
      </w:pPr>
    </w:p>
    <w:p>
      <w:pPr>
        <w:pStyle w:val="BodyText"/>
        <w:spacing w:line="348" w:lineRule="auto" w:before="35"/>
        <w:ind w:left="1134" w:right="1092" w:firstLine="420"/>
        <w:jc w:val="left"/>
      </w:pPr>
      <w:r>
        <w:rPr/>
        <w:t>每期末，对使用寿命有限的无形资产的使用寿命及摊销方法进行复核，如与原先估计数存在差异的， 进行相应的调整。</w:t>
      </w:r>
    </w:p>
    <w:p>
      <w:pPr>
        <w:spacing w:after="0" w:line="348"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r>
        <w:rPr/>
        <w:t>经复核，本期期末无形资产的使用寿命及摊销方法与以前估计未有不同。</w:t>
      </w:r>
    </w:p>
    <w:p>
      <w:pPr>
        <w:pStyle w:val="BodyText"/>
        <w:spacing w:line="331" w:lineRule="auto" w:before="124"/>
        <w:ind w:left="1553" w:right="0"/>
        <w:jc w:val="left"/>
      </w:pPr>
      <w:r>
        <w:rPr/>
        <w:t>（</w:t>
      </w:r>
      <w:r>
        <w:rPr>
          <w:rFonts w:ascii="Times New Roman" w:hAnsi="Times New Roman" w:cs="Times New Roman" w:eastAsia="Times New Roman" w:hint="default"/>
        </w:rPr>
        <w:t>2</w:t>
      </w:r>
      <w:r>
        <w:rPr/>
        <w:t>）使用寿命不确定的无形资产 </w:t>
      </w:r>
      <w:r>
        <w:rPr>
          <w:spacing w:val="-1"/>
        </w:rPr>
        <w:t>对于使用寿命不确定的无形资产，在持有期间内不摊销，每期末对无形资产的寿命进行复核。如果期</w:t>
      </w:r>
    </w:p>
    <w:p>
      <w:pPr>
        <w:pStyle w:val="BodyText"/>
        <w:spacing w:line="240" w:lineRule="auto" w:before="45"/>
        <w:ind w:right="0"/>
        <w:jc w:val="left"/>
      </w:pPr>
      <w:r>
        <w:rPr/>
        <w:t>末重新复核后仍为不确定的，在每个会计期间继续进行减值测试。</w:t>
      </w:r>
    </w:p>
    <w:p>
      <w:pPr>
        <w:spacing w:line="240" w:lineRule="auto" w:before="0"/>
        <w:rPr>
          <w:rFonts w:ascii="宋体" w:hAnsi="宋体" w:cs="宋体" w:eastAsia="宋体" w:hint="default"/>
          <w:sz w:val="24"/>
          <w:szCs w:val="24"/>
        </w:rPr>
      </w:pPr>
    </w:p>
    <w:p>
      <w:pPr>
        <w:pStyle w:val="Heading3"/>
        <w:spacing w:line="240" w:lineRule="auto"/>
        <w:ind w:left="1133" w:right="0"/>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
        <w:rPr>
          <w:rFonts w:ascii="宋体" w:hAnsi="宋体" w:cs="宋体" w:eastAsia="宋体" w:hint="default"/>
          <w:b/>
          <w:bCs/>
          <w:sz w:val="30"/>
          <w:szCs w:val="30"/>
        </w:rPr>
      </w:pPr>
    </w:p>
    <w:p>
      <w:pPr>
        <w:spacing w:line="331" w:lineRule="auto" w:before="0"/>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pacing w:val="-1"/>
          <w:sz w:val="21"/>
          <w:szCs w:val="21"/>
        </w:rPr>
        <w:t>研究阶段：为研发项目而进行的前期市场调研和项目可行性论证的阶段，公司以《研发项目立项申请</w:t>
      </w:r>
    </w:p>
    <w:p>
      <w:pPr>
        <w:pStyle w:val="BodyText"/>
        <w:spacing w:line="348" w:lineRule="auto" w:before="45"/>
        <w:ind w:left="1553" w:right="0" w:hanging="420"/>
        <w:jc w:val="left"/>
      </w:pPr>
      <w:r>
        <w:rPr/>
        <w:t>书》上项目立项申请审核通过时间作为研发项目进入研究阶段的标准。 </w:t>
      </w:r>
      <w:r>
        <w:rPr>
          <w:spacing w:val="-1"/>
        </w:rPr>
        <w:t>开发阶段：研发项目经审批正式确认立项后即进入开发阶段，开发阶段以《项目立项报告》上的立项</w:t>
      </w:r>
    </w:p>
    <w:p>
      <w:pPr>
        <w:spacing w:line="348" w:lineRule="auto" w:before="31"/>
        <w:ind w:left="1554" w:right="4662" w:hanging="420"/>
        <w:jc w:val="left"/>
        <w:rPr>
          <w:rFonts w:ascii="宋体" w:hAnsi="宋体" w:cs="宋体" w:eastAsia="宋体" w:hint="default"/>
          <w:sz w:val="21"/>
          <w:szCs w:val="21"/>
        </w:rPr>
      </w:pPr>
      <w:r>
        <w:rPr>
          <w:rFonts w:ascii="宋体" w:hAnsi="宋体" w:cs="宋体" w:eastAsia="宋体" w:hint="default"/>
          <w:sz w:val="21"/>
          <w:szCs w:val="21"/>
        </w:rPr>
        <w:t>时间作为进入开发阶段的标准。 内部研究开发项目研究阶段的支出，在发生时计入当期损益。 </w:t>
      </w: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4"/>
          <w:sz w:val="21"/>
          <w:szCs w:val="21"/>
        </w:rPr>
        <w:t> </w:t>
      </w:r>
      <w:r>
        <w:rPr>
          <w:rFonts w:ascii="宋体" w:hAnsi="宋体" w:cs="宋体" w:eastAsia="宋体" w:hint="default"/>
          <w:b/>
          <w:bCs/>
          <w:sz w:val="21"/>
          <w:szCs w:val="21"/>
        </w:rPr>
        <w:t>开发阶段支出符合资本化的具体标准</w:t>
      </w:r>
      <w:r>
        <w:rPr>
          <w:rFonts w:ascii="宋体" w:hAnsi="宋体" w:cs="宋体" w:eastAsia="宋体" w:hint="default"/>
          <w:sz w:val="21"/>
          <w:szCs w:val="21"/>
        </w:rPr>
      </w:r>
    </w:p>
    <w:p>
      <w:pPr>
        <w:pStyle w:val="BodyText"/>
        <w:spacing w:line="240" w:lineRule="auto" w:before="5"/>
        <w:ind w:left="1553" w:right="0"/>
        <w:jc w:val="left"/>
      </w:pPr>
      <w:r>
        <w:rPr/>
        <w:t>内部研究开发项目开发阶段的支出，同时满足下列条件时确认为无形资产：</w:t>
      </w:r>
    </w:p>
    <w:p>
      <w:pPr>
        <w:pStyle w:val="BodyText"/>
        <w:spacing w:line="240" w:lineRule="auto" w:before="124"/>
        <w:ind w:left="155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9"/>
        <w:ind w:left="155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1" w:lineRule="auto" w:before="110"/>
        <w:ind w:right="1215" w:firstLine="420"/>
        <w:jc w:val="both"/>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 自身存在市场，无形资产将在内部使用的，能够证明其有用性；</w:t>
      </w:r>
    </w:p>
    <w:p>
      <w:pPr>
        <w:pStyle w:val="BodyText"/>
        <w:spacing w:line="331" w:lineRule="auto" w:before="45"/>
        <w:ind w:right="1215" w:firstLine="420"/>
        <w:jc w:val="both"/>
      </w:pPr>
      <w:r>
        <w:rPr/>
        <w:t>（</w:t>
      </w:r>
      <w:r>
        <w:rPr>
          <w:rFonts w:ascii="Times New Roman" w:hAnsi="Times New Roman" w:cs="Times New Roman" w:eastAsia="Times New Roman" w:hint="default"/>
        </w:rPr>
        <w:t>4</w:t>
      </w:r>
      <w:r>
        <w:rPr/>
        <w:t>）有足够的技术、财务资源和其他资源支持，以完成该无形资产的开发，并有能力使用或出售该 无形资产；</w:t>
      </w:r>
    </w:p>
    <w:p>
      <w:pPr>
        <w:pStyle w:val="BodyText"/>
        <w:spacing w:line="328" w:lineRule="auto" w:before="45"/>
        <w:ind w:left="1554" w:right="1116"/>
        <w:jc w:val="left"/>
      </w:pPr>
      <w:r>
        <w:rPr/>
        <w:t>（</w:t>
      </w:r>
      <w:r>
        <w:rPr>
          <w:rFonts w:ascii="Times New Roman" w:hAnsi="Times New Roman" w:cs="Times New Roman" w:eastAsia="Times New Roman" w:hint="default"/>
        </w:rPr>
        <w:t>5</w:t>
      </w:r>
      <w:r>
        <w:rPr/>
        <w:t>）归属于该无形资产开发阶段的支出能够可靠地计量。 开发项目在通过前期市场调研和项目可行性论证并报经公司批准</w:t>
      </w:r>
      <w:r>
        <w:rPr>
          <w:rFonts w:ascii="Times New Roman" w:hAnsi="Times New Roman" w:cs="Times New Roman" w:eastAsia="Times New Roman" w:hint="default"/>
        </w:rPr>
        <w:t>“</w:t>
      </w:r>
      <w:r>
        <w:rPr/>
        <w:t>项目立项</w:t>
      </w:r>
      <w:r>
        <w:rPr>
          <w:rFonts w:ascii="Times New Roman" w:hAnsi="Times New Roman" w:cs="Times New Roman" w:eastAsia="Times New Roman" w:hint="default"/>
        </w:rPr>
        <w:t>”</w:t>
      </w:r>
      <w:r>
        <w:rPr/>
        <w:t>后即进入开发阶段，开发</w:t>
      </w:r>
    </w:p>
    <w:p>
      <w:pPr>
        <w:pStyle w:val="BodyText"/>
        <w:spacing w:line="348" w:lineRule="auto" w:before="24"/>
        <w:ind w:left="1134" w:right="1092"/>
        <w:jc w:val="left"/>
      </w:pPr>
      <w:r>
        <w:rPr/>
        <w:t>阶段以《项目立项报告》上的立项时间作为项目资本化的时点，整个开发阶段分为项目立项、项目开发、 项目验收、项目发布四个阶段。在项目完成验收之后确认为无形资产。</w:t>
      </w:r>
    </w:p>
    <w:p>
      <w:pPr>
        <w:pStyle w:val="BodyText"/>
        <w:spacing w:line="350" w:lineRule="auto" w:before="30"/>
        <w:ind w:left="1134" w:right="1131" w:firstLine="420"/>
        <w:jc w:val="both"/>
      </w:pPr>
      <w:r>
        <w:rPr>
          <w:spacing w:val="-1"/>
        </w:rPr>
        <w:t>不满足上述条件的开发阶段的支出，于发生时计入当期损益。以前期间已计入损益的开发支出不在以</w:t>
      </w:r>
      <w:r>
        <w:rPr/>
        <w:t> </w:t>
      </w:r>
      <w:r>
        <w:rPr>
          <w:spacing w:val="-1"/>
        </w:rPr>
        <w:t>后期间重新确认为资产。已资本化的开发阶段的支出在资产负债表上列示为开发支出，自该项目达到预定</w:t>
      </w:r>
      <w:r>
        <w:rPr>
          <w:spacing w:val="-81"/>
        </w:rPr>
        <w:t> </w:t>
      </w:r>
      <w:r>
        <w:rPr>
          <w:spacing w:val="-81"/>
        </w:rPr>
      </w:r>
      <w:r>
        <w:rPr/>
        <w:t>用途之日起转为无形资产。</w:t>
      </w:r>
    </w:p>
    <w:p>
      <w:pPr>
        <w:spacing w:line="240" w:lineRule="auto" w:before="8"/>
        <w:rPr>
          <w:rFonts w:ascii="宋体" w:hAnsi="宋体" w:cs="宋体" w:eastAsia="宋体" w:hint="default"/>
          <w:sz w:val="16"/>
          <w:szCs w:val="16"/>
        </w:rPr>
      </w:pPr>
    </w:p>
    <w:p>
      <w:pPr>
        <w:pStyle w:val="Heading3"/>
        <w:spacing w:line="240" w:lineRule="auto"/>
        <w:ind w:right="0"/>
        <w:jc w:val="left"/>
        <w:rPr>
          <w:b w:val="0"/>
          <w:bCs w:val="0"/>
        </w:rPr>
      </w:pPr>
      <w:bookmarkStart w:name="19、长期资产减值" w:id="191"/>
      <w:bookmarkEnd w:id="191"/>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1"/>
        <w:rPr>
          <w:rFonts w:ascii="宋体" w:hAnsi="宋体" w:cs="宋体" w:eastAsia="宋体" w:hint="default"/>
          <w:b/>
          <w:bCs/>
          <w:sz w:val="30"/>
          <w:szCs w:val="30"/>
        </w:rPr>
      </w:pPr>
    </w:p>
    <w:p>
      <w:pPr>
        <w:pStyle w:val="BodyText"/>
        <w:spacing w:line="350" w:lineRule="auto"/>
        <w:ind w:left="1134" w:right="1131" w:firstLine="420"/>
        <w:jc w:val="both"/>
      </w:pPr>
      <w:r>
        <w:rPr>
          <w:spacing w:val="-1"/>
        </w:rPr>
        <w:t>公司在资产负债表日判断长期资产是否存在可能发生减值的迹象。如果长期资产存在减值迹象的，以</w:t>
      </w:r>
      <w:r>
        <w:rPr/>
        <w:t> </w:t>
      </w:r>
      <w:r>
        <w:rPr>
          <w:spacing w:val="-1"/>
        </w:rPr>
        <w:t>单项资产为基础估计其可收回金额；难以对单项资产的可收回金额进行估计的，以该资产所属的资产组为</w:t>
      </w:r>
      <w:r>
        <w:rPr>
          <w:spacing w:val="-81"/>
        </w:rPr>
        <w:t> </w:t>
      </w:r>
      <w:r>
        <w:rPr>
          <w:spacing w:val="-81"/>
        </w:rPr>
      </w:r>
      <w:r>
        <w:rPr/>
        <w:t>基础确定资产组的可收回金额。</w:t>
      </w:r>
    </w:p>
    <w:p>
      <w:pPr>
        <w:pStyle w:val="BodyText"/>
        <w:spacing w:line="348" w:lineRule="auto" w:before="28"/>
        <w:ind w:left="1134" w:right="1132" w:firstLine="420"/>
        <w:jc w:val="both"/>
      </w:pPr>
      <w:r>
        <w:rPr>
          <w:spacing w:val="-1"/>
        </w:rPr>
        <w:t>资产可收回金额的估计，根据其公允价值减去处置费用后的净额与资产预计未来现金流量的现值两者</w:t>
      </w:r>
      <w:r>
        <w:rPr/>
        <w:t> 之间较高者确定。</w:t>
      </w:r>
    </w:p>
    <w:p>
      <w:pPr>
        <w:spacing w:after="0" w:line="348"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right="1131" w:firstLine="420"/>
        <w:jc w:val="both"/>
      </w:pPr>
      <w:r>
        <w:rPr>
          <w:spacing w:val="-1"/>
        </w:rPr>
        <w:t>可收回金额的计量结果表明，长期资产的可收回金额低于其账面价值的，将长期资产的账面价值减记</w:t>
      </w:r>
      <w:r>
        <w:rPr/>
        <w:t> </w:t>
      </w:r>
      <w:r>
        <w:rPr>
          <w:spacing w:val="-1"/>
        </w:rPr>
        <w:t>至可收回金额，减记的金额确认为资产减值损失，计入当期损益，同时计提相应的资产减值准备。资产减</w:t>
      </w:r>
      <w:r>
        <w:rPr>
          <w:spacing w:val="-86"/>
        </w:rPr>
        <w:t> </w:t>
      </w:r>
      <w:r>
        <w:rPr>
          <w:spacing w:val="-86"/>
        </w:rPr>
      </w:r>
      <w:r>
        <w:rPr/>
        <w:t>值损失一经确认，在以后会计期间不得转回。</w:t>
      </w:r>
    </w:p>
    <w:p>
      <w:pPr>
        <w:pStyle w:val="BodyText"/>
        <w:spacing w:line="348" w:lineRule="auto" w:before="28"/>
        <w:ind w:right="1131" w:firstLine="420"/>
        <w:jc w:val="both"/>
      </w:pPr>
      <w:r>
        <w:rPr>
          <w:spacing w:val="-1"/>
        </w:rPr>
        <w:t>资产减值损失确认后，减值资产的折旧或者摊销费用在未来期间作相应调整，以使该资产在剩余使用</w:t>
      </w:r>
      <w:r>
        <w:rPr/>
        <w:t> 寿命内，系统地分摊调整后的资产账面价值（扣除预计净残值）。</w:t>
      </w:r>
    </w:p>
    <w:p>
      <w:pPr>
        <w:pStyle w:val="BodyText"/>
        <w:spacing w:line="350" w:lineRule="auto" w:before="31"/>
        <w:ind w:right="1130" w:firstLine="420"/>
        <w:jc w:val="both"/>
      </w:pPr>
      <w:r>
        <w:rPr>
          <w:spacing w:val="-1"/>
        </w:rPr>
        <w:t>因企业合并所形成的商誉和使用寿命不确定的无形资产，无论是否存在减值迹象，每年都进行减值测</w:t>
      </w:r>
      <w:r>
        <w:rPr/>
        <w:t> </w:t>
      </w:r>
      <w:r>
        <w:rPr>
          <w:spacing w:val="-1"/>
        </w:rPr>
        <w:t>试。在对商誉进行减值测试时，将商誉的账面价值分摊至预期从企业合并的协同效应中受益的资产组或资</w:t>
      </w:r>
      <w:r>
        <w:rPr>
          <w:spacing w:val="-80"/>
        </w:rPr>
        <w:t> </w:t>
      </w:r>
      <w:r>
        <w:rPr>
          <w:spacing w:val="-80"/>
        </w:rPr>
      </w:r>
      <w:r>
        <w:rPr>
          <w:spacing w:val="-1"/>
        </w:rPr>
        <w:t>产组组合。在对包含商誉的相关资产组或者资产组组合进行减值测试时，如与商誉相关的资产组或者资产</w:t>
      </w:r>
      <w:r>
        <w:rPr>
          <w:spacing w:val="-81"/>
        </w:rPr>
        <w:t> </w:t>
      </w:r>
      <w:r>
        <w:rPr>
          <w:spacing w:val="-81"/>
        </w:rPr>
      </w:r>
      <w:r>
        <w:rPr>
          <w:spacing w:val="-1"/>
        </w:rPr>
        <w:t>组组合存在减值迹象的，先对不包含商誉的资产组或者资产组组合进行减值测试，计算可收回金额，并与</w:t>
      </w:r>
      <w:r>
        <w:rPr>
          <w:spacing w:val="-83"/>
        </w:rPr>
        <w:t> </w:t>
      </w:r>
      <w:r>
        <w:rPr>
          <w:spacing w:val="-83"/>
        </w:rPr>
      </w:r>
      <w:r>
        <w:rPr>
          <w:spacing w:val="-1"/>
        </w:rPr>
        <w:t>相关账面价值相比较，确认相应的减值损失。再对包含商誉的资产组或者资产组组合进行减值测试，比较</w:t>
      </w:r>
      <w:r>
        <w:rPr>
          <w:spacing w:val="-83"/>
        </w:rPr>
        <w:t> </w:t>
      </w:r>
      <w:r>
        <w:rPr>
          <w:spacing w:val="-83"/>
        </w:rPr>
      </w:r>
      <w:r>
        <w:rPr>
          <w:spacing w:val="-1"/>
        </w:rPr>
        <w:t>这些相关资产组或者资产组组合的账面价值（包括所分摊的商誉的账面价值部分）与其可收回金额，如相</w:t>
      </w:r>
      <w:r>
        <w:rPr>
          <w:spacing w:val="-83"/>
        </w:rPr>
        <w:t> </w:t>
      </w:r>
      <w:r>
        <w:rPr>
          <w:spacing w:val="-83"/>
        </w:rPr>
      </w:r>
      <w:r>
        <w:rPr/>
        <w:t>关资产组或者资产组组合的可收回金额低于其账面价值的，确认商誉的减值损失。</w:t>
      </w:r>
    </w:p>
    <w:p>
      <w:pPr>
        <w:spacing w:line="240" w:lineRule="auto" w:before="8"/>
        <w:rPr>
          <w:rFonts w:ascii="宋体" w:hAnsi="宋体" w:cs="宋体" w:eastAsia="宋体" w:hint="default"/>
          <w:sz w:val="16"/>
          <w:szCs w:val="16"/>
        </w:rPr>
      </w:pPr>
    </w:p>
    <w:p>
      <w:pPr>
        <w:pStyle w:val="Heading3"/>
        <w:spacing w:line="240" w:lineRule="auto"/>
        <w:ind w:left="1133" w:right="0"/>
        <w:jc w:val="left"/>
        <w:rPr>
          <w:b w:val="0"/>
          <w:bCs w:val="0"/>
        </w:rPr>
      </w:pPr>
      <w:bookmarkStart w:name="20、长期待摊费用" w:id="192"/>
      <w:bookmarkEnd w:id="192"/>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1"/>
        <w:rPr>
          <w:rFonts w:ascii="宋体" w:hAnsi="宋体" w:cs="宋体" w:eastAsia="宋体" w:hint="default"/>
          <w:b/>
          <w:bCs/>
          <w:sz w:val="30"/>
          <w:szCs w:val="30"/>
        </w:rPr>
      </w:pPr>
    </w:p>
    <w:p>
      <w:pPr>
        <w:pStyle w:val="BodyText"/>
        <w:spacing w:line="328" w:lineRule="auto"/>
        <w:ind w:left="1553" w:right="1198"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摊销方法</w:t>
      </w:r>
      <w:r>
        <w:rPr>
          <w:rFonts w:ascii="宋体" w:hAnsi="宋体" w:cs="宋体" w:eastAsia="宋体" w:hint="default"/>
          <w:b/>
          <w:bCs/>
          <w:w w:val="99"/>
        </w:rPr>
        <w:t> </w:t>
      </w:r>
      <w:r>
        <w:rPr/>
        <w:t>长期待摊费用，是指公司已经发生但应由本期和以后各期负担的分摊期限在</w:t>
      </w:r>
      <w:r>
        <w:rPr>
          <w:rFonts w:ascii="Times New Roman" w:hAnsi="Times New Roman" w:cs="Times New Roman" w:eastAsia="Times New Roman" w:hint="default"/>
        </w:rPr>
        <w:t>1</w:t>
      </w:r>
      <w:r>
        <w:rPr/>
        <w:t>年以上的各项费用。长</w:t>
      </w:r>
    </w:p>
    <w:p>
      <w:pPr>
        <w:pStyle w:val="BodyText"/>
        <w:spacing w:line="350" w:lineRule="auto" w:before="24"/>
        <w:ind w:right="0"/>
        <w:jc w:val="left"/>
      </w:pPr>
      <w:r>
        <w:rPr>
          <w:spacing w:val="-1"/>
        </w:rPr>
        <w:t>期待摊费用按发生时的实际成本计价，并在受益期限内平均摊销。如果长期待摊费用项目不能使以后会计</w:t>
      </w:r>
      <w:r>
        <w:rPr>
          <w:spacing w:val="-81"/>
        </w:rPr>
        <w:t> </w:t>
      </w:r>
      <w:r>
        <w:rPr>
          <w:spacing w:val="-81"/>
        </w:rPr>
      </w:r>
      <w:r>
        <w:rPr/>
        <w:t>期间受益的，则将尚未摊销的该项目的摊余价值全部转入当期损益。</w:t>
      </w:r>
    </w:p>
    <w:p>
      <w:pPr>
        <w:pStyle w:val="Heading3"/>
        <w:spacing w:line="240" w:lineRule="auto" w:before="28"/>
        <w:ind w:left="1556"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摊销年限</w:t>
      </w:r>
      <w:r>
        <w:rPr>
          <w:b w:val="0"/>
          <w:bCs w:val="0"/>
        </w:rPr>
      </w:r>
    </w:p>
    <w:p>
      <w:pPr>
        <w:pStyle w:val="BodyText"/>
        <w:spacing w:line="240" w:lineRule="auto" w:before="110"/>
        <w:ind w:left="1553" w:right="0"/>
        <w:jc w:val="left"/>
      </w:pPr>
      <w:r>
        <w:rPr/>
        <w:t>（</w:t>
      </w:r>
      <w:r>
        <w:rPr>
          <w:rFonts w:ascii="Times New Roman" w:hAnsi="Times New Roman" w:cs="Times New Roman" w:eastAsia="Times New Roman" w:hint="default"/>
        </w:rPr>
        <w:t>1</w:t>
      </w:r>
      <w:r>
        <w:rPr/>
        <w:t>）房屋装修费按</w:t>
      </w:r>
      <w:r>
        <w:rPr>
          <w:rFonts w:ascii="Times New Roman" w:hAnsi="Times New Roman" w:cs="Times New Roman" w:eastAsia="Times New Roman" w:hint="default"/>
        </w:rPr>
        <w:t>5</w:t>
      </w:r>
      <w:r>
        <w:rPr/>
        <w:t>年平均摊销。</w:t>
      </w:r>
    </w:p>
    <w:p>
      <w:pPr>
        <w:pStyle w:val="BodyText"/>
        <w:spacing w:line="240" w:lineRule="auto" w:before="109"/>
        <w:ind w:left="1553" w:right="0"/>
        <w:jc w:val="left"/>
      </w:pPr>
      <w:r>
        <w:rPr/>
        <w:t>（</w:t>
      </w:r>
      <w:r>
        <w:rPr>
          <w:rFonts w:ascii="Times New Roman" w:hAnsi="Times New Roman" w:cs="Times New Roman" w:eastAsia="Times New Roman" w:hint="default"/>
        </w:rPr>
        <w:t>2</w:t>
      </w:r>
      <w:r>
        <w:rPr/>
        <w:t>）预付经营租入固定资产的租金，按租赁合同规定的期限平均摊销。</w:t>
      </w:r>
    </w:p>
    <w:p>
      <w:pPr>
        <w:pStyle w:val="BodyText"/>
        <w:spacing w:line="331" w:lineRule="auto" w:before="109"/>
        <w:ind w:left="1134" w:right="1215" w:firstLine="420"/>
        <w:jc w:val="both"/>
      </w:pPr>
      <w:r>
        <w:rPr/>
        <w:t>（</w:t>
      </w:r>
      <w:r>
        <w:rPr>
          <w:rFonts w:ascii="Times New Roman" w:hAnsi="Times New Roman" w:cs="Times New Roman" w:eastAsia="Times New Roman" w:hint="default"/>
        </w:rPr>
        <w:t>3</w:t>
      </w:r>
      <w:r>
        <w:rPr/>
        <w:t>）经营租赁方式租入的固定资产改良支出，按剩余租赁期与租赁资产尚可使用年限两者中较短的 期限平均摊销。</w:t>
      </w: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21、职工薪酬" w:id="193"/>
      <w:bookmarkEnd w:id="193"/>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
        <w:rPr>
          <w:rFonts w:ascii="宋体" w:hAnsi="宋体" w:cs="宋体" w:eastAsia="宋体" w:hint="default"/>
          <w:b/>
          <w:bCs/>
          <w:sz w:val="30"/>
          <w:szCs w:val="30"/>
        </w:rPr>
      </w:pPr>
    </w:p>
    <w:p>
      <w:pPr>
        <w:pStyle w:val="BodyText"/>
        <w:spacing w:line="348" w:lineRule="auto"/>
        <w:ind w:left="1134" w:right="0" w:firstLine="420"/>
        <w:jc w:val="left"/>
      </w:pPr>
      <w:r>
        <w:rPr/>
        <w:t>短期薪酬是指公司在职工提供相关服务的年度报告期间结束后十二个月内需要全部予以支付的职工 </w:t>
      </w:r>
      <w:r>
        <w:rPr>
          <w:spacing w:val="-1"/>
        </w:rPr>
        <w:t>薪酬，离职后福利和辞退福利除外。公司在职工提供服务的会计期间，将应付的短期薪酬确认为负债，并</w:t>
      </w:r>
      <w:r>
        <w:rPr>
          <w:spacing w:val="-85"/>
        </w:rPr>
        <w:t> </w:t>
      </w:r>
      <w:r>
        <w:rPr>
          <w:spacing w:val="-85"/>
        </w:rPr>
      </w:r>
      <w:r>
        <w:rPr/>
        <w:t>根据职工提供服务的受益对象计入相关资产成本和费用。</w:t>
      </w:r>
    </w:p>
    <w:p>
      <w:pPr>
        <w:spacing w:line="240" w:lineRule="auto" w:before="12"/>
        <w:rPr>
          <w:rFonts w:ascii="宋体" w:hAnsi="宋体" w:cs="宋体" w:eastAsia="宋体" w:hint="default"/>
          <w:sz w:val="16"/>
          <w:szCs w:val="16"/>
        </w:rPr>
      </w:pPr>
    </w:p>
    <w:p>
      <w:pPr>
        <w:pStyle w:val="Heading3"/>
        <w:spacing w:line="240" w:lineRule="auto"/>
        <w:ind w:left="1133"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
        <w:rPr>
          <w:rFonts w:ascii="宋体" w:hAnsi="宋体" w:cs="宋体" w:eastAsia="宋体" w:hint="default"/>
          <w:b/>
          <w:bCs/>
          <w:sz w:val="30"/>
          <w:szCs w:val="30"/>
        </w:rPr>
      </w:pPr>
    </w:p>
    <w:p>
      <w:pPr>
        <w:pStyle w:val="BodyText"/>
        <w:spacing w:line="348" w:lineRule="auto"/>
        <w:ind w:right="1132" w:firstLine="420"/>
        <w:jc w:val="both"/>
      </w:pPr>
      <w:r>
        <w:rPr>
          <w:spacing w:val="-1"/>
        </w:rPr>
        <w:t>离职后福利是指公司为获得职工提供的服务而在职工退休或与企业解除劳动关系后，提供的各种形式</w:t>
      </w:r>
      <w:r>
        <w:rPr/>
        <w:t> 的报酬和福利，短期薪酬和辞退福利除外。</w:t>
      </w:r>
    </w:p>
    <w:p>
      <w:pPr>
        <w:spacing w:after="0" w:line="348"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48" w:lineRule="auto" w:before="35"/>
        <w:ind w:left="1553" w:right="0"/>
        <w:jc w:val="left"/>
      </w:pPr>
      <w:r>
        <w:rPr/>
        <w:t>公司的离职后福利计划分类为设定提存计划和设定受益计划。 </w:t>
      </w:r>
      <w:r>
        <w:rPr>
          <w:spacing w:val="-1"/>
        </w:rPr>
        <w:t>离职后福利设定提存计划主要为参加由各地劳动及社会保障机构组织实施的社会基本养老保险、失业</w:t>
      </w:r>
    </w:p>
    <w:p>
      <w:pPr>
        <w:pStyle w:val="BodyText"/>
        <w:spacing w:line="350" w:lineRule="auto" w:before="31"/>
        <w:ind w:right="1131"/>
        <w:jc w:val="both"/>
      </w:pPr>
      <w:r>
        <w:rPr>
          <w:spacing w:val="-1"/>
        </w:rPr>
        <w:t>保险等；在职工为公司提供服务的会计期间，将根据设定提存计划计算的应缴存金额确认为负债，并计入</w:t>
      </w:r>
      <w:r>
        <w:rPr>
          <w:spacing w:val="-83"/>
        </w:rPr>
        <w:t> </w:t>
      </w:r>
      <w:r>
        <w:rPr>
          <w:spacing w:val="-83"/>
        </w:rPr>
      </w:r>
      <w:r>
        <w:rPr/>
        <w:t>当期损益或相关资产成本。</w:t>
      </w:r>
    </w:p>
    <w:p>
      <w:pPr>
        <w:pStyle w:val="BodyText"/>
        <w:spacing w:line="350" w:lineRule="auto" w:before="28"/>
        <w:ind w:left="1553" w:right="0"/>
        <w:jc w:val="left"/>
      </w:pPr>
      <w:r>
        <w:rPr/>
        <w:t>公司按照国家规定的标准定期缴付上述款项后，不再有其他的支付义务。 </w:t>
      </w:r>
      <w:r>
        <w:rPr>
          <w:spacing w:val="-1"/>
        </w:rPr>
        <w:t>离职后福利设定受益计划主要为离退休人员支付的明确标准的统筹外福利、为去世员工遗属支付的生</w:t>
      </w:r>
    </w:p>
    <w:p>
      <w:pPr>
        <w:pStyle w:val="BodyText"/>
        <w:spacing w:line="350" w:lineRule="auto" w:before="28"/>
        <w:ind w:right="1131"/>
        <w:jc w:val="both"/>
      </w:pPr>
      <w:r>
        <w:rPr>
          <w:spacing w:val="-1"/>
        </w:rPr>
        <w:t>活费等。对于设定受益计划中承担的义务，在资产负债表日使用预期累计福利单位法进行精算，将设定受</w:t>
      </w:r>
      <w:r>
        <w:rPr>
          <w:spacing w:val="-83"/>
        </w:rPr>
        <w:t> </w:t>
      </w:r>
      <w:r>
        <w:rPr>
          <w:spacing w:val="-83"/>
        </w:rPr>
      </w:r>
      <w:r>
        <w:rPr>
          <w:spacing w:val="-1"/>
        </w:rPr>
        <w:t>益计划产生的福利义务归属于职工提供服务的期间，并计入当期损益或相关资产成本，其中：除非其他会</w:t>
      </w:r>
      <w:r>
        <w:rPr>
          <w:spacing w:val="-83"/>
        </w:rPr>
        <w:t> </w:t>
      </w:r>
      <w:r>
        <w:rPr>
          <w:spacing w:val="-83"/>
        </w:rPr>
      </w:r>
      <w:r>
        <w:rPr>
          <w:spacing w:val="-1"/>
        </w:rPr>
        <w:t>计准则要求或允许职工福利成本计入资产成本，设定设益计划服务成本和设定设益计划净负债或净资产的</w:t>
      </w:r>
      <w:r>
        <w:rPr>
          <w:spacing w:val="-81"/>
        </w:rPr>
        <w:t> </w:t>
      </w:r>
      <w:r>
        <w:rPr>
          <w:spacing w:val="-81"/>
        </w:rPr>
      </w:r>
      <w:r>
        <w:rPr>
          <w:spacing w:val="-1"/>
        </w:rPr>
        <w:t>利息净额在发生当期计入当期损益；重新计量设定受益计划净负债或净资产所产生的变动在发生当期计入</w:t>
      </w:r>
      <w:r>
        <w:rPr>
          <w:spacing w:val="-81"/>
        </w:rPr>
        <w:t> </w:t>
      </w:r>
      <w:r>
        <w:rPr>
          <w:spacing w:val="-81"/>
        </w:rPr>
      </w:r>
      <w:r>
        <w:rPr/>
        <w:t>其他综合收益，且在后续会计期间不允许转回至损益。</w:t>
      </w:r>
    </w:p>
    <w:p>
      <w:pPr>
        <w:spacing w:line="240" w:lineRule="auto" w:before="10"/>
        <w:rPr>
          <w:rFonts w:ascii="宋体" w:hAnsi="宋体" w:cs="宋体" w:eastAsia="宋体" w:hint="default"/>
          <w:sz w:val="16"/>
          <w:szCs w:val="16"/>
        </w:rPr>
      </w:pPr>
    </w:p>
    <w:p>
      <w:pPr>
        <w:pStyle w:val="Heading3"/>
        <w:spacing w:line="240" w:lineRule="auto"/>
        <w:ind w:left="1133" w:right="0"/>
        <w:jc w:val="both"/>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
        <w:rPr>
          <w:rFonts w:ascii="宋体" w:hAnsi="宋体" w:cs="宋体" w:eastAsia="宋体" w:hint="default"/>
          <w:b/>
          <w:bCs/>
          <w:sz w:val="30"/>
          <w:szCs w:val="30"/>
        </w:rPr>
      </w:pPr>
    </w:p>
    <w:p>
      <w:pPr>
        <w:pStyle w:val="BodyText"/>
        <w:spacing w:line="350" w:lineRule="auto"/>
        <w:ind w:right="1131" w:firstLine="420"/>
        <w:jc w:val="both"/>
      </w:pPr>
      <w:r>
        <w:rPr>
          <w:spacing w:val="-1"/>
        </w:rPr>
        <w:t>辞退福利是指公司在职工劳动合同到期之前解除与职工的劳动关系，或者为鼓励职工自愿接受裁减而</w:t>
      </w:r>
      <w:r>
        <w:rPr/>
        <w:t> </w:t>
      </w:r>
      <w:r>
        <w:rPr>
          <w:spacing w:val="-1"/>
        </w:rPr>
        <w:t>给予职工的补偿，在公司不能单方面撤回解除劳动关系计划或裁减建议时和确认与涉及支付辞退福利的重</w:t>
      </w:r>
      <w:r>
        <w:rPr>
          <w:spacing w:val="-81"/>
        </w:rPr>
        <w:t> </w:t>
      </w:r>
      <w:r>
        <w:rPr>
          <w:spacing w:val="-81"/>
        </w:rPr>
      </w:r>
      <w:r>
        <w:rPr>
          <w:spacing w:val="-1"/>
        </w:rPr>
        <w:t>组相关的成本费用时两者孰早日，确认因解除与职工的劳动关系给予补偿而产生的负债，同时计入当期损</w:t>
      </w:r>
      <w:r>
        <w:rPr>
          <w:spacing w:val="-81"/>
        </w:rPr>
        <w:t> </w:t>
      </w:r>
      <w:r>
        <w:rPr>
          <w:spacing w:val="-81"/>
        </w:rPr>
      </w:r>
      <w:r>
        <w:rPr/>
        <w:t>益。</w:t>
      </w:r>
    </w:p>
    <w:p>
      <w:pPr>
        <w:spacing w:line="240" w:lineRule="auto" w:before="9"/>
        <w:rPr>
          <w:rFonts w:ascii="宋体" w:hAnsi="宋体" w:cs="宋体" w:eastAsia="宋体" w:hint="default"/>
          <w:sz w:val="16"/>
          <w:szCs w:val="16"/>
        </w:rPr>
      </w:pPr>
    </w:p>
    <w:p>
      <w:pPr>
        <w:pStyle w:val="Heading3"/>
        <w:spacing w:line="240" w:lineRule="auto"/>
        <w:ind w:right="0"/>
        <w:jc w:val="both"/>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
        <w:rPr>
          <w:rFonts w:ascii="宋体" w:hAnsi="宋体" w:cs="宋体" w:eastAsia="宋体" w:hint="default"/>
          <w:b/>
          <w:bCs/>
          <w:sz w:val="30"/>
          <w:szCs w:val="30"/>
        </w:rPr>
      </w:pPr>
    </w:p>
    <w:p>
      <w:pPr>
        <w:pStyle w:val="BodyText"/>
        <w:spacing w:line="348" w:lineRule="auto"/>
        <w:ind w:left="1553" w:right="0"/>
        <w:jc w:val="left"/>
      </w:pPr>
      <w:r>
        <w:rPr/>
        <w:t>其他长期职工福利是指除短期薪酬、离职后福利、辞退福利之外的其他所有职工福利。 </w:t>
      </w:r>
      <w:r>
        <w:rPr>
          <w:spacing w:val="-1"/>
        </w:rPr>
        <w:t>对符合设定提存计划条件的其他长期职工福利，在职工为公司提供服务的会计期间，将应缴存金额确</w:t>
      </w:r>
    </w:p>
    <w:p>
      <w:pPr>
        <w:pStyle w:val="BodyText"/>
        <w:spacing w:line="350" w:lineRule="auto" w:before="30"/>
        <w:ind w:right="1131"/>
        <w:jc w:val="both"/>
      </w:pPr>
      <w:r>
        <w:rPr>
          <w:spacing w:val="-1"/>
        </w:rPr>
        <w:t>认为负债，并计入当期损益或相关资产成本；除上述情形外的其他长期职工福利，在资产负债表日使用预</w:t>
      </w:r>
      <w:r>
        <w:rPr>
          <w:spacing w:val="-83"/>
        </w:rPr>
        <w:t> </w:t>
      </w:r>
      <w:r>
        <w:rPr>
          <w:spacing w:val="-83"/>
        </w:rPr>
      </w:r>
      <w:r>
        <w:rPr>
          <w:spacing w:val="-1"/>
        </w:rPr>
        <w:t>期累计福利单位法进行精算，将设定受益计划产生的福利义务归属于职工提供服务的期间，并计入当期损</w:t>
      </w:r>
      <w:r>
        <w:rPr>
          <w:spacing w:val="-81"/>
        </w:rPr>
        <w:t> </w:t>
      </w:r>
      <w:r>
        <w:rPr>
          <w:spacing w:val="-81"/>
        </w:rPr>
      </w:r>
      <w:r>
        <w:rPr/>
        <w:t>益或相关资产成本。</w:t>
      </w:r>
    </w:p>
    <w:p>
      <w:pPr>
        <w:spacing w:line="240" w:lineRule="auto" w:before="8"/>
        <w:rPr>
          <w:rFonts w:ascii="宋体" w:hAnsi="宋体" w:cs="宋体" w:eastAsia="宋体" w:hint="default"/>
          <w:sz w:val="16"/>
          <w:szCs w:val="16"/>
        </w:rPr>
      </w:pPr>
    </w:p>
    <w:p>
      <w:pPr>
        <w:pStyle w:val="Heading3"/>
        <w:spacing w:line="240" w:lineRule="auto"/>
        <w:ind w:left="1133" w:right="0"/>
        <w:jc w:val="both"/>
        <w:rPr>
          <w:b w:val="0"/>
          <w:bCs w:val="0"/>
        </w:rPr>
      </w:pPr>
      <w:bookmarkStart w:name="22、预计负债" w:id="198"/>
      <w:bookmarkEnd w:id="198"/>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1"/>
        <w:rPr>
          <w:rFonts w:ascii="宋体" w:hAnsi="宋体" w:cs="宋体" w:eastAsia="宋体" w:hint="default"/>
          <w:b/>
          <w:bCs/>
          <w:sz w:val="30"/>
          <w:szCs w:val="30"/>
        </w:rPr>
      </w:pPr>
    </w:p>
    <w:p>
      <w:pPr>
        <w:pStyle w:val="BodyText"/>
        <w:spacing w:line="345" w:lineRule="auto"/>
        <w:ind w:left="1553" w:right="4033" w:firstLine="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8"/>
        </w:rPr>
        <w:t> </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与或有事项相关的义务同时满足下列条件时，公司确认为预计负债： 该义务是公司承担的现时义务； 履行该义务很可能导致经济利益流出公司； 该义务的金额能够可靠地计量。</w:t>
      </w:r>
    </w:p>
    <w:p>
      <w:pPr>
        <w:spacing w:line="328" w:lineRule="auto" w:before="32"/>
        <w:ind w:left="1554" w:right="34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z w:val="21"/>
          <w:szCs w:val="21"/>
        </w:rPr>
        <w:t>公司预计负债按履行相关现时义务所需的支出的最佳估计数进行初始计量。</w:t>
      </w:r>
    </w:p>
    <w:p>
      <w:pPr>
        <w:pStyle w:val="BodyText"/>
        <w:spacing w:line="240" w:lineRule="auto" w:before="48"/>
        <w:ind w:left="1553" w:right="0"/>
        <w:jc w:val="left"/>
      </w:pPr>
      <w:r>
        <w:rPr/>
        <w:t>公司在确定最佳估计数时，综合考虑与或有事项有关的风险、不确定性和货币时间价值等因素。对于</w:t>
      </w:r>
    </w:p>
    <w:p>
      <w:pPr>
        <w:spacing w:after="0" w:line="240" w:lineRule="auto"/>
        <w:jc w:val="left"/>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350" w:lineRule="auto" w:before="35"/>
        <w:ind w:left="1553" w:right="1120" w:hanging="420"/>
        <w:jc w:val="left"/>
      </w:pPr>
      <w:r>
        <w:rPr/>
        <w:t>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348" w:lineRule="auto" w:before="28"/>
        <w:ind w:left="1553"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348" w:lineRule="auto" w:before="31"/>
        <w:ind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350" w:lineRule="auto" w:before="30"/>
        <w:ind w:right="0" w:firstLine="420"/>
        <w:jc w:val="left"/>
      </w:pPr>
      <w:r>
        <w:rPr>
          <w:spacing w:val="-1"/>
        </w:rPr>
        <w:t>公司清偿预计负债所需支出全部或部分预期由第三方补偿的，补偿金额在基本确定能够收到时，作为</w:t>
      </w:r>
      <w:r>
        <w:rPr/>
        <w:t> 资产单独确认，确认的补偿金额不超过预计负债的账面价值。</w:t>
      </w:r>
    </w:p>
    <w:p>
      <w:pPr>
        <w:spacing w:line="240" w:lineRule="auto" w:before="8"/>
        <w:rPr>
          <w:rFonts w:ascii="宋体" w:hAnsi="宋体" w:cs="宋体" w:eastAsia="宋体" w:hint="default"/>
          <w:sz w:val="16"/>
          <w:szCs w:val="16"/>
        </w:rPr>
      </w:pPr>
    </w:p>
    <w:p>
      <w:pPr>
        <w:pStyle w:val="Heading3"/>
        <w:spacing w:line="240" w:lineRule="auto"/>
        <w:ind w:left="1133" w:right="0"/>
        <w:jc w:val="left"/>
        <w:rPr>
          <w:b w:val="0"/>
          <w:bCs w:val="0"/>
        </w:rPr>
      </w:pPr>
      <w:bookmarkStart w:name="23、收入" w:id="199"/>
      <w:bookmarkEnd w:id="199"/>
      <w:r>
        <w:rPr>
          <w:b w:val="0"/>
          <w:bCs w:val="0"/>
        </w:rPr>
      </w:r>
      <w:r>
        <w:rPr>
          <w:rFonts w:ascii="Times New Roman" w:hAnsi="Times New Roman" w:cs="Times New Roman" w:eastAsia="Times New Roman" w:hint="default"/>
        </w:rPr>
        <w:t>23</w:t>
      </w:r>
      <w:r>
        <w:rPr/>
        <w:t>、收入</w:t>
      </w:r>
      <w:r>
        <w:rPr>
          <w:b w:val="0"/>
          <w:bCs w:val="0"/>
        </w:rPr>
      </w:r>
    </w:p>
    <w:p>
      <w:pPr>
        <w:spacing w:line="240" w:lineRule="auto" w:before="1"/>
        <w:rPr>
          <w:rFonts w:ascii="宋体" w:hAnsi="宋体" w:cs="宋体" w:eastAsia="宋体" w:hint="default"/>
          <w:b/>
          <w:bCs/>
          <w:sz w:val="30"/>
          <w:szCs w:val="30"/>
        </w:rPr>
      </w:pPr>
    </w:p>
    <w:p>
      <w:pPr>
        <w:spacing w:line="328" w:lineRule="auto" w:before="0"/>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348" w:lineRule="auto" w:before="48"/>
        <w:ind w:right="1024"/>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350" w:lineRule="auto" w:before="30"/>
        <w:ind w:right="0" w:firstLine="420"/>
        <w:jc w:val="left"/>
      </w:pPr>
      <w:r>
        <w:rPr>
          <w:spacing w:val="-1"/>
        </w:rPr>
        <w:t>合同或协议价款的收取采用递延方式，实质上具有融资性质的，按照应收的合同或协议价款的公允价</w:t>
      </w:r>
      <w:r>
        <w:rPr/>
        <w:t> 值确定销售商品收入金额。</w:t>
      </w:r>
    </w:p>
    <w:p>
      <w:pPr>
        <w:spacing w:line="328" w:lineRule="auto" w:before="28"/>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48"/>
        <w:ind w:right="0"/>
        <w:jc w:val="left"/>
      </w:pPr>
      <w:r>
        <w:rPr/>
        <w:t>使用权收入金额：</w:t>
      </w:r>
    </w:p>
    <w:p>
      <w:pPr>
        <w:pStyle w:val="BodyText"/>
        <w:spacing w:line="240" w:lineRule="auto" w:before="124"/>
        <w:ind w:left="1553"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109"/>
        <w:ind w:left="155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328" w:lineRule="auto" w:before="110"/>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提供劳务收入的确认依据和方法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350" w:lineRule="auto" w:before="47"/>
        <w:ind w:left="1553" w:right="4453" w:hanging="420"/>
        <w:jc w:val="left"/>
      </w:pPr>
      <w:r>
        <w:rPr/>
        <w:t>务交易的完工进度，依据已经发生的成本占估计总成本的比例确定。 提供劳务交易的结果能够可靠估计，是指同时满足下列条件：</w:t>
      </w:r>
    </w:p>
    <w:p>
      <w:pPr>
        <w:pStyle w:val="BodyText"/>
        <w:spacing w:line="240" w:lineRule="auto" w:before="28"/>
        <w:ind w:left="1553"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09"/>
        <w:ind w:left="1553"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0"/>
        <w:ind w:left="1553" w:right="0"/>
        <w:jc w:val="left"/>
      </w:pPr>
      <w:r>
        <w:rPr/>
        <w:t>（</w:t>
      </w:r>
      <w:r>
        <w:rPr>
          <w:rFonts w:ascii="Times New Roman" w:hAnsi="Times New Roman" w:cs="Times New Roman" w:eastAsia="Times New Roman" w:hint="default"/>
        </w:rPr>
        <w:t>3</w:t>
      </w:r>
      <w:r>
        <w:rPr/>
        <w:t>）交易的完工进度能够可靠地确定；</w:t>
      </w:r>
    </w:p>
    <w:p>
      <w:pPr>
        <w:pStyle w:val="BodyText"/>
        <w:spacing w:line="328" w:lineRule="auto" w:before="109"/>
        <w:ind w:left="1553" w:right="0"/>
        <w:jc w:val="left"/>
      </w:pPr>
      <w:r>
        <w:rPr/>
        <w:t>（</w:t>
      </w:r>
      <w:r>
        <w:rPr>
          <w:rFonts w:ascii="Times New Roman" w:hAnsi="Times New Roman" w:cs="Times New Roman" w:eastAsia="Times New Roman" w:hint="default"/>
        </w:rPr>
        <w:t>4</w:t>
      </w:r>
      <w:r>
        <w:rPr/>
        <w:t>）交易中已发生和将发生的成本能够可靠地计量。 </w:t>
      </w:r>
      <w:r>
        <w:rPr>
          <w:spacing w:val="-1"/>
        </w:rPr>
        <w:t>按照已收或应收的合同或协议价款确定提供劳务收入总额，但已收或应收的合同或协议价款不公允的</w:t>
      </w:r>
    </w:p>
    <w:p>
      <w:pPr>
        <w:pStyle w:val="BodyText"/>
        <w:spacing w:line="348" w:lineRule="auto" w:before="48"/>
        <w:ind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spacing w:after="0" w:line="348" w:lineRule="auto"/>
        <w:jc w:val="both"/>
        <w:sectPr>
          <w:pgSz w:w="11910" w:h="16840"/>
          <w:pgMar w:header="877" w:footer="979" w:top="1100" w:bottom="1160" w:left="0" w:right="0"/>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r>
        <w:rPr/>
        <w:t>在资产负债表日提供劳务交易结果不能够可靠估计的，分别下列情况处理：</w:t>
      </w:r>
    </w:p>
    <w:p>
      <w:pPr>
        <w:pStyle w:val="BodyText"/>
        <w:spacing w:line="331" w:lineRule="auto" w:before="124"/>
        <w:ind w:right="1198" w:firstLine="42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 并按相同金额结转劳务成本。</w:t>
      </w:r>
    </w:p>
    <w:p>
      <w:pPr>
        <w:pStyle w:val="BodyText"/>
        <w:spacing w:line="328" w:lineRule="auto" w:before="45"/>
        <w:ind w:right="1198"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 供劳务收入。</w:t>
      </w:r>
    </w:p>
    <w:p>
      <w:pPr>
        <w:pStyle w:val="BodyText"/>
        <w:spacing w:line="350" w:lineRule="auto" w:before="48"/>
        <w:ind w:right="1131" w:firstLine="420"/>
        <w:jc w:val="both"/>
      </w:pPr>
      <w:r>
        <w:rPr>
          <w:spacing w:val="-1"/>
        </w:rPr>
        <w:t>公司与其他企业签订的合同或协议包括销售商品和提供劳务时，销售商品部分和提供劳务部分能够区</w:t>
      </w:r>
      <w:r>
        <w:rPr/>
        <w:t> </w:t>
      </w:r>
      <w:r>
        <w:rPr>
          <w:spacing w:val="-1"/>
        </w:rPr>
        <w:t>分且能够单独计量的，将销售商品的部分作为销售商品处理，将提供劳务的部分作为提供劳务处理。销售</w:t>
      </w:r>
      <w:r>
        <w:rPr>
          <w:spacing w:val="-83"/>
        </w:rPr>
        <w:t> </w:t>
      </w:r>
      <w:r>
        <w:rPr>
          <w:spacing w:val="-83"/>
        </w:rPr>
      </w:r>
      <w:r>
        <w:rPr>
          <w:spacing w:val="-1"/>
        </w:rPr>
        <w:t>商品部分和提供劳务部分不能够区分，或虽能区分但不能够单独计量的，将销售商品部分和提供劳务部分</w:t>
      </w:r>
      <w:r>
        <w:rPr>
          <w:spacing w:val="-81"/>
        </w:rPr>
        <w:t> </w:t>
      </w:r>
      <w:r>
        <w:rPr>
          <w:spacing w:val="-81"/>
        </w:rPr>
      </w:r>
      <w:r>
        <w:rPr/>
        <w:t>全部作为销售商品处理。</w:t>
      </w:r>
    </w:p>
    <w:p>
      <w:pPr>
        <w:pStyle w:val="BodyText"/>
        <w:spacing w:line="328" w:lineRule="auto" w:before="28"/>
        <w:ind w:left="1553" w:right="0" w:firstLine="2"/>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38"/>
        </w:rPr>
        <w:t> </w:t>
      </w:r>
      <w:r>
        <w:rPr>
          <w:rFonts w:ascii="宋体" w:hAnsi="宋体" w:cs="宋体" w:eastAsia="宋体" w:hint="default"/>
          <w:b/>
          <w:bCs/>
        </w:rPr>
        <w:t>具体确认方法</w:t>
      </w:r>
      <w:r>
        <w:rPr>
          <w:rFonts w:ascii="宋体" w:hAnsi="宋体" w:cs="宋体" w:eastAsia="宋体" w:hint="default"/>
          <w:b/>
          <w:bCs/>
          <w:w w:val="99"/>
        </w:rPr>
        <w:t> </w:t>
      </w:r>
      <w:r>
        <w:rPr>
          <w:spacing w:val="-1"/>
        </w:rPr>
        <w:t>公司业务主要包括安全产品销售、安全集成和安全服务、电磁安防产品、电磁安防工程、电磁安防服</w:t>
      </w:r>
    </w:p>
    <w:p>
      <w:pPr>
        <w:pStyle w:val="BodyText"/>
        <w:spacing w:line="240" w:lineRule="auto" w:before="48"/>
        <w:ind w:right="0"/>
        <w:jc w:val="left"/>
      </w:pPr>
      <w:r>
        <w:rPr/>
        <w:t>务等，各类业务确认的具体方法如下：</w:t>
      </w:r>
    </w:p>
    <w:p>
      <w:pPr>
        <w:pStyle w:val="BodyText"/>
        <w:spacing w:line="340" w:lineRule="auto" w:before="124"/>
        <w:ind w:right="0" w:firstLine="420"/>
        <w:jc w:val="left"/>
      </w:pPr>
      <w:r>
        <w:rPr/>
        <w:t>（</w:t>
      </w:r>
      <w:r>
        <w:rPr>
          <w:rFonts w:ascii="Times New Roman" w:hAnsi="Times New Roman" w:cs="Times New Roman" w:eastAsia="Times New Roman" w:hint="default"/>
        </w:rPr>
        <w:t>1</w:t>
      </w:r>
      <w:r>
        <w:rPr/>
        <w:t>）安全产品：安全产品销售分为单纯安全产品销售以及通过集成业务销售安全产品两种方式。单 </w:t>
      </w:r>
      <w:r>
        <w:rPr>
          <w:spacing w:val="-1"/>
        </w:rPr>
        <w:t>纯自有产品销售，一般不需安装或只需简单安装，在完成产品交付时确认收入；通过集成业务销售的安全</w:t>
      </w:r>
      <w:r>
        <w:rPr>
          <w:spacing w:val="-83"/>
        </w:rPr>
        <w:t> </w:t>
      </w:r>
      <w:r>
        <w:rPr>
          <w:spacing w:val="-83"/>
        </w:rPr>
      </w:r>
      <w:r>
        <w:rPr/>
        <w:t>产品则按照安全集成的收入确认方式确认收入。</w:t>
      </w:r>
    </w:p>
    <w:p>
      <w:pPr>
        <w:pStyle w:val="BodyText"/>
        <w:spacing w:line="343" w:lineRule="auto" w:before="36"/>
        <w:ind w:right="0" w:firstLine="420"/>
        <w:jc w:val="left"/>
      </w:pPr>
      <w:r>
        <w:rPr/>
        <w:t>（</w:t>
      </w:r>
      <w:r>
        <w:rPr>
          <w:rFonts w:ascii="Times New Roman" w:hAnsi="Times New Roman" w:cs="Times New Roman" w:eastAsia="Times New Roman" w:hint="default"/>
        </w:rPr>
        <w:t>2</w:t>
      </w:r>
      <w:r>
        <w:rPr/>
        <w:t>）安全集成：安全集成业务的收入确认方式依据双方签署的验收报告，验收一般可分为初验和终 </w:t>
      </w:r>
      <w:r>
        <w:rPr>
          <w:spacing w:val="-1"/>
        </w:rPr>
        <w:t>验，初验报告是指客户对安全集成业务实施内容、进度、质量以及是否达到合同效果予以确认；而终验报</w:t>
      </w:r>
      <w:r>
        <w:rPr>
          <w:spacing w:val="-85"/>
        </w:rPr>
        <w:t> </w:t>
      </w:r>
      <w:r>
        <w:rPr>
          <w:spacing w:val="-85"/>
        </w:rPr>
      </w:r>
      <w:r>
        <w:rPr>
          <w:spacing w:val="-1"/>
        </w:rPr>
        <w:t>告是对业务整体服务核查后形成的总结报告。鉴于终验只是对初验结果的进一步确认，安全集成业务验收</w:t>
      </w:r>
      <w:r>
        <w:rPr>
          <w:spacing w:val="-81"/>
        </w:rPr>
        <w:t> </w:t>
      </w:r>
      <w:r>
        <w:rPr>
          <w:spacing w:val="-81"/>
        </w:rPr>
      </w:r>
      <w:r>
        <w:rPr/>
        <w:t>分初验和终验的，取得初验报告时确认收入；不分初验和终验的，取得验收报告时确认收入。</w:t>
      </w:r>
    </w:p>
    <w:p>
      <w:pPr>
        <w:pStyle w:val="BodyText"/>
        <w:spacing w:line="340" w:lineRule="auto" w:before="34"/>
        <w:ind w:right="1120" w:firstLine="420"/>
        <w:jc w:val="left"/>
      </w:pPr>
      <w:r>
        <w:rPr/>
        <w:t>（</w:t>
      </w:r>
      <w:r>
        <w:rPr>
          <w:rFonts w:ascii="Times New Roman" w:hAnsi="Times New Roman" w:cs="Times New Roman" w:eastAsia="Times New Roman" w:hint="default"/>
        </w:rPr>
        <w:t>3</w:t>
      </w:r>
      <w:r>
        <w:rPr/>
        <w:t>）安全服务：对于在资产负债表日服务已完成，经服务接受方验收合格后确认收入；在资产负债 </w:t>
      </w:r>
      <w:r>
        <w:rPr>
          <w:spacing w:val="-1"/>
        </w:rPr>
        <w:t>表日未完成的，公司在资产负债表日按完工百分比法确认收入，完工百分比按已发生成本占预计总成本的</w:t>
      </w:r>
      <w:r>
        <w:rPr>
          <w:spacing w:val="-81"/>
        </w:rPr>
        <w:t> </w:t>
      </w:r>
      <w:r>
        <w:rPr>
          <w:spacing w:val="-81"/>
        </w:rPr>
      </w:r>
      <w:r>
        <w:rPr/>
        <w:t>比例确定。</w:t>
      </w:r>
    </w:p>
    <w:p>
      <w:pPr>
        <w:pStyle w:val="BodyText"/>
        <w:spacing w:line="240" w:lineRule="auto" w:before="36"/>
        <w:ind w:left="1554" w:right="0"/>
        <w:jc w:val="left"/>
      </w:pPr>
      <w:r>
        <w:rPr/>
        <w:t>（</w:t>
      </w:r>
      <w:r>
        <w:rPr>
          <w:rFonts w:ascii="Times New Roman" w:hAnsi="Times New Roman" w:cs="Times New Roman" w:eastAsia="Times New Roman" w:hint="default"/>
        </w:rPr>
        <w:t>4</w:t>
      </w:r>
      <w:r>
        <w:rPr/>
        <w:t>）电磁安防产品：在产品销售并且经购货方验收，取得购货方验收依据的时间作为收入确认时点。</w:t>
      </w:r>
    </w:p>
    <w:p>
      <w:pPr>
        <w:pStyle w:val="BodyText"/>
        <w:spacing w:line="240" w:lineRule="auto" w:before="110"/>
        <w:ind w:left="1554" w:right="0"/>
        <w:jc w:val="left"/>
      </w:pPr>
      <w:r>
        <w:rPr/>
        <w:t>（</w:t>
      </w:r>
      <w:r>
        <w:rPr>
          <w:rFonts w:ascii="Times New Roman" w:hAnsi="Times New Roman" w:cs="Times New Roman" w:eastAsia="Times New Roman" w:hint="default"/>
        </w:rPr>
        <w:t>5</w:t>
      </w:r>
      <w:r>
        <w:rPr/>
        <w:t>）电磁安防工程：在工程完工并经被施工单位验收时，确认相应的工程收入，同时结转工程成本。</w:t>
      </w:r>
    </w:p>
    <w:p>
      <w:pPr>
        <w:pStyle w:val="BodyText"/>
        <w:spacing w:line="328" w:lineRule="auto" w:before="109"/>
        <w:ind w:left="1134" w:right="1197" w:firstLine="420"/>
        <w:jc w:val="left"/>
      </w:pPr>
      <w:r>
        <w:rPr/>
        <w:t>（</w:t>
      </w:r>
      <w:r>
        <w:rPr>
          <w:rFonts w:ascii="Times New Roman" w:hAnsi="Times New Roman" w:cs="Times New Roman" w:eastAsia="Times New Roman" w:hint="default"/>
        </w:rPr>
        <w:t>6</w:t>
      </w:r>
      <w:r>
        <w:rPr/>
        <w:t>）电磁安防服务：在服务完成后取得甲方确认的的验收或竣工资料时，确认相应的服务收入，同 时结转技术服务成本。</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bookmarkStart w:name="24、安全生产费" w:id="200"/>
      <w:bookmarkEnd w:id="200"/>
      <w:r>
        <w:rPr>
          <w:b w:val="0"/>
          <w:bCs w:val="0"/>
        </w:rPr>
      </w:r>
      <w:r>
        <w:rPr>
          <w:rFonts w:ascii="Times New Roman" w:hAnsi="Times New Roman" w:cs="Times New Roman" w:eastAsia="Times New Roman" w:hint="default"/>
        </w:rPr>
        <w:t>24</w:t>
      </w:r>
      <w:r>
        <w:rPr/>
        <w:t>、安全生产费</w:t>
      </w:r>
      <w:r>
        <w:rPr>
          <w:b w:val="0"/>
          <w:bCs w:val="0"/>
        </w:rPr>
      </w:r>
    </w:p>
    <w:p>
      <w:pPr>
        <w:spacing w:line="240" w:lineRule="auto" w:before="1"/>
        <w:rPr>
          <w:rFonts w:ascii="宋体" w:hAnsi="宋体" w:cs="宋体" w:eastAsia="宋体" w:hint="default"/>
          <w:b/>
          <w:bCs/>
          <w:sz w:val="30"/>
          <w:szCs w:val="30"/>
        </w:rPr>
      </w:pPr>
    </w:p>
    <w:p>
      <w:pPr>
        <w:pStyle w:val="BodyText"/>
        <w:spacing w:line="340" w:lineRule="auto"/>
        <w:ind w:left="1134" w:right="1023" w:firstLine="420"/>
        <w:jc w:val="left"/>
      </w:pPr>
      <w:r>
        <w:rPr/>
        <w:t>公司按照国家规定提取的安全生产费，计入相关产品的成本或当期损益，同时记入</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。使用 提取的安全生产费时，属于费用性支出，直接冲减专项储备。使用提取的安全生产费形成固定资产的，通 过</w:t>
      </w:r>
      <w:r>
        <w:rPr>
          <w:rFonts w:ascii="Times New Roman" w:hAnsi="Times New Roman" w:cs="Times New Roman" w:eastAsia="Times New Roman" w:hint="default"/>
        </w:rPr>
        <w:t>“</w:t>
      </w:r>
      <w:r>
        <w:rPr/>
        <w:t>在建工程</w:t>
      </w:r>
      <w:r>
        <w:rPr>
          <w:rFonts w:ascii="Times New Roman" w:hAnsi="Times New Roman" w:cs="Times New Roman" w:eastAsia="Times New Roman" w:hint="default"/>
        </w:rPr>
        <w:t>”</w:t>
      </w:r>
      <w:r>
        <w:rPr/>
        <w:t>科目归集所发生的支出，待安全项目完工达到预定可使用状态时确认为固定资产；同时，按 </w:t>
      </w:r>
      <w:r>
        <w:rPr>
          <w:spacing w:val="-3"/>
        </w:rPr>
        <w:t>照形成固定资产的成本冲减专项储备，并确认相同金额的累计折旧。该固定资产在以后期间不再计提折旧。</w:t>
      </w:r>
      <w:r>
        <w:rPr>
          <w:spacing w:val="-92"/>
        </w:rPr>
        <w:t> </w:t>
      </w:r>
      <w:r>
        <w:rPr>
          <w:spacing w:val="-92"/>
        </w:rPr>
      </w:r>
      <w:r>
        <w:rPr/>
        <w:t>公司提取的维简费和其他具有类似性质的费用，比照上述规定处理。</w:t>
      </w:r>
    </w:p>
    <w:p>
      <w:pPr>
        <w:spacing w:after="0" w:line="3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right="0"/>
        <w:jc w:val="both"/>
        <w:rPr>
          <w:b w:val="0"/>
          <w:bCs w:val="0"/>
        </w:rPr>
      </w:pPr>
      <w:bookmarkStart w:name="25、政府补助" w:id="201"/>
      <w:bookmarkEnd w:id="201"/>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1）与资产相关的政府补助判断依据及会计处理方法" w:id="202"/>
      <w:bookmarkEnd w:id="20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
        <w:rPr>
          <w:rFonts w:ascii="宋体" w:hAnsi="宋体" w:cs="宋体" w:eastAsia="宋体" w:hint="default"/>
          <w:b/>
          <w:bCs/>
          <w:sz w:val="30"/>
          <w:szCs w:val="30"/>
        </w:rPr>
      </w:pPr>
    </w:p>
    <w:p>
      <w:pPr>
        <w:pStyle w:val="BodyText"/>
        <w:spacing w:line="338" w:lineRule="auto"/>
        <w:ind w:right="0" w:firstLine="420"/>
        <w:jc w:val="left"/>
      </w:pPr>
      <w:r>
        <w:rPr>
          <w:spacing w:val="-1"/>
        </w:rPr>
        <w:t>政府补助为货币性资产的，按照收到或应收的金额计量。政府补助为非货币性资产的，按照公允价值</w:t>
      </w:r>
      <w:r>
        <w:rPr/>
        <w:t> 计量；公允价值不能够可靠取得的，按照名义金额（人民币</w:t>
      </w:r>
      <w:r>
        <w:rPr>
          <w:rFonts w:ascii="Times New Roman" w:hAnsi="Times New Roman" w:cs="Times New Roman" w:eastAsia="Times New Roman" w:hint="default"/>
        </w:rPr>
        <w:t>1</w:t>
      </w:r>
      <w:r>
        <w:rPr/>
        <w:t>元）计量。按照名义金额计量的政府补助， 直接计入当期损益。</w:t>
      </w:r>
    </w:p>
    <w:p>
      <w:pPr>
        <w:pStyle w:val="BodyText"/>
        <w:spacing w:line="240" w:lineRule="auto" w:before="40"/>
        <w:ind w:left="1553" w:right="0"/>
        <w:jc w:val="left"/>
      </w:pPr>
      <w:r>
        <w:rPr/>
        <w:t>与资产相关的政府补助，确认为递延收益，按照所建造或购买的资产使用年限分期计入营业外收入。</w:t>
      </w:r>
    </w:p>
    <w:p>
      <w:pPr>
        <w:spacing w:line="684" w:lineRule="exact" w:before="12"/>
        <w:ind w:left="1553" w:right="0" w:hanging="420"/>
        <w:jc w:val="left"/>
        <w:rPr>
          <w:rFonts w:ascii="宋体" w:hAnsi="宋体" w:cs="宋体" w:eastAsia="宋体" w:hint="default"/>
          <w:sz w:val="21"/>
          <w:szCs w:val="21"/>
        </w:rPr>
      </w:pPr>
      <w:bookmarkStart w:name="（2）与收益相关的政府补助判断依据及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与收益相关的政府补助，用于补偿企业以后期间的相关费用或损失的，确认为递延收益，在确认相关</w:t>
      </w:r>
    </w:p>
    <w:p>
      <w:pPr>
        <w:pStyle w:val="BodyText"/>
        <w:spacing w:line="350" w:lineRule="auto" w:before="17"/>
        <w:ind w:right="1131"/>
        <w:jc w:val="both"/>
      </w:pPr>
      <w:r>
        <w:rPr>
          <w:spacing w:val="-1"/>
        </w:rPr>
        <w:t>费用的期间计入当期营业外收入；用于补偿企业已发生的相关费用或损失的，取得时直接计入当期营业外</w:t>
      </w:r>
      <w:r>
        <w:rPr>
          <w:spacing w:val="-81"/>
        </w:rPr>
        <w:t> </w:t>
      </w:r>
      <w:r>
        <w:rPr>
          <w:spacing w:val="-81"/>
        </w:rPr>
      </w:r>
      <w:r>
        <w:rPr/>
        <w:t>收入。</w:t>
      </w:r>
    </w:p>
    <w:p>
      <w:pPr>
        <w:pStyle w:val="BodyText"/>
        <w:spacing w:line="348" w:lineRule="auto" w:before="28"/>
        <w:ind w:right="0" w:firstLine="420"/>
        <w:jc w:val="left"/>
      </w:pPr>
      <w:r>
        <w:rPr>
          <w:spacing w:val="-1"/>
        </w:rPr>
        <w:t>已确认的政府补助需要返还时，存在相关递延收益余额的，冲减相关递延收益账面余额，超出部分计</w:t>
      </w:r>
      <w:r>
        <w:rPr/>
        <w:t> 入当期损益；不存在相关递延收益的，直接计入当期损益。</w:t>
      </w:r>
    </w:p>
    <w:p>
      <w:pPr>
        <w:spacing w:line="240" w:lineRule="auto" w:before="12"/>
        <w:rPr>
          <w:rFonts w:ascii="宋体" w:hAnsi="宋体" w:cs="宋体" w:eastAsia="宋体" w:hint="default"/>
          <w:sz w:val="16"/>
          <w:szCs w:val="16"/>
        </w:rPr>
      </w:pPr>
    </w:p>
    <w:p>
      <w:pPr>
        <w:pStyle w:val="Heading3"/>
        <w:spacing w:line="240" w:lineRule="auto"/>
        <w:ind w:left="1133" w:right="0"/>
        <w:jc w:val="both"/>
        <w:rPr>
          <w:b w:val="0"/>
          <w:bCs w:val="0"/>
        </w:rPr>
      </w:pPr>
      <w:bookmarkStart w:name="26、递延所得税资产/递延所得税负债" w:id="204"/>
      <w:bookmarkEnd w:id="204"/>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
        <w:rPr>
          <w:rFonts w:ascii="宋体" w:hAnsi="宋体" w:cs="宋体" w:eastAsia="宋体" w:hint="default"/>
          <w:b/>
          <w:bCs/>
          <w:sz w:val="30"/>
          <w:szCs w:val="30"/>
        </w:rPr>
      </w:pPr>
    </w:p>
    <w:p>
      <w:pPr>
        <w:pStyle w:val="BodyText"/>
        <w:spacing w:line="340" w:lineRule="auto"/>
        <w:ind w:left="1134" w:right="1131" w:firstLine="42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 </w:t>
      </w:r>
      <w:r>
        <w:rPr>
          <w:spacing w:val="-1"/>
        </w:rPr>
        <w:t>确认。于资产负债表日，递延所得税资产和递延所得税负债，按照预期收回该资产或清偿该负债期间的适</w:t>
      </w:r>
      <w:r>
        <w:rPr>
          <w:spacing w:val="-83"/>
        </w:rPr>
        <w:t> </w:t>
      </w:r>
      <w:r>
        <w:rPr>
          <w:spacing w:val="-83"/>
        </w:rPr>
      </w:r>
      <w:r>
        <w:rPr/>
        <w:t>用税率计量。</w:t>
      </w:r>
    </w:p>
    <w:p>
      <w:pPr>
        <w:spacing w:line="328" w:lineRule="auto" w:before="37"/>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确认递延所得税资产的依据</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公司以很可能取得用来抵扣可抵扣暂时性差异、能够结转以后年度的可抵扣亏损和税款抵减的应纳税</w:t>
      </w:r>
    </w:p>
    <w:p>
      <w:pPr>
        <w:pStyle w:val="BodyText"/>
        <w:spacing w:line="340" w:lineRule="auto" w:before="47"/>
        <w:ind w:left="1134" w:right="1131"/>
        <w:jc w:val="both"/>
      </w:pPr>
      <w:r>
        <w:rPr>
          <w:spacing w:val="-1"/>
        </w:rPr>
        <w:t>所得额为限，确认由可抵扣暂时性差异产生的递延所得税资产。但是，同时具有下列特征的交易中因资产</w:t>
      </w:r>
      <w:r>
        <w:rPr>
          <w:spacing w:val="-83"/>
        </w:rPr>
        <w:t> </w:t>
      </w:r>
      <w:r>
        <w:rPr>
          <w:spacing w:val="-83"/>
        </w:rPr>
      </w:r>
      <w:r>
        <w:rPr>
          <w:spacing w:val="-1"/>
        </w:rPr>
        <w:t>或负债的初始确认所产生的递延所得税资产不予确认：（</w:t>
      </w:r>
      <w:r>
        <w:rPr>
          <w:rFonts w:ascii="Times New Roman" w:hAnsi="Times New Roman" w:cs="Times New Roman" w:eastAsia="Times New Roman" w:hint="default"/>
          <w:spacing w:val="-1"/>
        </w:rPr>
        <w:t>1</w:t>
      </w:r>
      <w:r>
        <w:rPr>
          <w:spacing w:val="-1"/>
        </w:rPr>
        <w:t>）该交易不是企业合并；（</w:t>
      </w:r>
      <w:r>
        <w:rPr>
          <w:rFonts w:ascii="Times New Roman" w:hAnsi="Times New Roman" w:cs="Times New Roman" w:eastAsia="Times New Roman" w:hint="default"/>
          <w:spacing w:val="-1"/>
        </w:rPr>
        <w:t>2</w:t>
      </w:r>
      <w:r>
        <w:rPr>
          <w:spacing w:val="-1"/>
        </w:rPr>
        <w:t>）交易发生时既不</w:t>
      </w:r>
      <w:r>
        <w:rPr>
          <w:spacing w:val="-85"/>
        </w:rPr>
        <w:t> </w:t>
      </w:r>
      <w:r>
        <w:rPr>
          <w:spacing w:val="-85"/>
        </w:rPr>
      </w:r>
      <w:r>
        <w:rPr/>
        <w:t>影响会计利润也不影响应纳税所得额或可抵扣亏损。</w:t>
      </w:r>
    </w:p>
    <w:p>
      <w:pPr>
        <w:pStyle w:val="BodyText"/>
        <w:spacing w:line="350" w:lineRule="auto" w:before="36"/>
        <w:ind w:left="1134" w:right="1092" w:firstLine="420"/>
        <w:jc w:val="left"/>
      </w:pPr>
      <w:r>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spacing w:line="328" w:lineRule="auto" w:before="28"/>
        <w:ind w:left="1554" w:right="21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38"/>
          <w:sz w:val="21"/>
          <w:szCs w:val="21"/>
        </w:rPr>
        <w:t> </w:t>
      </w:r>
      <w:r>
        <w:rPr>
          <w:rFonts w:ascii="宋体" w:hAnsi="宋体" w:cs="宋体" w:eastAsia="宋体" w:hint="default"/>
          <w:b/>
          <w:bCs/>
          <w:sz w:val="21"/>
          <w:szCs w:val="21"/>
        </w:rPr>
        <w:t>确认递延所得税负债的依据</w:t>
      </w:r>
      <w:r>
        <w:rPr>
          <w:rFonts w:ascii="宋体" w:hAnsi="宋体" w:cs="宋体" w:eastAsia="宋体" w:hint="default"/>
          <w:b/>
          <w:bCs/>
          <w:w w:val="99"/>
          <w:sz w:val="21"/>
          <w:szCs w:val="21"/>
        </w:rPr>
        <w:t> </w:t>
      </w:r>
      <w:r>
        <w:rPr>
          <w:rFonts w:ascii="宋体" w:hAnsi="宋体" w:cs="宋体" w:eastAsia="宋体" w:hint="default"/>
          <w:sz w:val="21"/>
          <w:szCs w:val="21"/>
        </w:rPr>
        <w:t>公司将当期与以前期间应交未交的应纳税暂时性差异确认为递延所得税负债。但不包括：</w:t>
      </w:r>
    </w:p>
    <w:p>
      <w:pPr>
        <w:pStyle w:val="BodyText"/>
        <w:spacing w:line="240" w:lineRule="auto" w:before="48"/>
        <w:ind w:left="1554"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28" w:lineRule="auto" w:before="109"/>
        <w:ind w:left="1134" w:right="1197" w:firstLine="42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 得额（或可抵扣亏损）所形成的暂时性差异；</w:t>
      </w:r>
    </w:p>
    <w:p>
      <w:pPr>
        <w:pStyle w:val="BodyText"/>
        <w:spacing w:line="328" w:lineRule="auto" w:before="48"/>
        <w:ind w:left="1134" w:right="1197" w:firstLine="42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 且该暂时性差异在可预见的未来很可能不会转回。</w:t>
      </w:r>
    </w:p>
    <w:p>
      <w:pPr>
        <w:spacing w:after="0" w:line="328"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27、重要会计政策和会计估计变更" w:id="205"/>
      <w:bookmarkEnd w:id="205"/>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2"/>
        <w:rPr>
          <w:rFonts w:ascii="宋体" w:hAnsi="宋体" w:cs="宋体" w:eastAsia="宋体" w:hint="default"/>
          <w:b/>
          <w:bCs/>
          <w:sz w:val="21"/>
          <w:szCs w:val="21"/>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bookmarkStart w:name="六、税项" w:id="208"/>
      <w:bookmarkEnd w:id="208"/>
      <w:r>
        <w:rPr>
          <w:b w:val="0"/>
          <w:bCs w:val="0"/>
        </w:rPr>
      </w:r>
      <w:r>
        <w:rPr/>
        <w:t>六、税项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主要税种及税率" w:id="209"/>
      <w:bookmarkEnd w:id="20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2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3" w:space="0" w:color="D2D2D2"/>
              <w:right w:val="single" w:sz="4" w:space="0" w:color="000000"/>
            </w:tcBorders>
          </w:tcPr>
          <w:p>
            <w:pPr>
              <w:pStyle w:val="TableParagraph"/>
              <w:spacing w:line="240" w:lineRule="auto" w:before="9"/>
              <w:ind w:left="10" w:right="95"/>
              <w:jc w:val="left"/>
              <w:rPr>
                <w:rFonts w:ascii="宋体" w:hAnsi="宋体" w:cs="宋体" w:eastAsia="宋体" w:hint="default"/>
                <w:sz w:val="18"/>
                <w:szCs w:val="18"/>
              </w:rPr>
            </w:pPr>
            <w:r>
              <w:rPr>
                <w:rFonts w:ascii="宋体" w:hAnsi="宋体" w:cs="宋体" w:eastAsia="宋体" w:hint="default"/>
                <w:sz w:val="18"/>
                <w:szCs w:val="18"/>
              </w:rPr>
              <w:t>销售收入（营改增试点地区适用应税劳 务收入）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36"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13"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新设软件企业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新设软件企业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两免三减半</w:t>
            </w:r>
            <w:r>
              <w:rPr>
                <w:rFonts w:ascii="Times New Roman" w:hAnsi="Times New Roman" w:cs="Times New Roman" w:eastAsia="Times New Roman" w:hint="default"/>
                <w:sz w:val="18"/>
                <w:szCs w:val="18"/>
              </w:rPr>
              <w:t>”</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广东省南方信息技术行业研究院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西安市中盾信息安全技术有限公司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高新技术企业减按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both"/>
        <w:rPr>
          <w:b w:val="0"/>
          <w:bCs w:val="0"/>
        </w:rPr>
      </w:pPr>
      <w:bookmarkStart w:name="2、税收优惠" w:id="210"/>
      <w:bookmarkEnd w:id="21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30"/>
          <w:szCs w:val="30"/>
        </w:rPr>
      </w:pPr>
    </w:p>
    <w:p>
      <w:pPr>
        <w:pStyle w:val="BodyText"/>
        <w:spacing w:line="348" w:lineRule="auto"/>
        <w:ind w:left="1553" w:right="1120" w:firstLine="2"/>
        <w:jc w:val="left"/>
      </w:pPr>
      <w:r>
        <w:rPr>
          <w:rFonts w:ascii="宋体" w:hAnsi="宋体" w:cs="宋体" w:eastAsia="宋体" w:hint="default"/>
          <w:b/>
          <w:bCs/>
        </w:rPr>
        <w:t>增值税</w:t>
      </w:r>
      <w:r>
        <w:rPr>
          <w:rFonts w:ascii="宋体" w:hAnsi="宋体" w:cs="宋体" w:eastAsia="宋体" w:hint="default"/>
          <w:b/>
          <w:bCs/>
          <w:spacing w:val="1"/>
          <w:w w:val="99"/>
        </w:rPr>
        <w:t> </w:t>
      </w:r>
      <w:r>
        <w:rPr>
          <w:spacing w:val="-1"/>
        </w:rPr>
        <w:t>公司及子公司蓝盾信息安全技术有限公司被认定为软件企业，取得广东省信息产业厅颁发的《软件企</w:t>
      </w:r>
    </w:p>
    <w:p>
      <w:pPr>
        <w:pStyle w:val="BodyText"/>
        <w:spacing w:line="336" w:lineRule="auto" w:before="32"/>
        <w:ind w:right="1130"/>
        <w:jc w:val="both"/>
      </w:pPr>
      <w:r>
        <w:rPr>
          <w:spacing w:val="-1"/>
        </w:rPr>
        <w:t>业认定证书》。根据财政部、国家税务总局、海关总署颁布的《关于鼓励软件产业和集成电路产业发展有</w:t>
      </w:r>
      <w:r>
        <w:rPr>
          <w:spacing w:val="-83"/>
        </w:rPr>
        <w:t> </w:t>
      </w:r>
      <w:r>
        <w:rPr>
          <w:spacing w:val="-83"/>
        </w:rPr>
      </w:r>
      <w:r>
        <w:rPr/>
        <w:t>关税收政策问题的通知》（财税</w:t>
      </w:r>
      <w:r>
        <w:rPr>
          <w:rFonts w:ascii="Times New Roman" w:hAnsi="Times New Roman" w:cs="Times New Roman" w:eastAsia="Times New Roman" w:hint="default"/>
        </w:rPr>
        <w:t>[2000]25</w:t>
      </w:r>
      <w:r>
        <w:rPr/>
        <w:t>号）以及国务院颁布的《进一步鼓励软件产业和集成电路产业发 </w:t>
      </w:r>
      <w:r>
        <w:rPr>
          <w:spacing w:val="-1"/>
        </w:rPr>
        <w:t>展的若干政策》（国发</w:t>
      </w:r>
      <w:r>
        <w:rPr>
          <w:rFonts w:ascii="Times New Roman" w:hAnsi="Times New Roman" w:cs="Times New Roman" w:eastAsia="Times New Roman" w:hint="default"/>
          <w:spacing w:val="-1"/>
        </w:rPr>
        <w:t>[2011]4</w:t>
      </w:r>
      <w:r>
        <w:rPr>
          <w:spacing w:val="-1"/>
        </w:rPr>
        <w:t>号）的规定，对增值税一般纳税人销售自行开发生产的软件产品，按</w:t>
      </w:r>
      <w:r>
        <w:rPr>
          <w:rFonts w:ascii="Times New Roman" w:hAnsi="Times New Roman" w:cs="Times New Roman" w:eastAsia="Times New Roman" w:hint="default"/>
          <w:spacing w:val="-1"/>
        </w:rPr>
        <w:t>17%</w:t>
      </w:r>
      <w:r>
        <w:rPr>
          <w:spacing w:val="-1"/>
        </w:rPr>
        <w:t>的</w:t>
      </w:r>
      <w:r>
        <w:rPr>
          <w:spacing w:val="-79"/>
        </w:rPr>
        <w:t> </w:t>
      </w:r>
      <w:r>
        <w:rPr/>
        <w:t>法定税率征收增值税后，对增值税实际税负超过</w:t>
      </w:r>
      <w:r>
        <w:rPr>
          <w:rFonts w:ascii="Times New Roman" w:hAnsi="Times New Roman" w:cs="Times New Roman" w:eastAsia="Times New Roman" w:hint="default"/>
        </w:rPr>
        <w:t>3%</w:t>
      </w:r>
      <w:r>
        <w:rPr/>
        <w:t>的部分实行即征即退政策。</w:t>
      </w:r>
    </w:p>
    <w:p>
      <w:pPr>
        <w:pStyle w:val="BodyText"/>
        <w:spacing w:line="348" w:lineRule="auto" w:before="16"/>
        <w:ind w:left="1553" w:right="1163" w:firstLine="2"/>
        <w:jc w:val="left"/>
      </w:pPr>
      <w:r>
        <w:rPr>
          <w:rFonts w:ascii="宋体" w:hAnsi="宋体" w:cs="宋体" w:eastAsia="宋体" w:hint="default"/>
          <w:b/>
          <w:bCs/>
        </w:rPr>
        <w:t>营业税</w:t>
      </w:r>
      <w:r>
        <w:rPr>
          <w:rFonts w:ascii="宋体" w:hAnsi="宋体" w:cs="宋体" w:eastAsia="宋体" w:hint="default"/>
          <w:b/>
          <w:bCs/>
          <w:spacing w:val="1"/>
          <w:w w:val="99"/>
        </w:rPr>
        <w:t> </w:t>
      </w:r>
      <w:r>
        <w:rPr/>
        <w:t>根据国家税收法规，按照营业税征缴范围的营业收入的</w:t>
      </w:r>
      <w:r>
        <w:rPr>
          <w:rFonts w:ascii="Times New Roman" w:hAnsi="Times New Roman" w:cs="Times New Roman" w:eastAsia="Times New Roman" w:hint="default"/>
        </w:rPr>
        <w:t>3%</w:t>
      </w:r>
      <w:r>
        <w:rPr/>
        <w:t>或</w:t>
      </w:r>
      <w:r>
        <w:rPr>
          <w:rFonts w:ascii="Times New Roman" w:hAnsi="Times New Roman" w:cs="Times New Roman" w:eastAsia="Times New Roman" w:hint="default"/>
        </w:rPr>
        <w:t>5%</w:t>
      </w:r>
      <w:r>
        <w:rPr/>
        <w:t>计提缴纳，对符合规定的技术开发收</w:t>
      </w:r>
    </w:p>
    <w:p>
      <w:pPr>
        <w:spacing w:line="348" w:lineRule="auto" w:before="5"/>
        <w:ind w:left="1556" w:right="9276" w:hanging="423"/>
        <w:jc w:val="left"/>
        <w:rPr>
          <w:rFonts w:ascii="宋体" w:hAnsi="宋体" w:cs="宋体" w:eastAsia="宋体" w:hint="default"/>
          <w:sz w:val="21"/>
          <w:szCs w:val="21"/>
        </w:rPr>
      </w:pPr>
      <w:r>
        <w:rPr>
          <w:rFonts w:ascii="宋体" w:hAnsi="宋体" w:cs="宋体" w:eastAsia="宋体" w:hint="default"/>
          <w:sz w:val="21"/>
          <w:szCs w:val="21"/>
        </w:rPr>
        <w:t>入免征营业税。 </w:t>
      </w:r>
      <w:r>
        <w:rPr>
          <w:rFonts w:ascii="宋体" w:hAnsi="宋体" w:cs="宋体" w:eastAsia="宋体" w:hint="default"/>
          <w:b/>
          <w:bCs/>
          <w:sz w:val="21"/>
          <w:szCs w:val="21"/>
        </w:rPr>
        <w:t>企业所得税</w:t>
      </w:r>
      <w:r>
        <w:rPr>
          <w:rFonts w:ascii="宋体" w:hAnsi="宋体" w:cs="宋体" w:eastAsia="宋体" w:hint="default"/>
          <w:sz w:val="21"/>
          <w:szCs w:val="21"/>
        </w:rPr>
      </w:r>
    </w:p>
    <w:p>
      <w:pPr>
        <w:pStyle w:val="BodyText"/>
        <w:spacing w:line="350" w:lineRule="auto" w:before="30"/>
        <w:ind w:right="0" w:firstLine="420"/>
        <w:jc w:val="left"/>
      </w:pPr>
      <w:r>
        <w:rPr/>
        <w:t>（</w:t>
      </w:r>
      <w:r>
        <w:rPr>
          <w:rFonts w:ascii="宋体" w:hAnsi="宋体" w:cs="宋体" w:eastAsia="宋体" w:hint="default"/>
        </w:rPr>
        <w:t>1</w:t>
      </w:r>
      <w:r>
        <w:rPr/>
        <w:t>）公司及子公司广州华炜科技有限公司、子公司广州华炜科技有限公司的子公司东莞市新铂铼电 子有限公司于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10</w:t>
      </w:r>
      <w:r>
        <w:rPr/>
        <w:t>日分别取得广东省科学技术厅、广东省财政厅、广东省国家税务局、广东省地 </w:t>
      </w:r>
      <w:r>
        <w:rPr>
          <w:spacing w:val="-4"/>
        </w:rPr>
        <w:t>方税务局联合下发的编号为</w:t>
      </w:r>
      <w:r>
        <w:rPr>
          <w:rFonts w:ascii="宋体" w:hAnsi="宋体" w:cs="宋体" w:eastAsia="宋体" w:hint="default"/>
          <w:spacing w:val="-4"/>
        </w:rPr>
        <w:t>GF201444000516</w:t>
      </w:r>
      <w:r>
        <w:rPr>
          <w:spacing w:val="-4"/>
        </w:rPr>
        <w:t>、</w:t>
      </w:r>
      <w:r>
        <w:rPr>
          <w:rFonts w:ascii="宋体" w:hAnsi="宋体" w:cs="宋体" w:eastAsia="宋体" w:hint="default"/>
          <w:spacing w:val="-4"/>
        </w:rPr>
        <w:t>GR201444001210</w:t>
      </w:r>
      <w:r>
        <w:rPr>
          <w:spacing w:val="-4"/>
        </w:rPr>
        <w:t>、</w:t>
      </w:r>
      <w:r>
        <w:rPr>
          <w:rFonts w:ascii="宋体" w:hAnsi="宋体" w:cs="宋体" w:eastAsia="宋体" w:hint="default"/>
          <w:spacing w:val="-4"/>
        </w:rPr>
        <w:t>GR2014440003986</w:t>
      </w:r>
      <w:r>
        <w:rPr>
          <w:spacing w:val="-4"/>
        </w:rPr>
        <w:t>的《高新技术企业证书》，</w:t>
      </w:r>
      <w:r>
        <w:rPr>
          <w:spacing w:val="-64"/>
        </w:rPr>
        <w:t> </w:t>
      </w:r>
      <w:r>
        <w:rPr>
          <w:spacing w:val="-64"/>
        </w:rPr>
      </w:r>
      <w:r>
        <w:rPr/>
        <w:t>该认定有效期为三年。报告期内企业所得税税率为</w:t>
      </w:r>
      <w:r>
        <w:rPr>
          <w:rFonts w:ascii="宋体" w:hAnsi="宋体" w:cs="宋体" w:eastAsia="宋体" w:hint="default"/>
        </w:rPr>
        <w:t>25%</w:t>
      </w:r>
      <w:r>
        <w:rPr/>
        <w:t>，减按</w:t>
      </w:r>
      <w:r>
        <w:rPr>
          <w:rFonts w:ascii="宋体" w:hAnsi="宋体" w:cs="宋体" w:eastAsia="宋体" w:hint="default"/>
        </w:rPr>
        <w:t>15</w:t>
      </w:r>
      <w:r>
        <w:rPr/>
        <w:t>％的税率缴纳企业所得税。</w:t>
      </w:r>
    </w:p>
    <w:p>
      <w:pPr>
        <w:pStyle w:val="BodyText"/>
        <w:spacing w:line="348" w:lineRule="auto" w:before="29"/>
        <w:ind w:right="1132" w:firstLine="420"/>
        <w:jc w:val="left"/>
      </w:pPr>
      <w:r>
        <w:rPr/>
        <w:t>（</w:t>
      </w:r>
      <w:r>
        <w:rPr>
          <w:rFonts w:ascii="宋体" w:hAnsi="宋体" w:cs="宋体" w:eastAsia="宋体" w:hint="default"/>
        </w:rPr>
        <w:t>2</w:t>
      </w:r>
      <w:r>
        <w:rPr/>
        <w:t>）子公司蓝盾信息安全技术有限公司于</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日取得广东省经济和信息化委员会下发的编 </w:t>
      </w:r>
      <w:r>
        <w:rPr>
          <w:spacing w:val="-1"/>
        </w:rPr>
        <w:t>号为粤</w:t>
      </w:r>
      <w:r>
        <w:rPr>
          <w:rFonts w:ascii="宋体" w:hAnsi="宋体" w:cs="宋体" w:eastAsia="宋体" w:hint="default"/>
          <w:spacing w:val="-1"/>
        </w:rPr>
        <w:t>-R2013-0555</w:t>
      </w:r>
      <w:r>
        <w:rPr>
          <w:spacing w:val="-1"/>
        </w:rPr>
        <w:t>的《软件企业认定证书》。根据财税</w:t>
      </w:r>
      <w:r>
        <w:rPr>
          <w:rFonts w:ascii="宋体" w:hAnsi="宋体" w:cs="宋体" w:eastAsia="宋体" w:hint="default"/>
          <w:spacing w:val="-1"/>
        </w:rPr>
        <w:t>[2008]1</w:t>
      </w:r>
      <w:r>
        <w:rPr>
          <w:spacing w:val="-1"/>
        </w:rPr>
        <w:t>号《财政部、国家税务总局关于企业所得</w:t>
      </w:r>
      <w:r>
        <w:rPr>
          <w:spacing w:val="-79"/>
        </w:rPr>
        <w:t> </w:t>
      </w:r>
      <w:r>
        <w:rPr>
          <w:spacing w:val="-79"/>
        </w:rPr>
      </w:r>
      <w:r>
        <w:rPr/>
        <w:t>税若干优惠政策的通知》，从</w:t>
      </w:r>
      <w:r>
        <w:rPr>
          <w:rFonts w:ascii="宋体" w:hAnsi="宋体" w:cs="宋体" w:eastAsia="宋体" w:hint="default"/>
        </w:rPr>
        <w:t>2012</w:t>
      </w:r>
      <w:r>
        <w:rPr/>
        <w:t>年开始享受企业所得税两免三减半优惠。</w:t>
      </w:r>
    </w:p>
    <w:p>
      <w:pPr>
        <w:pStyle w:val="BodyText"/>
        <w:spacing w:line="350" w:lineRule="auto" w:before="31"/>
        <w:ind w:right="0" w:firstLine="420"/>
        <w:jc w:val="left"/>
      </w:pPr>
      <w:r>
        <w:rPr>
          <w:spacing w:val="-1"/>
        </w:rPr>
        <w:t>（</w:t>
      </w:r>
      <w:r>
        <w:rPr>
          <w:rFonts w:ascii="宋体" w:hAnsi="宋体" w:cs="宋体" w:eastAsia="宋体" w:hint="default"/>
          <w:spacing w:val="-1"/>
        </w:rPr>
        <w:t>3</w:t>
      </w:r>
      <w:r>
        <w:rPr>
          <w:spacing w:val="-1"/>
        </w:rPr>
        <w:t>）子公司广东蓝盾乐庚信息技术有限公司符合双软企业，已于</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30</w:t>
      </w:r>
      <w:r>
        <w:rPr>
          <w:spacing w:val="-1"/>
        </w:rPr>
        <w:t>日取得广东省经济和信</w:t>
      </w:r>
      <w:r>
        <w:rPr/>
        <w:t> </w:t>
      </w:r>
      <w:r>
        <w:rPr>
          <w:spacing w:val="-1"/>
        </w:rPr>
        <w:t>息化委员会颁发的《软件企业认定证书》，享受两免三减半的优惠政策，从开始获利年度起，第一年和第</w:t>
      </w:r>
      <w:r>
        <w:rPr>
          <w:spacing w:val="-82"/>
        </w:rPr>
        <w:t> </w:t>
      </w:r>
      <w:r>
        <w:rPr>
          <w:spacing w:val="-82"/>
        </w:rPr>
      </w:r>
      <w:r>
        <w:rPr/>
        <w:t>二年免征企业所得税，第三年至第五年减半征收企业所得税。</w:t>
      </w:r>
      <w:r>
        <w:rPr>
          <w:rFonts w:ascii="宋体" w:hAnsi="宋体" w:cs="宋体" w:eastAsia="宋体" w:hint="default"/>
        </w:rPr>
        <w:t>2014</w:t>
      </w:r>
      <w:r>
        <w:rPr/>
        <w:t>年免征所得税，</w:t>
      </w:r>
      <w:r>
        <w:rPr>
          <w:rFonts w:ascii="宋体" w:hAnsi="宋体" w:cs="宋体" w:eastAsia="宋体" w:hint="default"/>
        </w:rPr>
        <w:t>2015</w:t>
      </w:r>
      <w:r>
        <w:rPr/>
        <w:t>年按</w:t>
      </w:r>
      <w:r>
        <w:rPr>
          <w:rFonts w:ascii="宋体" w:hAnsi="宋体" w:cs="宋体" w:eastAsia="宋体" w:hint="default"/>
        </w:rPr>
        <w:t>25%</w:t>
      </w:r>
      <w:r>
        <w:rPr/>
        <w:t>的税率减 半缴纳所得税。</w:t>
      </w:r>
    </w:p>
    <w:p>
      <w:pPr>
        <w:spacing w:line="240" w:lineRule="auto" w:before="8"/>
        <w:rPr>
          <w:rFonts w:ascii="宋体" w:hAnsi="宋体" w:cs="宋体" w:eastAsia="宋体" w:hint="default"/>
          <w:sz w:val="16"/>
          <w:szCs w:val="16"/>
        </w:rPr>
      </w:pPr>
    </w:p>
    <w:p>
      <w:pPr>
        <w:pStyle w:val="Heading3"/>
        <w:spacing w:line="240" w:lineRule="auto"/>
        <w:ind w:left="1133" w:right="0"/>
        <w:jc w:val="both"/>
        <w:rPr>
          <w:b w:val="0"/>
          <w:bCs w:val="0"/>
        </w:rPr>
      </w:pPr>
      <w:bookmarkStart w:name="3、其他" w:id="211"/>
      <w:bookmarkEnd w:id="211"/>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30"/>
          <w:szCs w:val="30"/>
        </w:rPr>
      </w:pPr>
    </w:p>
    <w:p>
      <w:pPr>
        <w:pStyle w:val="Heading3"/>
        <w:spacing w:line="240" w:lineRule="auto"/>
        <w:ind w:left="1556" w:right="0"/>
        <w:jc w:val="left"/>
        <w:rPr>
          <w:b w:val="0"/>
          <w:bCs w:val="0"/>
        </w:rPr>
      </w:pPr>
      <w:r>
        <w:rPr/>
        <w:t>房产税</w:t>
      </w:r>
      <w:r>
        <w:rPr>
          <w:b w:val="0"/>
          <w:bCs w:val="0"/>
        </w:rPr>
      </w:r>
    </w:p>
    <w:p>
      <w:pPr>
        <w:spacing w:line="240" w:lineRule="auto" w:before="9"/>
        <w:rPr>
          <w:rFonts w:ascii="宋体" w:hAnsi="宋体" w:cs="宋体" w:eastAsia="宋体" w:hint="default"/>
          <w:b/>
          <w:bCs/>
          <w:sz w:val="18"/>
          <w:szCs w:val="18"/>
        </w:rPr>
      </w:pPr>
    </w:p>
    <w:p>
      <w:pPr>
        <w:pStyle w:val="BodyText"/>
        <w:spacing w:line="328" w:lineRule="auto"/>
        <w:ind w:left="1556" w:right="5311" w:hanging="3"/>
        <w:jc w:val="left"/>
        <w:rPr>
          <w:rFonts w:ascii="宋体" w:hAnsi="宋体" w:cs="宋体" w:eastAsia="宋体" w:hint="default"/>
        </w:rPr>
      </w:pPr>
      <w:r>
        <w:rPr/>
        <w:t>房产税按照房产原值的</w:t>
      </w:r>
      <w:r>
        <w:rPr>
          <w:rFonts w:ascii="Times New Roman" w:hAnsi="Times New Roman" w:cs="Times New Roman" w:eastAsia="Times New Roman" w:hint="default"/>
        </w:rPr>
        <w:t>70%</w:t>
      </w:r>
      <w:r>
        <w:rPr/>
        <w:t>为纳税基准，税率为</w:t>
      </w:r>
      <w:r>
        <w:rPr>
          <w:rFonts w:ascii="Times New Roman" w:hAnsi="Times New Roman" w:cs="Times New Roman" w:eastAsia="Times New Roman" w:hint="default"/>
        </w:rPr>
        <w:t>1.2%</w:t>
      </w:r>
      <w:r>
        <w:rPr/>
        <w:t>。 </w:t>
      </w:r>
      <w:r>
        <w:rPr>
          <w:rFonts w:ascii="宋体" w:hAnsi="宋体" w:cs="宋体" w:eastAsia="宋体" w:hint="default"/>
          <w:b/>
          <w:bCs/>
        </w:rPr>
        <w:t>个人所得税</w:t>
      </w:r>
      <w:r>
        <w:rPr>
          <w:rFonts w:ascii="宋体" w:hAnsi="宋体" w:cs="宋体" w:eastAsia="宋体" w:hint="default"/>
        </w:rPr>
      </w:r>
    </w:p>
    <w:p>
      <w:pPr>
        <w:spacing w:line="491" w:lineRule="auto" w:before="168"/>
        <w:ind w:left="1133" w:right="7183" w:firstLine="420"/>
        <w:jc w:val="left"/>
        <w:rPr>
          <w:rFonts w:ascii="宋体" w:hAnsi="宋体" w:cs="宋体" w:eastAsia="宋体" w:hint="default"/>
          <w:sz w:val="21"/>
          <w:szCs w:val="21"/>
        </w:rPr>
      </w:pPr>
      <w:r>
        <w:rPr>
          <w:rFonts w:ascii="宋体" w:hAnsi="宋体" w:cs="宋体" w:eastAsia="宋体" w:hint="default"/>
          <w:sz w:val="21"/>
          <w:szCs w:val="21"/>
        </w:rPr>
        <w:t>员工个人所得税由公司代扣代缴。 </w:t>
      </w:r>
      <w:bookmarkStart w:name="七、合并财务报表项目注释" w:id="212"/>
      <w:bookmarkEnd w:id="212"/>
      <w:r>
        <w:rPr>
          <w:rFonts w:ascii="宋体" w:hAnsi="宋体" w:cs="宋体" w:eastAsia="宋体" w:hint="default"/>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13"/>
      <w:bookmarkEnd w:id="2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4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224,449.43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116,237.86</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508,225,262.09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333,066,527.00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18,571,199.75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24,469,259.73</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527,020,911.27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357,652,024.59</w:t>
            </w:r>
          </w:p>
        </w:tc>
      </w:tr>
    </w:tbl>
    <w:p>
      <w:pPr>
        <w:spacing w:before="1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28" w:lineRule="auto" w:before="143"/>
        <w:ind w:left="1554" w:right="3192"/>
        <w:jc w:val="left"/>
      </w:pPr>
      <w:r>
        <w:rPr/>
        <w:pict>
          <v:shape style="position:absolute;margin-left:56.34pt;margin-top:43.353672pt;width:485.85pt;height:70.45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3"/>
                    <w:gridCol w:w="2443"/>
                    <w:gridCol w:w="2748"/>
                  </w:tblGrid>
                  <w:tr>
                    <w:trPr>
                      <w:trHeight w:val="349"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1954"/>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11,236,684.00</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11,387,866.67</w:t>
                        </w:r>
                      </w:p>
                    </w:tc>
                  </w:tr>
                  <w:tr>
                    <w:trPr>
                      <w:trHeight w:val="348"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7,334,515.75</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13,081,393.06</w:t>
                        </w:r>
                      </w:p>
                    </w:tc>
                  </w:tr>
                  <w:tr>
                    <w:trPr>
                      <w:trHeight w:val="349" w:hRule="exact"/>
                    </w:trPr>
                    <w:tc>
                      <w:tcPr>
                        <w:tcW w:w="4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73"/>
                          <w:jc w:val="right"/>
                          <w:rPr>
                            <w:rFonts w:ascii="宋体" w:hAnsi="宋体" w:cs="宋体" w:eastAsia="宋体" w:hint="default"/>
                            <w:sz w:val="18"/>
                            <w:szCs w:val="18"/>
                          </w:rPr>
                        </w:pPr>
                        <w:r>
                          <w:rPr>
                            <w:rFonts w:ascii="宋体" w:hAnsi="宋体" w:cs="宋体" w:eastAsia="宋体" w:hint="default"/>
                            <w:sz w:val="18"/>
                            <w:szCs w:val="18"/>
                          </w:rPr>
                          <w:t>合  计</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18,571,199.75</w:t>
                        </w:r>
                      </w:p>
                    </w:tc>
                    <w:tc>
                      <w:tcPr>
                        <w:tcW w:w="2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18"/>
                            <w:szCs w:val="18"/>
                          </w:rPr>
                        </w:pPr>
                        <w:r>
                          <w:rPr>
                            <w:rFonts w:ascii="Times New Roman"/>
                            <w:spacing w:val="-1"/>
                            <w:sz w:val="18"/>
                          </w:rPr>
                          <w:t>24,469,259.73</w:t>
                        </w:r>
                      </w:p>
                    </w:tc>
                  </w:tr>
                </w:tbl>
                <w:p>
                  <w:pPr/>
                </w:p>
              </w:txbxContent>
            </v:textbox>
            <w10:wrap type="none"/>
          </v:shape>
        </w:pic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日止，公司不存在质押、冻结，或有潜在收回风险的款项。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spacing w:line="240" w:lineRule="auto" w:before="35"/>
        <w:ind w:right="0"/>
        <w:jc w:val="left"/>
        <w:rPr>
          <w:b w:val="0"/>
          <w:bCs w:val="0"/>
        </w:rPr>
      </w:pPr>
      <w:bookmarkStart w:name="2、应收票据" w:id="214"/>
      <w:bookmarkEnd w:id="21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应收票据分类列示" w:id="215"/>
      <w:bookmarkEnd w:id="21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5,872,357.30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2,994,127.00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8,866,484.30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475" w:lineRule="auto" w:before="35"/>
        <w:ind w:right="7695"/>
        <w:jc w:val="left"/>
        <w:rPr>
          <w:rFonts w:ascii="宋体" w:hAnsi="宋体" w:cs="宋体" w:eastAsia="宋体" w:hint="default"/>
          <w:b w:val="0"/>
          <w:bCs w:val="0"/>
        </w:rPr>
      </w:pPr>
      <w:bookmarkStart w:name="（2）期末公司已质押的应收票据" w:id="216"/>
      <w:bookmarkEnd w:id="216"/>
      <w:r>
        <w:rPr>
          <w:b w:val="0"/>
          <w:bCs w:val="0"/>
        </w:rPr>
      </w:r>
      <w:r>
        <w:rPr/>
        <w:t>（</w:t>
      </w:r>
      <w:r>
        <w:rPr>
          <w:rFonts w:ascii="Times New Roman" w:hAnsi="Times New Roman" w:cs="Times New Roman" w:eastAsia="Times New Roman" w:hint="default"/>
        </w:rPr>
        <w:t>2</w:t>
      </w:r>
      <w:r>
        <w:rPr/>
        <w:t>）期末公司已质押的应收票据</w:t>
      </w:r>
      <w:r>
        <w:rPr>
          <w:w w:val="99"/>
        </w:rPr>
        <w:t> </w:t>
      </w:r>
      <w:r>
        <w:rPr>
          <w:rFonts w:ascii="宋体" w:hAnsi="宋体" w:cs="宋体" w:eastAsia="宋体" w:hint="default"/>
          <w:b w:val="0"/>
          <w:bCs w:val="0"/>
        </w:rPr>
        <w:t>无。</w:t>
      </w:r>
    </w:p>
    <w:p>
      <w:pPr>
        <w:pStyle w:val="Heading3"/>
        <w:spacing w:line="240" w:lineRule="auto" w:before="90"/>
        <w:ind w:right="0"/>
        <w:jc w:val="left"/>
        <w:rPr>
          <w:b w:val="0"/>
          <w:bCs w:val="0"/>
        </w:rPr>
      </w:pPr>
      <w:bookmarkStart w:name="（3）期末公司已背书或贴现且在资产负债表日尚未到期的应收票据" w:id="217"/>
      <w:bookmarkEnd w:id="21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13,503,750.00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13,503,750.00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期末公司因出票人未履约而将其转应收账款的票据" w:id="218"/>
      <w:bookmarkEnd w:id="21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32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32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3、应收账款" w:id="219"/>
      <w:bookmarkEnd w:id="21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应收账款分类披露" w:id="220"/>
      <w:bookmarkEnd w:id="22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431" w:type="dxa"/>
        <w:tblLayout w:type="fixed"/>
        <w:tblCellMar>
          <w:top w:w="0" w:type="dxa"/>
          <w:left w:w="0" w:type="dxa"/>
          <w:bottom w:w="0" w:type="dxa"/>
          <w:right w:w="0" w:type="dxa"/>
        </w:tblCellMar>
        <w:tblLook w:val="01E0"/>
      </w:tblPr>
      <w:tblGrid>
        <w:gridCol w:w="1112"/>
        <w:gridCol w:w="1287"/>
        <w:gridCol w:w="708"/>
        <w:gridCol w:w="1134"/>
        <w:gridCol w:w="568"/>
        <w:gridCol w:w="1276"/>
        <w:gridCol w:w="1277"/>
        <w:gridCol w:w="708"/>
        <w:gridCol w:w="1134"/>
        <w:gridCol w:w="566"/>
        <w:gridCol w:w="1276"/>
      </w:tblGrid>
      <w:tr>
        <w:trPr>
          <w:trHeight w:val="323"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49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2"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9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8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5" w:type="dxa"/>
            <w:gridSpan w:val="2"/>
            <w:vMerge/>
            <w:tcBorders>
              <w:left w:val="single" w:sz="4" w:space="0" w:color="000000"/>
              <w:bottom w:val="single" w:sz="4" w:space="0" w:color="000000"/>
              <w:right w:val="single" w:sz="4" w:space="0" w:color="000000"/>
            </w:tcBorders>
            <w:shd w:val="clear" w:color="auto" w:fill="D2D2D2"/>
          </w:tcPr>
          <w:p>
            <w:pPr/>
          </w:p>
        </w:tc>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2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left="9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28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4"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18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7"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663,143,507.83</w:t>
            </w:r>
          </w:p>
        </w:tc>
        <w:tc>
          <w:tcPr>
            <w:tcW w:w="708"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60,515,318.69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602,628,189.14</w:t>
            </w:r>
          </w:p>
        </w:tc>
        <w:tc>
          <w:tcPr>
            <w:tcW w:w="1277"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329,496,670.97</w:t>
            </w:r>
          </w:p>
        </w:tc>
        <w:tc>
          <w:tcPr>
            <w:tcW w:w="708"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26,476,878.62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303,019,792.35</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663,143,507.83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60,515,318.69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8" w:right="0"/>
              <w:jc w:val="center"/>
              <w:rPr>
                <w:rFonts w:ascii="Times New Roman" w:hAnsi="Times New Roman" w:cs="Times New Roman" w:eastAsia="Times New Roman" w:hint="default"/>
                <w:sz w:val="18"/>
                <w:szCs w:val="18"/>
              </w:rPr>
            </w:pPr>
            <w:r>
              <w:rPr>
                <w:rFonts w:ascii="Times New Roman"/>
                <w:sz w:val="18"/>
              </w:rPr>
              <w:t>9.13%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6" w:right="0"/>
              <w:jc w:val="center"/>
              <w:rPr>
                <w:rFonts w:ascii="Times New Roman" w:hAnsi="Times New Roman" w:cs="Times New Roman" w:eastAsia="Times New Roman" w:hint="default"/>
                <w:sz w:val="18"/>
                <w:szCs w:val="18"/>
              </w:rPr>
            </w:pPr>
            <w:r>
              <w:rPr>
                <w:rFonts w:ascii="Times New Roman"/>
                <w:sz w:val="18"/>
              </w:rPr>
              <w:t>602,628,189.14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329,496,670.97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2" w:right="0"/>
              <w:jc w:val="center"/>
              <w:rPr>
                <w:rFonts w:ascii="Times New Roman" w:hAnsi="Times New Roman" w:cs="Times New Roman" w:eastAsia="Times New Roman" w:hint="default"/>
                <w:sz w:val="18"/>
                <w:szCs w:val="18"/>
              </w:rPr>
            </w:pPr>
            <w:r>
              <w:rPr>
                <w:rFonts w:ascii="Times New Roman"/>
                <w:sz w:val="18"/>
              </w:rPr>
              <w:t>26,476,878.62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9" w:right="0"/>
              <w:jc w:val="left"/>
              <w:rPr>
                <w:rFonts w:ascii="Times New Roman" w:hAnsi="Times New Roman" w:cs="Times New Roman" w:eastAsia="Times New Roman" w:hint="default"/>
                <w:sz w:val="18"/>
                <w:szCs w:val="18"/>
              </w:rPr>
            </w:pPr>
            <w:r>
              <w:rPr>
                <w:rFonts w:ascii="Times New Roman"/>
                <w:sz w:val="18"/>
              </w:rPr>
              <w:t>8.04%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6" w:right="0"/>
              <w:jc w:val="center"/>
              <w:rPr>
                <w:rFonts w:ascii="Times New Roman" w:hAnsi="Times New Roman" w:cs="Times New Roman" w:eastAsia="Times New Roman" w:hint="default"/>
                <w:sz w:val="18"/>
                <w:szCs w:val="18"/>
              </w:rPr>
            </w:pPr>
            <w:r>
              <w:rPr>
                <w:rFonts w:ascii="Times New Roman"/>
                <w:sz w:val="18"/>
              </w:rPr>
              <w:t>303,019,792.35</w:t>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40" w:lineRule="auto" w:before="7"/>
        <w:rPr>
          <w:rFonts w:ascii="宋体" w:hAnsi="宋体" w:cs="宋体" w:eastAsia="宋体" w:hint="default"/>
          <w:sz w:val="15"/>
          <w:szCs w:val="15"/>
        </w:rPr>
      </w:pPr>
    </w:p>
    <w:p>
      <w:pPr>
        <w:spacing w:line="424" w:lineRule="auto" w:before="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65"/>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2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492,668,500.96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24,633,425.03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105,699,422.12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10,569,942.21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44,505,936.40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13,351,780.92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15,691,615.31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7,845,807.67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2,318,350.89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1,854,680.71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2,259,682.15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2,259,682.15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663,143,507.83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60,515,318.69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240" w:lineRule="auto" w:before="7"/>
        <w:rPr>
          <w:rFonts w:ascii="宋体" w:hAnsi="宋体" w:cs="宋体" w:eastAsia="宋体" w:hint="default"/>
          <w:sz w:val="15"/>
          <w:szCs w:val="15"/>
        </w:rPr>
      </w:pPr>
    </w:p>
    <w:p>
      <w:pPr>
        <w:spacing w:line="424" w:lineRule="auto" w:before="0"/>
        <w:ind w:left="113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确定该组合依据的说明：</w:t>
      </w:r>
    </w:p>
    <w:p>
      <w:pPr>
        <w:spacing w:line="240" w:lineRule="auto" w:before="10"/>
        <w:rPr>
          <w:rFonts w:ascii="宋体" w:hAnsi="宋体" w:cs="宋体" w:eastAsia="宋体" w:hint="default"/>
          <w:sz w:val="13"/>
          <w:szCs w:val="13"/>
        </w:rPr>
      </w:pPr>
    </w:p>
    <w:p>
      <w:pPr>
        <w:pStyle w:val="Heading3"/>
        <w:spacing w:line="240" w:lineRule="auto"/>
        <w:ind w:left="1133" w:right="0"/>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1134" w:right="0"/>
        <w:jc w:val="left"/>
      </w:pPr>
      <w:r>
        <w:rPr/>
        <w:t>本期计提坏账准备金额</w:t>
      </w:r>
      <w:r>
        <w:rPr>
          <w:spacing w:val="-53"/>
        </w:rPr>
        <w:t> </w:t>
      </w:r>
      <w:r>
        <w:rPr>
          <w:rFonts w:ascii="Times New Roman" w:hAnsi="Times New Roman" w:cs="Times New Roman" w:eastAsia="Times New Roman" w:hint="default"/>
        </w:rPr>
        <w:t>23,357,249.81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日公司非同一控制下合并广州华炜科技有限公司</w:t>
      </w:r>
    </w:p>
    <w:p>
      <w:pPr>
        <w:pStyle w:val="BodyText"/>
        <w:spacing w:line="240" w:lineRule="auto" w:before="109"/>
        <w:ind w:left="1134" w:right="0"/>
        <w:jc w:val="left"/>
      </w:pPr>
      <w:r>
        <w:rPr/>
        <w:t>转入应收账款坏账准备</w:t>
      </w:r>
      <w:r>
        <w:rPr>
          <w:spacing w:val="-53"/>
        </w:rPr>
        <w:t> </w:t>
      </w:r>
      <w:r>
        <w:rPr>
          <w:rFonts w:ascii="Times New Roman" w:hAnsi="Times New Roman" w:cs="Times New Roman" w:eastAsia="Times New Roman" w:hint="default"/>
        </w:rPr>
        <w:t>10,681,190.26</w:t>
      </w:r>
      <w:r>
        <w:rPr>
          <w:rFonts w:ascii="Times New Roman" w:hAnsi="Times New Roman" w:cs="Times New Roman" w:eastAsia="Times New Roman" w:hint="default"/>
          <w:spacing w:val="-2"/>
        </w:rPr>
        <w:t> </w:t>
      </w:r>
      <w:r>
        <w:rPr/>
        <w:t>元。</w:t>
      </w:r>
    </w:p>
    <w:p>
      <w:pPr>
        <w:spacing w:line="240" w:lineRule="auto" w:before="12"/>
        <w:rPr>
          <w:rFonts w:ascii="宋体" w:hAnsi="宋体" w:cs="宋体" w:eastAsia="宋体" w:hint="default"/>
          <w:sz w:val="22"/>
          <w:szCs w:val="22"/>
        </w:rPr>
      </w:pPr>
    </w:p>
    <w:p>
      <w:pPr>
        <w:pStyle w:val="Heading3"/>
        <w:spacing w:line="475" w:lineRule="auto"/>
        <w:ind w:right="7485"/>
        <w:jc w:val="left"/>
        <w:rPr>
          <w:rFonts w:ascii="宋体" w:hAnsi="宋体" w:cs="宋体" w:eastAsia="宋体" w:hint="default"/>
          <w:b w:val="0"/>
          <w:bCs w:val="0"/>
        </w:rPr>
      </w:pPr>
      <w:bookmarkStart w:name="（3）本期实际核销的应收账款情况" w:id="222"/>
      <w:bookmarkEnd w:id="222"/>
      <w:r>
        <w:rPr>
          <w:b w:val="0"/>
          <w:bCs w:val="0"/>
        </w:rPr>
      </w:r>
      <w:r>
        <w:rPr/>
        <w:t>（</w:t>
      </w:r>
      <w:r>
        <w:rPr>
          <w:rFonts w:ascii="Times New Roman" w:hAnsi="Times New Roman" w:cs="Times New Roman" w:eastAsia="Times New Roman" w:hint="default"/>
        </w:rPr>
        <w:t>3</w:t>
      </w:r>
      <w:r>
        <w:rPr/>
        <w:t>）本期实际核销的应收账款情况</w:t>
      </w:r>
      <w:r>
        <w:rPr>
          <w:w w:val="99"/>
        </w:rPr>
        <w:t> </w:t>
      </w:r>
      <w:r>
        <w:rPr>
          <w:rFonts w:ascii="宋体" w:hAnsi="宋体" w:cs="宋体" w:eastAsia="宋体" w:hint="default"/>
          <w:b w:val="0"/>
          <w:bCs w:val="0"/>
        </w:rPr>
        <w:t>无。</w:t>
      </w:r>
    </w:p>
    <w:p>
      <w:pPr>
        <w:spacing w:after="0" w:line="475" w:lineRule="auto"/>
        <w:jc w:val="left"/>
        <w:rPr>
          <w:rFonts w:ascii="宋体" w:hAnsi="宋体" w:cs="宋体" w:eastAsia="宋体" w:hint="default"/>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4）按欠款方归集的期末余额前五名的应收账款情况" w:id="223"/>
      <w:bookmarkEnd w:id="22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21" w:type="dxa"/>
        <w:tblLayout w:type="fixed"/>
        <w:tblCellMar>
          <w:top w:w="0" w:type="dxa"/>
          <w:left w:w="0" w:type="dxa"/>
          <w:bottom w:w="0" w:type="dxa"/>
          <w:right w:w="0" w:type="dxa"/>
        </w:tblCellMar>
        <w:tblLook w:val="01E0"/>
      </w:tblPr>
      <w:tblGrid>
        <w:gridCol w:w="3141"/>
        <w:gridCol w:w="2247"/>
        <w:gridCol w:w="1985"/>
        <w:gridCol w:w="2268"/>
      </w:tblGrid>
      <w:tr>
        <w:trPr>
          <w:trHeight w:val="476" w:hRule="exact"/>
        </w:trPr>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占应收账款期末余额</w:t>
            </w:r>
          </w:p>
          <w:p>
            <w:pPr>
              <w:pStyle w:val="TableParagraph"/>
              <w:spacing w:line="24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7"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244" w:hRule="exact"/>
        </w:trPr>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南京东大智能化系统有限公司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20,699,855.40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z w:val="18"/>
              </w:rPr>
              <w:t>3.12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2,069,985.53</w:t>
            </w:r>
          </w:p>
        </w:tc>
      </w:tr>
      <w:tr>
        <w:trPr>
          <w:trHeight w:val="244" w:hRule="exact"/>
        </w:trPr>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16,762,559.99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z w:val="18"/>
              </w:rPr>
              <w:t>2.53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5,017,068.00</w:t>
            </w:r>
          </w:p>
        </w:tc>
      </w:tr>
      <w:tr>
        <w:trPr>
          <w:trHeight w:val="244" w:hRule="exact"/>
        </w:trPr>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东安县公安局</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16,576,005.00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828,800.25</w:t>
            </w:r>
          </w:p>
        </w:tc>
      </w:tr>
      <w:tr>
        <w:trPr>
          <w:trHeight w:val="244" w:hRule="exact"/>
        </w:trPr>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中国石化销售有限公司华南分公司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14,085,000.00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2.12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704,250.00</w:t>
            </w:r>
          </w:p>
        </w:tc>
      </w:tr>
      <w:tr>
        <w:trPr>
          <w:trHeight w:val="476" w:hRule="exact"/>
        </w:trPr>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中电科技（南京）电子信息发展有限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司公雨花分公司</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12,551,200.04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1.89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z w:val="18"/>
              </w:rPr>
              <w:t>627,560.00</w:t>
            </w:r>
          </w:p>
        </w:tc>
      </w:tr>
      <w:tr>
        <w:trPr>
          <w:trHeight w:val="244" w:hRule="exact"/>
        </w:trPr>
        <w:tc>
          <w:tcPr>
            <w:tcW w:w="3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80,674,620.43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z w:val="18"/>
              </w:rPr>
              <w:t>12.16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9,247,663.78</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3"/>
        <w:spacing w:line="472" w:lineRule="auto"/>
        <w:ind w:right="6641"/>
        <w:jc w:val="left"/>
        <w:rPr>
          <w:rFonts w:ascii="宋体" w:hAnsi="宋体" w:cs="宋体" w:eastAsia="宋体" w:hint="default"/>
          <w:b w:val="0"/>
          <w:bCs w:val="0"/>
        </w:rPr>
      </w:pPr>
      <w:bookmarkStart w:name="（5）因金融资产转移而终止确认的应收账款" w:id="224"/>
      <w:bookmarkEnd w:id="224"/>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3"/>
        <w:spacing w:line="472" w:lineRule="auto" w:before="94"/>
        <w:ind w:right="5798"/>
        <w:jc w:val="left"/>
        <w:rPr>
          <w:rFonts w:ascii="宋体" w:hAnsi="宋体" w:cs="宋体" w:eastAsia="宋体" w:hint="default"/>
          <w:b w:val="0"/>
          <w:bCs w:val="0"/>
        </w:rPr>
      </w:pPr>
      <w:bookmarkStart w:name="（6）转移应收账款且继续涉入形成的资产、负债金额" w:id="225"/>
      <w:bookmarkEnd w:id="225"/>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4、预付款项" w:id="226"/>
      <w:bookmarkEnd w:id="226"/>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预付款项按账龄列示" w:id="227"/>
      <w:bookmarkEnd w:id="22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01"/>
        <w:gridCol w:w="1927"/>
        <w:gridCol w:w="1914"/>
        <w:gridCol w:w="1914"/>
        <w:gridCol w:w="1915"/>
      </w:tblGrid>
      <w:tr>
        <w:trPr>
          <w:trHeight w:val="16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37,902,241.26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58,892,609.68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96.04%</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6,440,667.44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2,131,471.76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3.48%</w:t>
            </w: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1,377,750.04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201,171.24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0.33%</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65,196.82</w:t>
            </w:r>
          </w:p>
        </w:tc>
        <w:tc>
          <w:tcPr>
            <w:tcW w:w="1914"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97,178.46</w:t>
            </w:r>
          </w:p>
        </w:tc>
        <w:tc>
          <w:tcPr>
            <w:tcW w:w="1915"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0.15%</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9"/>
              <w:ind w:right="9"/>
              <w:jc w:val="right"/>
              <w:rPr>
                <w:rFonts w:ascii="Times New Roman" w:hAnsi="Times New Roman" w:cs="Times New Roman" w:eastAsia="Times New Roman" w:hint="default"/>
                <w:sz w:val="18"/>
                <w:szCs w:val="18"/>
              </w:rPr>
            </w:pPr>
            <w:r>
              <w:rPr>
                <w:rFonts w:ascii="Times New Roman"/>
                <w:spacing w:val="-1"/>
                <w:sz w:val="18"/>
              </w:rPr>
              <w:t>45,785,855.56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61,322,431.14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8"/>
          <w:szCs w:val="8"/>
        </w:rPr>
      </w:pPr>
    </w:p>
    <w:p>
      <w:pPr>
        <w:spacing w:before="44"/>
        <w:ind w:left="149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195"/>
        <w:gridCol w:w="1910"/>
        <w:gridCol w:w="1242"/>
        <w:gridCol w:w="2410"/>
      </w:tblGrid>
      <w:tr>
        <w:trPr>
          <w:trHeight w:val="46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未及时结算原因</w:t>
            </w:r>
          </w:p>
        </w:tc>
      </w:tr>
      <w:tr>
        <w:trPr>
          <w:trHeight w:val="4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长沙楚昱科技有限公司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3,651,404.13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3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深圳市万行捷科技有限公司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1,170,000.00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6"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广州市玛卓信息科技有限公司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150,000.00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3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江苏德运科技有限公司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68,750.00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陕西金园建筑装饰工程有限责任公司</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429"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5,060,154.13</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02" w:lineRule="exact"/>
        <w:jc w:val="center"/>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2）按预付对象归集的期末余额前五名的预付款情况" w:id="228"/>
      <w:bookmarkEnd w:id="22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21" w:type="dxa"/>
        <w:tblLayout w:type="fixed"/>
        <w:tblCellMar>
          <w:top w:w="0" w:type="dxa"/>
          <w:left w:w="0" w:type="dxa"/>
          <w:bottom w:w="0" w:type="dxa"/>
          <w:right w:w="0" w:type="dxa"/>
        </w:tblCellMar>
        <w:tblLook w:val="01E0"/>
      </w:tblPr>
      <w:tblGrid>
        <w:gridCol w:w="2944"/>
        <w:gridCol w:w="1418"/>
        <w:gridCol w:w="1417"/>
        <w:gridCol w:w="1276"/>
        <w:gridCol w:w="1702"/>
      </w:tblGrid>
      <w:tr>
        <w:trPr>
          <w:trHeight w:val="476"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hanging="46"/>
              <w:jc w:val="left"/>
              <w:rPr>
                <w:rFonts w:ascii="宋体" w:hAnsi="宋体" w:cs="宋体" w:eastAsia="宋体" w:hint="default"/>
                <w:sz w:val="18"/>
                <w:szCs w:val="18"/>
              </w:rPr>
            </w:pPr>
            <w:r>
              <w:rPr>
                <w:rFonts w:ascii="宋体" w:hAnsi="宋体" w:cs="宋体" w:eastAsia="宋体" w:hint="default"/>
                <w:sz w:val="18"/>
                <w:szCs w:val="18"/>
              </w:rPr>
              <w:t>占预付账款总</w:t>
            </w:r>
          </w:p>
          <w:p>
            <w:pPr>
              <w:pStyle w:val="TableParagraph"/>
              <w:spacing w:line="248" w:lineRule="exact"/>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7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长沙楚昱科技有限公司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5,001,404.13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10.92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年以内及</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24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广州乐奇网络科技有限公司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3,366,000.00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7.35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24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广州力行网星计算机通信有限公司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2,468,700.00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24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长沙睿创自动化科技有限公司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2,433,600.00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5.32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24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佛山市惠海网络工程有限公司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2,293,200.00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z w:val="18"/>
              </w:rPr>
              <w:t>5.01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24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15,562,904.13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33.99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3"/>
        <w:spacing w:line="240" w:lineRule="auto"/>
        <w:ind w:right="0"/>
        <w:jc w:val="left"/>
        <w:rPr>
          <w:b w:val="0"/>
          <w:bCs w:val="0"/>
        </w:rPr>
      </w:pPr>
      <w:bookmarkStart w:name="5、其他应收款" w:id="229"/>
      <w:bookmarkEnd w:id="229"/>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其他应收款分类披露" w:id="230"/>
      <w:bookmarkEnd w:id="23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431" w:type="dxa"/>
        <w:tblLayout w:type="fixed"/>
        <w:tblCellMar>
          <w:top w:w="0" w:type="dxa"/>
          <w:left w:w="0" w:type="dxa"/>
          <w:bottom w:w="0" w:type="dxa"/>
          <w:right w:w="0" w:type="dxa"/>
        </w:tblCellMar>
        <w:tblLook w:val="01E0"/>
      </w:tblPr>
      <w:tblGrid>
        <w:gridCol w:w="1538"/>
        <w:gridCol w:w="1145"/>
        <w:gridCol w:w="709"/>
        <w:gridCol w:w="1134"/>
        <w:gridCol w:w="708"/>
        <w:gridCol w:w="1134"/>
        <w:gridCol w:w="1134"/>
        <w:gridCol w:w="710"/>
        <w:gridCol w:w="1134"/>
        <w:gridCol w:w="566"/>
        <w:gridCol w:w="1134"/>
      </w:tblGrid>
      <w:tr>
        <w:trPr>
          <w:trHeight w:val="319" w:hRule="exact"/>
        </w:trPr>
        <w:tc>
          <w:tcPr>
            <w:tcW w:w="1538" w:type="dxa"/>
            <w:vMerge w:val="restart"/>
            <w:tcBorders>
              <w:top w:val="single" w:sz="4" w:space="0" w:color="000000"/>
              <w:left w:val="single" w:sz="4" w:space="0" w:color="000000"/>
              <w:right w:val="single" w:sz="4" w:space="0" w:color="000000"/>
            </w:tcBorders>
            <w:shd w:val="clear" w:color="auto" w:fill="D2D2D2"/>
          </w:tcPr>
          <w:p>
            <w:pPr/>
          </w:p>
        </w:tc>
        <w:tc>
          <w:tcPr>
            <w:tcW w:w="483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7"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7"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186"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7" w:lineRule="exact"/>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0"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11" w:right="74"/>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1145" w:type="dxa"/>
            <w:tcBorders>
              <w:top w:val="single" w:sz="51" w:space="0" w:color="D2D2D2"/>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22,018,916.56</w:t>
            </w:r>
          </w:p>
        </w:tc>
        <w:tc>
          <w:tcPr>
            <w:tcW w:w="709"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2,461,698.67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19,557,217.89</w:t>
            </w:r>
          </w:p>
        </w:tc>
        <w:tc>
          <w:tcPr>
            <w:tcW w:w="113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11,512,486.52</w:t>
            </w:r>
          </w:p>
        </w:tc>
        <w:tc>
          <w:tcPr>
            <w:tcW w:w="710"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1,039,974.46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10,472,512.06</w:t>
            </w:r>
          </w:p>
        </w:tc>
      </w:tr>
      <w:tr>
        <w:trPr>
          <w:trHeight w:val="32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22,018,916.56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2,461,698.67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Times New Roman"/>
                <w:sz w:val="18"/>
              </w:rPr>
              <w:t>19,557,217.89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11,512,486.52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1,039,974.46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 w:right="0"/>
              <w:jc w:val="center"/>
              <w:rPr>
                <w:rFonts w:ascii="Times New Roman" w:hAnsi="Times New Roman" w:cs="Times New Roman" w:eastAsia="Times New Roman" w:hint="default"/>
                <w:sz w:val="18"/>
                <w:szCs w:val="18"/>
              </w:rPr>
            </w:pPr>
            <w:r>
              <w:rPr>
                <w:rFonts w:ascii="Times New Roman"/>
                <w:sz w:val="18"/>
              </w:rPr>
              <w:t>10,472,512.06</w:t>
            </w:r>
          </w:p>
        </w:tc>
      </w:tr>
    </w:tbl>
    <w:p>
      <w:pPr>
        <w:spacing w:line="240" w:lineRule="auto" w:before="2"/>
        <w:rPr>
          <w:rFonts w:ascii="宋体" w:hAnsi="宋体" w:cs="宋体" w:eastAsia="宋体" w:hint="default"/>
          <w:sz w:val="6"/>
          <w:szCs w:val="6"/>
        </w:rPr>
      </w:pPr>
    </w:p>
    <w:p>
      <w:pPr>
        <w:pStyle w:val="BodyText"/>
        <w:spacing w:line="240" w:lineRule="auto" w:before="35"/>
        <w:ind w:left="1134" w:right="0"/>
        <w:jc w:val="left"/>
      </w:pPr>
      <w:r>
        <w:rPr/>
        <w:t>期末单项金额重大并单项计提坏账准备的其他应收款：</w:t>
      </w:r>
    </w:p>
    <w:p>
      <w:pPr>
        <w:pStyle w:val="BodyText"/>
        <w:spacing w:line="362" w:lineRule="auto" w:before="164"/>
        <w:ind w:left="1134" w:right="59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组合中，按账龄分析法计提坏账准备的其他应收款：</w:t>
      </w:r>
    </w:p>
    <w:p>
      <w:pPr>
        <w:spacing w:after="0" w:line="362" w:lineRule="auto"/>
        <w:jc w:val="left"/>
        <w:sectPr>
          <w:pgSz w:w="11910" w:h="16840"/>
          <w:pgMar w:header="877" w:footer="979" w:top="1100" w:bottom="1160" w:left="0" w:right="0"/>
        </w:sectPr>
      </w:pPr>
    </w:p>
    <w:p>
      <w:pPr>
        <w:pStyle w:val="BodyText"/>
        <w:spacing w:line="240" w:lineRule="auto" w:before="57"/>
        <w:ind w:left="1134"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6"/>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2742" w:space="6088"/>
            <w:col w:w="3080"/>
          </w:cols>
        </w:sectPr>
      </w:pP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32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14,925,069.14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746,253.46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3,986,218.49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398,621.85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2,147,023.53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644,107.06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490,659.00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245,329.50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212,798.00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170,238.40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80.00%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257,148.40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257,148.40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22,018,916.56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2,461,698.67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6"/>
          <w:szCs w:val="6"/>
        </w:rPr>
      </w:pPr>
    </w:p>
    <w:p>
      <w:pPr>
        <w:pStyle w:val="BodyText"/>
        <w:spacing w:line="240" w:lineRule="auto" w:before="35"/>
        <w:ind w:left="1134" w:right="0"/>
        <w:jc w:val="left"/>
      </w:pPr>
      <w:r>
        <w:rPr/>
        <w:t>组合中，采用余额百分比法计提坏账准备的其他应收款：</w:t>
      </w:r>
    </w:p>
    <w:p>
      <w:pPr>
        <w:pStyle w:val="BodyText"/>
        <w:spacing w:line="362" w:lineRule="auto" w:before="164"/>
        <w:ind w:right="59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组合中，采用其他方法计提坏账准备的其他应收款：</w:t>
      </w:r>
    </w:p>
    <w:p>
      <w:pPr>
        <w:spacing w:line="201" w:lineRule="exact"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line="201" w:lineRule="exact"/>
        <w:jc w:val="left"/>
        <w:rPr>
          <w:rFonts w:ascii="宋体" w:hAnsi="宋体" w:cs="宋体" w:eastAsia="宋体" w:hint="default"/>
          <w:sz w:val="18"/>
          <w:szCs w:val="18"/>
        </w:rPr>
        <w:sectPr>
          <w:type w:val="continuous"/>
          <w:pgSz w:w="11910" w:h="16840"/>
          <w:pgMar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right="0"/>
        <w:jc w:val="left"/>
      </w:pPr>
      <w:r>
        <w:rPr/>
        <w:t>本期计提坏账准备金额</w:t>
      </w:r>
      <w:r>
        <w:rPr>
          <w:spacing w:val="-53"/>
        </w:rPr>
        <w:t> </w:t>
      </w:r>
      <w:r>
        <w:rPr>
          <w:rFonts w:ascii="Times New Roman" w:hAnsi="Times New Roman" w:cs="Times New Roman" w:eastAsia="Times New Roman" w:hint="default"/>
        </w:rPr>
        <w:t>873,160.72</w:t>
      </w:r>
      <w:r>
        <w:rPr>
          <w:rFonts w:ascii="Times New Roman" w:hAnsi="Times New Roman" w:cs="Times New Roman" w:eastAsia="Times New Roman" w:hint="default"/>
          <w:spacing w:val="-1"/>
        </w:rPr>
        <w:t> </w:t>
      </w:r>
      <w:r>
        <w:rPr>
          <w:spacing w:val="-13"/>
        </w:rPr>
        <w:t>元；</w:t>
      </w:r>
      <w:r>
        <w:rPr>
          <w:rFonts w:ascii="Times New Roman" w:hAnsi="Times New Roman" w:cs="Times New Roman" w:eastAsia="Times New Roman" w:hint="default"/>
          <w:spacing w:val="-13"/>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日公司非同一控制下合并广州华炜科技有限公司转入</w:t>
      </w:r>
    </w:p>
    <w:p>
      <w:pPr>
        <w:pStyle w:val="BodyText"/>
        <w:spacing w:line="240" w:lineRule="auto" w:before="109"/>
        <w:ind w:right="0"/>
        <w:jc w:val="left"/>
      </w:pPr>
      <w:r>
        <w:rPr/>
        <w:t>其他应收款坏账准备</w:t>
      </w:r>
      <w:r>
        <w:rPr>
          <w:spacing w:val="-52"/>
        </w:rPr>
        <w:t> </w:t>
      </w:r>
      <w:r>
        <w:rPr>
          <w:rFonts w:ascii="Times New Roman" w:hAnsi="Times New Roman" w:cs="Times New Roman" w:eastAsia="Times New Roman" w:hint="default"/>
        </w:rPr>
        <w:t>548,563.49 </w:t>
      </w:r>
      <w:r>
        <w:rPr>
          <w:spacing w:val="-2"/>
        </w:rPr>
        <w:t>元</w:t>
      </w:r>
      <w:r>
        <w:rPr>
          <w:spacing w:val="-105"/>
        </w:rPr>
        <w:t>。</w:t>
      </w:r>
      <w:r>
        <w:rPr/>
        <w:t>。</w:t>
      </w:r>
    </w:p>
    <w:p>
      <w:pPr>
        <w:spacing w:line="240" w:lineRule="auto" w:before="12"/>
        <w:rPr>
          <w:rFonts w:ascii="宋体" w:hAnsi="宋体" w:cs="宋体" w:eastAsia="宋体" w:hint="default"/>
          <w:sz w:val="22"/>
          <w:szCs w:val="22"/>
        </w:rPr>
      </w:pPr>
    </w:p>
    <w:p>
      <w:pPr>
        <w:pStyle w:val="Heading3"/>
        <w:spacing w:line="472" w:lineRule="auto"/>
        <w:ind w:left="1133" w:right="7275"/>
        <w:jc w:val="left"/>
        <w:rPr>
          <w:rFonts w:ascii="宋体" w:hAnsi="宋体" w:cs="宋体" w:eastAsia="宋体" w:hint="default"/>
          <w:b w:val="0"/>
          <w:bCs w:val="0"/>
        </w:rPr>
      </w:pPr>
      <w:bookmarkStart w:name="（3）本期实际核销的其他应收款情况" w:id="232"/>
      <w:bookmarkEnd w:id="232"/>
      <w:r>
        <w:rPr>
          <w:b w:val="0"/>
          <w:bCs w:val="0"/>
        </w:rPr>
      </w:r>
      <w:r>
        <w:rPr/>
        <w:t>（</w:t>
      </w: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4）其他应收款按款项性质分类情况" w:id="233"/>
      <w:bookmarkEnd w:id="23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1"/>
          <w:szCs w:val="21"/>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19,329,957.47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10,616,083.10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1,302,663.60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896,403.42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1,052,397.90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333,897.59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22,018,916.56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11,512,486.52</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5）按欠款方归集的期末余额前五名的其他应收款情况" w:id="234"/>
      <w:bookmarkEnd w:id="23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128"/>
        <w:gridCol w:w="1416"/>
        <w:gridCol w:w="1419"/>
        <w:gridCol w:w="1414"/>
        <w:gridCol w:w="1596"/>
        <w:gridCol w:w="1595"/>
      </w:tblGrid>
      <w:tr>
        <w:trPr>
          <w:trHeight w:val="558"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安徽天成建设有限公司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32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中山市盛大电器有限公司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1,052,397.90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w w:val="95"/>
                <w:sz w:val="18"/>
                <w:szCs w:val="18"/>
              </w:rPr>
              <w:t>2-3</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315,719.37</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深圳第二高级技工学校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845,000.00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42,250.00</w:t>
            </w:r>
          </w:p>
        </w:tc>
      </w:tr>
      <w:tr>
        <w:trPr>
          <w:trHeight w:val="55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3"/>
              <w:jc w:val="left"/>
              <w:rPr>
                <w:rFonts w:ascii="宋体" w:hAnsi="宋体" w:cs="宋体" w:eastAsia="宋体" w:hint="default"/>
                <w:sz w:val="18"/>
                <w:szCs w:val="18"/>
              </w:rPr>
            </w:pPr>
            <w:r>
              <w:rPr>
                <w:rFonts w:ascii="宋体" w:hAnsi="宋体" w:cs="宋体" w:eastAsia="宋体" w:hint="default"/>
                <w:sz w:val="18"/>
                <w:szCs w:val="18"/>
              </w:rPr>
              <w:t>中国人民解放军深圳警备 区后勤部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840,654.17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Arial" w:hAnsi="Arial" w:cs="Arial" w:eastAsia="Arial" w:hint="default"/>
                <w:w w:val="95"/>
                <w:sz w:val="18"/>
                <w:szCs w:val="18"/>
              </w:rPr>
              <w:t>1-2</w:t>
            </w:r>
            <w:r>
              <w:rPr>
                <w:rFonts w:ascii="Arial" w:hAnsi="Arial" w:cs="Arial" w:eastAsia="Arial" w:hint="default"/>
                <w:spacing w:val="-31"/>
                <w:w w:val="95"/>
                <w:sz w:val="18"/>
                <w:szCs w:val="18"/>
              </w:rPr>
              <w:t> </w:t>
            </w:r>
            <w:r>
              <w:rPr>
                <w:rFonts w:ascii="宋体" w:hAnsi="宋体" w:cs="宋体" w:eastAsia="宋体" w:hint="default"/>
                <w:w w:val="95"/>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84,065.42</w:t>
            </w:r>
          </w:p>
        </w:tc>
      </w:tr>
      <w:tr>
        <w:trPr>
          <w:trHeight w:val="32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广东工贸职业技术学院</w:t>
            </w:r>
          </w:p>
        </w:tc>
        <w:tc>
          <w:tcPr>
            <w:tcW w:w="1416"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754,483.50</w:t>
            </w:r>
          </w:p>
        </w:tc>
        <w:tc>
          <w:tcPr>
            <w:tcW w:w="141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37,724.18</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49"/>
              <w:ind w:right="13"/>
              <w:jc w:val="right"/>
              <w:rPr>
                <w:rFonts w:ascii="Times New Roman" w:hAnsi="Times New Roman" w:cs="Times New Roman" w:eastAsia="Times New Roman" w:hint="default"/>
                <w:sz w:val="18"/>
                <w:szCs w:val="18"/>
              </w:rPr>
            </w:pPr>
            <w:r>
              <w:rPr>
                <w:rFonts w:ascii="Times New Roman"/>
                <w:spacing w:val="-1"/>
                <w:sz w:val="18"/>
              </w:rPr>
              <w:t>6,492,535.57</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629,758.97</w:t>
            </w:r>
          </w:p>
        </w:tc>
      </w:tr>
    </w:tbl>
    <w:p>
      <w:pPr>
        <w:spacing w:line="240" w:lineRule="auto" w:before="8"/>
        <w:rPr>
          <w:rFonts w:ascii="宋体" w:hAnsi="宋体" w:cs="宋体" w:eastAsia="宋体" w:hint="default"/>
          <w:sz w:val="17"/>
          <w:szCs w:val="17"/>
        </w:rPr>
      </w:pPr>
    </w:p>
    <w:p>
      <w:pPr>
        <w:pStyle w:val="Heading3"/>
        <w:spacing w:line="472" w:lineRule="auto" w:before="35"/>
        <w:ind w:right="7906"/>
        <w:jc w:val="left"/>
        <w:rPr>
          <w:rFonts w:ascii="宋体" w:hAnsi="宋体" w:cs="宋体" w:eastAsia="宋体" w:hint="default"/>
          <w:b w:val="0"/>
          <w:bCs w:val="0"/>
        </w:rPr>
      </w:pPr>
      <w:bookmarkStart w:name="（6）涉及政府补助的应收款项" w:id="235"/>
      <w:bookmarkEnd w:id="235"/>
      <w:r>
        <w:rPr>
          <w:b w:val="0"/>
          <w:bCs w:val="0"/>
        </w:rPr>
      </w:r>
      <w:r>
        <w:rPr/>
        <w:t>（</w:t>
      </w:r>
      <w:r>
        <w:rPr>
          <w:rFonts w:ascii="Times New Roman" w:hAnsi="Times New Roman" w:cs="Times New Roman" w:eastAsia="Times New Roman" w:hint="default"/>
        </w:rPr>
        <w:t>6</w:t>
      </w:r>
      <w:r>
        <w:rPr/>
        <w:t>）涉及政府补助的应收款项</w:t>
      </w:r>
      <w:r>
        <w:rPr>
          <w:w w:val="99"/>
        </w:rPr>
        <w:t> </w:t>
      </w:r>
      <w:r>
        <w:rPr>
          <w:rFonts w:ascii="宋体" w:hAnsi="宋体" w:cs="宋体" w:eastAsia="宋体" w:hint="default"/>
          <w:b w:val="0"/>
          <w:bCs w:val="0"/>
        </w:rPr>
        <w:t>无。</w:t>
      </w:r>
    </w:p>
    <w:p>
      <w:pPr>
        <w:pStyle w:val="Heading3"/>
        <w:spacing w:line="472" w:lineRule="auto" w:before="94"/>
        <w:ind w:right="6431"/>
        <w:jc w:val="left"/>
        <w:rPr>
          <w:rFonts w:ascii="宋体" w:hAnsi="宋体" w:cs="宋体" w:eastAsia="宋体" w:hint="default"/>
          <w:b w:val="0"/>
          <w:bCs w:val="0"/>
        </w:rPr>
      </w:pPr>
      <w:bookmarkStart w:name="（7）因金融资产转移而终止确认的其他应收款" w:id="236"/>
      <w:bookmarkEnd w:id="236"/>
      <w:r>
        <w:rPr>
          <w:b w:val="0"/>
          <w:bCs w:val="0"/>
        </w:rPr>
      </w: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3"/>
        <w:spacing w:line="472" w:lineRule="auto" w:before="94"/>
        <w:ind w:left="1133" w:right="5588"/>
        <w:jc w:val="left"/>
        <w:rPr>
          <w:rFonts w:ascii="宋体" w:hAnsi="宋体" w:cs="宋体" w:eastAsia="宋体" w:hint="default"/>
          <w:b w:val="0"/>
          <w:bCs w:val="0"/>
        </w:rPr>
      </w:pPr>
      <w:bookmarkStart w:name="（8）转移其他应收款且继续涉入形成的资产、负债金额" w:id="237"/>
      <w:bookmarkEnd w:id="237"/>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spacing w:after="0" w:line="472" w:lineRule="auto"/>
        <w:jc w:val="left"/>
        <w:rPr>
          <w:rFonts w:ascii="宋体" w:hAnsi="宋体" w:cs="宋体" w:eastAsia="宋体" w:hint="default"/>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6、存货" w:id="238"/>
      <w:bookmarkEnd w:id="238"/>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6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38,429,244.52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38,429,244.52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4,637,477.01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4,637,477.01</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1,512,265.67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1,512,265.67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18,267.00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18,267.00</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10,259,116.22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10,259,116.22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67,990.61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67,990.61</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36,978,291.70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36,978,291.70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47,464,249.53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47,464,249.53</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87,178,918.11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87,178,918.11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52,187,984.15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52,187,984.15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30"/>
          <w:szCs w:val="30"/>
        </w:rPr>
      </w:pPr>
    </w:p>
    <w:p>
      <w:pPr>
        <w:pStyle w:val="BodyText"/>
        <w:spacing w:line="348" w:lineRule="auto"/>
        <w:ind w:left="1134" w:right="1120" w:firstLine="420"/>
        <w:jc w:val="left"/>
      </w:pPr>
      <w:r>
        <w:rPr>
          <w:spacing w:val="-1"/>
        </w:rPr>
        <w:t>公司未发现存货预计可收回金额低于其账面价值而需计提存货跌价准备的情形，期末无需计提存货跌</w:t>
      </w:r>
      <w:r>
        <w:rPr/>
        <w:t> 价准备。</w:t>
      </w:r>
    </w:p>
    <w:p>
      <w:pPr>
        <w:spacing w:line="240" w:lineRule="auto" w:before="11"/>
        <w:rPr>
          <w:rFonts w:ascii="宋体" w:hAnsi="宋体" w:cs="宋体" w:eastAsia="宋体" w:hint="default"/>
          <w:sz w:val="16"/>
          <w:szCs w:val="16"/>
        </w:rPr>
      </w:pPr>
    </w:p>
    <w:p>
      <w:pPr>
        <w:pStyle w:val="Heading3"/>
        <w:spacing w:line="475" w:lineRule="auto"/>
        <w:ind w:right="5922"/>
        <w:jc w:val="left"/>
        <w:rPr>
          <w:rFonts w:ascii="宋体" w:hAnsi="宋体" w:cs="宋体" w:eastAsia="宋体" w:hint="default"/>
          <w:b w:val="0"/>
          <w:bCs w:val="0"/>
        </w:rPr>
      </w:pPr>
      <w:bookmarkStart w:name="（3）存货期末余额含有借款费用资本化金额的说明" w:id="241"/>
      <w:bookmarkEnd w:id="241"/>
      <w:r>
        <w:rPr>
          <w:b w:val="0"/>
          <w:bCs w:val="0"/>
        </w:rPr>
      </w:r>
      <w:r>
        <w:rPr>
          <w:w w:val="95"/>
        </w:rPr>
        <w:t>（</w:t>
      </w:r>
      <w:r>
        <w:rPr>
          <w:rFonts w:ascii="Times New Roman" w:hAnsi="Times New Roman" w:cs="Times New Roman" w:eastAsia="Times New Roman" w:hint="default"/>
          <w:w w:val="95"/>
        </w:rPr>
        <w:t>3</w:t>
      </w:r>
      <w:r>
        <w:rPr>
          <w:w w:val="95"/>
        </w:rPr>
        <w:t>）存货期末余额含有借款费用资本化金额的说明</w:t>
      </w:r>
      <w:r>
        <w:rPr>
          <w:spacing w:val="30"/>
          <w:w w:val="95"/>
        </w:rPr>
        <w:t> </w:t>
      </w:r>
      <w:r>
        <w:rPr>
          <w:spacing w:val="30"/>
          <w:w w:val="95"/>
        </w:rPr>
      </w:r>
      <w:r>
        <w:rPr>
          <w:rFonts w:ascii="宋体" w:hAnsi="宋体" w:cs="宋体" w:eastAsia="宋体" w:hint="default"/>
          <w:b w:val="0"/>
          <w:bCs w:val="0"/>
        </w:rPr>
        <w:t>无。</w:t>
      </w:r>
    </w:p>
    <w:p>
      <w:pPr>
        <w:pStyle w:val="Heading3"/>
        <w:spacing w:line="475" w:lineRule="auto" w:before="91"/>
        <w:ind w:right="6253"/>
        <w:jc w:val="left"/>
        <w:rPr>
          <w:rFonts w:ascii="宋体" w:hAnsi="宋体" w:cs="宋体" w:eastAsia="宋体" w:hint="default"/>
          <w:b w:val="0"/>
          <w:bCs w:val="0"/>
        </w:rPr>
      </w:pPr>
      <w:bookmarkStart w:name="（4）期末建造合同形成的已完工未结算资产情况" w:id="242"/>
      <w:bookmarkEnd w:id="242"/>
      <w:r>
        <w:rPr>
          <w:b w:val="0"/>
          <w:bCs w:val="0"/>
        </w:rPr>
      </w:r>
      <w:r>
        <w:rPr>
          <w:w w:val="95"/>
        </w:rPr>
        <w:t>（</w:t>
      </w:r>
      <w:r>
        <w:rPr>
          <w:rFonts w:ascii="Times New Roman" w:hAnsi="Times New Roman" w:cs="Times New Roman" w:eastAsia="Times New Roman" w:hint="default"/>
          <w:w w:val="95"/>
        </w:rPr>
        <w:t>4</w:t>
      </w:r>
      <w:r>
        <w:rPr>
          <w:w w:val="95"/>
        </w:rPr>
        <w:t>）期末建造合同形成的已完工未结算资产情况</w:t>
      </w:r>
      <w:r>
        <w:rPr>
          <w:spacing w:val="20"/>
          <w:w w:val="95"/>
        </w:rPr>
        <w:t> </w:t>
      </w:r>
      <w:r>
        <w:rPr>
          <w:spacing w:val="20"/>
          <w:w w:val="95"/>
        </w:rPr>
      </w:r>
      <w:r>
        <w:rPr>
          <w:rFonts w:ascii="宋体" w:hAnsi="宋体" w:cs="宋体" w:eastAsia="宋体" w:hint="default"/>
          <w:b w:val="0"/>
          <w:bCs w:val="0"/>
        </w:rPr>
        <w:t>无。</w:t>
      </w:r>
    </w:p>
    <w:p>
      <w:pPr>
        <w:pStyle w:val="Heading3"/>
        <w:spacing w:line="240" w:lineRule="auto" w:before="90"/>
        <w:ind w:right="0"/>
        <w:jc w:val="left"/>
        <w:rPr>
          <w:b w:val="0"/>
          <w:bCs w:val="0"/>
        </w:rPr>
      </w:pPr>
      <w:bookmarkStart w:name="7、其他流动资产" w:id="243"/>
      <w:bookmarkEnd w:id="243"/>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多缴纳的所得税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26,641.58</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1,349,231.61</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1,349,231.61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26,641.58</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8、长期股权投资" w:id="244"/>
      <w:bookmarkEnd w:id="244"/>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426"/>
        <w:gridCol w:w="426"/>
        <w:gridCol w:w="850"/>
        <w:gridCol w:w="1134"/>
        <w:gridCol w:w="566"/>
        <w:gridCol w:w="852"/>
        <w:gridCol w:w="708"/>
        <w:gridCol w:w="426"/>
        <w:gridCol w:w="1134"/>
        <w:gridCol w:w="641"/>
      </w:tblGrid>
      <w:tr>
        <w:trPr>
          <w:trHeight w:val="323"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8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37"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79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7" w:right="2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7" w:right="2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59" w:right="58"/>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91" w:right="110"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98" w:right="96"/>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61"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7" w:right="7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55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1"/>
              <w:jc w:val="left"/>
              <w:rPr>
                <w:rFonts w:ascii="宋体" w:hAnsi="宋体" w:cs="宋体" w:eastAsia="宋体" w:hint="default"/>
                <w:sz w:val="18"/>
                <w:szCs w:val="18"/>
              </w:rPr>
            </w:pPr>
            <w:r>
              <w:rPr>
                <w:rFonts w:ascii="宋体" w:hAnsi="宋体" w:cs="宋体" w:eastAsia="宋体" w:hint="default"/>
                <w:sz w:val="18"/>
                <w:szCs w:val="18"/>
              </w:rPr>
              <w:t>北京纹歌科技 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2,140,665.95</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2,141,542.81</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2,141,542.81</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2,140,665.95</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876.86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2,141,542.81</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2,141,542.81</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276"/>
        <w:gridCol w:w="1134"/>
        <w:gridCol w:w="426"/>
        <w:gridCol w:w="426"/>
        <w:gridCol w:w="850"/>
        <w:gridCol w:w="1134"/>
        <w:gridCol w:w="566"/>
        <w:gridCol w:w="852"/>
        <w:gridCol w:w="708"/>
        <w:gridCol w:w="426"/>
        <w:gridCol w:w="1134"/>
        <w:gridCol w:w="641"/>
      </w:tblGrid>
      <w:tr>
        <w:trPr>
          <w:trHeight w:val="32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7" w:right="0"/>
              <w:jc w:val="left"/>
              <w:rPr>
                <w:rFonts w:ascii="Times New Roman" w:hAnsi="Times New Roman" w:cs="Times New Roman" w:eastAsia="Times New Roman" w:hint="default"/>
                <w:sz w:val="18"/>
                <w:szCs w:val="18"/>
              </w:rPr>
            </w:pPr>
            <w:r>
              <w:rPr>
                <w:rFonts w:ascii="Times New Roman"/>
                <w:sz w:val="18"/>
              </w:rPr>
              <w:t>2,140,665.95</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2" w:right="0"/>
              <w:jc w:val="left"/>
              <w:rPr>
                <w:rFonts w:ascii="Times New Roman" w:hAnsi="Times New Roman" w:cs="Times New Roman" w:eastAsia="Times New Roman" w:hint="default"/>
                <w:sz w:val="18"/>
                <w:szCs w:val="18"/>
              </w:rPr>
            </w:pPr>
            <w:r>
              <w:rPr>
                <w:rFonts w:ascii="Times New Roman"/>
                <w:sz w:val="18"/>
              </w:rPr>
              <w:t>876.86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5" w:right="0"/>
              <w:jc w:val="left"/>
              <w:rPr>
                <w:rFonts w:ascii="Times New Roman" w:hAnsi="Times New Roman" w:cs="Times New Roman" w:eastAsia="Times New Roman" w:hint="default"/>
                <w:sz w:val="18"/>
                <w:szCs w:val="18"/>
              </w:rPr>
            </w:pPr>
            <w:r>
              <w:rPr>
                <w:rFonts w:ascii="Times New Roman"/>
                <w:sz w:val="18"/>
              </w:rPr>
              <w:t>2,141,542.81</w:t>
            </w: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 w:right="0"/>
              <w:jc w:val="left"/>
              <w:rPr>
                <w:rFonts w:ascii="Times New Roman" w:hAnsi="Times New Roman" w:cs="Times New Roman" w:eastAsia="Times New Roman" w:hint="default"/>
                <w:sz w:val="18"/>
                <w:szCs w:val="18"/>
              </w:rPr>
            </w:pPr>
            <w:r>
              <w:rPr>
                <w:rFonts w:ascii="Times New Roman"/>
                <w:sz w:val="18"/>
              </w:rPr>
              <w:t>2,141,542.81</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9、投资性房地产" w:id="245"/>
      <w:bookmarkEnd w:id="245"/>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采用成本计量模式的投资性房地产" w:id="246"/>
      <w:bookmarkEnd w:id="24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18"/>
          <w:szCs w:val="18"/>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268"/>
        <w:gridCol w:w="1844"/>
        <w:gridCol w:w="1843"/>
        <w:gridCol w:w="1844"/>
        <w:gridCol w:w="1772"/>
      </w:tblGrid>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2,320,886.28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2,320,886.28</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22" w:right="6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建工程转入</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2,320,886.28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2,320,886.28</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2,320,886.28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2,320,886.28</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4"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289,969.45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289,969.45</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106,118.18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106,118.18</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183,851.27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183,851.27</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289,969.45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289,969.45</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2,030,916.83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2,030,916.83</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采用公允价值计量模式的投资性房地产" w:id="247"/>
      <w:bookmarkEnd w:id="24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472" w:lineRule="auto" w:before="35"/>
        <w:ind w:left="1133" w:right="6853"/>
        <w:jc w:val="left"/>
        <w:rPr>
          <w:rFonts w:ascii="宋体" w:hAnsi="宋体" w:cs="宋体" w:eastAsia="宋体" w:hint="default"/>
          <w:b w:val="0"/>
          <w:bCs w:val="0"/>
        </w:rPr>
      </w:pPr>
      <w:bookmarkStart w:name="（3）未办妥产权证书的投资性房地产情况" w:id="248"/>
      <w:bookmarkEnd w:id="248"/>
      <w:r>
        <w:rPr>
          <w:b w:val="0"/>
          <w:bCs w:val="0"/>
        </w:rPr>
      </w:r>
      <w:r>
        <w:rPr/>
        <w:t>（</w:t>
      </w:r>
      <w:r>
        <w:rPr>
          <w:rFonts w:ascii="Times New Roman" w:hAnsi="Times New Roman" w:cs="Times New Roman" w:eastAsia="Times New Roman" w:hint="default"/>
        </w:rPr>
        <w:t>3</w:t>
      </w:r>
      <w:r>
        <w:rPr/>
        <w:t>）未办妥产权证书的投资性房地产情况</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10、固定资产" w:id="249"/>
      <w:bookmarkEnd w:id="249"/>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固定资产情况" w:id="250"/>
      <w:bookmarkEnd w:id="25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703" w:type="dxa"/>
        <w:tblLayout w:type="fixed"/>
        <w:tblCellMar>
          <w:top w:w="0" w:type="dxa"/>
          <w:left w:w="0" w:type="dxa"/>
          <w:bottom w:w="0" w:type="dxa"/>
          <w:right w:w="0" w:type="dxa"/>
        </w:tblCellMar>
        <w:tblLook w:val="01E0"/>
      </w:tblPr>
      <w:tblGrid>
        <w:gridCol w:w="1986"/>
        <w:gridCol w:w="1276"/>
        <w:gridCol w:w="1134"/>
        <w:gridCol w:w="1134"/>
        <w:gridCol w:w="1276"/>
        <w:gridCol w:w="1134"/>
        <w:gridCol w:w="1134"/>
        <w:gridCol w:w="1276"/>
      </w:tblGrid>
      <w:tr>
        <w:trPr>
          <w:trHeight w:val="557"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7"/>
              <w:ind w:left="9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left="471" w:right="111" w:hanging="360"/>
              <w:jc w:val="left"/>
              <w:rPr>
                <w:rFonts w:ascii="宋体" w:hAnsi="宋体" w:cs="宋体" w:eastAsia="宋体" w:hint="default"/>
                <w:sz w:val="18"/>
                <w:szCs w:val="18"/>
              </w:rPr>
            </w:pPr>
            <w:r>
              <w:rPr>
                <w:rFonts w:ascii="宋体" w:hAnsi="宋体" w:cs="宋体" w:eastAsia="宋体" w:hint="default"/>
                <w:sz w:val="18"/>
                <w:szCs w:val="18"/>
              </w:rPr>
              <w:t>固定资产装 修</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3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Times New Roman" w:hAnsi="Times New Roman" w:cs="Times New Roman" w:eastAsia="Times New Roman" w:hint="default"/>
                <w:sz w:val="18"/>
                <w:szCs w:val="18"/>
              </w:rPr>
            </w:pPr>
            <w:r>
              <w:rPr>
                <w:rFonts w:ascii="Times New Roman"/>
                <w:sz w:val="18"/>
              </w:rPr>
              <w:t>205,832,612.14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8,573,239.21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192,209,823.18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12,033,274.56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3,753,677.90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422,402,626.99</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24,476,480.29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4,884,953.07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98,773,871.10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5,556,493.84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3,258,086.44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136,949,884.74</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1,337,716.56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80,414,041.64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1,022,183.27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1,191,883.12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83,965,824.59</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5,754,407.39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3,406,506.03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9,160,913.42</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18,722,072.90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3,547,236.51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14,953,323.43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4,534,310.57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2,066,203.32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43,823,146.73</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76,923.08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4,795,284.31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27,246.67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4,899,454.06</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76,923.08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87,472.38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27,246.67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191,642.13</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4,707,811.93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4,707,811.93</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Times New Roman" w:hAnsi="Times New Roman" w:cs="Times New Roman" w:eastAsia="Times New Roman" w:hint="default"/>
                <w:sz w:val="18"/>
                <w:szCs w:val="18"/>
              </w:rPr>
            </w:pPr>
            <w:r>
              <w:rPr>
                <w:rFonts w:ascii="Times New Roman"/>
                <w:sz w:val="18"/>
              </w:rPr>
              <w:t>230,309,092.43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8,573,239.21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4,808,029.99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286,188,409.97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17,589,768.40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6,984,517.67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554,453,057.67</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5,731,597.93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3,458,779.31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73,999,024.93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2,860,353.49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1,440,558.17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87,490,313.83</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5,363,683.11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814,457.72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2,342,916.32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40,983,849.64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4,031,038.94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3,157,825.90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56,693,771.63</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5,191,475.90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814,457.72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474,165.69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36,575,661.85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1,790,054.21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1,069,662.24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45,915,477.61</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6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172,207.21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1,868,750.63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4,408,187.79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2,240,984.73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2,088,163.66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10,778,294.02</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1,217.94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1,631,712.29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25,425.13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1,658,355.36</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1,217.94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81,271.44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25,425.13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107,914.51</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1,550,440.85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1,550,440.85</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11,095,281.04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4,273,237.03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2,341,698.38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113,351,162.28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6,891,392.43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4,572,958.93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142,525,730.10</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14,948.11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35,066.63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224.36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50,239.10</w:t>
            </w: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14,948.11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35,066.63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224.36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50,239.10</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Times New Roman" w:hAnsi="Times New Roman" w:cs="Times New Roman" w:eastAsia="Times New Roman" w:hint="default"/>
                <w:sz w:val="18"/>
                <w:szCs w:val="18"/>
              </w:rPr>
            </w:pPr>
            <w:r>
              <w:rPr>
                <w:rFonts w:ascii="Times New Roman"/>
                <w:sz w:val="18"/>
              </w:rPr>
              <w:t>219,213,811.39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4,300,002.18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2,466,331.61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172,822,299.47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10,663,309.44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2,411,334.39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411,877,088.48</w:t>
            </w:r>
          </w:p>
        </w:tc>
      </w:tr>
      <w:tr>
        <w:trPr>
          <w:trHeight w:val="324"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 w:right="0"/>
              <w:jc w:val="left"/>
              <w:rPr>
                <w:rFonts w:ascii="Times New Roman" w:hAnsi="Times New Roman" w:cs="Times New Roman" w:eastAsia="Times New Roman" w:hint="default"/>
                <w:sz w:val="18"/>
                <w:szCs w:val="18"/>
              </w:rPr>
            </w:pPr>
            <w:r>
              <w:rPr>
                <w:rFonts w:ascii="Times New Roman"/>
                <w:sz w:val="18"/>
              </w:rPr>
              <w:t>200,101,014.21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5,114,459.90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118,195,850.13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9,137,854.44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2,312,895.37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334,862,074.06</w:t>
            </w:r>
          </w:p>
        </w:tc>
      </w:tr>
    </w:tbl>
    <w:p>
      <w:pPr>
        <w:spacing w:line="240" w:lineRule="auto" w:before="7"/>
        <w:rPr>
          <w:rFonts w:ascii="宋体" w:hAnsi="宋体" w:cs="宋体" w:eastAsia="宋体" w:hint="default"/>
          <w:sz w:val="17"/>
          <w:szCs w:val="17"/>
        </w:rPr>
      </w:pPr>
    </w:p>
    <w:p>
      <w:pPr>
        <w:pStyle w:val="Heading3"/>
        <w:spacing w:line="475" w:lineRule="auto" w:before="35"/>
        <w:ind w:right="7906"/>
        <w:jc w:val="left"/>
        <w:rPr>
          <w:rFonts w:ascii="宋体" w:hAnsi="宋体" w:cs="宋体" w:eastAsia="宋体" w:hint="default"/>
          <w:b w:val="0"/>
          <w:bCs w:val="0"/>
        </w:rPr>
      </w:pPr>
      <w:bookmarkStart w:name="（2）暂时闲置的固定资产情况" w:id="251"/>
      <w:bookmarkEnd w:id="251"/>
      <w:r>
        <w:rPr>
          <w:b w:val="0"/>
          <w:bCs w:val="0"/>
        </w:rPr>
      </w:r>
      <w:r>
        <w:rPr/>
        <w:t>（</w:t>
      </w:r>
      <w:r>
        <w:rPr>
          <w:rFonts w:ascii="Times New Roman" w:hAnsi="Times New Roman" w:cs="Times New Roman" w:eastAsia="Times New Roman" w:hint="default"/>
        </w:rPr>
        <w:t>2</w:t>
      </w:r>
      <w:r>
        <w:rPr/>
        <w:t>）暂时闲置的固定资产情况</w:t>
      </w:r>
      <w:r>
        <w:rPr>
          <w:w w:val="99"/>
        </w:rPr>
        <w:t> </w:t>
      </w:r>
      <w:r>
        <w:rPr>
          <w:rFonts w:ascii="宋体" w:hAnsi="宋体" w:cs="宋体" w:eastAsia="宋体" w:hint="default"/>
          <w:b w:val="0"/>
          <w:bCs w:val="0"/>
        </w:rPr>
        <w:t>无。</w:t>
      </w:r>
    </w:p>
    <w:p>
      <w:pPr>
        <w:spacing w:after="0" w:line="475" w:lineRule="auto"/>
        <w:jc w:val="left"/>
        <w:rPr>
          <w:rFonts w:ascii="宋体" w:hAnsi="宋体" w:cs="宋体" w:eastAsia="宋体" w:hint="default"/>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3"/>
        <w:spacing w:line="475" w:lineRule="auto" w:before="35"/>
        <w:ind w:left="1133" w:right="7064"/>
        <w:jc w:val="left"/>
        <w:rPr>
          <w:rFonts w:ascii="宋体" w:hAnsi="宋体" w:cs="宋体" w:eastAsia="宋体" w:hint="default"/>
          <w:b w:val="0"/>
          <w:bCs w:val="0"/>
        </w:rPr>
      </w:pPr>
      <w:bookmarkStart w:name="（3）通过融资租赁租入的固定资产情况" w:id="252"/>
      <w:bookmarkEnd w:id="252"/>
      <w:r>
        <w:rPr>
          <w:b w:val="0"/>
          <w:bCs w:val="0"/>
        </w:rPr>
      </w:r>
      <w:r>
        <w:rPr/>
        <w:t>（</w:t>
      </w:r>
      <w:r>
        <w:rPr>
          <w:rFonts w:ascii="Times New Roman" w:hAnsi="Times New Roman" w:cs="Times New Roman" w:eastAsia="Times New Roman" w:hint="default"/>
        </w:rPr>
        <w:t>3</w:t>
      </w:r>
      <w:r>
        <w:rPr/>
        <w:t>）通过融资租赁租入的固定资产情况</w:t>
      </w:r>
      <w:r>
        <w:rPr>
          <w:w w:val="99"/>
        </w:rPr>
        <w:t> </w:t>
      </w:r>
      <w:r>
        <w:rPr>
          <w:rFonts w:ascii="宋体" w:hAnsi="宋体" w:cs="宋体" w:eastAsia="宋体" w:hint="default"/>
          <w:b w:val="0"/>
          <w:bCs w:val="0"/>
        </w:rPr>
        <w:t>无。</w:t>
      </w:r>
    </w:p>
    <w:p>
      <w:pPr>
        <w:pStyle w:val="Heading3"/>
        <w:spacing w:line="475" w:lineRule="auto" w:before="90"/>
        <w:ind w:right="7485"/>
        <w:jc w:val="left"/>
        <w:rPr>
          <w:rFonts w:ascii="宋体" w:hAnsi="宋体" w:cs="宋体" w:eastAsia="宋体" w:hint="default"/>
          <w:b w:val="0"/>
          <w:bCs w:val="0"/>
        </w:rPr>
      </w:pPr>
      <w:bookmarkStart w:name="（4）通过经营租赁租出的固定资产" w:id="253"/>
      <w:bookmarkEnd w:id="253"/>
      <w:r>
        <w:rPr>
          <w:b w:val="0"/>
          <w:bCs w:val="0"/>
        </w:rPr>
      </w:r>
      <w:r>
        <w:rPr/>
        <w:t>（</w:t>
      </w:r>
      <w:r>
        <w:rPr>
          <w:rFonts w:ascii="Times New Roman" w:hAnsi="Times New Roman" w:cs="Times New Roman" w:eastAsia="Times New Roman" w:hint="default"/>
        </w:rPr>
        <w:t>4</w:t>
      </w:r>
      <w:r>
        <w:rPr/>
        <w:t>）通过经营租赁租出的固定资产</w:t>
      </w:r>
      <w:r>
        <w:rPr>
          <w:w w:val="99"/>
        </w:rPr>
        <w:t> </w:t>
      </w:r>
      <w:r>
        <w:rPr>
          <w:rFonts w:ascii="宋体" w:hAnsi="宋体" w:cs="宋体" w:eastAsia="宋体" w:hint="default"/>
          <w:b w:val="0"/>
          <w:bCs w:val="0"/>
        </w:rPr>
        <w:t>无。</w:t>
      </w:r>
    </w:p>
    <w:p>
      <w:pPr>
        <w:pStyle w:val="Heading3"/>
        <w:spacing w:line="475" w:lineRule="auto" w:before="90"/>
        <w:ind w:right="7274"/>
        <w:jc w:val="left"/>
        <w:rPr>
          <w:rFonts w:ascii="宋体" w:hAnsi="宋体" w:cs="宋体" w:eastAsia="宋体" w:hint="default"/>
          <w:b w:val="0"/>
          <w:bCs w:val="0"/>
        </w:rPr>
      </w:pPr>
      <w:bookmarkStart w:name="（5）未办妥产权证书的固定资产情况" w:id="254"/>
      <w:bookmarkEnd w:id="254"/>
      <w:r>
        <w:rPr>
          <w:b w:val="0"/>
          <w:bCs w:val="0"/>
        </w:rPr>
      </w:r>
      <w:r>
        <w:rPr/>
        <w:t>（</w:t>
      </w:r>
      <w:r>
        <w:rPr>
          <w:rFonts w:ascii="Times New Roman" w:hAnsi="Times New Roman" w:cs="Times New Roman" w:eastAsia="Times New Roman" w:hint="default"/>
        </w:rPr>
        <w:t>5</w:t>
      </w:r>
      <w:r>
        <w:rPr/>
        <w:t>）未办妥产权证书的固定资产情况</w:t>
      </w:r>
      <w:r>
        <w:rPr>
          <w:w w:val="99"/>
        </w:rPr>
        <w:t> </w:t>
      </w:r>
      <w:r>
        <w:rPr>
          <w:rFonts w:ascii="宋体" w:hAnsi="宋体" w:cs="宋体" w:eastAsia="宋体" w:hint="default"/>
          <w:b w:val="0"/>
          <w:bCs w:val="0"/>
        </w:rPr>
        <w:t>无。</w:t>
      </w:r>
    </w:p>
    <w:p>
      <w:pPr>
        <w:spacing w:before="116"/>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31" w:lineRule="auto" w:before="143"/>
        <w:ind w:left="1134" w:right="1115" w:firstLine="420"/>
        <w:jc w:val="left"/>
      </w:pPr>
      <w:r>
        <w:rPr/>
        <w:t>期末用于抵押的固定资产账面原值为 </w:t>
      </w:r>
      <w:r>
        <w:rPr>
          <w:rFonts w:ascii="Times New Roman" w:hAnsi="Times New Roman" w:cs="Times New Roman" w:eastAsia="Times New Roman" w:hint="default"/>
        </w:rPr>
        <w:t>172,539,549.74</w:t>
      </w:r>
      <w:r>
        <w:rPr>
          <w:rFonts w:ascii="Times New Roman" w:hAnsi="Times New Roman" w:cs="Times New Roman" w:eastAsia="Times New Roman" w:hint="default"/>
          <w:spacing w:val="-23"/>
        </w:rPr>
        <w:t> </w:t>
      </w:r>
      <w:r>
        <w:rPr/>
        <w:t>元，抵押资产明细详见注释元，抵押资产明细详 见注释</w:t>
      </w:r>
      <w:r>
        <w:rPr>
          <w:spacing w:val="-54"/>
        </w:rPr>
        <w:t> </w:t>
      </w:r>
      <w:r>
        <w:rPr>
          <w:rFonts w:ascii="Times New Roman" w:hAnsi="Times New Roman" w:cs="Times New Roman" w:eastAsia="Times New Roman" w:hint="default"/>
        </w:rPr>
        <w:t>27.</w:t>
      </w:r>
      <w:r>
        <w:rPr/>
        <w:t>长期借款。</w:t>
      </w:r>
    </w:p>
    <w:p>
      <w:pPr>
        <w:spacing w:line="240" w:lineRule="auto" w:before="1"/>
        <w:rPr>
          <w:rFonts w:ascii="宋体" w:hAnsi="宋体" w:cs="宋体" w:eastAsia="宋体" w:hint="default"/>
          <w:sz w:val="16"/>
          <w:szCs w:val="16"/>
        </w:rPr>
      </w:pPr>
    </w:p>
    <w:p>
      <w:pPr>
        <w:pStyle w:val="Heading3"/>
        <w:spacing w:line="240" w:lineRule="auto"/>
        <w:ind w:right="0"/>
        <w:jc w:val="left"/>
        <w:rPr>
          <w:b w:val="0"/>
          <w:bCs w:val="0"/>
        </w:rPr>
      </w:pPr>
      <w:bookmarkStart w:name="11、在建工程" w:id="255"/>
      <w:bookmarkEnd w:id="255"/>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在建工程情况" w:id="256"/>
      <w:bookmarkEnd w:id="25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694"/>
        <w:gridCol w:w="1418"/>
        <w:gridCol w:w="992"/>
        <w:gridCol w:w="1276"/>
        <w:gridCol w:w="1134"/>
        <w:gridCol w:w="992"/>
        <w:gridCol w:w="1066"/>
      </w:tblGrid>
      <w:tr>
        <w:trPr>
          <w:trHeight w:val="323"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高唐基地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6,186,271.69</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6,186,271.69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213,087.49</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213,087.49</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蓝盾信息安全产业基地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182,531,522.95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182,531,522.95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7,406,826.15</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7,406,826.15</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79"/>
              <w:jc w:val="left"/>
              <w:rPr>
                <w:rFonts w:ascii="宋体" w:hAnsi="宋体" w:cs="宋体" w:eastAsia="宋体" w:hint="default"/>
                <w:sz w:val="18"/>
                <w:szCs w:val="18"/>
              </w:rPr>
            </w:pPr>
            <w:r>
              <w:rPr>
                <w:rFonts w:ascii="宋体" w:hAnsi="宋体" w:cs="宋体" w:eastAsia="宋体" w:hint="default"/>
                <w:sz w:val="18"/>
                <w:szCs w:val="18"/>
              </w:rPr>
              <w:t>江西建设工程</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厂房、 办公楼、研发楼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5,482,502.67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5,482,502.67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水电工程</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194,200,297.31</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194,200,297.31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7,619,913.64</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7,619,913.64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4"/>
        <w:rPr>
          <w:rFonts w:ascii="宋体" w:hAnsi="宋体" w:cs="宋体" w:eastAsia="宋体" w:hint="default"/>
          <w:sz w:val="22"/>
          <w:szCs w:val="22"/>
        </w:rPr>
      </w:pPr>
    </w:p>
    <w:p>
      <w:pPr>
        <w:pStyle w:val="Heading3"/>
        <w:spacing w:line="240" w:lineRule="auto"/>
        <w:ind w:left="140" w:right="0"/>
        <w:jc w:val="left"/>
        <w:rPr>
          <w:b w:val="0"/>
          <w:bCs w:val="0"/>
        </w:rPr>
      </w:pPr>
      <w:r>
        <w:rPr/>
        <w:pict>
          <v:group style="position:absolute;margin-left:70.5pt;margin-top:.683667pt;width:701pt;height:.1pt;mso-position-horizontal-relative:page;mso-position-vertical-relative:paragraph;z-index:-858448" coordorigin="1410,14" coordsize="14020,2">
            <v:shape style="position:absolute;left:1410;top:14;width:14020;height:2" coordorigin="1410,14" coordsize="14020,0" path="m1410,14l15430,14e" filled="false" stroked="true" strokeweight=".72pt" strokecolor="#000000">
              <v:path arrowok="t"/>
            </v:shape>
            <w10:wrap type="none"/>
          </v:group>
        </w:pict>
      </w:r>
      <w:bookmarkStart w:name="（2）重要在建工程项目本期变动情况" w:id="257"/>
      <w:bookmarkEnd w:id="257"/>
      <w:r>
        <w:rPr>
          <w:b w:val="0"/>
          <w:bCs w:val="0"/>
        </w:rPr>
      </w:r>
      <w:r>
        <w:rPr>
          <w:w w:val="95"/>
        </w:rPr>
        <w:t>（</w:t>
      </w:r>
      <w:r>
        <w:rPr>
          <w:rFonts w:ascii="Times New Roman" w:hAnsi="Times New Roman" w:cs="Times New Roman" w:eastAsia="Times New Roman" w:hint="default"/>
          <w:w w:val="95"/>
        </w:rPr>
        <w:t>2</w:t>
      </w:r>
      <w:r>
        <w:rPr>
          <w:w w:val="95"/>
        </w:rPr>
        <w:t>）重要在建工程项目本期变动情况</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34"/>
          <w:footerReference w:type="default" r:id="rId35"/>
          <w:pgSz w:w="16840" w:h="11910" w:orient="landscape"/>
          <w:pgMar w:header="0" w:footer="0" w:top="800" w:bottom="0" w:left="1300" w:right="0"/>
          <w:cols w:num="2" w:equalWidth="0">
            <w:col w:w="3616" w:space="6473"/>
            <w:col w:w="5451"/>
          </w:cols>
        </w:sectPr>
      </w:pPr>
    </w:p>
    <w:p>
      <w:pPr>
        <w:spacing w:line="240" w:lineRule="auto" w:before="8"/>
        <w:rPr>
          <w:rFonts w:ascii="宋体" w:hAnsi="宋体" w:cs="宋体" w:eastAsia="宋体" w:hint="default"/>
          <w:sz w:val="18"/>
          <w:szCs w:val="18"/>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419"/>
        <w:gridCol w:w="137"/>
        <w:gridCol w:w="1138"/>
        <w:gridCol w:w="1134"/>
        <w:gridCol w:w="1276"/>
        <w:gridCol w:w="1134"/>
        <w:gridCol w:w="1134"/>
        <w:gridCol w:w="1276"/>
        <w:gridCol w:w="709"/>
        <w:gridCol w:w="709"/>
        <w:gridCol w:w="1134"/>
        <w:gridCol w:w="1134"/>
        <w:gridCol w:w="708"/>
        <w:gridCol w:w="992"/>
      </w:tblGrid>
      <w:tr>
        <w:trPr>
          <w:trHeight w:val="102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111" w:right="110"/>
              <w:jc w:val="left"/>
              <w:rPr>
                <w:rFonts w:ascii="宋体" w:hAnsi="宋体" w:cs="宋体" w:eastAsia="宋体" w:hint="default"/>
                <w:sz w:val="18"/>
                <w:szCs w:val="18"/>
              </w:rPr>
            </w:pPr>
            <w:r>
              <w:rPr>
                <w:rFonts w:ascii="宋体" w:hAnsi="宋体" w:cs="宋体" w:eastAsia="宋体" w:hint="default"/>
                <w:sz w:val="18"/>
                <w:szCs w:val="18"/>
              </w:rPr>
              <w:t>本期转入固 定资产金额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本期其他减 少金额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1"/>
              <w:ind w:left="79" w:right="78"/>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59" w:right="7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0"/>
                <w:szCs w:val="20"/>
              </w:rPr>
            </w:pPr>
          </w:p>
          <w:p>
            <w:pPr>
              <w:pStyle w:val="TableParagraph"/>
              <w:spacing w:line="232" w:lineRule="exact"/>
              <w:ind w:left="201" w:right="110"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22" w:right="21"/>
              <w:jc w:val="center"/>
              <w:rPr>
                <w:rFonts w:ascii="宋体" w:hAnsi="宋体" w:cs="宋体" w:eastAsia="宋体" w:hint="default"/>
                <w:sz w:val="18"/>
                <w:szCs w:val="18"/>
              </w:rPr>
            </w:pPr>
            <w:r>
              <w:rPr>
                <w:rFonts w:ascii="宋体" w:hAnsi="宋体" w:cs="宋体" w:eastAsia="宋体" w:hint="default"/>
                <w:sz w:val="18"/>
                <w:szCs w:val="18"/>
              </w:rPr>
              <w:t>其中：本期利 息资本化金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77" w:right="78"/>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3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102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64"/>
              <w:jc w:val="left"/>
              <w:rPr>
                <w:rFonts w:ascii="宋体" w:hAnsi="宋体" w:cs="宋体" w:eastAsia="宋体" w:hint="default"/>
                <w:sz w:val="18"/>
                <w:szCs w:val="18"/>
              </w:rPr>
            </w:pPr>
            <w:r>
              <w:rPr>
                <w:rFonts w:ascii="宋体" w:hAnsi="宋体" w:cs="宋体" w:eastAsia="宋体" w:hint="default"/>
                <w:sz w:val="18"/>
                <w:szCs w:val="18"/>
              </w:rPr>
              <w:t>蓝盾信息安全产 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高唐基地</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176,987,700.00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213,087.49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5,973,184.20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6,186,271.69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98.07%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8,533,276.44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59"/>
              <w:jc w:val="both"/>
              <w:rPr>
                <w:rFonts w:ascii="宋体" w:hAnsi="宋体" w:cs="宋体" w:eastAsia="宋体" w:hint="default"/>
                <w:sz w:val="18"/>
                <w:szCs w:val="18"/>
              </w:rPr>
            </w:pPr>
            <w:r>
              <w:rPr>
                <w:rFonts w:ascii="宋体" w:hAnsi="宋体" w:cs="宋体" w:eastAsia="宋体" w:hint="default"/>
                <w:sz w:val="18"/>
                <w:szCs w:val="18"/>
              </w:rPr>
              <w:t>募投资金、 金融机构贷 款和自筹资 金</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64"/>
              <w:jc w:val="left"/>
              <w:rPr>
                <w:rFonts w:ascii="宋体" w:hAnsi="宋体" w:cs="宋体" w:eastAsia="宋体" w:hint="default"/>
                <w:sz w:val="18"/>
                <w:szCs w:val="18"/>
              </w:rPr>
            </w:pPr>
            <w:r>
              <w:rPr>
                <w:rFonts w:ascii="宋体" w:hAnsi="宋体" w:cs="宋体" w:eastAsia="宋体" w:hint="default"/>
                <w:sz w:val="18"/>
                <w:szCs w:val="18"/>
              </w:rPr>
              <w:t>蓝盾信息安全产 业基地</w:t>
            </w:r>
            <w:r>
              <w:rPr>
                <w:rFonts w:ascii="Times New Roman" w:hAnsi="Times New Roman" w:cs="Times New Roman" w:eastAsia="Times New Roman" w:hint="default"/>
                <w:sz w:val="18"/>
                <w:szCs w:val="18"/>
              </w:rPr>
              <w:t>-</w:t>
            </w:r>
            <w:r>
              <w:rPr>
                <w:rFonts w:ascii="宋体" w:hAnsi="宋体" w:cs="宋体" w:eastAsia="宋体" w:hint="default"/>
                <w:sz w:val="18"/>
                <w:szCs w:val="18"/>
              </w:rPr>
              <w:t>萝岗基地</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309,212,100.00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7,406,826.15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175,124,696.80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182,531,522.95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6,163,392.56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6,163,392.56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4"/>
              <w:jc w:val="left"/>
              <w:rPr>
                <w:rFonts w:ascii="宋体" w:hAnsi="宋体" w:cs="宋体" w:eastAsia="宋体" w:hint="default"/>
                <w:sz w:val="18"/>
                <w:szCs w:val="18"/>
              </w:rPr>
            </w:pPr>
            <w:r>
              <w:rPr>
                <w:rFonts w:ascii="宋体" w:hAnsi="宋体" w:cs="宋体" w:eastAsia="宋体" w:hint="default"/>
                <w:sz w:val="18"/>
                <w:szCs w:val="18"/>
              </w:rPr>
              <w:t>固定资产改良支 出</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3,775,700.00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3,775,756.81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3,775,756.81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79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江西建设工程</w:t>
            </w:r>
          </w:p>
          <w:p>
            <w:pPr>
              <w:pStyle w:val="TableParagraph"/>
              <w:spacing w:line="234" w:lineRule="exact" w:before="22"/>
              <w:ind w:left="22" w:right="1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厂房</w:t>
            </w:r>
            <w:r>
              <w:rPr>
                <w:rFonts w:ascii="宋体" w:hAnsi="宋体" w:cs="宋体" w:eastAsia="宋体" w:hint="default"/>
                <w:spacing w:val="-83"/>
                <w:sz w:val="18"/>
                <w:szCs w:val="18"/>
              </w:rPr>
              <w:t> </w:t>
            </w:r>
            <w:r>
              <w:rPr>
                <w:rFonts w:ascii="宋体" w:hAnsi="宋体" w:cs="宋体" w:eastAsia="宋体" w:hint="default"/>
                <w:sz w:val="18"/>
                <w:szCs w:val="18"/>
              </w:rPr>
              <w:t>办公楼、研发楼</w:t>
            </w:r>
          </w:p>
        </w:tc>
        <w:tc>
          <w:tcPr>
            <w:tcW w:w="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36,844,000.00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28,731,037.32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20,622,965.65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2,625,569.00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5,482,502.67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97.52%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32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水电工程</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Times New Roman" w:hAnsi="Times New Roman" w:cs="Times New Roman" w:eastAsia="Times New Roman" w:hint="default"/>
                <w:sz w:val="18"/>
                <w:szCs w:val="18"/>
              </w:rPr>
            </w:pPr>
            <w:r>
              <w:rPr>
                <w:rFonts w:ascii="Times New Roman"/>
                <w:sz w:val="18"/>
              </w:rPr>
              <w:t>1,580,000.00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1,576,460.64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1,576,460.64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99.78%</w:t>
            </w:r>
          </w:p>
        </w:tc>
        <w:tc>
          <w:tcPr>
            <w:tcW w:w="709"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32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8" w:right="0"/>
              <w:jc w:val="left"/>
              <w:rPr>
                <w:rFonts w:ascii="Times New Roman" w:hAnsi="Times New Roman" w:cs="Times New Roman" w:eastAsia="Times New Roman" w:hint="default"/>
                <w:sz w:val="18"/>
                <w:szCs w:val="18"/>
              </w:rPr>
            </w:pPr>
            <w:r>
              <w:rPr>
                <w:rFonts w:ascii="Times New Roman"/>
                <w:sz w:val="18"/>
              </w:rPr>
              <w:t>528,399,500.00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7,619,913.64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215,181,135.77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25,975,183.10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2,625,569.00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194,200,297.31</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14,696,669.00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6,163,392.56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before="10"/>
        <w:ind w:left="140" w:right="1424" w:firstLine="0"/>
        <w:jc w:val="left"/>
        <w:rPr>
          <w:rFonts w:ascii="宋体" w:hAnsi="宋体" w:cs="宋体" w:eastAsia="宋体" w:hint="default"/>
          <w:sz w:val="18"/>
          <w:szCs w:val="18"/>
        </w:rPr>
      </w:pPr>
      <w:r>
        <w:rPr/>
        <w:pict>
          <v:group style="position:absolute;margin-left:143.179993pt;margin-top:-60.118282pt;width:62.2pt;height:15.5pt;mso-position-horizontal-relative:page;mso-position-vertical-relative:paragraph;z-index:-858424" coordorigin="2864,-1202" coordsize="1244,310">
            <v:group style="position:absolute;left:2875;top:-1191;width:2;height:287" coordorigin="2875,-1191" coordsize="2,287">
              <v:shape style="position:absolute;left:2875;top:-1191;width:2;height:287" coordorigin="2875,-1191" coordsize="0,287" path="m2875,-1191l2875,-904e" filled="false" stroked="true" strokeweight="1.140pt" strokecolor="#ffffff">
                <v:path arrowok="t"/>
              </v:shape>
            </v:group>
            <v:group style="position:absolute;left:2886;top:-1191;width:1221;height:287" coordorigin="2886,-1191" coordsize="1221,287">
              <v:shape style="position:absolute;left:2886;top:-1191;width:1221;height:287" coordorigin="2886,-1191" coordsize="1221,287" path="m2886,-904l4107,-904,4107,-1191,2886,-1191,2886,-904xe" filled="true" fillcolor="#ffffff" stroked="false">
                <v:path arrowok="t"/>
                <v:fill type="solid"/>
              </v:shape>
            </v:group>
            <w10:wrap type="none"/>
          </v:group>
        </w:pict>
      </w:r>
      <w:r>
        <w:rPr>
          <w:rFonts w:ascii="宋体" w:hAnsi="宋体" w:cs="宋体" w:eastAsia="宋体" w:hint="default"/>
          <w:sz w:val="18"/>
          <w:szCs w:val="18"/>
        </w:rPr>
        <w:t>注：资金来源，一般包括募股资金、金融机构贷款和其他来源等。</w:t>
      </w:r>
    </w:p>
    <w:p>
      <w:pPr>
        <w:spacing w:line="240" w:lineRule="auto" w:before="4"/>
        <w:rPr>
          <w:rFonts w:ascii="宋体" w:hAnsi="宋体" w:cs="宋体" w:eastAsia="宋体" w:hint="default"/>
          <w:sz w:val="22"/>
          <w:szCs w:val="22"/>
        </w:rPr>
      </w:pPr>
    </w:p>
    <w:p>
      <w:pPr>
        <w:pStyle w:val="Heading3"/>
        <w:spacing w:line="472" w:lineRule="auto"/>
        <w:ind w:left="140" w:right="11778"/>
        <w:jc w:val="left"/>
        <w:rPr>
          <w:rFonts w:ascii="宋体" w:hAnsi="宋体" w:cs="宋体" w:eastAsia="宋体" w:hint="default"/>
          <w:b w:val="0"/>
          <w:bCs w:val="0"/>
        </w:rPr>
      </w:pPr>
      <w:bookmarkStart w:name="（3）本期计提在建工程减值准备情况" w:id="258"/>
      <w:bookmarkEnd w:id="258"/>
      <w:r>
        <w:rPr>
          <w:b w:val="0"/>
          <w:bCs w:val="0"/>
        </w:rPr>
      </w:r>
      <w:r>
        <w:rPr>
          <w:w w:val="95"/>
        </w:rPr>
        <w:t>（</w:t>
      </w:r>
      <w:r>
        <w:rPr>
          <w:rFonts w:ascii="Times New Roman" w:hAnsi="Times New Roman" w:cs="Times New Roman" w:eastAsia="Times New Roman" w:hint="default"/>
          <w:w w:val="95"/>
        </w:rPr>
        <w:t>3</w:t>
      </w:r>
      <w:r>
        <w:rPr>
          <w:w w:val="95"/>
        </w:rPr>
        <w:t>）本期计提在建工程减值准备情况</w:t>
      </w:r>
      <w:r>
        <w:rPr>
          <w:spacing w:val="69"/>
          <w:w w:val="95"/>
        </w:rPr>
        <w:t> </w:t>
      </w:r>
      <w:r>
        <w:rPr>
          <w:spacing w:val="69"/>
          <w:w w:val="95"/>
        </w:rPr>
      </w:r>
      <w:r>
        <w:rPr>
          <w:rFonts w:ascii="宋体" w:hAnsi="宋体" w:cs="宋体" w:eastAsia="宋体" w:hint="default"/>
          <w:b w:val="0"/>
          <w:bCs w:val="0"/>
        </w:rPr>
        <w:t>无。</w:t>
      </w:r>
    </w:p>
    <w:p>
      <w:pPr>
        <w:spacing w:line="240" w:lineRule="auto" w:before="9"/>
        <w:rPr>
          <w:rFonts w:ascii="宋体" w:hAnsi="宋体" w:cs="宋体" w:eastAsia="宋体" w:hint="default"/>
          <w:sz w:val="16"/>
          <w:szCs w:val="16"/>
        </w:rPr>
      </w:pPr>
    </w:p>
    <w:p>
      <w:pPr>
        <w:pStyle w:val="BodyText"/>
        <w:spacing w:line="240" w:lineRule="auto"/>
        <w:ind w:left="140" w:right="1424"/>
        <w:jc w:val="left"/>
      </w:pPr>
      <w:r>
        <w:rPr/>
        <w:t>其他说明：</w:t>
      </w:r>
    </w:p>
    <w:p>
      <w:pPr>
        <w:pStyle w:val="BodyText"/>
        <w:spacing w:line="362" w:lineRule="auto" w:before="164"/>
        <w:ind w:left="561" w:right="1424"/>
        <w:jc w:val="left"/>
      </w:pPr>
      <w:r>
        <w:rPr/>
        <w:t>蓝盾信息安全产业基地</w:t>
      </w:r>
      <w:r>
        <w:rPr>
          <w:rFonts w:ascii="Times New Roman" w:hAnsi="Times New Roman" w:cs="Times New Roman" w:eastAsia="Times New Roman" w:hint="default"/>
        </w:rPr>
        <w:t>-</w:t>
      </w:r>
      <w:r>
        <w:rPr/>
        <w:t>高唐基地余额为装修费</w:t>
      </w:r>
      <w:r>
        <w:rPr>
          <w:rFonts w:ascii="Times New Roman" w:hAnsi="Times New Roman" w:cs="Times New Roman" w:eastAsia="Times New Roman" w:hint="default"/>
        </w:rPr>
        <w:t>,</w:t>
      </w:r>
      <w:r>
        <w:rPr/>
        <w:t>装修工程尚未完成。 在建工程本期其他减少系全资子公司江西华炜电气技术有限公司处置防护器件自动化生产检测系统从在建工程转出</w:t>
      </w:r>
      <w:r>
        <w:rPr>
          <w:spacing w:val="-53"/>
        </w:rPr>
        <w:t> </w:t>
      </w:r>
      <w:r>
        <w:rPr>
          <w:rFonts w:ascii="Times New Roman" w:hAnsi="Times New Roman" w:cs="Times New Roman" w:eastAsia="Times New Roman" w:hint="default"/>
        </w:rPr>
        <w:t>2,398,000.00</w:t>
      </w:r>
      <w:r>
        <w:rPr>
          <w:rFonts w:ascii="Times New Roman" w:hAnsi="Times New Roman" w:cs="Times New Roman" w:eastAsia="Times New Roman" w:hint="default"/>
          <w:spacing w:val="-1"/>
        </w:rPr>
        <w:t> </w:t>
      </w:r>
      <w:r>
        <w:rPr>
          <w:spacing w:val="-7"/>
        </w:rPr>
        <w:t>元，厂区绿化项目转</w:t>
      </w:r>
    </w:p>
    <w:p>
      <w:pPr>
        <w:pStyle w:val="BodyText"/>
        <w:spacing w:line="282" w:lineRule="exact"/>
        <w:ind w:left="140" w:right="1424"/>
        <w:jc w:val="left"/>
      </w:pPr>
      <w:r>
        <w:rPr/>
        <w:t>入长期待摊费用</w:t>
      </w:r>
      <w:r>
        <w:rPr>
          <w:spacing w:val="-52"/>
        </w:rPr>
        <w:t> </w:t>
      </w:r>
      <w:r>
        <w:rPr>
          <w:rFonts w:ascii="Times New Roman" w:hAnsi="Times New Roman" w:cs="Times New Roman" w:eastAsia="Times New Roman" w:hint="default"/>
        </w:rPr>
        <w:t>227,569.00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436" w:firstLine="0"/>
        <w:jc w:val="right"/>
        <w:rPr>
          <w:rFonts w:ascii="Times New Roman" w:hAnsi="Times New Roman" w:cs="Times New Roman" w:eastAsia="Times New Roman" w:hint="default"/>
          <w:sz w:val="18"/>
          <w:szCs w:val="18"/>
        </w:rPr>
      </w:pPr>
      <w:r>
        <w:rPr/>
        <w:pict>
          <v:shape style="position:absolute;margin-left:201.919983pt;margin-top:18.122345pt;width:640pt;height:42pt;mso-position-horizontal-relative:page;mso-position-vertical-relative:paragraph;z-index:3592" type="#_x0000_t75" stroked="false">
            <v:imagedata r:id="rId17" o:title=""/>
          </v:shape>
        </w:pict>
      </w:r>
      <w:r>
        <w:rPr>
          <w:rFonts w:ascii="Times New Roman"/>
          <w:sz w:val="18"/>
        </w:rPr>
        <w:t>123</w:t>
      </w:r>
    </w:p>
    <w:p>
      <w:pPr>
        <w:spacing w:after="0"/>
        <w:jc w:val="right"/>
        <w:rPr>
          <w:rFonts w:ascii="Times New Roman" w:hAnsi="Times New Roman" w:cs="Times New Roman" w:eastAsia="Times New Roman" w:hint="default"/>
          <w:sz w:val="18"/>
          <w:szCs w:val="18"/>
        </w:rPr>
        <w:sectPr>
          <w:type w:val="continuous"/>
          <w:pgSz w:w="16840" w:h="11910" w:orient="landscape"/>
          <w:pgMar w:top="110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pStyle w:val="Heading3"/>
        <w:spacing w:line="240" w:lineRule="auto" w:before="35"/>
        <w:ind w:left="1133" w:right="0"/>
        <w:jc w:val="left"/>
        <w:rPr>
          <w:b w:val="0"/>
          <w:bCs w:val="0"/>
        </w:rPr>
      </w:pPr>
      <w:bookmarkStart w:name="12、无形资产" w:id="259"/>
      <w:bookmarkEnd w:id="259"/>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541"/>
        <w:gridCol w:w="1713"/>
        <w:gridCol w:w="1985"/>
        <w:gridCol w:w="1985"/>
        <w:gridCol w:w="1417"/>
      </w:tblGrid>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0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85"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软件著作权（投资）</w:t>
            </w:r>
          </w:p>
        </w:tc>
        <w:tc>
          <w:tcPr>
            <w:tcW w:w="19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76" w:right="0"/>
              <w:jc w:val="left"/>
              <w:rPr>
                <w:rFonts w:ascii="宋体" w:hAnsi="宋体" w:cs="宋体" w:eastAsia="宋体" w:hint="default"/>
                <w:sz w:val="18"/>
                <w:szCs w:val="18"/>
              </w:rPr>
            </w:pPr>
            <w:r>
              <w:rPr>
                <w:rFonts w:ascii="宋体" w:hAnsi="宋体" w:cs="宋体" w:eastAsia="宋体" w:hint="default"/>
                <w:sz w:val="18"/>
                <w:szCs w:val="18"/>
              </w:rPr>
              <w:t>软件著作权（外购）</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31,715,386.00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112,434,508.04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26,801,641.11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170,951,535.15</w:t>
            </w: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6,974,562.00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19,994,326.71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8,064,773.09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35,033,661.80</w:t>
            </w: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6,836,487.30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6,836,487.30</w:t>
            </w: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6,921,926.71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6,921,926.71</w:t>
            </w: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6,974,562.00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13,072,400.00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1,228,285.79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21,275,247.79</w:t>
            </w: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38,689,948.00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132,428,834.75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34,866,414.20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205,985,196.95</w:t>
            </w: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1,957,220.86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57,241,747.93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8,895,793.08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68,094,761.87</w:t>
            </w: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1,143,349.38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14,574,711.13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5,456,940.10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21,175,000.61</w:t>
            </w: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714,278.94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12,762,288.91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4,444,383.43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17,920,951.28</w:t>
            </w: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right="43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713" w:type="dxa"/>
            <w:tcBorders>
              <w:top w:val="single" w:sz="4" w:space="0" w:color="000000"/>
              <w:left w:val="single" w:sz="10" w:space="0" w:color="E0FFFF"/>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429,070.44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1,812,422.22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1,012,556.67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3,254,049.33</w:t>
            </w: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3,100,570.24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71,816,459.06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14,352,733.18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89,269,762.48</w:t>
            </w: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35,589,377.76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60,612,375.69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20,513,681.02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116,715,434.47</w:t>
            </w:r>
          </w:p>
        </w:tc>
      </w:tr>
      <w:tr>
        <w:trPr>
          <w:trHeight w:val="32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29,758,165.14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55,192,760.11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17,905,848.03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102,856,773.28</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3.37%</w:t>
      </w:r>
      <w:r>
        <w:rPr>
          <w:rFonts w:ascii="宋体" w:hAnsi="宋体" w:cs="宋体" w:eastAsia="宋体" w:hint="default"/>
          <w:sz w:val="18"/>
          <w:szCs w:val="18"/>
        </w:rPr>
        <w:t>。</w:t>
      </w:r>
    </w:p>
    <w:p>
      <w:pPr>
        <w:spacing w:line="240" w:lineRule="auto" w:before="4"/>
        <w:rPr>
          <w:rFonts w:ascii="宋体" w:hAnsi="宋体" w:cs="宋体" w:eastAsia="宋体" w:hint="default"/>
          <w:sz w:val="21"/>
          <w:szCs w:val="21"/>
        </w:rPr>
      </w:pPr>
    </w:p>
    <w:p>
      <w:pPr>
        <w:pStyle w:val="Heading3"/>
        <w:spacing w:line="240" w:lineRule="auto"/>
        <w:ind w:left="1133" w:right="0"/>
        <w:jc w:val="left"/>
        <w:rPr>
          <w:b w:val="0"/>
          <w:bCs w:val="0"/>
        </w:rPr>
      </w:pPr>
      <w:bookmarkStart w:name="（2）未办妥产权证书的土地使用权情况" w:id="261"/>
      <w:bookmarkEnd w:id="26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宋体" w:hAnsi="宋体" w:cs="宋体" w:eastAsia="宋体" w:hint="default"/>
          <w:b/>
          <w:bCs/>
          <w:sz w:val="29"/>
          <w:szCs w:val="29"/>
        </w:rPr>
      </w:pPr>
    </w:p>
    <w:p>
      <w:pPr>
        <w:pStyle w:val="BodyText"/>
        <w:spacing w:line="384" w:lineRule="auto"/>
        <w:ind w:left="1134" w:right="9702"/>
        <w:jc w:val="left"/>
      </w:pPr>
      <w:r>
        <w:rPr/>
        <w:t>无。 其他说明：</w:t>
      </w:r>
    </w:p>
    <w:p>
      <w:pPr>
        <w:spacing w:after="0" w:line="384" w:lineRule="auto"/>
        <w:jc w:val="left"/>
        <w:sectPr>
          <w:footerReference w:type="default" r:id="rId36"/>
          <w:pgSz w:w="11910" w:h="16840"/>
          <w:pgMar w:footer="979" w:header="0" w:top="1100" w:bottom="1160" w:left="0" w:right="0"/>
          <w:pgNumType w:start="124"/>
        </w:sectPr>
      </w:pPr>
    </w:p>
    <w:p>
      <w:pPr>
        <w:spacing w:line="240" w:lineRule="auto" w:before="7"/>
        <w:rPr>
          <w:rFonts w:ascii="宋体" w:hAnsi="宋体" w:cs="宋体" w:eastAsia="宋体" w:hint="default"/>
          <w:sz w:val="27"/>
          <w:szCs w:val="27"/>
        </w:rPr>
      </w:pPr>
    </w:p>
    <w:p>
      <w:pPr>
        <w:pStyle w:val="BodyText"/>
        <w:spacing w:line="240" w:lineRule="auto" w:before="35"/>
        <w:ind w:left="1553" w:right="0"/>
        <w:jc w:val="left"/>
      </w:pPr>
      <w:bookmarkStart w:name="期末用于抵押的无形资产账面原值为6,571,400.00元，详见注释27.长期借" w:id="262"/>
      <w:bookmarkEnd w:id="262"/>
      <w:r>
        <w:rPr/>
      </w:r>
      <w:r>
        <w:rPr/>
        <w:t>期末用于抵押的无形资产账面原值为</w:t>
      </w:r>
      <w:r>
        <w:rPr>
          <w:spacing w:val="-54"/>
        </w:rPr>
        <w:t> </w:t>
      </w:r>
      <w:r>
        <w:rPr>
          <w:rFonts w:ascii="Times New Roman" w:hAnsi="Times New Roman" w:cs="Times New Roman" w:eastAsia="Times New Roman" w:hint="default"/>
        </w:rPr>
        <w:t>6,571,400.00</w:t>
      </w:r>
      <w:r>
        <w:rPr>
          <w:rFonts w:ascii="Times New Roman" w:hAnsi="Times New Roman" w:cs="Times New Roman" w:eastAsia="Times New Roman" w:hint="default"/>
          <w:spacing w:val="-1"/>
        </w:rPr>
        <w:t> </w:t>
      </w:r>
      <w:r>
        <w:rPr/>
        <w:t>元，详见注释</w:t>
      </w:r>
      <w:r>
        <w:rPr>
          <w:spacing w:val="-55"/>
        </w:rPr>
        <w:t> </w:t>
      </w:r>
      <w:r>
        <w:rPr>
          <w:rFonts w:ascii="Times New Roman" w:hAnsi="Times New Roman" w:cs="Times New Roman" w:eastAsia="Times New Roman" w:hint="default"/>
        </w:rPr>
        <w:t>27.</w:t>
      </w:r>
      <w:r>
        <w:rPr/>
        <w:t>长期借款。</w:t>
      </w:r>
    </w:p>
    <w:p>
      <w:pPr>
        <w:spacing w:line="240" w:lineRule="auto" w:before="11"/>
        <w:rPr>
          <w:rFonts w:ascii="宋体" w:hAnsi="宋体" w:cs="宋体" w:eastAsia="宋体" w:hint="default"/>
          <w:sz w:val="22"/>
          <w:szCs w:val="22"/>
        </w:rPr>
      </w:pPr>
    </w:p>
    <w:p>
      <w:pPr>
        <w:pStyle w:val="Heading3"/>
        <w:spacing w:line="240" w:lineRule="auto"/>
        <w:ind w:left="1133" w:right="0"/>
        <w:jc w:val="left"/>
        <w:rPr>
          <w:b w:val="0"/>
          <w:bCs w:val="0"/>
        </w:rPr>
      </w:pPr>
      <w:bookmarkStart w:name="13、开发支出" w:id="263"/>
      <w:bookmarkEnd w:id="263"/>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694"/>
        <w:gridCol w:w="1134"/>
        <w:gridCol w:w="1134"/>
        <w:gridCol w:w="1134"/>
        <w:gridCol w:w="1134"/>
        <w:gridCol w:w="1276"/>
        <w:gridCol w:w="1134"/>
      </w:tblGrid>
      <w:tr>
        <w:trPr>
          <w:trHeight w:val="324"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5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71" w:right="110"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381" w:right="111"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大数据安全综合管理平台项目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1,120,985.31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437,508.06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1,558,493.37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云计算安全监控及管理中心项目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1,401,193.64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363,959.69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1,765,153.33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云计算中心基础安全服务引擎</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555,258.76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555,258.76</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移动安全管理平台项目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289,371.64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289,371.64</w:t>
            </w: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中小学生安全应急宣教系统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1,715,118.70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3,703,016.90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5,418,135.60</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三防应急指挥决策系统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1,281,949.95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1,209,916.17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2,491,866.12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值守一体机项目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2,209,325.70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2,209,325.70</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军用专用天线</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466,503.29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466,503.29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板式电涌保护器</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287,472.26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287,472.26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智能型防雷设备监控系统</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350,551.55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350,551.55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三高接地降阻系统的研究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1,886.79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1,886.79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5,519,247.60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8,768,356.92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1,106,413.89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6,921,926.71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8,472,091.70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4、商誉" w:id="264"/>
      <w:bookmarkEnd w:id="264"/>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商誉账面原值" w:id="265"/>
      <w:bookmarkEnd w:id="26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836"/>
        <w:gridCol w:w="1276"/>
        <w:gridCol w:w="1700"/>
        <w:gridCol w:w="1702"/>
        <w:gridCol w:w="2126"/>
      </w:tblGrid>
      <w:tr>
        <w:trPr>
          <w:trHeight w:val="32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4"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212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189,464,955.35</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189,464,955.35</w:t>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174,110.38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32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189,639,065.73</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189,639,065.73</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商誉减值准备" w:id="266"/>
      <w:bookmarkEnd w:id="26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836"/>
        <w:gridCol w:w="1276"/>
        <w:gridCol w:w="1700"/>
        <w:gridCol w:w="1702"/>
        <w:gridCol w:w="2126"/>
      </w:tblGrid>
      <w:tr>
        <w:trPr>
          <w:trHeight w:val="323"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2126"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3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174,110.38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174,110.38</w:t>
            </w:r>
          </w:p>
        </w:tc>
      </w:tr>
      <w:tr>
        <w:trPr>
          <w:trHeight w:val="32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174,110.38</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174,110.38</w:t>
            </w:r>
          </w:p>
        </w:tc>
      </w:tr>
    </w:tbl>
    <w:p>
      <w:pPr>
        <w:spacing w:before="1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0"/>
        <w:rPr>
          <w:rFonts w:ascii="宋体" w:hAnsi="宋体" w:cs="宋体" w:eastAsia="宋体" w:hint="default"/>
          <w:sz w:val="17"/>
          <w:szCs w:val="17"/>
        </w:rPr>
      </w:pPr>
    </w:p>
    <w:p>
      <w:pPr>
        <w:pStyle w:val="BodyText"/>
        <w:spacing w:line="240" w:lineRule="auto"/>
        <w:ind w:left="1554" w:right="0"/>
        <w:jc w:val="left"/>
      </w:pPr>
      <w:r>
        <w:rPr/>
        <w:t>商誉的确认过程详见：本报告第十节 八</w:t>
      </w:r>
      <w:r>
        <w:rPr>
          <w:spacing w:val="-5"/>
        </w:rPr>
        <w:t> </w:t>
      </w:r>
      <w:r>
        <w:rPr>
          <w:rFonts w:ascii="宋体" w:hAnsi="宋体" w:cs="宋体" w:eastAsia="宋体" w:hint="default"/>
        </w:rPr>
        <w:t>1</w:t>
      </w:r>
      <w:r>
        <w:rPr/>
        <w:t>、（</w:t>
      </w:r>
      <w:r>
        <w:rPr>
          <w:rFonts w:ascii="宋体" w:hAnsi="宋体" w:cs="宋体" w:eastAsia="宋体" w:hint="default"/>
        </w:rPr>
        <w:t>2</w:t>
      </w:r>
      <w:r>
        <w:rPr/>
        <w:t>）合并成本及商誉。</w:t>
      </w:r>
    </w:p>
    <w:p>
      <w:pPr>
        <w:spacing w:after="0" w:line="240" w:lineRule="auto"/>
        <w:jc w:val="left"/>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15、长期待摊费用" w:id="267"/>
      <w:bookmarkEnd w:id="267"/>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4,140,983.07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62,960.53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1,446,717.91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2,757,225.69</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436,572.75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115,894.93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320,677.82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4,140,983.07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499,533.28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1,562,612.84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3,077,903.51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6、递延所得税资产/递延所得税负债" w:id="268"/>
      <w:bookmarkEnd w:id="268"/>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未经抵销的递延所得税资产" w:id="269"/>
      <w:bookmarkEnd w:id="26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7"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57"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7"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13,969.65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3,492.41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6,511,847.23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1,627,961.81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3,307,960.07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826,990.02</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14,886,811.47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2,167,915.78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11,323,939.68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1,671,968.49</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5,322,203.28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723,397.75</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62,974,974.69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9,213,188.39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27,516,853.08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3,918,716.21</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50,239.10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7,535.87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50,239.10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7,535.87</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2,020,859.99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303,129.00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86,458,702.13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13,323,223.26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47,521,195.21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7,148,608.34</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未经抵销的递延所得税负债" w:id="270"/>
      <w:bookmarkEnd w:id="27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825"/>
        <w:gridCol w:w="1701"/>
        <w:gridCol w:w="1702"/>
        <w:gridCol w:w="1701"/>
        <w:gridCol w:w="1632"/>
      </w:tblGrid>
      <w:tr>
        <w:trPr>
          <w:trHeight w:val="167"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4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28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2"/>
            <w:vMerge/>
            <w:tcBorders>
              <w:left w:val="single" w:sz="4" w:space="0" w:color="000000"/>
              <w:bottom w:val="single" w:sz="4" w:space="0" w:color="000000"/>
              <w:right w:val="single" w:sz="4" w:space="0" w:color="000000"/>
            </w:tcBorders>
            <w:shd w:val="clear" w:color="auto" w:fill="D2D2D2"/>
          </w:tcPr>
          <w:p>
            <w:pPr/>
          </w:p>
        </w:tc>
        <w:tc>
          <w:tcPr>
            <w:tcW w:w="3333" w:type="dxa"/>
            <w:gridSpan w:val="2"/>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2825" w:type="dxa"/>
            <w:vMerge/>
            <w:tcBorders>
              <w:left w:val="single" w:sz="4" w:space="0" w:color="000000"/>
              <w:bottom w:val="nil" w:sz="6" w:space="0" w:color="auto"/>
              <w:right w:val="single" w:sz="4" w:space="0" w:color="000000"/>
            </w:tcBorders>
            <w:shd w:val="clear" w:color="auto" w:fill="D2D2D2"/>
          </w:tcPr>
          <w:p>
            <w:pP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1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1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66"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632"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10,748,494.60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1,612,274.19</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701" w:type="dxa"/>
            <w:tcBorders>
              <w:top w:val="single" w:sz="4" w:space="0" w:color="000000"/>
              <w:left w:val="single" w:sz="13" w:space="0" w:color="D2D2D2"/>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10,748,494.60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1,612,274.19</w:t>
            </w:r>
          </w:p>
        </w:tc>
        <w:tc>
          <w:tcPr>
            <w:tcW w:w="1701"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以抵销后净额列示的递延所得税资产或负债" w:id="271"/>
      <w:bookmarkEnd w:id="27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22"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34"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13,323,223.26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6" w:right="0"/>
              <w:jc w:val="left"/>
              <w:rPr>
                <w:rFonts w:ascii="Times New Roman" w:hAnsi="Times New Roman" w:cs="Times New Roman" w:eastAsia="Times New Roman" w:hint="default"/>
                <w:sz w:val="18"/>
                <w:szCs w:val="18"/>
              </w:rPr>
            </w:pPr>
            <w:r>
              <w:rPr>
                <w:rFonts w:ascii="Times New Roman"/>
                <w:sz w:val="18"/>
              </w:rPr>
              <w:t>7,148,608.34</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1,612,274.19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475" w:lineRule="auto" w:before="35"/>
        <w:ind w:right="7695"/>
        <w:jc w:val="left"/>
        <w:rPr>
          <w:rFonts w:ascii="宋体" w:hAnsi="宋体" w:cs="宋体" w:eastAsia="宋体" w:hint="default"/>
          <w:b w:val="0"/>
          <w:bCs w:val="0"/>
        </w:rPr>
      </w:pPr>
      <w:bookmarkStart w:name="（4）未确认递延所得税资产明细" w:id="272"/>
      <w:bookmarkEnd w:id="272"/>
      <w:r>
        <w:rPr>
          <w:b w:val="0"/>
          <w:bCs w:val="0"/>
        </w:rPr>
      </w:r>
      <w:r>
        <w:rPr/>
        <w:t>（</w:t>
      </w:r>
      <w:r>
        <w:rPr>
          <w:rFonts w:ascii="Times New Roman" w:hAnsi="Times New Roman" w:cs="Times New Roman" w:eastAsia="Times New Roman" w:hint="default"/>
        </w:rPr>
        <w:t>4</w:t>
      </w:r>
      <w:r>
        <w:rPr/>
        <w:t>）未确认递延所得税资产明细</w:t>
      </w:r>
      <w:r>
        <w:rPr>
          <w:w w:val="99"/>
        </w:rPr>
        <w:t> </w:t>
      </w:r>
      <w:r>
        <w:rPr>
          <w:rFonts w:ascii="宋体" w:hAnsi="宋体" w:cs="宋体" w:eastAsia="宋体" w:hint="default"/>
          <w:b w:val="0"/>
          <w:bCs w:val="0"/>
        </w:rPr>
        <w:t>无。</w:t>
      </w:r>
    </w:p>
    <w:p>
      <w:pPr>
        <w:spacing w:after="0" w:line="475" w:lineRule="auto"/>
        <w:jc w:val="left"/>
        <w:rPr>
          <w:rFonts w:ascii="宋体" w:hAnsi="宋体" w:cs="宋体" w:eastAsia="宋体" w:hint="default"/>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475" w:lineRule="auto" w:before="35"/>
        <w:ind w:left="1133" w:right="5311"/>
        <w:jc w:val="left"/>
        <w:rPr>
          <w:rFonts w:ascii="宋体" w:hAnsi="宋体" w:cs="宋体" w:eastAsia="宋体" w:hint="default"/>
          <w:b w:val="0"/>
          <w:bCs w:val="0"/>
        </w:rPr>
      </w:pPr>
      <w:bookmarkStart w:name="（5）未确认递延所得税资产的可抵扣亏损将于以下年度到期" w:id="273"/>
      <w:bookmarkEnd w:id="273"/>
      <w:r>
        <w:rPr>
          <w:b w:val="0"/>
          <w:bCs w:val="0"/>
        </w:rPr>
      </w:r>
      <w:r>
        <w:rPr>
          <w:w w:val="95"/>
        </w:rPr>
        <w:t>（</w:t>
      </w:r>
      <w:r>
        <w:rPr>
          <w:rFonts w:ascii="Times New Roman" w:hAnsi="Times New Roman" w:cs="Times New Roman" w:eastAsia="Times New Roman" w:hint="default"/>
          <w:w w:val="95"/>
        </w:rPr>
        <w:t>5</w:t>
      </w:r>
      <w:r>
        <w:rPr>
          <w:w w:val="95"/>
        </w:rPr>
        <w:t>）未确认递延所得税资产的可抵扣亏损将于以下年度到期</w:t>
      </w:r>
      <w:r>
        <w:rPr>
          <w:spacing w:val="71"/>
          <w:w w:val="95"/>
        </w:rPr>
        <w:t> </w:t>
      </w:r>
      <w:r>
        <w:rPr>
          <w:spacing w:val="71"/>
          <w:w w:val="95"/>
        </w:rPr>
      </w:r>
      <w:r>
        <w:rPr>
          <w:rFonts w:ascii="宋体" w:hAnsi="宋体" w:cs="宋体" w:eastAsia="宋体" w:hint="default"/>
          <w:b w:val="0"/>
          <w:bCs w:val="0"/>
        </w:rPr>
        <w:t>无。</w:t>
      </w:r>
    </w:p>
    <w:p>
      <w:pPr>
        <w:pStyle w:val="Heading3"/>
        <w:spacing w:line="240" w:lineRule="auto" w:before="90"/>
        <w:ind w:right="0"/>
        <w:jc w:val="left"/>
        <w:rPr>
          <w:b w:val="0"/>
          <w:bCs w:val="0"/>
        </w:rPr>
      </w:pPr>
      <w:bookmarkStart w:name="17、其他非流动资产" w:id="274"/>
      <w:bookmarkEnd w:id="274"/>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773,360.78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59,848,947.82</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22,198,905.19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5,829,900.00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22,972,265.97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65,678,847.82</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8、短期借款" w:id="275"/>
      <w:bookmarkEnd w:id="275"/>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短期借款分类" w:id="276"/>
      <w:bookmarkEnd w:id="27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103,213,027.00</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223,213,027.00</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32"/>
        <w:ind w:left="1554" w:right="0"/>
        <w:jc w:val="left"/>
      </w:pPr>
      <w:r>
        <w:rPr/>
        <w:t>（</w:t>
      </w:r>
      <w:r>
        <w:rPr>
          <w:rFonts w:ascii="Times New Roman" w:hAnsi="Times New Roman" w:cs="Times New Roman" w:eastAsia="Times New Roman" w:hint="default"/>
        </w:rPr>
        <w:t>1</w:t>
      </w:r>
      <w:r>
        <w:rPr/>
        <w:t>）保证借款</w:t>
      </w:r>
    </w:p>
    <w:tbl>
      <w:tblPr>
        <w:tblW w:w="0" w:type="auto"/>
        <w:jc w:val="left"/>
        <w:tblInd w:w="1129" w:type="dxa"/>
        <w:tblLayout w:type="fixed"/>
        <w:tblCellMar>
          <w:top w:w="0" w:type="dxa"/>
          <w:left w:w="0" w:type="dxa"/>
          <w:bottom w:w="0" w:type="dxa"/>
          <w:right w:w="0" w:type="dxa"/>
        </w:tblCellMar>
        <w:tblLook w:val="01E0"/>
      </w:tblPr>
      <w:tblGrid>
        <w:gridCol w:w="3687"/>
        <w:gridCol w:w="1559"/>
        <w:gridCol w:w="1743"/>
        <w:gridCol w:w="1298"/>
        <w:gridCol w:w="1211"/>
      </w:tblGrid>
      <w:tr>
        <w:trPr>
          <w:trHeight w:val="35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保证人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373"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55,000,000.00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柯宗贵、柯宗庆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9"/>
              <w:jc w:val="right"/>
              <w:rPr>
                <w:rFonts w:ascii="Times New Roman" w:hAnsi="Times New Roman" w:cs="Times New Roman" w:eastAsia="Times New Roman" w:hint="default"/>
                <w:sz w:val="18"/>
                <w:szCs w:val="18"/>
              </w:rPr>
            </w:pPr>
            <w:r>
              <w:rPr>
                <w:rFonts w:ascii="Times New Roman"/>
                <w:sz w:val="18"/>
              </w:rPr>
              <w:t>2015-7-15</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2016-7-14</w:t>
            </w:r>
          </w:p>
        </w:tc>
      </w:tr>
      <w:tr>
        <w:trPr>
          <w:trHeight w:val="34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柯宗贵、柯宗庆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9"/>
              <w:jc w:val="right"/>
              <w:rPr>
                <w:rFonts w:ascii="Times New Roman" w:hAnsi="Times New Roman" w:cs="Times New Roman" w:eastAsia="Times New Roman" w:hint="default"/>
                <w:sz w:val="18"/>
                <w:szCs w:val="18"/>
              </w:rPr>
            </w:pPr>
            <w:r>
              <w:rPr>
                <w:rFonts w:ascii="Times New Roman"/>
                <w:sz w:val="18"/>
              </w:rPr>
              <w:t>2015-7-24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2016-7-23</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渤海银行股份有限公司广州分行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柯宗庆、柯宗贵</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13"/>
              <w:jc w:val="right"/>
              <w:rPr>
                <w:rFonts w:ascii="Times New Roman" w:hAnsi="Times New Roman" w:cs="Times New Roman" w:eastAsia="Times New Roman" w:hint="default"/>
                <w:sz w:val="18"/>
                <w:szCs w:val="18"/>
              </w:rPr>
            </w:pPr>
            <w:r>
              <w:rPr>
                <w:rFonts w:ascii="Times New Roman"/>
                <w:sz w:val="18"/>
              </w:rPr>
              <w:t>2015-9-8</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18"/>
                <w:szCs w:val="18"/>
              </w:rPr>
            </w:pPr>
            <w:r>
              <w:rPr>
                <w:rFonts w:ascii="Times New Roman"/>
                <w:sz w:val="18"/>
              </w:rPr>
              <w:t>2016-9-7</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中国工商银行股份有限公司广州白云路支行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26,000,000.00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柯宗庆、柯宗贵</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9"/>
              <w:jc w:val="right"/>
              <w:rPr>
                <w:rFonts w:ascii="Times New Roman" w:hAnsi="Times New Roman" w:cs="Times New Roman" w:eastAsia="Times New Roman" w:hint="default"/>
                <w:sz w:val="18"/>
                <w:szCs w:val="18"/>
              </w:rPr>
            </w:pPr>
            <w:r>
              <w:rPr>
                <w:rFonts w:ascii="Times New Roman"/>
                <w:sz w:val="18"/>
              </w:rPr>
              <w:t>2015-9-29</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2016-9-28</w:t>
            </w:r>
          </w:p>
        </w:tc>
      </w:tr>
      <w:tr>
        <w:trPr>
          <w:trHeight w:val="34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中国工商银行股份有限公司广州白云路支行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4,000,000.00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柯宗庆、柯宗贵</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7"/>
              <w:jc w:val="right"/>
              <w:rPr>
                <w:rFonts w:ascii="Times New Roman" w:hAnsi="Times New Roman" w:cs="Times New Roman" w:eastAsia="Times New Roman" w:hint="default"/>
                <w:sz w:val="18"/>
                <w:szCs w:val="18"/>
              </w:rPr>
            </w:pPr>
            <w:r>
              <w:rPr>
                <w:rFonts w:ascii="Times New Roman"/>
                <w:spacing w:val="-1"/>
                <w:sz w:val="18"/>
              </w:rPr>
              <w:t>2015-11-17</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2016-11-16</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渤海银行股份有限公司广州分行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25,000,000.00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柯宗贵、柯宗庆</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7"/>
              <w:jc w:val="right"/>
              <w:rPr>
                <w:rFonts w:ascii="Times New Roman" w:hAnsi="Times New Roman" w:cs="Times New Roman" w:eastAsia="Times New Roman" w:hint="default"/>
                <w:sz w:val="18"/>
                <w:szCs w:val="18"/>
              </w:rPr>
            </w:pPr>
            <w:r>
              <w:rPr>
                <w:rFonts w:ascii="Times New Roman"/>
                <w:spacing w:val="-1"/>
                <w:sz w:val="18"/>
              </w:rPr>
              <w:t>2015-11-13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18"/>
                <w:szCs w:val="18"/>
              </w:rPr>
            </w:pPr>
            <w:r>
              <w:rPr>
                <w:rFonts w:ascii="Times New Roman"/>
                <w:sz w:val="18"/>
              </w:rPr>
              <w:t>2016-11-12</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185,000,000.00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18"/>
                <w:szCs w:val="18"/>
              </w:rPr>
            </w:pPr>
            <w:r>
              <w:rPr>
                <w:rFonts w:ascii="Arial" w:hAnsi="Arial" w:cs="Arial" w:eastAsia="Arial" w:hint="default"/>
                <w:w w:val="90"/>
                <w:sz w:val="18"/>
                <w:szCs w:val="18"/>
              </w:rPr>
              <w:t>——</w:t>
            </w:r>
            <w:r>
              <w:rPr>
                <w:rFonts w:ascii="Arial" w:hAnsi="Arial" w:cs="Arial" w:eastAsia="Arial" w:hint="default"/>
                <w:sz w:val="18"/>
                <w:szCs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Arial" w:hAnsi="Arial" w:cs="Arial" w:eastAsia="Arial" w:hint="default"/>
                <w:sz w:val="18"/>
                <w:szCs w:val="18"/>
              </w:rPr>
            </w:pPr>
            <w:r>
              <w:rPr>
                <w:rFonts w:ascii="Arial" w:hAnsi="Arial" w:cs="Arial" w:eastAsia="Arial" w:hint="default"/>
                <w:w w:val="90"/>
                <w:sz w:val="18"/>
                <w:szCs w:val="18"/>
              </w:rPr>
              <w:t>——</w:t>
            </w:r>
            <w:r>
              <w:rPr>
                <w:rFonts w:ascii="Arial" w:hAnsi="Arial" w:cs="Arial" w:eastAsia="Arial" w:hint="default"/>
                <w:sz w:val="18"/>
                <w:szCs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18"/>
                <w:szCs w:val="18"/>
              </w:rPr>
            </w:pPr>
            <w:r>
              <w:rPr>
                <w:rFonts w:ascii="Arial" w:hAnsi="Arial" w:cs="Arial" w:eastAsia="Arial" w:hint="default"/>
                <w:w w:val="90"/>
                <w:sz w:val="18"/>
                <w:szCs w:val="18"/>
              </w:rPr>
              <w:t>——</w:t>
            </w:r>
            <w:r>
              <w:rPr>
                <w:rFonts w:ascii="Arial" w:hAnsi="Arial" w:cs="Arial" w:eastAsia="Arial" w:hint="default"/>
                <w:sz w:val="18"/>
                <w:szCs w:val="18"/>
              </w:rPr>
            </w:r>
          </w:p>
        </w:tc>
      </w:tr>
    </w:tbl>
    <w:p>
      <w:pPr>
        <w:spacing w:line="240" w:lineRule="auto" w:before="1"/>
        <w:rPr>
          <w:rFonts w:ascii="宋体" w:hAnsi="宋体" w:cs="宋体" w:eastAsia="宋体" w:hint="default"/>
          <w:sz w:val="5"/>
          <w:szCs w:val="5"/>
        </w:rPr>
      </w:pPr>
    </w:p>
    <w:p>
      <w:pPr>
        <w:pStyle w:val="BodyText"/>
        <w:spacing w:line="240" w:lineRule="auto" w:before="35"/>
        <w:ind w:left="1974" w:right="0"/>
        <w:jc w:val="left"/>
      </w:pPr>
      <w:r>
        <w:rPr/>
        <w:t>（</w:t>
      </w:r>
      <w:r>
        <w:rPr>
          <w:rFonts w:ascii="Times New Roman" w:hAnsi="Times New Roman" w:cs="Times New Roman" w:eastAsia="Times New Roman" w:hint="default"/>
        </w:rPr>
        <w:t>2</w:t>
      </w:r>
      <w:r>
        <w:rPr/>
        <w:t>）信用借款</w:t>
      </w:r>
    </w:p>
    <w:tbl>
      <w:tblPr>
        <w:tblW w:w="0" w:type="auto"/>
        <w:jc w:val="left"/>
        <w:tblInd w:w="1129" w:type="dxa"/>
        <w:tblLayout w:type="fixed"/>
        <w:tblCellMar>
          <w:top w:w="0" w:type="dxa"/>
          <w:left w:w="0" w:type="dxa"/>
          <w:bottom w:w="0" w:type="dxa"/>
          <w:right w:w="0" w:type="dxa"/>
        </w:tblCellMar>
        <w:tblLook w:val="01E0"/>
      </w:tblPr>
      <w:tblGrid>
        <w:gridCol w:w="3687"/>
        <w:gridCol w:w="1559"/>
        <w:gridCol w:w="1742"/>
        <w:gridCol w:w="1300"/>
        <w:gridCol w:w="1211"/>
      </w:tblGrid>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银行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4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交通银行股份有限公司广州天河北支行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3"/>
              <w:jc w:val="right"/>
              <w:rPr>
                <w:rFonts w:ascii="Times New Roman" w:hAnsi="Times New Roman" w:cs="Times New Roman" w:eastAsia="Times New Roman" w:hint="default"/>
                <w:sz w:val="18"/>
                <w:szCs w:val="18"/>
              </w:rPr>
            </w:pPr>
            <w:r>
              <w:rPr>
                <w:rFonts w:ascii="Times New Roman"/>
                <w:sz w:val="18"/>
              </w:rPr>
              <w:t>2015-7-3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center"/>
              <w:rPr>
                <w:rFonts w:ascii="Times New Roman" w:hAnsi="Times New Roman" w:cs="Times New Roman" w:eastAsia="Times New Roman" w:hint="default"/>
                <w:sz w:val="18"/>
                <w:szCs w:val="18"/>
              </w:rPr>
            </w:pPr>
            <w:r>
              <w:rPr>
                <w:rFonts w:ascii="Times New Roman"/>
                <w:sz w:val="18"/>
              </w:rPr>
              <w:t>2016-1-11</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交通银行股份有限公司广州天河北支行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Times New Roman" w:hAnsi="Times New Roman" w:cs="Times New Roman" w:eastAsia="Times New Roman" w:hint="default"/>
                <w:sz w:val="18"/>
                <w:szCs w:val="18"/>
              </w:rPr>
            </w:pPr>
            <w:r>
              <w:rPr>
                <w:rFonts w:ascii="Times New Roman"/>
                <w:sz w:val="18"/>
              </w:rPr>
              <w:t>2015-10-26</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Times New Roman" w:hAnsi="Times New Roman" w:cs="Times New Roman" w:eastAsia="Times New Roman" w:hint="default"/>
                <w:sz w:val="18"/>
                <w:szCs w:val="18"/>
              </w:rPr>
            </w:pPr>
            <w:r>
              <w:rPr>
                <w:rFonts w:ascii="Times New Roman"/>
                <w:sz w:val="18"/>
              </w:rPr>
              <w:t>2016-10-22</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广州银行股份有限公司淘金支行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40,000,000.00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9"/>
              <w:jc w:val="right"/>
              <w:rPr>
                <w:rFonts w:ascii="Times New Roman" w:hAnsi="Times New Roman" w:cs="Times New Roman" w:eastAsia="Times New Roman" w:hint="default"/>
                <w:sz w:val="18"/>
                <w:szCs w:val="18"/>
              </w:rPr>
            </w:pPr>
            <w:r>
              <w:rPr>
                <w:rFonts w:ascii="Times New Roman"/>
                <w:sz w:val="18"/>
              </w:rPr>
              <w:t>2015-7-30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2016-7-30</w:t>
            </w:r>
          </w:p>
        </w:tc>
      </w:tr>
      <w:tr>
        <w:trPr>
          <w:trHeight w:val="349"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珠海华润银行股份有限公司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3"/>
              <w:jc w:val="right"/>
              <w:rPr>
                <w:rFonts w:ascii="Times New Roman" w:hAnsi="Times New Roman" w:cs="Times New Roman" w:eastAsia="Times New Roman" w:hint="default"/>
                <w:sz w:val="18"/>
                <w:szCs w:val="18"/>
              </w:rPr>
            </w:pPr>
            <w:r>
              <w:rPr>
                <w:rFonts w:ascii="Times New Roman"/>
                <w:sz w:val="18"/>
              </w:rPr>
              <w:t>2015-8-4</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2016-8-4</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浙商银行股份有限公司广州分行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18"/>
                <w:szCs w:val="18"/>
              </w:rPr>
            </w:pPr>
            <w:r>
              <w:rPr>
                <w:rFonts w:ascii="Times New Roman"/>
                <w:spacing w:val="-1"/>
                <w:sz w:val="18"/>
              </w:rPr>
              <w:t>30,000,000.00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69"/>
              <w:jc w:val="right"/>
              <w:rPr>
                <w:rFonts w:ascii="Times New Roman" w:hAnsi="Times New Roman" w:cs="Times New Roman" w:eastAsia="Times New Roman" w:hint="default"/>
                <w:sz w:val="18"/>
                <w:szCs w:val="18"/>
              </w:rPr>
            </w:pPr>
            <w:r>
              <w:rPr>
                <w:rFonts w:ascii="Times New Roman"/>
                <w:sz w:val="18"/>
              </w:rPr>
              <w:t>2015-7-31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2016-7-30</w:t>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上海浦东发展银行广州东风支行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7"/>
              <w:jc w:val="right"/>
              <w:rPr>
                <w:rFonts w:ascii="Times New Roman" w:hAnsi="Times New Roman" w:cs="Times New Roman" w:eastAsia="Times New Roman" w:hint="default"/>
                <w:sz w:val="18"/>
                <w:szCs w:val="18"/>
              </w:rPr>
            </w:pPr>
            <w:r>
              <w:rPr>
                <w:rFonts w:ascii="Times New Roman"/>
                <w:spacing w:val="-1"/>
                <w:sz w:val="18"/>
              </w:rPr>
              <w:t>2015-11-13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sz w:val="18"/>
              </w:rPr>
              <w:t>2016-11-12</w:t>
            </w:r>
          </w:p>
        </w:tc>
      </w:tr>
      <w:tr>
        <w:trPr>
          <w:trHeight w:val="35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160,000,000.00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18"/>
                <w:szCs w:val="18"/>
              </w:rPr>
            </w:pPr>
            <w:r>
              <w:rPr>
                <w:rFonts w:ascii="Arial" w:hAnsi="Arial" w:cs="Arial" w:eastAsia="Arial" w:hint="default"/>
                <w:w w:val="90"/>
                <w:sz w:val="18"/>
                <w:szCs w:val="18"/>
              </w:rPr>
              <w:t>——</w:t>
            </w:r>
            <w:r>
              <w:rPr>
                <w:rFonts w:ascii="Arial" w:hAnsi="Arial" w:cs="Arial" w:eastAsia="Arial"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18"/>
                <w:szCs w:val="18"/>
              </w:rPr>
            </w:pPr>
            <w:r>
              <w:rPr>
                <w:rFonts w:ascii="Arial" w:hAnsi="Arial" w:cs="Arial" w:eastAsia="Arial" w:hint="default"/>
                <w:w w:val="90"/>
                <w:sz w:val="18"/>
                <w:szCs w:val="18"/>
              </w:rPr>
              <w:t>——</w:t>
            </w:r>
            <w:r>
              <w:rPr>
                <w:rFonts w:ascii="Arial" w:hAnsi="Arial" w:cs="Arial" w:eastAsia="Arial" w:hint="default"/>
                <w:sz w:val="18"/>
                <w:szCs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w:hAnsi="Arial" w:cs="Arial" w:eastAsia="Arial" w:hint="default"/>
                <w:sz w:val="18"/>
                <w:szCs w:val="18"/>
              </w:rPr>
            </w:pPr>
            <w:r>
              <w:rPr>
                <w:rFonts w:ascii="Arial" w:hAnsi="Arial" w:cs="Arial" w:eastAsia="Arial" w:hint="default"/>
                <w:w w:val="90"/>
                <w:sz w:val="18"/>
                <w:szCs w:val="18"/>
              </w:rPr>
              <w:t>——</w:t>
            </w:r>
            <w:r>
              <w:rPr>
                <w:rFonts w:ascii="Arial" w:hAnsi="Arial" w:cs="Arial" w:eastAsia="Arial" w:hint="default"/>
                <w:sz w:val="18"/>
                <w:szCs w:val="18"/>
              </w:rPr>
            </w:r>
          </w:p>
        </w:tc>
      </w:tr>
    </w:tbl>
    <w:p>
      <w:pPr>
        <w:spacing w:after="0" w:line="240" w:lineRule="auto"/>
        <w:jc w:val="center"/>
        <w:rPr>
          <w:rFonts w:ascii="Arial" w:hAnsi="Arial" w:cs="Arial" w:eastAsia="Arial" w:hint="default"/>
          <w:sz w:val="18"/>
          <w:szCs w:val="18"/>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472" w:lineRule="auto" w:before="35"/>
        <w:ind w:left="1133" w:right="7486"/>
        <w:jc w:val="left"/>
        <w:rPr>
          <w:rFonts w:ascii="宋体" w:hAnsi="宋体" w:cs="宋体" w:eastAsia="宋体" w:hint="default"/>
          <w:b w:val="0"/>
          <w:bCs w:val="0"/>
        </w:rPr>
      </w:pPr>
      <w:bookmarkStart w:name="（2）已逾期未偿还的短期借款情况" w:id="277"/>
      <w:bookmarkEnd w:id="277"/>
      <w:r>
        <w:rPr>
          <w:b w:val="0"/>
          <w:bCs w:val="0"/>
        </w:rPr>
      </w:r>
      <w:r>
        <w:rPr/>
        <w:t>（</w:t>
      </w:r>
      <w:r>
        <w:rPr>
          <w:rFonts w:ascii="Times New Roman" w:hAnsi="Times New Roman" w:cs="Times New Roman" w:eastAsia="Times New Roman" w:hint="default"/>
        </w:rPr>
        <w:t>2</w:t>
      </w:r>
      <w:r>
        <w:rPr/>
        <w:t>）已逾期未偿还的短期借款情况</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19、应付票据" w:id="278"/>
      <w:bookmarkEnd w:id="278"/>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12,569,974.00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37,959,555.58</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12,569,974.00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37,959,555.58</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0、应付账款" w:id="279"/>
      <w:bookmarkEnd w:id="279"/>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应付账款列示" w:id="280"/>
      <w:bookmarkEnd w:id="28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192,016,742.74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114,659,293.36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365,515.68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65,460.00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234,027.00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318,000.00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192,616,285.42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115,042,753.36</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账龄超过1年的重要应付账款" w:id="281"/>
      <w:bookmarkEnd w:id="28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广州光联行智能科技有限公司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4,215,777.35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立维腾电子（深圳）有限公司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3,304,355.41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对方未开票，合同约定已开票才付款。</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佛山市国钫企业服务有限公司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2,610,901.03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广州数科节能技术有限公司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1,945,000.00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对方未开票，合同约定已开票才付款。</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广州晟烨信息科技有限公司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1,417,596.40</w:t>
            </w:r>
          </w:p>
        </w:tc>
        <w:tc>
          <w:tcPr>
            <w:tcW w:w="3189"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对方未开票，合同约定已开票才付款。</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13,493,630.19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1、预收款项" w:id="282"/>
      <w:bookmarkEnd w:id="282"/>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预收款项列示" w:id="283"/>
      <w:bookmarkEnd w:id="28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106,282,355.91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74,505,579.27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预收培训费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531,126.00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43,206.00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预收工程款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1,950,221.27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108,763,703.18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74,548,785.27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2）账龄超过1年的重要预收款项" w:id="284"/>
      <w:bookmarkEnd w:id="28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广州昱发软件科技有限公司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1,382,579.50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服务尚未完成</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中国人民武装警察部队海南省边防总队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539,871.00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服务尚未完成</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广州市安全生产监督管理局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392,430.00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服务尚未完成</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中国共产主义青年团广州市团校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服务尚未完成</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深圳市公安消防支队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254,137.50</w:t>
            </w:r>
          </w:p>
        </w:tc>
        <w:tc>
          <w:tcPr>
            <w:tcW w:w="3189"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服务尚未完成</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2,908,018.00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472" w:lineRule="auto" w:before="35"/>
        <w:ind w:right="6253"/>
        <w:jc w:val="left"/>
        <w:rPr>
          <w:rFonts w:ascii="宋体" w:hAnsi="宋体" w:cs="宋体" w:eastAsia="宋体" w:hint="default"/>
          <w:b w:val="0"/>
          <w:bCs w:val="0"/>
        </w:rPr>
      </w:pPr>
      <w:bookmarkStart w:name="（3）期末建造合同形成的已结算未完工项目情况" w:id="285"/>
      <w:bookmarkEnd w:id="285"/>
      <w:r>
        <w:rPr>
          <w:b w:val="0"/>
          <w:bCs w:val="0"/>
        </w:rPr>
      </w:r>
      <w:r>
        <w:rPr>
          <w:w w:val="95"/>
        </w:rPr>
        <w:t>（</w:t>
      </w:r>
      <w:r>
        <w:rPr>
          <w:rFonts w:ascii="Times New Roman" w:hAnsi="Times New Roman" w:cs="Times New Roman" w:eastAsia="Times New Roman" w:hint="default"/>
          <w:w w:val="95"/>
        </w:rPr>
        <w:t>3</w:t>
      </w:r>
      <w:r>
        <w:rPr>
          <w:w w:val="95"/>
        </w:rPr>
        <w:t>）期末建造合同形成的已结算未完工项目情况</w:t>
      </w:r>
      <w:r>
        <w:rPr>
          <w:spacing w:val="20"/>
          <w:w w:val="95"/>
        </w:rPr>
        <w:t> </w:t>
      </w:r>
      <w:r>
        <w:rPr>
          <w:spacing w:val="20"/>
          <w:w w:val="95"/>
        </w:rPr>
      </w:r>
      <w:r>
        <w:rPr>
          <w:rFonts w:ascii="宋体" w:hAnsi="宋体" w:cs="宋体" w:eastAsia="宋体" w:hint="default"/>
          <w:b w:val="0"/>
          <w:bCs w:val="0"/>
        </w:rPr>
        <w:t>无。</w:t>
      </w:r>
    </w:p>
    <w:p>
      <w:pPr>
        <w:pStyle w:val="Heading3"/>
        <w:spacing w:line="240" w:lineRule="auto" w:before="94"/>
        <w:ind w:right="0"/>
        <w:jc w:val="left"/>
        <w:rPr>
          <w:b w:val="0"/>
          <w:bCs w:val="0"/>
        </w:rPr>
      </w:pPr>
      <w:bookmarkStart w:name="22、应付职工薪酬" w:id="286"/>
      <w:bookmarkEnd w:id="286"/>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应付职工薪酬列示" w:id="287"/>
      <w:bookmarkEnd w:id="28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529"/>
        <w:gridCol w:w="1713"/>
        <w:gridCol w:w="1843"/>
        <w:gridCol w:w="1702"/>
        <w:gridCol w:w="1772"/>
      </w:tblGrid>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8,166,650.39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90,229,645.80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84,079,406.28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14,316,889.91</w:t>
            </w: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13" w:type="dxa"/>
            <w:tcBorders>
              <w:top w:val="single" w:sz="4" w:space="0" w:color="000000"/>
              <w:left w:val="single" w:sz="10"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3,677,202.49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3,677,202.49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8,166,650.39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93,906,848.29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87,756,608.77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14,316,889.91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短期薪酬列示" w:id="288"/>
      <w:bookmarkEnd w:id="28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2387"/>
        <w:gridCol w:w="1713"/>
        <w:gridCol w:w="1843"/>
        <w:gridCol w:w="1844"/>
        <w:gridCol w:w="1772"/>
      </w:tblGrid>
      <w:tr>
        <w:trPr>
          <w:trHeight w:val="32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8,166,650.39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81,347,697.75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75,213,981.60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14,300,366.54</w:t>
            </w:r>
          </w:p>
        </w:tc>
      </w:tr>
      <w:tr>
        <w:trPr>
          <w:trHeight w:val="32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3,026,616.30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3,026,616.30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3,269,162.73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3,269,162.73</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2,888,280.36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2,888,280.36</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116,479.39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116,479.39</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264,402.98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264,402.98</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2,379,634.82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2,379,021.82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613.00</w:t>
            </w:r>
          </w:p>
        </w:tc>
      </w:tr>
      <w:tr>
        <w:trPr>
          <w:trHeight w:val="32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13" w:type="dxa"/>
            <w:tcBorders>
              <w:top w:val="single" w:sz="4" w:space="0" w:color="000000"/>
              <w:left w:val="single" w:sz="13" w:space="0" w:color="D2D2D2"/>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197,184.20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181,273.83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15,910.37</w:t>
            </w: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、其他短期薪酬</w:t>
            </w:r>
          </w:p>
        </w:tc>
        <w:tc>
          <w:tcPr>
            <w:tcW w:w="171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9,350.00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9,350.00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8,166,650.39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90,229,645.80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84,079,406.28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14,316,889.91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设定提存计划列示" w:id="289"/>
      <w:bookmarkEnd w:id="28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6" w:right="0"/>
              <w:jc w:val="left"/>
              <w:rPr>
                <w:rFonts w:ascii="Times New Roman" w:hAnsi="Times New Roman" w:cs="Times New Roman" w:eastAsia="Times New Roman" w:hint="default"/>
                <w:sz w:val="18"/>
                <w:szCs w:val="18"/>
              </w:rPr>
            </w:pPr>
            <w:r>
              <w:rPr>
                <w:rFonts w:ascii="Times New Roman"/>
                <w:sz w:val="18"/>
              </w:rPr>
              <w:t>3,447,164.72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5" w:right="0"/>
              <w:jc w:val="left"/>
              <w:rPr>
                <w:rFonts w:ascii="Times New Roman" w:hAnsi="Times New Roman" w:cs="Times New Roman" w:eastAsia="Times New Roman" w:hint="default"/>
                <w:sz w:val="18"/>
                <w:szCs w:val="18"/>
              </w:rPr>
            </w:pPr>
            <w:r>
              <w:rPr>
                <w:rFonts w:ascii="Times New Roman"/>
                <w:sz w:val="18"/>
              </w:rPr>
              <w:t>3,447,164.72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230,037.77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230,037.77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3,677,202.49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3,677,202.49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3、应交税费" w:id="290"/>
      <w:bookmarkEnd w:id="290"/>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32,791,754.73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26,936,378.60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703,123.22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418,021.73</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13,123,618.80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3,672,159.53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393,284.05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338,159.03</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570,206.36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643,951.71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258,201.23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275,700.57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157,343.24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185,477.29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46,678.39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184,675.17</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328,624.64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336,704.95</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446,351.52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483,110.74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价格调整基金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188.43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48,819,374.61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33,474,339.32</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4、应付利息" w:id="291"/>
      <w:bookmarkEnd w:id="291"/>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282,068.21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112,750.00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1,094,709.47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475,830.86</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1,376,777.68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588,580.86</w:t>
            </w:r>
          </w:p>
        </w:tc>
      </w:tr>
    </w:tbl>
    <w:p>
      <w:pPr>
        <w:pStyle w:val="BodyText"/>
        <w:spacing w:line="240" w:lineRule="auto" w:before="5"/>
        <w:ind w:left="1134" w:right="0"/>
        <w:jc w:val="left"/>
      </w:pPr>
      <w:r>
        <w:rPr/>
        <w:t>重要的已逾期未支付的利息情况：无。</w:t>
      </w:r>
    </w:p>
    <w:p>
      <w:pPr>
        <w:spacing w:line="240" w:lineRule="auto" w:before="9"/>
        <w:rPr>
          <w:rFonts w:ascii="宋体" w:hAnsi="宋体" w:cs="宋体" w:eastAsia="宋体" w:hint="default"/>
          <w:sz w:val="22"/>
          <w:szCs w:val="22"/>
        </w:rPr>
      </w:pPr>
    </w:p>
    <w:p>
      <w:pPr>
        <w:pStyle w:val="Heading3"/>
        <w:spacing w:line="240" w:lineRule="auto"/>
        <w:ind w:left="1133" w:right="0"/>
        <w:jc w:val="left"/>
        <w:rPr>
          <w:b w:val="0"/>
          <w:bCs w:val="0"/>
        </w:rPr>
      </w:pPr>
      <w:bookmarkStart w:name="25、其他应付款" w:id="292"/>
      <w:bookmarkEnd w:id="292"/>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按款项性质列示其他应付款" w:id="293"/>
      <w:bookmarkEnd w:id="29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3,182,221.00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59,900.00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1,320,049.63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500,615.62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31,200,000.00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558,888.84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36,261,159.47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560,515.62</w:t>
            </w:r>
          </w:p>
        </w:tc>
      </w:tr>
    </w:tbl>
    <w:p>
      <w:pPr>
        <w:spacing w:line="240" w:lineRule="auto" w:before="7"/>
        <w:rPr>
          <w:rFonts w:ascii="宋体" w:hAnsi="宋体" w:cs="宋体" w:eastAsia="宋体" w:hint="default"/>
          <w:sz w:val="17"/>
          <w:szCs w:val="17"/>
        </w:rPr>
      </w:pPr>
    </w:p>
    <w:p>
      <w:pPr>
        <w:pStyle w:val="Heading3"/>
        <w:spacing w:line="472" w:lineRule="auto" w:before="35"/>
        <w:ind w:right="7279"/>
        <w:jc w:val="left"/>
        <w:rPr>
          <w:rFonts w:ascii="宋体" w:hAnsi="宋体" w:cs="宋体" w:eastAsia="宋体" w:hint="default"/>
          <w:b w:val="0"/>
          <w:bCs w:val="0"/>
        </w:rPr>
      </w:pPr>
      <w:bookmarkStart w:name="（2）账龄超过1年的重要其他应付款"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w w:val="99"/>
        </w:rPr>
        <w:t> </w:t>
      </w:r>
      <w:r>
        <w:rPr>
          <w:rFonts w:ascii="宋体" w:hAnsi="宋体" w:cs="宋体" w:eastAsia="宋体" w:hint="default"/>
          <w:b w:val="0"/>
          <w:bCs w:val="0"/>
        </w:rPr>
        <w:t>无。</w:t>
      </w:r>
    </w:p>
    <w:p>
      <w:pPr>
        <w:spacing w:after="0" w:line="472" w:lineRule="auto"/>
        <w:jc w:val="left"/>
        <w:rPr>
          <w:rFonts w:ascii="宋体" w:hAnsi="宋体" w:cs="宋体" w:eastAsia="宋体" w:hint="default"/>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26、一年内到期的非流动负债" w:id="295"/>
      <w:bookmarkEnd w:id="295"/>
      <w:r>
        <w:rPr>
          <w:b w:val="0"/>
          <w:bCs w:val="0"/>
        </w:rPr>
      </w:r>
      <w:r>
        <w:rPr>
          <w:rFonts w:ascii="Times New Roman" w:hAnsi="Times New Roman" w:cs="Times New Roman" w:eastAsia="Times New Roman" w:hint="default"/>
        </w:rPr>
        <w:t>26</w:t>
      </w:r>
      <w:r>
        <w:rPr/>
        <w:t>、一年内到期的非流动负债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7、长期借款" w:id="296"/>
      <w:bookmarkEnd w:id="296"/>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长期借款分类" w:id="297"/>
      <w:bookmarkEnd w:id="29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165,044,286.46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165,044,286.46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2"/>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242"/>
        <w:gridCol w:w="1418"/>
        <w:gridCol w:w="2552"/>
        <w:gridCol w:w="2127"/>
        <w:gridCol w:w="1134"/>
        <w:gridCol w:w="1134"/>
      </w:tblGrid>
      <w:tr>
        <w:trPr>
          <w:trHeight w:val="4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银行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center"/>
              <w:rPr>
                <w:rFonts w:ascii="宋体" w:hAnsi="宋体" w:cs="宋体" w:eastAsia="宋体" w:hint="default"/>
                <w:sz w:val="18"/>
                <w:szCs w:val="18"/>
              </w:rPr>
            </w:pPr>
            <w:r>
              <w:rPr>
                <w:rFonts w:ascii="宋体" w:hAnsi="宋体" w:cs="宋体" w:eastAsia="宋体" w:hint="default"/>
                <w:sz w:val="18"/>
                <w:szCs w:val="18"/>
              </w:rPr>
              <w:t>房产证编号</w:t>
            </w:r>
            <w:r>
              <w:rPr>
                <w:rFonts w:ascii="Times New Roman" w:hAnsi="Times New Roman" w:cs="Times New Roman" w:eastAsia="Times New Roman" w:hint="default"/>
                <w:sz w:val="18"/>
                <w:szCs w:val="18"/>
              </w:rPr>
              <w:t>-</w:t>
            </w:r>
            <w:r>
              <w:rPr>
                <w:rFonts w:ascii="宋体" w:hAnsi="宋体" w:cs="宋体" w:eastAsia="宋体" w:hint="default"/>
                <w:sz w:val="18"/>
                <w:szCs w:val="18"/>
              </w:rPr>
              <w:t>土地使用权</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编号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91" w:right="0"/>
              <w:jc w:val="left"/>
              <w:rPr>
                <w:rFonts w:ascii="宋体" w:hAnsi="宋体" w:cs="宋体" w:eastAsia="宋体" w:hint="default"/>
                <w:sz w:val="18"/>
                <w:szCs w:val="18"/>
              </w:rPr>
            </w:pPr>
            <w:r>
              <w:rPr>
                <w:rFonts w:ascii="宋体" w:hAnsi="宋体" w:cs="宋体" w:eastAsia="宋体" w:hint="default"/>
                <w:sz w:val="18"/>
                <w:szCs w:val="18"/>
              </w:rPr>
              <w:t>起息日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7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天河北支行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29,610,000.00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Times New Roman" w:hAnsi="Times New Roman" w:cs="Times New Roman" w:eastAsia="Times New Roman" w:hint="default"/>
                <w:sz w:val="18"/>
                <w:szCs w:val="18"/>
              </w:rPr>
              <w:t>16</w:t>
            </w:r>
            <w:r>
              <w:rPr>
                <w:rFonts w:ascii="宋体" w:hAnsi="宋体" w:cs="宋体" w:eastAsia="宋体" w:hint="default"/>
                <w:sz w:val="18"/>
                <w:szCs w:val="18"/>
              </w:rPr>
              <w:t>号地</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下</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-2</w:t>
            </w:r>
            <w:r>
              <w:rPr>
                <w:rFonts w:ascii="宋体" w:hAnsi="宋体" w:cs="宋体" w:eastAsia="宋体" w:hint="default"/>
                <w:sz w:val="18"/>
                <w:szCs w:val="18"/>
              </w:rPr>
              <w:t>层以及萝岗基建土地</w:t>
            </w:r>
          </w:p>
        </w:tc>
        <w:tc>
          <w:tcPr>
            <w:tcW w:w="2127" w:type="dxa"/>
            <w:vMerge w:val="restart"/>
            <w:tcBorders>
              <w:top w:val="single" w:sz="4" w:space="0" w:color="000000"/>
              <w:left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穗字第</w:t>
            </w:r>
            <w:r>
              <w:rPr>
                <w:rFonts w:ascii="Times New Roman" w:hAnsi="Times New Roman" w:cs="Times New Roman" w:eastAsia="Times New Roman" w:hint="default"/>
                <w:sz w:val="18"/>
                <w:szCs w:val="18"/>
              </w:rPr>
              <w:t>0150277328</w:t>
            </w:r>
            <w:r>
              <w:rPr>
                <w:rFonts w:ascii="宋体" w:hAnsi="宋体" w:cs="宋体" w:eastAsia="宋体" w:hint="default"/>
                <w:sz w:val="18"/>
                <w:szCs w:val="18"/>
              </w:rPr>
              <w:t>号、</w:t>
            </w:r>
          </w:p>
          <w:p>
            <w:pPr>
              <w:pStyle w:val="TableParagraph"/>
              <w:spacing w:line="225" w:lineRule="auto" w:before="5"/>
              <w:ind w:left="101" w:right="32" w:hanging="70"/>
              <w:jc w:val="center"/>
              <w:rPr>
                <w:rFonts w:ascii="宋体" w:hAnsi="宋体" w:cs="宋体" w:eastAsia="宋体" w:hint="default"/>
                <w:sz w:val="18"/>
                <w:szCs w:val="18"/>
              </w:rPr>
            </w:pPr>
            <w:r>
              <w:rPr>
                <w:rFonts w:ascii="宋体" w:hAnsi="宋体" w:cs="宋体" w:eastAsia="宋体" w:hint="default"/>
                <w:sz w:val="18"/>
                <w:szCs w:val="18"/>
              </w:rPr>
              <w:t>穗字第</w:t>
            </w:r>
            <w:r>
              <w:rPr>
                <w:rFonts w:ascii="Times New Roman" w:hAnsi="Times New Roman" w:cs="Times New Roman" w:eastAsia="Times New Roman" w:hint="default"/>
                <w:sz w:val="18"/>
                <w:szCs w:val="18"/>
              </w:rPr>
              <w:t>0150277133</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0150277134</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0150277135</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0150277136</w:t>
            </w:r>
            <w:r>
              <w:rPr>
                <w:rFonts w:ascii="宋体" w:hAnsi="宋体" w:cs="宋体" w:eastAsia="宋体" w:hint="default"/>
                <w:sz w:val="18"/>
                <w:szCs w:val="18"/>
              </w:rPr>
              <w:t>号、 穗字第</w:t>
            </w:r>
            <w:r>
              <w:rPr>
                <w:rFonts w:ascii="Times New Roman" w:hAnsi="Times New Roman" w:cs="Times New Roman" w:eastAsia="Times New Roman" w:hint="default"/>
                <w:sz w:val="18"/>
                <w:szCs w:val="18"/>
              </w:rPr>
              <w:t>0150277137</w:t>
            </w:r>
            <w:r>
              <w:rPr>
                <w:rFonts w:ascii="宋体" w:hAnsi="宋体" w:cs="宋体" w:eastAsia="宋体" w:hint="default"/>
                <w:sz w:val="18"/>
                <w:szCs w:val="18"/>
              </w:rPr>
              <w:t>号、 地字第穗开规地（</w:t>
            </w:r>
            <w:r>
              <w:rPr>
                <w:rFonts w:ascii="Times New Roman" w:hAnsi="Times New Roman" w:cs="Times New Roman" w:eastAsia="Times New Roman" w:hint="default"/>
                <w:sz w:val="18"/>
                <w:szCs w:val="18"/>
              </w:rPr>
              <w:t>2014</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85"/>
              <w:jc w:val="right"/>
              <w:rPr>
                <w:rFonts w:ascii="Times New Roman" w:hAnsi="Times New Roman" w:cs="Times New Roman" w:eastAsia="Times New Roman" w:hint="default"/>
                <w:sz w:val="18"/>
                <w:szCs w:val="18"/>
              </w:rPr>
            </w:pPr>
            <w:r>
              <w:rPr>
                <w:rFonts w:ascii="Times New Roman"/>
                <w:sz w:val="18"/>
              </w:rPr>
              <w:t>2015-4-17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2023-2-5</w:t>
            </w:r>
          </w:p>
        </w:tc>
      </w:tr>
      <w:tr>
        <w:trPr>
          <w:trHeight w:val="47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天河北支行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Times New Roman" w:hAnsi="Times New Roman" w:cs="Times New Roman" w:eastAsia="Times New Roman" w:hint="default"/>
                <w:sz w:val="18"/>
                <w:szCs w:val="18"/>
              </w:rPr>
              <w:t>16</w:t>
            </w:r>
            <w:r>
              <w:rPr>
                <w:rFonts w:ascii="宋体" w:hAnsi="宋体" w:cs="宋体" w:eastAsia="宋体" w:hint="default"/>
                <w:sz w:val="18"/>
                <w:szCs w:val="18"/>
              </w:rPr>
              <w:t>号地</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下</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-2</w:t>
            </w:r>
            <w:r>
              <w:rPr>
                <w:rFonts w:ascii="宋体" w:hAnsi="宋体" w:cs="宋体" w:eastAsia="宋体" w:hint="default"/>
                <w:sz w:val="18"/>
                <w:szCs w:val="18"/>
              </w:rPr>
              <w:t>层以及萝岗基建土地</w:t>
            </w:r>
          </w:p>
        </w:tc>
        <w:tc>
          <w:tcPr>
            <w:tcW w:w="2127"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85"/>
              <w:jc w:val="right"/>
              <w:rPr>
                <w:rFonts w:ascii="Times New Roman" w:hAnsi="Times New Roman" w:cs="Times New Roman" w:eastAsia="Times New Roman" w:hint="default"/>
                <w:sz w:val="18"/>
                <w:szCs w:val="18"/>
              </w:rPr>
            </w:pPr>
            <w:r>
              <w:rPr>
                <w:rFonts w:ascii="Times New Roman"/>
                <w:sz w:val="18"/>
              </w:rPr>
              <w:t>2015-5-12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2018-5-11</w:t>
            </w:r>
          </w:p>
        </w:tc>
      </w:tr>
      <w:tr>
        <w:trPr>
          <w:trHeight w:val="4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天河北支行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80,014,286.46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Times New Roman" w:hAnsi="Times New Roman" w:cs="Times New Roman" w:eastAsia="Times New Roman" w:hint="default"/>
                <w:sz w:val="18"/>
                <w:szCs w:val="18"/>
              </w:rPr>
              <w:t>16</w:t>
            </w:r>
            <w:r>
              <w:rPr>
                <w:rFonts w:ascii="宋体" w:hAnsi="宋体" w:cs="宋体" w:eastAsia="宋体" w:hint="default"/>
                <w:sz w:val="18"/>
                <w:szCs w:val="18"/>
              </w:rPr>
              <w:t>号地</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下</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-2</w:t>
            </w:r>
            <w:r>
              <w:rPr>
                <w:rFonts w:ascii="宋体" w:hAnsi="宋体" w:cs="宋体" w:eastAsia="宋体" w:hint="default"/>
                <w:sz w:val="18"/>
                <w:szCs w:val="18"/>
              </w:rPr>
              <w:t>层以及萝岗基建土地</w:t>
            </w:r>
          </w:p>
        </w:tc>
        <w:tc>
          <w:tcPr>
            <w:tcW w:w="2127" w:type="dxa"/>
            <w:vMerge/>
            <w:tcBorders>
              <w:left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85"/>
              <w:jc w:val="right"/>
              <w:rPr>
                <w:rFonts w:ascii="Times New Roman" w:hAnsi="Times New Roman" w:cs="Times New Roman" w:eastAsia="Times New Roman" w:hint="default"/>
                <w:sz w:val="18"/>
                <w:szCs w:val="18"/>
              </w:rPr>
            </w:pPr>
            <w:r>
              <w:rPr>
                <w:rFonts w:ascii="Times New Roman"/>
                <w:sz w:val="18"/>
              </w:rPr>
              <w:t>2015-5-12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47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交通银行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天河北支行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25,420,000.00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广州市天河区天慧路</w:t>
            </w:r>
            <w:r>
              <w:rPr>
                <w:rFonts w:ascii="Times New Roman" w:hAnsi="Times New Roman" w:cs="Times New Roman" w:eastAsia="Times New Roman" w:hint="default"/>
                <w:sz w:val="18"/>
                <w:szCs w:val="18"/>
              </w:rPr>
              <w:t>16</w:t>
            </w:r>
            <w:r>
              <w:rPr>
                <w:rFonts w:ascii="宋体" w:hAnsi="宋体" w:cs="宋体" w:eastAsia="宋体" w:hint="default"/>
                <w:sz w:val="18"/>
                <w:szCs w:val="18"/>
              </w:rPr>
              <w:t>号地</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下</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-2</w:t>
            </w:r>
            <w:r>
              <w:rPr>
                <w:rFonts w:ascii="宋体" w:hAnsi="宋体" w:cs="宋体" w:eastAsia="宋体" w:hint="default"/>
                <w:sz w:val="18"/>
                <w:szCs w:val="18"/>
              </w:rPr>
              <w:t>层以及萝岗基建土地</w:t>
            </w:r>
          </w:p>
        </w:tc>
        <w:tc>
          <w:tcPr>
            <w:tcW w:w="2127"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0"/>
              <w:jc w:val="right"/>
              <w:rPr>
                <w:rFonts w:ascii="Times New Roman" w:hAnsi="Times New Roman" w:cs="Times New Roman" w:eastAsia="Times New Roman" w:hint="default"/>
                <w:sz w:val="18"/>
                <w:szCs w:val="18"/>
              </w:rPr>
            </w:pPr>
            <w:r>
              <w:rPr>
                <w:rFonts w:ascii="Times New Roman"/>
                <w:sz w:val="18"/>
              </w:rPr>
              <w:t>2015-3-6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sz w:val="18"/>
              </w:rPr>
              <w:t>2023-3-5</w:t>
            </w:r>
          </w:p>
        </w:tc>
      </w:tr>
      <w:tr>
        <w:trPr>
          <w:trHeight w:val="42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185,044,286.46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75"/>
        <w:ind w:left="0" w:right="1131"/>
        <w:jc w:val="right"/>
        <w:rPr>
          <w:rFonts w:ascii="Times New Roman" w:hAnsi="Times New Roman" w:cs="Times New Roman" w:eastAsia="Times New Roman" w:hint="default"/>
        </w:rPr>
      </w:pPr>
      <w:r>
        <w:rPr/>
        <w:t>公司向交通银行天河北支行借入的借款金额为</w:t>
      </w:r>
      <w:r>
        <w:rPr>
          <w:spacing w:val="-54"/>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0,000,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3"/>
        </w:rPr>
        <w:t> </w:t>
      </w:r>
      <w:r>
        <w:rPr/>
        <w:t>元</w:t>
      </w:r>
      <w:r>
        <w:rPr>
          <w:spacing w:val="-105"/>
        </w:rPr>
        <w:t>，</w:t>
      </w:r>
      <w:r>
        <w:rPr/>
        <w:t>借款期</w:t>
      </w:r>
      <w:r>
        <w:rPr>
          <w:spacing w:val="-2"/>
        </w:rPr>
        <w:t>限</w:t>
      </w:r>
      <w:r>
        <w:rPr/>
        <w:t>为</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日至</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p>
    <w:p>
      <w:pPr>
        <w:pStyle w:val="BodyText"/>
        <w:spacing w:line="240" w:lineRule="auto" w:before="109"/>
        <w:ind w:right="0"/>
        <w:jc w:val="left"/>
      </w:pPr>
      <w:r>
        <w:rPr/>
        <w:t>年</w:t>
      </w:r>
      <w:r>
        <w:rPr>
          <w:spacing w:val="-53"/>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spacing w:val="-3"/>
        </w:rPr>
        <w:t>日的抵押借款中，于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日已偿还</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4"/>
        </w:rPr>
        <w:t>万元。按照合同约定，分别于</w:t>
      </w:r>
      <w:r>
        <w:rPr>
          <w:spacing w:val="-52"/>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p>
    <w:p>
      <w:pPr>
        <w:pStyle w:val="BodyText"/>
        <w:spacing w:line="240" w:lineRule="auto" w:before="110"/>
        <w:ind w:left="1134"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日和</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日偿还</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w:t>
      </w:r>
    </w:p>
    <w:p>
      <w:pPr>
        <w:pStyle w:val="BodyText"/>
        <w:spacing w:line="240" w:lineRule="auto" w:before="109"/>
        <w:ind w:right="0"/>
        <w:jc w:val="left"/>
      </w:pPr>
      <w:r>
        <w:rPr/>
        <w:t>将于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年应偿还的借款调整至一年内到期的非流动负债列示。</w:t>
      </w:r>
    </w:p>
    <w:p>
      <w:pPr>
        <w:spacing w:line="240" w:lineRule="auto" w:before="11"/>
        <w:rPr>
          <w:rFonts w:ascii="宋体" w:hAnsi="宋体" w:cs="宋体" w:eastAsia="宋体" w:hint="default"/>
          <w:sz w:val="22"/>
          <w:szCs w:val="22"/>
        </w:rPr>
      </w:pPr>
    </w:p>
    <w:p>
      <w:pPr>
        <w:pStyle w:val="Heading3"/>
        <w:spacing w:line="240" w:lineRule="auto"/>
        <w:ind w:left="1133" w:right="0"/>
        <w:jc w:val="left"/>
        <w:rPr>
          <w:b w:val="0"/>
          <w:bCs w:val="0"/>
        </w:rPr>
      </w:pPr>
      <w:bookmarkStart w:name="28、递延收益" w:id="298"/>
      <w:bookmarkEnd w:id="298"/>
      <w:r>
        <w:rPr>
          <w:b w:val="0"/>
          <w:bCs w:val="0"/>
        </w:rPr>
      </w:r>
      <w:r>
        <w:rPr>
          <w:rFonts w:ascii="Times New Roman" w:hAnsi="Times New Roman" w:cs="Times New Roman" w:eastAsia="Times New Roman" w:hint="default"/>
        </w:rPr>
        <w:t>28</w:t>
      </w:r>
      <w:r>
        <w:rPr/>
        <w:t>、递延收益</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42,234,419.72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27,981,964.97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20,851,379.35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49,365,005.34</w:t>
            </w:r>
          </w:p>
        </w:tc>
        <w:tc>
          <w:tcPr>
            <w:tcW w:w="1595"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42,234,419.72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27,981,964.97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20,851,379.35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49,365,005.34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8"/>
          <w:szCs w:val="8"/>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6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553"/>
        <w:gridCol w:w="1134"/>
        <w:gridCol w:w="1134"/>
        <w:gridCol w:w="1134"/>
        <w:gridCol w:w="1134"/>
        <w:gridCol w:w="1116"/>
        <w:gridCol w:w="1367"/>
      </w:tblGrid>
      <w:tr>
        <w:trPr>
          <w:trHeight w:val="791"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1" w:right="110"/>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网络安全云平台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 w:right="0"/>
              <w:jc w:val="left"/>
              <w:rPr>
                <w:rFonts w:ascii="Times New Roman" w:hAnsi="Times New Roman" w:cs="Times New Roman" w:eastAsia="Times New Roman" w:hint="default"/>
                <w:sz w:val="18"/>
                <w:szCs w:val="18"/>
              </w:rPr>
            </w:pPr>
            <w:r>
              <w:rPr>
                <w:rFonts w:ascii="Times New Roman"/>
                <w:sz w:val="18"/>
              </w:rPr>
              <w:t>2,800,000.00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7" w:right="0"/>
              <w:jc w:val="left"/>
              <w:rPr>
                <w:rFonts w:ascii="Times New Roman" w:hAnsi="Times New Roman" w:cs="Times New Roman" w:eastAsia="Times New Roman" w:hint="default"/>
                <w:sz w:val="18"/>
                <w:szCs w:val="18"/>
              </w:rPr>
            </w:pPr>
            <w:r>
              <w:rPr>
                <w:rFonts w:ascii="Times New Roman"/>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6" w:right="0"/>
              <w:jc w:val="left"/>
              <w:rPr>
                <w:rFonts w:ascii="Times New Roman" w:hAnsi="Times New Roman" w:cs="Times New Roman" w:eastAsia="Times New Roman" w:hint="default"/>
                <w:sz w:val="18"/>
                <w:szCs w:val="18"/>
              </w:rPr>
            </w:pPr>
            <w:r>
              <w:rPr>
                <w:rFonts w:ascii="Times New Roman"/>
                <w:sz w:val="18"/>
              </w:rPr>
              <w:t>6,244,615.38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0" w:right="0"/>
              <w:jc w:val="left"/>
              <w:rPr>
                <w:rFonts w:ascii="Times New Roman" w:hAnsi="Times New Roman" w:cs="Times New Roman" w:eastAsia="Times New Roman" w:hint="default"/>
                <w:sz w:val="18"/>
                <w:szCs w:val="18"/>
              </w:rPr>
            </w:pPr>
            <w:r>
              <w:rPr>
                <w:rFonts w:ascii="Times New Roman"/>
                <w:sz w:val="18"/>
              </w:rPr>
              <w:t>900,000.00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1,730,349.65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7" w:right="0"/>
              <w:jc w:val="left"/>
              <w:rPr>
                <w:rFonts w:ascii="Times New Roman" w:hAnsi="Times New Roman" w:cs="Times New Roman" w:eastAsia="Times New Roman" w:hint="default"/>
                <w:sz w:val="18"/>
                <w:szCs w:val="18"/>
              </w:rPr>
            </w:pPr>
            <w:r>
              <w:rPr>
                <w:rFonts w:ascii="Times New Roman"/>
                <w:sz w:val="18"/>
              </w:rPr>
              <w:t>5,414,265.73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r>
        <w:rPr/>
        <w:pict>
          <v:group style="position:absolute;margin-left:184.580002pt;margin-top:297.079987pt;width:56.25pt;height:21.45pt;mso-position-horizontal-relative:page;mso-position-vertical-relative:page;z-index:-858376" coordorigin="3692,5942" coordsize="1125,429">
            <v:group style="position:absolute;left:3692;top:5942;width:1125;height:131" coordorigin="3692,5942" coordsize="1125,131">
              <v:shape style="position:absolute;left:3692;top:5942;width:1125;height:131" coordorigin="3692,5942" coordsize="1125,131" path="m3692,6072l4816,6072,4816,5942,3692,5942,3692,6072xe" filled="true" fillcolor="#ffffff" stroked="false">
                <v:path arrowok="t"/>
                <v:fill type="solid"/>
              </v:shape>
            </v:group>
            <v:group style="position:absolute;left:3703;top:6072;width:2;height:287" coordorigin="3703,6072" coordsize="2,287">
              <v:shape style="position:absolute;left:3703;top:6072;width:2;height:287" coordorigin="3703,6072" coordsize="0,287" path="m3703,6072l3703,6359e" filled="false" stroked="true" strokeweight="1.140pt" strokecolor="#ffffff">
                <v:path arrowok="t"/>
              </v:shape>
            </v:group>
            <v:group style="position:absolute;left:3714;top:6072;width:1078;height:287" coordorigin="3714,6072" coordsize="1078,287">
              <v:shape style="position:absolute;left:3714;top:6072;width:1078;height:287" coordorigin="3714,6072" coordsize="1078,287" path="m3714,6359l4792,6359,4792,6072,3714,6072,3714,6359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553"/>
        <w:gridCol w:w="1134"/>
        <w:gridCol w:w="1134"/>
        <w:gridCol w:w="1134"/>
        <w:gridCol w:w="1134"/>
        <w:gridCol w:w="1116"/>
        <w:gridCol w:w="1367"/>
      </w:tblGrid>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高新技术产业发展项目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8"/>
              <w:jc w:val="left"/>
              <w:rPr>
                <w:rFonts w:ascii="宋体" w:hAnsi="宋体" w:cs="宋体" w:eastAsia="宋体" w:hint="default"/>
                <w:sz w:val="18"/>
                <w:szCs w:val="18"/>
              </w:rPr>
            </w:pPr>
            <w:r>
              <w:rPr>
                <w:rFonts w:ascii="宋体" w:hAnsi="宋体" w:cs="宋体" w:eastAsia="宋体" w:hint="default"/>
                <w:sz w:val="18"/>
                <w:szCs w:val="18"/>
              </w:rPr>
              <w:t>计算的网络应用安全监测审计 平台产业化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3,533,333.34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2,733,333.34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8"/>
              <w:jc w:val="left"/>
              <w:rPr>
                <w:rFonts w:ascii="宋体" w:hAnsi="宋体" w:cs="宋体" w:eastAsia="宋体" w:hint="default"/>
                <w:sz w:val="18"/>
                <w:szCs w:val="18"/>
              </w:rPr>
            </w:pPr>
            <w:r>
              <w:rPr>
                <w:rFonts w:ascii="宋体" w:hAnsi="宋体" w:cs="宋体" w:eastAsia="宋体" w:hint="default"/>
                <w:sz w:val="18"/>
                <w:szCs w:val="18"/>
              </w:rPr>
              <w:t>基于智能分析的安全运营中心 平台（</w:t>
            </w:r>
            <w:r>
              <w:rPr>
                <w:rFonts w:ascii="Times New Roman" w:hAnsi="Times New Roman" w:cs="Times New Roman" w:eastAsia="Times New Roman" w:hint="default"/>
                <w:sz w:val="18"/>
                <w:szCs w:val="18"/>
              </w:rPr>
              <w:t>soc</w:t>
            </w:r>
            <w:r>
              <w:rPr>
                <w:rFonts w:ascii="宋体" w:hAnsi="宋体" w:cs="宋体" w:eastAsia="宋体" w:hint="default"/>
                <w:sz w:val="18"/>
                <w:szCs w:val="18"/>
              </w:rPr>
              <w:t>）研发及产业化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系统开发及产业化项目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8"/>
              <w:jc w:val="left"/>
              <w:rPr>
                <w:rFonts w:ascii="宋体" w:hAnsi="宋体" w:cs="宋体" w:eastAsia="宋体" w:hint="default"/>
                <w:sz w:val="18"/>
                <w:szCs w:val="18"/>
              </w:rPr>
            </w:pPr>
            <w:r>
              <w:rPr>
                <w:rFonts w:ascii="宋体" w:hAnsi="宋体" w:cs="宋体" w:eastAsia="宋体" w:hint="default"/>
                <w:sz w:val="18"/>
                <w:szCs w:val="18"/>
              </w:rPr>
              <w:t>省信息产业发展专项现代化信 息服务业项目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系统研究及产业化项目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5,001,833.33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2,498,166.67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广州市工程技术研究开发中心 专项项目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智慧城市专项项目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广州市创新型企业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18"/>
              <w:jc w:val="left"/>
              <w:rPr>
                <w:rFonts w:ascii="宋体" w:hAnsi="宋体" w:cs="宋体" w:eastAsia="宋体" w:hint="default"/>
                <w:sz w:val="18"/>
                <w:szCs w:val="18"/>
              </w:rPr>
            </w:pPr>
            <w:r>
              <w:rPr>
                <w:rFonts w:ascii="宋体" w:hAnsi="宋体" w:cs="宋体" w:eastAsia="宋体" w:hint="default"/>
                <w:sz w:val="18"/>
                <w:szCs w:val="18"/>
              </w:rPr>
              <w:t>智能分析的安全营运中心（</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平台研发及产业化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9"/>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8" w:lineRule="exact"/>
              <w:ind w:left="290" w:right="0"/>
              <w:jc w:val="lef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9"/>
              <w:jc w:val="left"/>
              <w:rPr>
                <w:rFonts w:ascii="宋体" w:hAnsi="宋体" w:cs="宋体" w:eastAsia="宋体" w:hint="default"/>
                <w:sz w:val="18"/>
                <w:szCs w:val="18"/>
              </w:rPr>
            </w:pPr>
            <w:r>
              <w:rPr>
                <w:rFonts w:ascii="宋体" w:hAnsi="宋体" w:cs="宋体" w:eastAsia="宋体" w:hint="default"/>
                <w:sz w:val="18"/>
                <w:szCs w:val="18"/>
              </w:rPr>
              <w:t>第四批战略新兴政银企合作专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蓝盾信息安全产业基地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1"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年省中小企业发展专项资 </w:t>
            </w:r>
            <w:r>
              <w:rPr>
                <w:rFonts w:ascii="宋体" w:hAnsi="宋体" w:cs="宋体" w:eastAsia="宋体" w:hint="default"/>
                <w:spacing w:val="-2"/>
                <w:sz w:val="18"/>
                <w:szCs w:val="18"/>
              </w:rPr>
              <w:t>金（信息安全创新产业化示范基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关于广东省省部产学研合作专 </w:t>
            </w:r>
            <w:r>
              <w:rPr>
                <w:rFonts w:ascii="宋体" w:hAnsi="宋体" w:cs="宋体" w:eastAsia="宋体" w:hint="default"/>
                <w:spacing w:val="-2"/>
                <w:sz w:val="18"/>
                <w:szCs w:val="18"/>
              </w:rPr>
              <w:t>项资金、广东省中科院全面战略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合作专项资金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年度省级科技计划项目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0"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22"/>
              <w:jc w:val="left"/>
              <w:rPr>
                <w:rFonts w:ascii="宋体" w:hAnsi="宋体" w:cs="宋体" w:eastAsia="宋体" w:hint="default"/>
                <w:sz w:val="18"/>
                <w:szCs w:val="18"/>
              </w:rPr>
            </w:pPr>
            <w:r>
              <w:rPr>
                <w:rFonts w:ascii="宋体" w:hAnsi="宋体" w:cs="宋体" w:eastAsia="宋体" w:hint="default"/>
                <w:spacing w:val="-2"/>
                <w:sz w:val="18"/>
                <w:szCs w:val="18"/>
              </w:rPr>
              <w:t>第三、第四批省战略性新兴产业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政银企合作专项资金项目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年度贴息项目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133"/>
              <w:jc w:val="left"/>
              <w:rPr>
                <w:rFonts w:ascii="宋体" w:hAnsi="宋体" w:cs="宋体" w:eastAsia="宋体" w:hint="default"/>
                <w:sz w:val="18"/>
                <w:szCs w:val="18"/>
              </w:rPr>
            </w:pPr>
            <w:r>
              <w:rPr>
                <w:rFonts w:ascii="宋体" w:hAnsi="宋体" w:cs="宋体" w:eastAsia="宋体" w:hint="default"/>
                <w:sz w:val="18"/>
                <w:szCs w:val="18"/>
              </w:rPr>
              <w:t>市工信委市财政局－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 民营企业奖励专项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13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年度广州市科学技术奖拟 奖项目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穗科创字</w:t>
            </w:r>
            <w:r>
              <w:rPr>
                <w:rFonts w:ascii="Times New Roman" w:hAnsi="Times New Roman" w:cs="Times New Roman" w:eastAsia="Times New Roman" w:hint="default"/>
                <w:sz w:val="18"/>
                <w:szCs w:val="18"/>
              </w:rPr>
              <w:t>[2015]131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号市下达</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 盾信息</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704,088.34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795,911.66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创 新体系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知 识产权</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年工业转型升级专项资金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区经贸局中小企业扶持发展专 项资金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知识产权证书奖励申请</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8"/>
              <w:jc w:val="left"/>
              <w:rPr>
                <w:rFonts w:ascii="宋体" w:hAnsi="宋体" w:cs="宋体" w:eastAsia="宋体" w:hint="default"/>
                <w:sz w:val="18"/>
                <w:szCs w:val="18"/>
              </w:rPr>
            </w:pPr>
            <w:r>
              <w:rPr>
                <w:rFonts w:ascii="宋体" w:hAnsi="宋体" w:cs="宋体" w:eastAsia="宋体" w:hint="default"/>
                <w:sz w:val="18"/>
                <w:szCs w:val="18"/>
              </w:rPr>
              <w:t>广东省网络安全应急工程结算 研究中心</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区科信局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度天河区科技计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29" w:type="dxa"/>
        <w:tblLayout w:type="fixed"/>
        <w:tblCellMar>
          <w:top w:w="0" w:type="dxa"/>
          <w:left w:w="0" w:type="dxa"/>
          <w:bottom w:w="0" w:type="dxa"/>
          <w:right w:w="0" w:type="dxa"/>
        </w:tblCellMar>
        <w:tblLook w:val="01E0"/>
      </w:tblPr>
      <w:tblGrid>
        <w:gridCol w:w="2553"/>
        <w:gridCol w:w="1134"/>
        <w:gridCol w:w="1134"/>
        <w:gridCol w:w="1134"/>
        <w:gridCol w:w="1134"/>
        <w:gridCol w:w="1116"/>
        <w:gridCol w:w="1367"/>
      </w:tblGrid>
      <w:tr>
        <w:trPr>
          <w:trHeight w:val="28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划项目经费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19"/>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r>
              <w:rPr>
                <w:rFonts w:ascii="Times New Roman" w:hAnsi="Times New Roman" w:cs="Times New Roman" w:eastAsia="Times New Roman" w:hint="default"/>
                <w:sz w:val="18"/>
                <w:szCs w:val="18"/>
              </w:rPr>
              <w:t>-</w:t>
            </w:r>
            <w:r>
              <w:rPr>
                <w:rFonts w:ascii="宋体" w:hAnsi="宋体" w:cs="宋体" w:eastAsia="宋体" w:hint="default"/>
                <w:sz w:val="18"/>
                <w:szCs w:val="18"/>
              </w:rPr>
              <w:t>广 州市财政局国库支付分局</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19"/>
              <w:jc w:val="left"/>
              <w:rPr>
                <w:rFonts w:ascii="宋体" w:hAnsi="宋体" w:cs="宋体" w:eastAsia="宋体" w:hint="default"/>
                <w:sz w:val="18"/>
                <w:szCs w:val="18"/>
              </w:rPr>
            </w:pPr>
            <w:r>
              <w:rPr>
                <w:rFonts w:ascii="宋体" w:hAnsi="宋体" w:cs="宋体" w:eastAsia="宋体" w:hint="default"/>
                <w:sz w:val="18"/>
                <w:szCs w:val="18"/>
              </w:rPr>
              <w:t>专利资助</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广州市财政局国库支 付分局</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78"/>
              <w:jc w:val="left"/>
              <w:rPr>
                <w:rFonts w:ascii="宋体" w:hAnsi="宋体" w:cs="宋体" w:eastAsia="宋体" w:hint="default"/>
                <w:sz w:val="18"/>
                <w:szCs w:val="18"/>
              </w:rPr>
            </w:pPr>
            <w:r>
              <w:rPr>
                <w:rFonts w:ascii="宋体" w:hAnsi="宋体" w:cs="宋体" w:eastAsia="宋体" w:hint="default"/>
                <w:sz w:val="18"/>
                <w:szCs w:val="18"/>
              </w:rPr>
              <w:t>面向下一代互联网的异构协同 式安全管理平台研究及产业化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66,500.00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66,500.00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8"/>
              <w:jc w:val="left"/>
              <w:rPr>
                <w:rFonts w:ascii="宋体" w:hAnsi="宋体" w:cs="宋体" w:eastAsia="宋体" w:hint="default"/>
                <w:sz w:val="18"/>
                <w:szCs w:val="18"/>
              </w:rPr>
            </w:pPr>
            <w:r>
              <w:rPr>
                <w:rFonts w:ascii="宋体" w:hAnsi="宋体" w:cs="宋体" w:eastAsia="宋体" w:hint="default"/>
                <w:sz w:val="18"/>
                <w:szCs w:val="18"/>
              </w:rPr>
              <w:t>网络在线教育互动一体化综合 培训服务平台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606,471.00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8,423.21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598,047.79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9"/>
              <w:jc w:val="left"/>
              <w:rPr>
                <w:rFonts w:ascii="宋体" w:hAnsi="宋体" w:cs="宋体" w:eastAsia="宋体" w:hint="default"/>
                <w:sz w:val="18"/>
                <w:szCs w:val="18"/>
              </w:rPr>
            </w:pPr>
            <w:r>
              <w:rPr>
                <w:rFonts w:ascii="宋体" w:hAnsi="宋体" w:cs="宋体" w:eastAsia="宋体" w:hint="default"/>
                <w:sz w:val="18"/>
                <w:szCs w:val="18"/>
              </w:rPr>
              <w:t>广州开发区科信局第一季度知 识产权资助费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8"/>
              <w:jc w:val="left"/>
              <w:rPr>
                <w:rFonts w:ascii="宋体" w:hAnsi="宋体" w:cs="宋体" w:eastAsia="宋体" w:hint="default"/>
                <w:sz w:val="18"/>
                <w:szCs w:val="18"/>
              </w:rPr>
            </w:pPr>
            <w:r>
              <w:rPr>
                <w:rFonts w:ascii="宋体" w:hAnsi="宋体" w:cs="宋体" w:eastAsia="宋体" w:hint="default"/>
                <w:sz w:val="18"/>
                <w:szCs w:val="18"/>
              </w:rPr>
              <w:t>广州市开发区创新知识产权第 三季度知识产权资助费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广州开发区科技创新知识产权</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年高企培育补贴款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221,800.00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8"/>
              <w:jc w:val="left"/>
              <w:rPr>
                <w:rFonts w:ascii="宋体" w:hAnsi="宋体" w:cs="宋体" w:eastAsia="宋体" w:hint="default"/>
                <w:sz w:val="18"/>
                <w:szCs w:val="18"/>
              </w:rPr>
            </w:pPr>
            <w:r>
              <w:rPr>
                <w:rFonts w:ascii="宋体" w:hAnsi="宋体" w:cs="宋体" w:eastAsia="宋体" w:hint="default"/>
                <w:sz w:val="18"/>
                <w:szCs w:val="18"/>
              </w:rPr>
              <w:t>广州开发区创新知识产权研发 投入后补助资金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8"/>
              <w:jc w:val="left"/>
              <w:rPr>
                <w:rFonts w:ascii="宋体" w:hAnsi="宋体" w:cs="宋体" w:eastAsia="宋体" w:hint="default"/>
                <w:sz w:val="18"/>
                <w:szCs w:val="18"/>
              </w:rPr>
            </w:pPr>
            <w:r>
              <w:rPr>
                <w:rFonts w:ascii="宋体" w:hAnsi="宋体" w:cs="宋体" w:eastAsia="宋体" w:hint="default"/>
                <w:sz w:val="18"/>
                <w:szCs w:val="18"/>
              </w:rPr>
              <w:t>具有自断弧装置的电源浪涌保 护器的研制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9"/>
              <w:jc w:val="left"/>
              <w:rPr>
                <w:rFonts w:ascii="宋体" w:hAnsi="宋体" w:cs="宋体" w:eastAsia="宋体" w:hint="default"/>
                <w:sz w:val="18"/>
                <w:szCs w:val="18"/>
              </w:rPr>
            </w:pPr>
            <w:r>
              <w:rPr>
                <w:rFonts w:ascii="宋体" w:hAnsi="宋体" w:cs="宋体" w:eastAsia="宋体" w:hint="default"/>
                <w:sz w:val="18"/>
                <w:szCs w:val="18"/>
              </w:rPr>
              <w:t>安全型防雷过压保护关键器件 的研制</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科技创新资金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政府土地返还款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64,424.85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4,417,705.00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4,353,280.15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工贸发展款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年度东城科技奖励</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88"/>
              <w:jc w:val="left"/>
              <w:rPr>
                <w:rFonts w:ascii="宋体" w:hAnsi="宋体" w:cs="宋体" w:eastAsia="宋体" w:hint="default"/>
                <w:sz w:val="18"/>
                <w:szCs w:val="18"/>
              </w:rPr>
            </w:pPr>
            <w:r>
              <w:rPr>
                <w:rFonts w:ascii="宋体" w:hAnsi="宋体" w:cs="宋体" w:eastAsia="宋体" w:hint="default"/>
                <w:sz w:val="18"/>
                <w:szCs w:val="18"/>
              </w:rPr>
              <w:t>东莞市科学技术局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 补助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地税奖金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23,578.92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23,578.92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13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年创新型企业与科技小巨 人专项项目经费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78"/>
              <w:jc w:val="left"/>
              <w:rPr>
                <w:rFonts w:ascii="宋体" w:hAnsi="宋体" w:cs="宋体" w:eastAsia="宋体" w:hint="default"/>
                <w:sz w:val="18"/>
                <w:szCs w:val="18"/>
              </w:rPr>
            </w:pPr>
            <w:r>
              <w:rPr>
                <w:rFonts w:ascii="宋体" w:hAnsi="宋体" w:cs="宋体" w:eastAsia="宋体" w:hint="default"/>
                <w:sz w:val="18"/>
                <w:szCs w:val="18"/>
              </w:rPr>
              <w:t>广州市越秀区科技工业和信息 化局优秀企业奖励金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78"/>
              <w:jc w:val="left"/>
              <w:rPr>
                <w:rFonts w:ascii="宋体" w:hAnsi="宋体" w:cs="宋体" w:eastAsia="宋体" w:hint="default"/>
                <w:sz w:val="18"/>
                <w:szCs w:val="18"/>
              </w:rPr>
            </w:pPr>
            <w:r>
              <w:rPr>
                <w:rFonts w:ascii="宋体" w:hAnsi="宋体" w:cs="宋体" w:eastAsia="宋体" w:hint="default"/>
                <w:sz w:val="18"/>
                <w:szCs w:val="18"/>
              </w:rPr>
              <w:t>广州市社会保险基金管理中心 工伤奖励金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33"/>
              <w:jc w:val="left"/>
              <w:rPr>
                <w:rFonts w:ascii="宋体" w:hAnsi="宋体" w:cs="宋体" w:eastAsia="宋体" w:hint="default"/>
                <w:sz w:val="18"/>
                <w:szCs w:val="18"/>
              </w:rPr>
            </w:pPr>
            <w:r>
              <w:rPr>
                <w:rFonts w:ascii="宋体" w:hAnsi="宋体" w:cs="宋体" w:eastAsia="宋体" w:hint="default"/>
                <w:sz w:val="18"/>
                <w:szCs w:val="18"/>
              </w:rPr>
              <w:t>广州市越秀区财政国库支付中 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年研发费用后补助）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55,341.08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55,341.08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42,234,419.72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22,714,259.97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20,851,379.35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5,267,705.00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49,365,005.34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Times New Roman" w:hAnsi="Times New Roman" w:cs="Times New Roman" w:eastAsia="Times New Roman" w:hint="default"/>
          <w:sz w:val="19"/>
          <w:szCs w:val="19"/>
        </w:rPr>
      </w:pPr>
    </w:p>
    <w:p>
      <w:pPr>
        <w:pStyle w:val="Heading3"/>
        <w:spacing w:line="240" w:lineRule="auto" w:before="35"/>
        <w:ind w:right="0"/>
        <w:jc w:val="left"/>
        <w:rPr>
          <w:b w:val="0"/>
          <w:bCs w:val="0"/>
        </w:rPr>
      </w:pPr>
      <w:bookmarkStart w:name="29、股本" w:id="299"/>
      <w:bookmarkEnd w:id="299"/>
      <w:r>
        <w:rPr>
          <w:b w:val="0"/>
          <w:bCs w:val="0"/>
        </w:rPr>
      </w:r>
      <w:r>
        <w:rPr>
          <w:rFonts w:ascii="Times New Roman" w:hAnsi="Times New Roman" w:cs="Times New Roman" w:eastAsia="Times New Roman" w:hint="default"/>
        </w:rPr>
        <w:t>29</w:t>
      </w:r>
      <w:r>
        <w:rPr/>
        <w:t>、股本</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17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17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sz w:val="18"/>
              </w:rPr>
              <w:t>196,000,000.00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Times New Roman" w:hAnsi="Times New Roman" w:cs="Times New Roman" w:eastAsia="Times New Roman" w:hint="default"/>
                <w:sz w:val="18"/>
                <w:szCs w:val="18"/>
              </w:rPr>
            </w:pPr>
            <w:r>
              <w:rPr>
                <w:rFonts w:ascii="Times New Roman"/>
                <w:sz w:val="18"/>
              </w:rPr>
              <w:t>24,610,235.00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 w:right="0"/>
              <w:jc w:val="left"/>
              <w:rPr>
                <w:rFonts w:ascii="Times New Roman" w:hAnsi="Times New Roman" w:cs="Times New Roman" w:eastAsia="Times New Roman" w:hint="default"/>
                <w:sz w:val="18"/>
                <w:szCs w:val="18"/>
              </w:rPr>
            </w:pPr>
            <w:r>
              <w:rPr>
                <w:rFonts w:ascii="Times New Roman"/>
                <w:sz w:val="18"/>
              </w:rPr>
              <w:t>48,534,252.00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Times New Roman" w:hAnsi="Times New Roman" w:cs="Times New Roman" w:eastAsia="Times New Roman" w:hint="default"/>
                <w:sz w:val="18"/>
                <w:szCs w:val="18"/>
              </w:rPr>
            </w:pPr>
            <w:r>
              <w:rPr>
                <w:rFonts w:ascii="Times New Roman"/>
                <w:sz w:val="18"/>
              </w:rPr>
              <w:t>701,540,547.00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left"/>
              <w:rPr>
                <w:rFonts w:ascii="Times New Roman" w:hAnsi="Times New Roman" w:cs="Times New Roman" w:eastAsia="Times New Roman" w:hint="default"/>
                <w:sz w:val="18"/>
                <w:szCs w:val="18"/>
              </w:rPr>
            </w:pPr>
            <w:r>
              <w:rPr>
                <w:rFonts w:ascii="Times New Roman"/>
                <w:sz w:val="18"/>
              </w:rPr>
              <w:t>774,685,034.00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left"/>
              <w:rPr>
                <w:rFonts w:ascii="Times New Roman" w:hAnsi="Times New Roman" w:cs="Times New Roman" w:eastAsia="Times New Roman" w:hint="default"/>
                <w:sz w:val="18"/>
                <w:szCs w:val="18"/>
              </w:rPr>
            </w:pPr>
            <w:r>
              <w:rPr>
                <w:rFonts w:ascii="Times New Roman"/>
                <w:sz w:val="18"/>
              </w:rPr>
              <w:t>970,685,034.00</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30、资本公积" w:id="300"/>
      <w:bookmarkEnd w:id="300"/>
      <w:r>
        <w:rPr>
          <w:b w:val="0"/>
          <w:bCs w:val="0"/>
        </w:rPr>
      </w:r>
      <w:r>
        <w:rPr>
          <w:rFonts w:ascii="Times New Roman" w:hAnsi="Times New Roman" w:cs="Times New Roman" w:eastAsia="Times New Roman" w:hint="default"/>
        </w:rPr>
        <w:t>30</w:t>
      </w:r>
      <w:r>
        <w:rPr/>
        <w:t>、资本公积</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399,456,484.31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701,540,547.00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10,159,168.98</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312,243,231.67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399,456,484.31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701,540,547.00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10,159,168.98</w:t>
            </w:r>
          </w:p>
        </w:tc>
      </w:tr>
    </w:tbl>
    <w:p>
      <w:pPr>
        <w:pStyle w:val="BodyText"/>
        <w:spacing w:line="348" w:lineRule="auto" w:before="75"/>
        <w:ind w:left="1554" w:right="1150" w:hanging="420"/>
        <w:jc w:val="left"/>
      </w:pPr>
      <w:r>
        <w:rPr/>
        <w:t>其他说明，包括本期增减变动情况、变动原因说明：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日向特定投资者非公开发行普通股（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24,610,235</w:t>
      </w:r>
      <w:r>
        <w:rPr/>
        <w:t>股，每股面值</w:t>
      </w:r>
      <w:r>
        <w:rPr>
          <w:rFonts w:ascii="Times New Roman" w:hAnsi="Times New Roman" w:cs="Times New Roman" w:eastAsia="Times New Roman" w:hint="default"/>
        </w:rPr>
        <w:t>1</w:t>
      </w:r>
      <w:r>
        <w:rPr/>
        <w:t>元，每股</w:t>
      </w:r>
    </w:p>
    <w:p>
      <w:pPr>
        <w:pStyle w:val="BodyText"/>
        <w:spacing w:line="240" w:lineRule="auto" w:before="4"/>
        <w:ind w:left="1134" w:right="0"/>
        <w:jc w:val="left"/>
      </w:pPr>
      <w:r>
        <w:rPr/>
        <w:t>发行价人民币</w:t>
      </w:r>
      <w:r>
        <w:rPr>
          <w:rFonts w:ascii="Times New Roman" w:hAnsi="Times New Roman" w:cs="Times New Roman" w:eastAsia="Times New Roman" w:hint="default"/>
        </w:rPr>
        <w:t>17.96</w:t>
      </w:r>
      <w:r>
        <w:rPr/>
        <w:t>元</w:t>
      </w:r>
      <w:r>
        <w:rPr>
          <w:rFonts w:ascii="Times New Roman" w:hAnsi="Times New Roman" w:cs="Times New Roman" w:eastAsia="Times New Roman" w:hint="default"/>
        </w:rPr>
        <w:t>,</w:t>
      </w:r>
      <w:r>
        <w:rPr/>
        <w:t>用于购买广州华炜科技有限公司</w:t>
      </w:r>
      <w:r>
        <w:rPr>
          <w:rFonts w:ascii="Times New Roman" w:hAnsi="Times New Roman" w:cs="Times New Roman" w:eastAsia="Times New Roman" w:hint="default"/>
        </w:rPr>
        <w:t>100.00%</w:t>
      </w:r>
      <w:r>
        <w:rPr/>
        <w:t>股权并募集配套资金，形成资本公积</w:t>
      </w:r>
    </w:p>
    <w:p>
      <w:pPr>
        <w:pStyle w:val="BodyText"/>
        <w:spacing w:line="240" w:lineRule="auto" w:before="110"/>
        <w:ind w:right="0"/>
        <w:jc w:val="left"/>
      </w:pPr>
      <w:r>
        <w:rPr>
          <w:rFonts w:ascii="Times New Roman" w:hAnsi="Times New Roman" w:cs="Times New Roman" w:eastAsia="Times New Roman" w:hint="default"/>
        </w:rPr>
        <w:t>399,456,484.31</w:t>
      </w:r>
      <w:r>
        <w:rPr/>
        <w:t>元。</w:t>
      </w:r>
    </w:p>
    <w:p>
      <w:pPr>
        <w:pStyle w:val="BodyText"/>
        <w:spacing w:line="331" w:lineRule="auto" w:before="109"/>
        <w:ind w:right="0"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2014</w:t>
      </w:r>
      <w:r>
        <w:rPr/>
        <w:t>年度股东大会，审议通过了《公司</w:t>
      </w:r>
      <w:r>
        <w:rPr>
          <w:rFonts w:ascii="Times New Roman" w:hAnsi="Times New Roman" w:cs="Times New Roman" w:eastAsia="Times New Roman" w:hint="default"/>
        </w:rPr>
        <w:t>2014</w:t>
      </w:r>
      <w:r>
        <w:rPr/>
        <w:t>年年度利润分配预案》，以公司 </w:t>
      </w:r>
      <w:r>
        <w:rPr>
          <w:spacing w:val="-2"/>
        </w:rPr>
        <w:t>分红前总股本</w:t>
      </w:r>
      <w:r>
        <w:rPr>
          <w:rFonts w:ascii="Times New Roman" w:hAnsi="Times New Roman" w:cs="Times New Roman" w:eastAsia="Times New Roman" w:hint="default"/>
          <w:spacing w:val="-2"/>
        </w:rPr>
        <w:t>220,610,235</w:t>
      </w:r>
      <w:r>
        <w:rPr>
          <w:spacing w:val="-2"/>
        </w:rPr>
        <w:t>股为基数，向全体股东每</w:t>
      </w:r>
      <w:r>
        <w:rPr>
          <w:rFonts w:ascii="Times New Roman" w:hAnsi="Times New Roman" w:cs="Times New Roman" w:eastAsia="Times New Roman" w:hint="default"/>
          <w:spacing w:val="-2"/>
        </w:rPr>
        <w:t>10</w:t>
      </w:r>
      <w:r>
        <w:rPr>
          <w:spacing w:val="-2"/>
        </w:rPr>
        <w:t>股派现金股利</w:t>
      </w:r>
      <w:r>
        <w:rPr>
          <w:rFonts w:ascii="Times New Roman" w:hAnsi="Times New Roman" w:cs="Times New Roman" w:eastAsia="Times New Roman" w:hint="default"/>
          <w:spacing w:val="-2"/>
        </w:rPr>
        <w:t>0.1</w:t>
      </w:r>
      <w:r>
        <w:rPr>
          <w:spacing w:val="-2"/>
        </w:rPr>
        <w:t>元人民币（含税），同时，以资本公</w:t>
      </w:r>
      <w:r>
        <w:rPr>
          <w:spacing w:val="-77"/>
        </w:rPr>
        <w:t> </w:t>
      </w:r>
      <w:r>
        <w:rPr>
          <w:spacing w:val="-77"/>
        </w:rPr>
      </w:r>
      <w:r>
        <w:rPr/>
        <w:t>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股，减少资本公积</w:t>
      </w:r>
      <w:r>
        <w:rPr>
          <w:rFonts w:ascii="Times New Roman" w:hAnsi="Times New Roman" w:cs="Times New Roman" w:eastAsia="Times New Roman" w:hint="default"/>
        </w:rPr>
        <w:t>264,732,282.00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2015</w:t>
      </w:r>
      <w:r>
        <w:rPr/>
        <w:t>年第三次临 时股东大会，审议通过了《关于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2015</w:t>
      </w:r>
      <w:r>
        <w:rPr/>
        <w:t>年半年度利润分配预案</w:t>
      </w:r>
      <w:r>
        <w:rPr>
          <w:rFonts w:ascii="Times New Roman" w:hAnsi="Times New Roman" w:cs="Times New Roman" w:eastAsia="Times New Roman" w:hint="default"/>
        </w:rPr>
        <w:t>&gt;</w:t>
      </w:r>
      <w:r>
        <w:rPr/>
        <w:t>的议案》，以截至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 </w:t>
      </w:r>
      <w:r>
        <w:rPr>
          <w:spacing w:val="-2"/>
        </w:rPr>
        <w:t>总股本</w:t>
      </w:r>
      <w:r>
        <w:rPr>
          <w:rFonts w:ascii="Times New Roman" w:hAnsi="Times New Roman" w:cs="Times New Roman" w:eastAsia="Times New Roman" w:hint="default"/>
          <w:spacing w:val="-2"/>
        </w:rPr>
        <w:t>485,342,517</w:t>
      </w:r>
      <w:r>
        <w:rPr>
          <w:spacing w:val="-2"/>
        </w:rPr>
        <w:t>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1</w:t>
      </w:r>
      <w:r>
        <w:rPr>
          <w:spacing w:val="-2"/>
        </w:rPr>
        <w:t>股，派发现金红利</w:t>
      </w:r>
      <w:r>
        <w:rPr>
          <w:rFonts w:ascii="Times New Roman" w:hAnsi="Times New Roman" w:cs="Times New Roman" w:eastAsia="Times New Roman" w:hint="default"/>
          <w:spacing w:val="-2"/>
        </w:rPr>
        <w:t>0.25</w:t>
      </w:r>
      <w:r>
        <w:rPr>
          <w:spacing w:val="-2"/>
        </w:rPr>
        <w:t>元（含税），同时，以资本</w:t>
      </w:r>
      <w:r>
        <w:rPr>
          <w:spacing w:val="-76"/>
        </w:rPr>
        <w:t> </w:t>
      </w:r>
      <w:r>
        <w:rPr>
          <w:spacing w:val="-76"/>
        </w:rPr>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w:t>
      </w:r>
      <w:r>
        <w:rPr/>
        <w:t>股，减少资本公积</w:t>
      </w:r>
      <w:r>
        <w:rPr>
          <w:rFonts w:ascii="Times New Roman" w:hAnsi="Times New Roman" w:cs="Times New Roman" w:eastAsia="Times New Roman" w:hint="default"/>
        </w:rPr>
        <w:t>436,808,265.00</w:t>
      </w:r>
      <w:r>
        <w:rPr/>
        <w:t>元。</w:t>
      </w:r>
    </w:p>
    <w:p>
      <w:pPr>
        <w:spacing w:line="240" w:lineRule="auto" w:before="1"/>
        <w:rPr>
          <w:rFonts w:ascii="宋体" w:hAnsi="宋体" w:cs="宋体" w:eastAsia="宋体" w:hint="default"/>
          <w:sz w:val="16"/>
          <w:szCs w:val="16"/>
        </w:rPr>
      </w:pPr>
    </w:p>
    <w:p>
      <w:pPr>
        <w:pStyle w:val="Heading3"/>
        <w:spacing w:line="240" w:lineRule="auto"/>
        <w:ind w:left="1133" w:right="0"/>
        <w:jc w:val="left"/>
        <w:rPr>
          <w:b w:val="0"/>
          <w:bCs w:val="0"/>
        </w:rPr>
      </w:pPr>
      <w:bookmarkStart w:name="31、专项储备" w:id="301"/>
      <w:bookmarkEnd w:id="301"/>
      <w:r>
        <w:rPr>
          <w:b w:val="0"/>
          <w:bCs w:val="0"/>
        </w:rPr>
      </w:r>
      <w:r>
        <w:rPr>
          <w:rFonts w:ascii="Times New Roman" w:hAnsi="Times New Roman" w:cs="Times New Roman" w:eastAsia="Times New Roman" w:hint="default"/>
        </w:rPr>
        <w:t>31</w:t>
      </w:r>
      <w:r>
        <w:rPr/>
        <w:t>、专项储备</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337,868.86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337,868.86</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337,868.86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337,868.86</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2、盈余公积" w:id="302"/>
      <w:bookmarkEnd w:id="302"/>
      <w:r>
        <w:rPr>
          <w:b w:val="0"/>
          <w:bCs w:val="0"/>
        </w:rPr>
      </w:r>
      <w:r>
        <w:rPr>
          <w:rFonts w:ascii="Times New Roman" w:hAnsi="Times New Roman" w:cs="Times New Roman" w:eastAsia="Times New Roman" w:hint="default"/>
        </w:rPr>
        <w:t>32</w:t>
      </w:r>
      <w:r>
        <w:rPr/>
        <w:t>、盈余公积</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21,847,119.83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2,604,862.01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24,451,981.84</w:t>
            </w:r>
          </w:p>
        </w:tc>
      </w:tr>
      <w:tr>
        <w:trPr>
          <w:trHeight w:val="32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21,847,119.83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2,604,862.01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24,451,981.84</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3、未分配利润" w:id="303"/>
      <w:bookmarkEnd w:id="303"/>
      <w:r>
        <w:rPr>
          <w:b w:val="0"/>
          <w:bCs w:val="0"/>
        </w:rPr>
      </w:r>
      <w:r>
        <w:rPr>
          <w:rFonts w:ascii="Times New Roman" w:hAnsi="Times New Roman" w:cs="Times New Roman" w:eastAsia="Times New Roman" w:hint="default"/>
        </w:rPr>
        <w:t>33</w:t>
      </w:r>
      <w:r>
        <w:rPr/>
        <w:t>、未分配利润</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183,138,138.73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152,967,510.19</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183,138,138.73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152,967,510.19</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119,452,531.65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35,302,789.86</w:t>
            </w: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2,604,862.01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2,192,161.32</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14,339,665.29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2,940,000.00</w:t>
            </w:r>
          </w:p>
        </w:tc>
      </w:tr>
      <w:tr>
        <w:trPr>
          <w:trHeight w:val="32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48,534,252.00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237,111,891.08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183,138,138.73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8"/>
        <w:rPr>
          <w:rFonts w:ascii="宋体" w:hAnsi="宋体" w:cs="宋体" w:eastAsia="宋体" w:hint="default"/>
          <w:sz w:val="27"/>
          <w:szCs w:val="27"/>
        </w:rPr>
      </w:pPr>
    </w:p>
    <w:p>
      <w:pPr>
        <w:pStyle w:val="BodyText"/>
        <w:spacing w:line="240" w:lineRule="auto" w:before="35"/>
        <w:ind w:right="0"/>
        <w:jc w:val="left"/>
      </w:pPr>
      <w:r>
        <w:rPr/>
        <w:t>调整期初未分配利润明细：无</w:t>
      </w:r>
    </w:p>
    <w:p>
      <w:pPr>
        <w:spacing w:line="240" w:lineRule="auto" w:before="0"/>
        <w:rPr>
          <w:rFonts w:ascii="宋体" w:hAnsi="宋体" w:cs="宋体" w:eastAsia="宋体" w:hint="default"/>
          <w:sz w:val="24"/>
          <w:szCs w:val="24"/>
        </w:rPr>
      </w:pPr>
    </w:p>
    <w:p>
      <w:pPr>
        <w:pStyle w:val="Heading3"/>
        <w:spacing w:line="240" w:lineRule="auto"/>
        <w:ind w:left="1133" w:right="0"/>
        <w:jc w:val="left"/>
        <w:rPr>
          <w:b w:val="0"/>
          <w:bCs w:val="0"/>
        </w:rPr>
      </w:pPr>
      <w:bookmarkStart w:name="34、营业收入和营业成本" w:id="304"/>
      <w:bookmarkEnd w:id="304"/>
      <w:r>
        <w:rPr>
          <w:b w:val="0"/>
          <w:bCs w:val="0"/>
        </w:rPr>
      </w:r>
      <w:r>
        <w:rPr>
          <w:rFonts w:ascii="Times New Roman" w:hAnsi="Times New Roman" w:cs="Times New Roman" w:eastAsia="Times New Roman" w:hint="default"/>
        </w:rPr>
        <w:t>34</w:t>
      </w:r>
      <w:r>
        <w:rPr/>
        <w:t>、营业收入和营业成本</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7"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1,000,736,240.30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619,843,009.12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524,904,499.06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306,702,505.37</w:t>
            </w:r>
          </w:p>
        </w:tc>
      </w:tr>
      <w:tr>
        <w:trPr>
          <w:trHeight w:val="32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z w:val="18"/>
              </w:rPr>
              <w:t>188,956.59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18"/>
                <w:szCs w:val="18"/>
              </w:rPr>
            </w:pPr>
            <w:r>
              <w:rPr>
                <w:rFonts w:ascii="Times New Roman"/>
                <w:sz w:val="18"/>
              </w:rPr>
              <w:t>174,779.19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1,000,925,196.89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620,017,788.31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524,904,499.06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306,702,505.37</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5、营业税金及附加" w:id="305"/>
      <w:bookmarkEnd w:id="305"/>
      <w:r>
        <w:rPr>
          <w:b w:val="0"/>
          <w:bCs w:val="0"/>
        </w:rPr>
      </w:r>
      <w:r>
        <w:rPr>
          <w:rFonts w:ascii="Times New Roman" w:hAnsi="Times New Roman" w:cs="Times New Roman" w:eastAsia="Times New Roman" w:hint="default"/>
        </w:rPr>
        <w:t>35</w:t>
      </w:r>
      <w:r>
        <w:rPr/>
        <w:t>、营业税金及附加</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1,305,046.61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1,124,536.79</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3,073,676.48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1,668,000.24</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1,328,665.99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715,178.53</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885,777.33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476,785.69</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6,593,166.41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3,984,501.25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6、销售费用" w:id="306"/>
      <w:bookmarkEnd w:id="306"/>
      <w:r>
        <w:rPr>
          <w:b w:val="0"/>
          <w:bCs w:val="0"/>
        </w:rPr>
      </w:r>
      <w:r>
        <w:rPr>
          <w:rFonts w:ascii="Times New Roman" w:hAnsi="Times New Roman" w:cs="Times New Roman" w:eastAsia="Times New Roman" w:hint="default"/>
        </w:rPr>
        <w:t>36</w:t>
      </w:r>
      <w:r>
        <w:rPr/>
        <w:t>、销售费用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23,576,412.25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17,967,892.29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广告和业务宣传费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133,112.26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1,137,884.00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3,722,029.83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2,657,368.39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2,781,872.43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2,397,594.60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会务会议费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927,784.57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391,582.60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3,151,806.27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3,075,379.37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2,934,050.01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1,545,045.25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20,784.77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107,853.30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2,032,016.15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3,359,586.12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39,387,721.84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32,532,332.62</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7、管理费用" w:id="307"/>
      <w:bookmarkEnd w:id="307"/>
      <w:r>
        <w:rPr>
          <w:b w:val="0"/>
          <w:bCs w:val="0"/>
        </w:rPr>
      </w:r>
      <w:r>
        <w:rPr>
          <w:rFonts w:ascii="Times New Roman" w:hAnsi="Times New Roman" w:cs="Times New Roman" w:eastAsia="Times New Roman" w:hint="default"/>
        </w:rPr>
        <w:t>37</w:t>
      </w:r>
      <w:r>
        <w:rPr/>
        <w:t>、管理费用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25,086,822.96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22,407,480.64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13,975,656.37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8,345,125.66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20,646,016.91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14,964,445.20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7,943,342.58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5,793,718.20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3,445,384.85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2,211,327.08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3,662,806.15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2,569,539.11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8,179,939.70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2,467,435.00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86,246,157.08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62,977,320.63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4,799,170.09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3,930,467.71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337,868.86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174,323,165.55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125,666,859.23</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8、财务费用" w:id="308"/>
      <w:bookmarkEnd w:id="308"/>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26,959,151.33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13,280,678.22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-2,663,768.20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-1,303,146.13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-22,602.38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610,462.32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2,274,833.16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24,883,243.07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14,252,365.25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9、资产减值损失" w:id="309"/>
      <w:bookmarkEnd w:id="309"/>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24,230,410.53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9,582,414.41</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24,230,410.53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9,582,414.41</w:t>
            </w:r>
          </w:p>
        </w:tc>
      </w:tr>
    </w:tbl>
    <w:p>
      <w:pPr>
        <w:spacing w:line="240" w:lineRule="auto" w:before="2"/>
        <w:rPr>
          <w:rFonts w:ascii="宋体" w:hAnsi="宋体" w:cs="宋体" w:eastAsia="宋体" w:hint="default"/>
          <w:sz w:val="6"/>
          <w:szCs w:val="6"/>
        </w:rPr>
      </w:pPr>
    </w:p>
    <w:p>
      <w:pPr>
        <w:pStyle w:val="BodyText"/>
        <w:spacing w:line="240" w:lineRule="auto" w:before="35"/>
        <w:ind w:left="1134" w:right="0"/>
        <w:jc w:val="left"/>
      </w:pPr>
      <w:r>
        <w:rPr/>
        <w:t>其他说明：</w:t>
      </w:r>
    </w:p>
    <w:p>
      <w:pPr>
        <w:pStyle w:val="BodyText"/>
        <w:spacing w:line="328" w:lineRule="auto" w:before="164"/>
        <w:ind w:left="1134" w:right="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日公司非同一控制下合并广州华炜科技有限公司转入应收账款坏账准备、其他应收款坏账</w:t>
      </w:r>
      <w:r>
        <w:rPr/>
        <w:t> 准备合计金额为</w:t>
      </w:r>
      <w:r>
        <w:rPr>
          <w:rFonts w:ascii="Times New Roman" w:hAnsi="Times New Roman" w:cs="Times New Roman" w:eastAsia="Times New Roman" w:hint="default"/>
        </w:rPr>
        <w:t>11,229,753.75</w:t>
      </w:r>
      <w:r>
        <w:rPr/>
        <w:t>元。</w:t>
      </w:r>
    </w:p>
    <w:p>
      <w:pPr>
        <w:spacing w:line="240" w:lineRule="auto" w:before="3"/>
        <w:rPr>
          <w:rFonts w:ascii="宋体" w:hAnsi="宋体" w:cs="宋体" w:eastAsia="宋体" w:hint="default"/>
          <w:sz w:val="16"/>
          <w:szCs w:val="16"/>
        </w:rPr>
      </w:pPr>
    </w:p>
    <w:p>
      <w:pPr>
        <w:pStyle w:val="Heading3"/>
        <w:spacing w:line="240" w:lineRule="auto"/>
        <w:ind w:left="1133" w:right="0"/>
        <w:jc w:val="left"/>
        <w:rPr>
          <w:b w:val="0"/>
          <w:bCs w:val="0"/>
        </w:rPr>
      </w:pPr>
      <w:bookmarkStart w:name="40、投资收益" w:id="310"/>
      <w:bookmarkEnd w:id="310"/>
      <w:r>
        <w:rPr>
          <w:b w:val="0"/>
          <w:bCs w:val="0"/>
        </w:rPr>
      </w:r>
      <w:r>
        <w:rPr>
          <w:rFonts w:ascii="Times New Roman" w:hAnsi="Times New Roman" w:cs="Times New Roman" w:eastAsia="Times New Roman" w:hint="default"/>
        </w:rPr>
        <w:t>40</w:t>
      </w:r>
      <w:r>
        <w:rPr/>
        <w:t>、投资收益</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876.86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665.95</w:t>
            </w:r>
          </w:p>
        </w:tc>
      </w:tr>
      <w:tr>
        <w:trPr>
          <w:trHeight w:val="32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499,042.25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499,919.11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665.95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1、营业外收入" w:id="311"/>
      <w:bookmarkEnd w:id="311"/>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4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7" w:space="0" w:color="D2D2D2"/>
              <w:left w:val="single" w:sz="13" w:space="0" w:color="D2D2D2"/>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2,402,927.45</w:t>
            </w:r>
          </w:p>
        </w:tc>
        <w:tc>
          <w:tcPr>
            <w:tcW w:w="2392" w:type="dxa"/>
            <w:tcBorders>
              <w:top w:val="single" w:sz="47" w:space="0" w:color="D2D2D2"/>
              <w:left w:val="single" w:sz="4" w:space="0" w:color="000000"/>
              <w:bottom w:val="single" w:sz="4" w:space="0" w:color="000000"/>
              <w:right w:val="single" w:sz="13" w:space="0" w:color="D2D2D2"/>
            </w:tcBorders>
          </w:tcPr>
          <w:p>
            <w:pPr/>
          </w:p>
        </w:tc>
        <w:tc>
          <w:tcPr>
            <w:tcW w:w="23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8"/>
              <w:ind w:right="8"/>
              <w:jc w:val="right"/>
              <w:rPr>
                <w:rFonts w:ascii="Times New Roman" w:hAnsi="Times New Roman" w:cs="Times New Roman" w:eastAsia="Times New Roman" w:hint="default"/>
                <w:sz w:val="18"/>
                <w:szCs w:val="18"/>
              </w:rPr>
            </w:pPr>
            <w:r>
              <w:rPr>
                <w:rFonts w:ascii="Times New Roman"/>
                <w:spacing w:val="-1"/>
                <w:sz w:val="18"/>
              </w:rPr>
              <w:t>2,402,927.45</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2,402,927.45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2,402,927.45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20,851,379.35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5,342,951.28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20,851,379.35</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退税收入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11,508,196.87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5,827,892.67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71,120.23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104,619.17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71,120.23</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34,833,623.90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11,275,463.12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23,325,427.03</w:t>
            </w:r>
          </w:p>
        </w:tc>
      </w:tr>
    </w:tbl>
    <w:p>
      <w:pPr>
        <w:spacing w:before="11"/>
        <w:ind w:left="113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3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402"/>
        <w:gridCol w:w="1985"/>
        <w:gridCol w:w="1844"/>
        <w:gridCol w:w="2268"/>
      </w:tblGrid>
      <w:tr>
        <w:trPr>
          <w:trHeight w:val="323"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2"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网络安全云平台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1,730,349.65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高新技术产业发展项目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计算的网络应用安全监测审计平台产业化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466,666.66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系统开发及产业化项目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800,000.00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415,384.62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系统研究及产业化项目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广州市创新型企业</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67"/>
              <w:jc w:val="left"/>
              <w:rPr>
                <w:rFonts w:ascii="宋体" w:hAnsi="宋体" w:cs="宋体" w:eastAsia="宋体" w:hint="default"/>
                <w:sz w:val="18"/>
                <w:szCs w:val="18"/>
              </w:rPr>
            </w:pPr>
            <w:r>
              <w:rPr>
                <w:rFonts w:ascii="宋体" w:hAnsi="宋体" w:cs="宋体" w:eastAsia="宋体" w:hint="default"/>
                <w:sz w:val="18"/>
                <w:szCs w:val="18"/>
              </w:rPr>
              <w:t>第四批战略新兴政银企合作专项资金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蓝盾 信息安全产业基地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2"/>
              <w:jc w:val="left"/>
              <w:rPr>
                <w:rFonts w:ascii="宋体" w:hAnsi="宋体" w:cs="宋体" w:eastAsia="宋体" w:hint="default"/>
                <w:sz w:val="18"/>
                <w:szCs w:val="18"/>
              </w:rPr>
            </w:pPr>
            <w:r>
              <w:rPr>
                <w:rFonts w:ascii="宋体" w:hAnsi="宋体" w:cs="宋体" w:eastAsia="宋体" w:hint="default"/>
                <w:spacing w:val="-4"/>
                <w:sz w:val="18"/>
                <w:szCs w:val="18"/>
              </w:rPr>
              <w:t>第三、第四批省战略性新兴产业政银企合作</w:t>
            </w:r>
            <w:r>
              <w:rPr>
                <w:rFonts w:ascii="宋体" w:hAnsi="宋体" w:cs="宋体" w:eastAsia="宋体" w:hint="default"/>
                <w:sz w:val="18"/>
                <w:szCs w:val="18"/>
              </w:rPr>
              <w:t> 专项资金项目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年度贴息项目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22" w:right="83"/>
              <w:jc w:val="left"/>
              <w:rPr>
                <w:rFonts w:ascii="宋体" w:hAnsi="宋体" w:cs="宋体" w:eastAsia="宋体" w:hint="default"/>
                <w:sz w:val="18"/>
                <w:szCs w:val="18"/>
              </w:rPr>
            </w:pPr>
            <w:r>
              <w:rPr>
                <w:rFonts w:ascii="宋体" w:hAnsi="宋体" w:cs="宋体" w:eastAsia="宋体" w:hint="default"/>
                <w:sz w:val="18"/>
                <w:szCs w:val="18"/>
              </w:rPr>
              <w:t>市工信委市财政局－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年市民营企业奖 励专项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年度广州市科学技术奖拟奖项目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蓝盾信息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704,088.34</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创新体系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年度园区产业扶持资金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知识产权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区经贸局中小企业扶持发展专项资金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39,600.00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49,200.00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知识产权证书奖励申请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云安全技术公共服务平台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290,000.00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年度省级现代服务业发展引导专项资 金（云安全技术公共服务平台）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5,001,833.33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66,500.00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教育开发平台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8,423.21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收到广州开发区科信局第一季度知识产权 资助费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收到广州市开发区创新知识产权第三季度 知识产权资助费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8"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38"/>
              <w:jc w:val="left"/>
              <w:rPr>
                <w:rFonts w:ascii="宋体" w:hAnsi="宋体" w:cs="宋体" w:eastAsia="宋体" w:hint="default"/>
                <w:sz w:val="18"/>
                <w:szCs w:val="18"/>
              </w:rPr>
            </w:pPr>
            <w:r>
              <w:rPr>
                <w:rFonts w:ascii="宋体" w:hAnsi="宋体" w:cs="宋体" w:eastAsia="宋体" w:hint="default"/>
                <w:sz w:val="18"/>
                <w:szCs w:val="18"/>
              </w:rPr>
              <w:t>收到广州开发区科技创新知识产权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高企培育补贴款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221,800.00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9"/>
              <w:jc w:val="left"/>
              <w:rPr>
                <w:rFonts w:ascii="宋体" w:hAnsi="宋体" w:cs="宋体" w:eastAsia="宋体" w:hint="default"/>
                <w:sz w:val="18"/>
                <w:szCs w:val="18"/>
              </w:rPr>
            </w:pPr>
            <w:r>
              <w:rPr>
                <w:rFonts w:ascii="宋体" w:hAnsi="宋体" w:cs="宋体" w:eastAsia="宋体" w:hint="default"/>
                <w:sz w:val="18"/>
                <w:szCs w:val="18"/>
              </w:rPr>
              <w:t>收到广州开发区创新知识产权研发投入后 补助资金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收到科信局拨付第三季度知识产权资助费</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土地返还款收益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38,145.93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工贸发展款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地税奖金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23,578.92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收广州市越秀区财政国库支付中</w:t>
            </w:r>
            <w:r>
              <w:rPr>
                <w:rFonts w:ascii="宋体" w:hAnsi="宋体" w:cs="宋体" w:eastAsia="宋体" w:hint="default"/>
                <w:spacing w:val="-75"/>
                <w:sz w:val="18"/>
                <w:szCs w:val="18"/>
              </w:rPr>
              <w:t>心</w:t>
            </w:r>
            <w:r>
              <w:rPr>
                <w:rFonts w:ascii="宋体" w:hAnsi="宋体" w:cs="宋体" w:eastAsia="宋体" w:hint="default"/>
                <w:sz w:val="18"/>
                <w:szCs w:val="18"/>
              </w:rPr>
              <w:t>（广州市</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402"/>
        <w:gridCol w:w="1985"/>
        <w:gridCol w:w="1844"/>
        <w:gridCol w:w="2268"/>
      </w:tblGrid>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科技小巨人企业）</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29"/>
              <w:jc w:val="left"/>
              <w:rPr>
                <w:rFonts w:ascii="宋体" w:hAnsi="宋体" w:cs="宋体" w:eastAsia="宋体" w:hint="default"/>
                <w:sz w:val="18"/>
                <w:szCs w:val="18"/>
              </w:rPr>
            </w:pPr>
            <w:r>
              <w:rPr>
                <w:rFonts w:ascii="宋体" w:hAnsi="宋体" w:cs="宋体" w:eastAsia="宋体" w:hint="default"/>
                <w:sz w:val="18"/>
                <w:szCs w:val="18"/>
              </w:rPr>
              <w:t>广州市越秀区科技工业和信息化局优秀企 业奖励金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广州市社会保险基金管理中心工伤奖励金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224.97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22" w:right="83"/>
              <w:jc w:val="left"/>
              <w:rPr>
                <w:rFonts w:ascii="宋体" w:hAnsi="宋体" w:cs="宋体" w:eastAsia="宋体" w:hint="default"/>
                <w:sz w:val="18"/>
                <w:szCs w:val="18"/>
              </w:rPr>
            </w:pPr>
            <w:r>
              <w:rPr>
                <w:rFonts w:ascii="宋体" w:hAnsi="宋体" w:cs="宋体" w:eastAsia="宋体" w:hint="default"/>
                <w:sz w:val="18"/>
                <w:szCs w:val="18"/>
              </w:rPr>
              <w:t>广州市越秀区财政国库支付中心（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研发费用后补助）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82,620.00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东莞市科学技术局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年专利补助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20,851,379.35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5" w:right="0"/>
              <w:jc w:val="left"/>
              <w:rPr>
                <w:rFonts w:ascii="Times New Roman" w:hAnsi="Times New Roman" w:cs="Times New Roman" w:eastAsia="Times New Roman" w:hint="default"/>
                <w:sz w:val="18"/>
                <w:szCs w:val="18"/>
              </w:rPr>
            </w:pPr>
            <w:r>
              <w:rPr>
                <w:rFonts w:ascii="Times New Roman"/>
                <w:sz w:val="18"/>
              </w:rPr>
              <w:t>5,342,951.28</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2、营业外支出" w:id="312"/>
      <w:bookmarkEnd w:id="312"/>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9"/>
          <w:szCs w:val="9"/>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4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2,403,327.39</w:t>
            </w:r>
          </w:p>
        </w:tc>
        <w:tc>
          <w:tcPr>
            <w:tcW w:w="2392" w:type="dxa"/>
            <w:tcBorders>
              <w:top w:val="single" w:sz="50" w:space="0" w:color="D2D2D2"/>
              <w:left w:val="single" w:sz="4" w:space="0" w:color="000000"/>
              <w:bottom w:val="single" w:sz="4" w:space="0" w:color="000000"/>
              <w:right w:val="single" w:sz="13" w:space="0" w:color="D2D2D2"/>
            </w:tcBorders>
          </w:tcPr>
          <w:p>
            <w:pPr/>
          </w:p>
        </w:tc>
        <w:tc>
          <w:tcPr>
            <w:tcW w:w="239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7"/>
              <w:ind w:right="8"/>
              <w:jc w:val="right"/>
              <w:rPr>
                <w:rFonts w:ascii="Times New Roman" w:hAnsi="Times New Roman" w:cs="Times New Roman" w:eastAsia="Times New Roman" w:hint="default"/>
                <w:sz w:val="18"/>
                <w:szCs w:val="18"/>
              </w:rPr>
            </w:pPr>
            <w:r>
              <w:rPr>
                <w:rFonts w:ascii="Times New Roman"/>
                <w:spacing w:val="-1"/>
                <w:sz w:val="18"/>
              </w:rPr>
              <w:t>2,403,327.39</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2,403,327.39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2,403,327.39</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985,226.40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2,243,580.00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985,226.40</w:t>
            </w:r>
          </w:p>
        </w:tc>
      </w:tr>
      <w:tr>
        <w:trPr>
          <w:trHeight w:val="32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629,687.35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26,216.63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629,687.35</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15,759.36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542.75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15,759.36</w:t>
            </w:r>
          </w:p>
        </w:tc>
      </w:tr>
      <w:tr>
        <w:trPr>
          <w:trHeight w:val="32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4,034,000.50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2,270,339.38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4,034,000.50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3、所得税费用" w:id="313"/>
      <w:bookmarkEnd w:id="313"/>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所得税费用表" w:id="314"/>
      <w:bookmarkEnd w:id="31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25,079,092.65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7,546,330.50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-4,113,775.58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-3,280,617.70</w:t>
            </w:r>
          </w:p>
        </w:tc>
      </w:tr>
      <w:tr>
        <w:trPr>
          <w:trHeight w:val="32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20,965,317.07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4,265,712.80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会计利润与所得税费用调整过程" w:id="315"/>
      <w:bookmarkEnd w:id="31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142,789,243.69</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21,418,386.56</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-2,046,601.05</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2,054,457.16</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-460,925.60</w:t>
            </w:r>
            <w:r>
              <w:rPr>
                <w:rFonts w:ascii="Times New Roman"/>
                <w:sz w:val="18"/>
              </w:rPr>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20,965,317.07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44、现金流量表项目" w:id="316"/>
      <w:bookmarkEnd w:id="316"/>
      <w:r>
        <w:rPr>
          <w:b w:val="0"/>
          <w:bCs w:val="0"/>
        </w:rPr>
      </w:r>
      <w:r>
        <w:rPr>
          <w:rFonts w:ascii="Times New Roman" w:hAnsi="Times New Roman" w:cs="Times New Roman" w:eastAsia="Times New Roman" w:hint="default"/>
        </w:rPr>
        <w:t>44</w:t>
      </w:r>
      <w:r>
        <w:rPr/>
        <w:t>、现金流量表项目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收到的其他与经营活动有关的现金" w:id="317"/>
      <w:bookmarkEnd w:id="31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政府专项补贴款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10,114,259.97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6,437,371.00</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1,474,960.61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1,100,245.04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74,924,018.82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31,752,829.10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86,513,239.40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39,290,445.14</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支付的其他与经营活动有关的现金" w:id="318"/>
      <w:bookmarkEnd w:id="31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503,244.30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2,274,833.16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支付的往来款、销售费用及管理费用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132,319,379.56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107,768,155.09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132,822,623.86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110,042,988.25</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3）收到的其他与投资活动有关的现金" w:id="319"/>
      <w:bookmarkEnd w:id="31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10,700,000.00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10,700,000.00</w:t>
            </w:r>
          </w:p>
        </w:tc>
      </w:tr>
    </w:tbl>
    <w:p>
      <w:pPr>
        <w:spacing w:line="240" w:lineRule="auto" w:before="7"/>
        <w:rPr>
          <w:rFonts w:ascii="宋体" w:hAnsi="宋体" w:cs="宋体" w:eastAsia="宋体" w:hint="default"/>
          <w:sz w:val="17"/>
          <w:szCs w:val="17"/>
        </w:rPr>
      </w:pPr>
    </w:p>
    <w:p>
      <w:pPr>
        <w:pStyle w:val="Heading3"/>
        <w:spacing w:line="472" w:lineRule="auto" w:before="35"/>
        <w:ind w:right="7063"/>
        <w:jc w:val="left"/>
        <w:rPr>
          <w:rFonts w:ascii="宋体" w:hAnsi="宋体" w:cs="宋体" w:eastAsia="宋体" w:hint="default"/>
          <w:b w:val="0"/>
          <w:bCs w:val="0"/>
        </w:rPr>
      </w:pPr>
      <w:bookmarkStart w:name="（4）支付的其他与投资活动有关的现金" w:id="320"/>
      <w:bookmarkEnd w:id="320"/>
      <w:r>
        <w:rPr>
          <w:b w:val="0"/>
          <w:bCs w:val="0"/>
        </w:rPr>
      </w:r>
      <w:r>
        <w:rPr/>
        <w:t>（</w:t>
      </w:r>
      <w:r>
        <w:rPr>
          <w:rFonts w:ascii="Times New Roman" w:hAnsi="Times New Roman" w:cs="Times New Roman" w:eastAsia="Times New Roman" w:hint="default"/>
        </w:rPr>
        <w:t>4</w:t>
      </w:r>
      <w:r>
        <w:rPr/>
        <w:t>）支付的其他与投资活动有关的现金</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5）收到的其他与筹资活动有关的现金" w:id="321"/>
      <w:bookmarkEnd w:id="32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收到的银行承兑汇票保证金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94,663,420.28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25,658,362.50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募集资金专户利息收入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128,540.81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202,901.09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94,791,961.09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25,861,263.59</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6）支付的其他与筹资活动有关的现金" w:id="322"/>
      <w:bookmarkEnd w:id="32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支付的银行承兑汇票保证金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87,515,201.61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32,902,979.42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87,515,201.61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32,902,979.42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
        <w:rPr>
          <w:rFonts w:ascii="宋体" w:hAnsi="宋体" w:cs="宋体" w:eastAsia="宋体" w:hint="default"/>
          <w:sz w:val="19"/>
          <w:szCs w:val="19"/>
        </w:rPr>
      </w:pPr>
      <w:r>
        <w:rPr/>
        <w:pict>
          <v:group style="position:absolute;margin-left:224.479996pt;margin-top:329.239990pt;width:150.1pt;height:30.55pt;mso-position-horizontal-relative:page;mso-position-vertical-relative:page;z-index:-858352" coordorigin="4490,6585" coordsize="3002,611">
            <v:group style="position:absolute;left:4490;top:6585;width:3002;height:288" coordorigin="4490,6585" coordsize="3002,288">
              <v:shape style="position:absolute;left:4490;top:6585;width:3002;height:288" coordorigin="4490,6585" coordsize="3002,288" path="m4490,6873l7491,6873,7491,6585,4490,6585,4490,6873xe" filled="true" fillcolor="#ffffff" stroked="false">
                <v:path arrowok="t"/>
                <v:fill type="solid"/>
              </v:shape>
            </v:group>
            <v:group style="position:absolute;left:4490;top:6909;width:3002;height:287" coordorigin="4490,6909" coordsize="3002,287">
              <v:shape style="position:absolute;left:4490;top:6909;width:3002;height:287" coordorigin="4490,6909" coordsize="3002,287" path="m4490,7196l7491,7196,7491,6909,4490,6909,4490,7196xe" filled="true" fillcolor="#ffffff" stroked="false">
                <v:path arrowok="t"/>
                <v:fill type="solid"/>
              </v:shape>
            </v:group>
            <w10:wrap type="none"/>
          </v:group>
        </w:pict>
      </w:r>
    </w:p>
    <w:p>
      <w:pPr>
        <w:pStyle w:val="Heading3"/>
        <w:spacing w:line="240" w:lineRule="auto" w:before="35"/>
        <w:ind w:left="1133" w:right="0"/>
        <w:jc w:val="left"/>
        <w:rPr>
          <w:b w:val="0"/>
          <w:bCs w:val="0"/>
        </w:rPr>
      </w:pPr>
      <w:bookmarkStart w:name="45、现金流量表补充资料" w:id="323"/>
      <w:bookmarkEnd w:id="323"/>
      <w:r>
        <w:rPr>
          <w:b w:val="0"/>
          <w:bCs w:val="0"/>
        </w:rPr>
      </w: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现金流量表补充资料" w:id="324"/>
      <w:bookmarkEnd w:id="32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305"/>
        <w:gridCol w:w="1058"/>
        <w:gridCol w:w="2011"/>
        <w:gridCol w:w="3184"/>
      </w:tblGrid>
      <w:tr>
        <w:trPr>
          <w:trHeight w:val="33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1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9" w:space="0" w:color="D2D2D2"/>
              <w:left w:val="single" w:sz="13" w:space="0" w:color="D2D2D2"/>
              <w:bottom w:val="single" w:sz="4" w:space="0" w:color="000000"/>
              <w:right w:val="single" w:sz="4" w:space="0" w:color="000000"/>
            </w:tcBorders>
          </w:tcPr>
          <w:p>
            <w:pPr>
              <w:pStyle w:val="TableParagraph"/>
              <w:spacing w:line="240" w:lineRule="auto" w:before="49"/>
              <w:ind w:left="1899" w:right="0"/>
              <w:jc w:val="left"/>
              <w:rPr>
                <w:rFonts w:ascii="Times New Roman" w:hAnsi="Times New Roman" w:cs="Times New Roman" w:eastAsia="Times New Roman" w:hint="default"/>
                <w:sz w:val="18"/>
                <w:szCs w:val="18"/>
              </w:rPr>
            </w:pPr>
            <w:r>
              <w:rPr>
                <w:rFonts w:ascii="Times New Roman"/>
                <w:sz w:val="18"/>
              </w:rPr>
              <w:t>121,823,926.62</w:t>
            </w:r>
          </w:p>
        </w:tc>
        <w:tc>
          <w:tcPr>
            <w:tcW w:w="3184"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36,923,597.82</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989" w:right="0"/>
              <w:jc w:val="left"/>
              <w:rPr>
                <w:rFonts w:ascii="Times New Roman" w:hAnsi="Times New Roman" w:cs="Times New Roman" w:eastAsia="Times New Roman" w:hint="default"/>
                <w:sz w:val="18"/>
                <w:szCs w:val="18"/>
              </w:rPr>
            </w:pPr>
            <w:r>
              <w:rPr>
                <w:rFonts w:ascii="Times New Roman"/>
                <w:sz w:val="18"/>
              </w:rPr>
              <w:t>24,230,410.53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9,582,414.41</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45,915,477.61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36,158,386.29</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89" w:right="0"/>
              <w:jc w:val="left"/>
              <w:rPr>
                <w:rFonts w:ascii="Times New Roman" w:hAnsi="Times New Roman" w:cs="Times New Roman" w:eastAsia="Times New Roman" w:hint="default"/>
                <w:sz w:val="18"/>
                <w:szCs w:val="18"/>
              </w:rPr>
            </w:pPr>
            <w:r>
              <w:rPr>
                <w:rFonts w:ascii="Times New Roman"/>
                <w:sz w:val="18"/>
              </w:rPr>
              <w:t>17,920,951.28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13,305,858.07</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1,562,612.84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1,433,362.68</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399.94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89" w:right="0"/>
              <w:jc w:val="left"/>
              <w:rPr>
                <w:rFonts w:ascii="Times New Roman" w:hAnsi="Times New Roman" w:cs="Times New Roman" w:eastAsia="Times New Roman" w:hint="default"/>
                <w:sz w:val="18"/>
                <w:szCs w:val="18"/>
              </w:rPr>
            </w:pPr>
            <w:r>
              <w:rPr>
                <w:rFonts w:ascii="Times New Roman"/>
                <w:sz w:val="18"/>
              </w:rPr>
              <w:t>26,936,548.95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13,280,678.22</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-499,919.11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w w:val="95"/>
                <w:sz w:val="18"/>
              </w:rPr>
              <w:t>-665.95</w:t>
            </w:r>
            <w:r>
              <w:rPr>
                <w:rFonts w:ascii="Times New Roman"/>
                <w:sz w:val="18"/>
              </w:rPr>
            </w:r>
          </w:p>
        </w:tc>
      </w:tr>
      <w:tr>
        <w:trPr>
          <w:trHeight w:val="324"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-4,113,775.58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-3,280,617.70</w:t>
            </w:r>
          </w:p>
        </w:tc>
      </w:tr>
      <w:tr>
        <w:trPr>
          <w:trHeight w:val="323" w:hRule="exact"/>
        </w:trPr>
        <w:tc>
          <w:tcPr>
            <w:tcW w:w="3305"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8"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1,612,274.19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929" w:right="0"/>
              <w:jc w:val="left"/>
              <w:rPr>
                <w:rFonts w:ascii="Times New Roman" w:hAnsi="Times New Roman" w:cs="Times New Roman" w:eastAsia="Times New Roman" w:hint="default"/>
                <w:sz w:val="18"/>
                <w:szCs w:val="18"/>
              </w:rPr>
            </w:pPr>
            <w:r>
              <w:rPr>
                <w:rFonts w:ascii="Times New Roman"/>
                <w:sz w:val="18"/>
              </w:rPr>
              <w:t>-34,990,933.96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-32,347,970.82</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-380,189,757.47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-145,396,910.94</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290,749,952.77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105,886,726.77</w:t>
            </w:r>
          </w:p>
        </w:tc>
      </w:tr>
      <w:tr>
        <w:trPr>
          <w:trHeight w:val="38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56" w:space="0" w:color="D2D2D2"/>
              <w:right w:val="single" w:sz="4" w:space="0" w:color="000000"/>
            </w:tcBorders>
          </w:tcPr>
          <w:p>
            <w:pPr>
              <w:pStyle w:val="TableParagraph"/>
              <w:spacing w:line="240" w:lineRule="auto" w:before="49"/>
              <w:ind w:left="1905" w:right="0"/>
              <w:jc w:val="left"/>
              <w:rPr>
                <w:rFonts w:ascii="Times New Roman" w:hAnsi="Times New Roman" w:cs="Times New Roman" w:eastAsia="Times New Roman" w:hint="default"/>
                <w:sz w:val="18"/>
                <w:szCs w:val="18"/>
              </w:rPr>
            </w:pPr>
            <w:r>
              <w:rPr>
                <w:rFonts w:ascii="Times New Roman"/>
                <w:sz w:val="18"/>
              </w:rPr>
              <w:t>110,958,168.61</w:t>
            </w:r>
          </w:p>
        </w:tc>
        <w:tc>
          <w:tcPr>
            <w:tcW w:w="3184" w:type="dxa"/>
            <w:tcBorders>
              <w:top w:val="single" w:sz="4" w:space="0" w:color="000000"/>
              <w:left w:val="single" w:sz="4" w:space="0" w:color="000000"/>
              <w:bottom w:val="single" w:sz="56"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35,544,858.85</w:t>
            </w:r>
          </w:p>
        </w:tc>
      </w:tr>
      <w:tr>
        <w:trPr>
          <w:trHeight w:val="43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6"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7" w:lineRule="exact"/>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r>
        <w:trPr>
          <w:trHeight w:val="37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5" w:space="0" w:color="D2D2D2"/>
              <w:left w:val="single" w:sz="13" w:space="0" w:color="D2D2D2"/>
              <w:bottom w:val="single" w:sz="4" w:space="0" w:color="000000"/>
              <w:right w:val="single" w:sz="4" w:space="0" w:color="000000"/>
            </w:tcBorders>
          </w:tcPr>
          <w:p>
            <w:pPr>
              <w:pStyle w:val="TableParagraph"/>
              <w:spacing w:line="240" w:lineRule="auto" w:before="54"/>
              <w:ind w:left="1905" w:right="0"/>
              <w:jc w:val="left"/>
              <w:rPr>
                <w:rFonts w:ascii="Times New Roman" w:hAnsi="Times New Roman" w:cs="Times New Roman" w:eastAsia="Times New Roman" w:hint="default"/>
                <w:sz w:val="18"/>
                <w:szCs w:val="18"/>
              </w:rPr>
            </w:pPr>
            <w:r>
              <w:rPr>
                <w:rFonts w:ascii="Times New Roman"/>
                <w:sz w:val="18"/>
              </w:rPr>
              <w:t>508,449,711.52</w:t>
            </w:r>
          </w:p>
        </w:tc>
        <w:tc>
          <w:tcPr>
            <w:tcW w:w="3184" w:type="dxa"/>
            <w:tcBorders>
              <w:top w:val="single" w:sz="5" w:space="0" w:color="D2D2D2"/>
              <w:left w:val="single" w:sz="4" w:space="0" w:color="000000"/>
              <w:bottom w:val="single" w:sz="4" w:space="0" w:color="000000"/>
              <w:right w:val="single" w:sz="4" w:space="0" w:color="000000"/>
            </w:tcBorders>
          </w:tcPr>
          <w:p>
            <w:pPr>
              <w:pStyle w:val="TableParagraph"/>
              <w:spacing w:line="240" w:lineRule="auto" w:before="54"/>
              <w:ind w:right="20"/>
              <w:jc w:val="right"/>
              <w:rPr>
                <w:rFonts w:ascii="Times New Roman" w:hAnsi="Times New Roman" w:cs="Times New Roman" w:eastAsia="Times New Roman" w:hint="default"/>
                <w:sz w:val="18"/>
                <w:szCs w:val="18"/>
              </w:rPr>
            </w:pPr>
            <w:r>
              <w:rPr>
                <w:rFonts w:ascii="Times New Roman"/>
                <w:spacing w:val="-1"/>
                <w:sz w:val="18"/>
              </w:rPr>
              <w:t>333,182,764.86</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left="1899" w:right="0"/>
              <w:jc w:val="left"/>
              <w:rPr>
                <w:rFonts w:ascii="Times New Roman" w:hAnsi="Times New Roman" w:cs="Times New Roman" w:eastAsia="Times New Roman" w:hint="default"/>
                <w:sz w:val="18"/>
                <w:szCs w:val="18"/>
              </w:rPr>
            </w:pPr>
            <w:r>
              <w:rPr>
                <w:rFonts w:ascii="Times New Roman"/>
                <w:sz w:val="18"/>
              </w:rPr>
              <w:t>333,182,764.86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396,817,393.07</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899" w:right="0"/>
              <w:jc w:val="left"/>
              <w:rPr>
                <w:rFonts w:ascii="Times New Roman" w:hAnsi="Times New Roman" w:cs="Times New Roman" w:eastAsia="Times New Roman" w:hint="default"/>
                <w:sz w:val="18"/>
                <w:szCs w:val="18"/>
              </w:rPr>
            </w:pPr>
            <w:r>
              <w:rPr>
                <w:rFonts w:ascii="Times New Roman"/>
                <w:sz w:val="18"/>
              </w:rPr>
              <w:t>175,266,946.66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-63,634,628.21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本期支付的取得子公司的现金净额" w:id="325"/>
      <w:bookmarkEnd w:id="32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32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3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9"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46,800,000.00</w:t>
            </w:r>
          </w:p>
        </w:tc>
      </w:tr>
      <w:tr>
        <w:trPr>
          <w:trHeight w:val="31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非同一控制下合并广州华炜科技有限公司</w:t>
            </w:r>
          </w:p>
        </w:tc>
        <w:tc>
          <w:tcPr>
            <w:tcW w:w="458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46,800,000.00</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10" w:space="0" w:color="D2D2D2"/>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13,207,217.07</w:t>
            </w:r>
          </w:p>
        </w:tc>
      </w:tr>
      <w:tr>
        <w:trPr>
          <w:trHeight w:val="310"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w:t>
            </w:r>
          </w:p>
        </w:tc>
      </w:tr>
      <w:tr>
        <w:trPr>
          <w:trHeight w:val="330"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非同一控制下合并广州华炜科技有限公司</w:t>
            </w:r>
          </w:p>
        </w:tc>
        <w:tc>
          <w:tcPr>
            <w:tcW w:w="4580"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13,207,217.07</w:t>
            </w:r>
          </w:p>
        </w:tc>
      </w:tr>
      <w:tr>
        <w:trPr>
          <w:trHeight w:val="32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
        </w:tc>
      </w:tr>
      <w:tr>
        <w:trPr>
          <w:trHeight w:val="32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33,592,782.93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472" w:lineRule="auto" w:before="35"/>
        <w:ind w:left="1133" w:right="7064"/>
        <w:jc w:val="left"/>
        <w:rPr>
          <w:rFonts w:ascii="宋体" w:hAnsi="宋体" w:cs="宋体" w:eastAsia="宋体" w:hint="default"/>
          <w:b w:val="0"/>
          <w:bCs w:val="0"/>
        </w:rPr>
      </w:pPr>
      <w:bookmarkStart w:name="（3）本期收到的处置子公司的现金净额" w:id="326"/>
      <w:bookmarkEnd w:id="326"/>
      <w:r>
        <w:rPr>
          <w:b w:val="0"/>
          <w:bCs w:val="0"/>
        </w:rPr>
      </w:r>
      <w:r>
        <w:rPr/>
        <w:t>（</w:t>
      </w:r>
      <w:r>
        <w:rPr>
          <w:rFonts w:ascii="Times New Roman" w:hAnsi="Times New Roman" w:cs="Times New Roman" w:eastAsia="Times New Roman" w:hint="default"/>
        </w:rPr>
        <w:t>3</w:t>
      </w:r>
      <w:r>
        <w:rPr/>
        <w:t>）本期收到的处置子公司的现金净额</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4）现金和现金等价物的构成" w:id="327"/>
      <w:bookmarkEnd w:id="32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508,449,711.52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333,182,764.86</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224,449.43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116,237.86</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508,225,262.09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333,066,527.00</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508,449,711.52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333,182,764.86</w:t>
            </w:r>
          </w:p>
        </w:tc>
      </w:tr>
    </w:tbl>
    <w:p>
      <w:pPr>
        <w:spacing w:line="240" w:lineRule="auto" w:before="12"/>
        <w:rPr>
          <w:rFonts w:ascii="宋体" w:hAnsi="宋体" w:cs="宋体" w:eastAsia="宋体" w:hint="default"/>
          <w:sz w:val="17"/>
          <w:szCs w:val="17"/>
        </w:rPr>
      </w:pPr>
    </w:p>
    <w:p>
      <w:pPr>
        <w:pStyle w:val="Heading2"/>
        <w:spacing w:line="240" w:lineRule="auto" w:before="26"/>
        <w:ind w:left="1134" w:right="0"/>
        <w:jc w:val="left"/>
        <w:rPr>
          <w:b w:val="0"/>
          <w:bCs w:val="0"/>
        </w:rPr>
      </w:pPr>
      <w:bookmarkStart w:name="八、合并范围的变更" w:id="328"/>
      <w:bookmarkEnd w:id="328"/>
      <w:r>
        <w:rPr>
          <w:b w:val="0"/>
          <w:bCs w:val="0"/>
        </w:rPr>
      </w:r>
      <w:r>
        <w:rPr/>
        <w:t>八、合并范围的变更</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right="0"/>
        <w:jc w:val="left"/>
        <w:rPr>
          <w:b w:val="0"/>
          <w:bCs w:val="0"/>
        </w:rPr>
      </w:pPr>
      <w:bookmarkStart w:name="1、非同一控制下企业合并" w:id="329"/>
      <w:bookmarkEnd w:id="329"/>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right="0"/>
        <w:jc w:val="left"/>
        <w:rPr>
          <w:b w:val="0"/>
          <w:bCs w:val="0"/>
        </w:rPr>
      </w:pPr>
      <w:bookmarkStart w:name="（1）本期发生的非同一控制下企业合并" w:id="330"/>
      <w:bookmarkEnd w:id="33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420" w:type="dxa"/>
        <w:tblLayout w:type="fixed"/>
        <w:tblCellMar>
          <w:top w:w="0" w:type="dxa"/>
          <w:left w:w="0" w:type="dxa"/>
          <w:bottom w:w="0" w:type="dxa"/>
          <w:right w:w="0" w:type="dxa"/>
        </w:tblCellMar>
        <w:tblLook w:val="01E0"/>
      </w:tblPr>
      <w:tblGrid>
        <w:gridCol w:w="1985"/>
        <w:gridCol w:w="1134"/>
        <w:gridCol w:w="1277"/>
        <w:gridCol w:w="710"/>
        <w:gridCol w:w="924"/>
        <w:gridCol w:w="1063"/>
        <w:gridCol w:w="1415"/>
        <w:gridCol w:w="1274"/>
        <w:gridCol w:w="1134"/>
      </w:tblGrid>
      <w:tr>
        <w:trPr>
          <w:trHeight w:val="79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72" w:right="109"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9" w:right="78"/>
              <w:jc w:val="left"/>
              <w:rPr>
                <w:rFonts w:ascii="宋体" w:hAnsi="宋体" w:cs="宋体" w:eastAsia="宋体" w:hint="default"/>
                <w:sz w:val="18"/>
                <w:szCs w:val="18"/>
              </w:rPr>
            </w:pPr>
            <w:r>
              <w:rPr>
                <w:rFonts w:ascii="宋体" w:hAnsi="宋体" w:cs="宋体" w:eastAsia="宋体" w:hint="default"/>
                <w:sz w:val="18"/>
                <w:szCs w:val="18"/>
              </w:rPr>
              <w:t>股权取 得比例</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76" w:right="9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612" w:right="71" w:hanging="541"/>
              <w:jc w:val="left"/>
              <w:rPr>
                <w:rFonts w:ascii="宋体" w:hAnsi="宋体" w:cs="宋体" w:eastAsia="宋体" w:hint="default"/>
                <w:sz w:val="18"/>
                <w:szCs w:val="18"/>
              </w:rPr>
            </w:pPr>
            <w:r>
              <w:rPr>
                <w:rFonts w:ascii="宋体" w:hAnsi="宋体" w:cs="宋体" w:eastAsia="宋体" w:hint="default"/>
                <w:sz w:val="18"/>
                <w:szCs w:val="18"/>
              </w:rPr>
              <w:t>购买日的确定依 据</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92" w:right="90"/>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2"/>
              <w:ind w:left="111" w:right="110"/>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9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69"/>
              <w:jc w:val="both"/>
              <w:rPr>
                <w:rFonts w:ascii="宋体" w:hAnsi="宋体" w:cs="宋体" w:eastAsia="宋体" w:hint="default"/>
                <w:sz w:val="18"/>
                <w:szCs w:val="18"/>
              </w:rPr>
            </w:pPr>
            <w:r>
              <w:rPr>
                <w:rFonts w:ascii="宋体" w:hAnsi="宋体" w:cs="宋体" w:eastAsia="宋体" w:hint="default"/>
                <w:sz w:val="18"/>
                <w:szCs w:val="18"/>
              </w:rPr>
              <w:t>发行股份 及支付现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0"/>
              <w:jc w:val="both"/>
              <w:rPr>
                <w:rFonts w:ascii="宋体" w:hAnsi="宋体" w:cs="宋体" w:eastAsia="宋体" w:hint="default"/>
                <w:sz w:val="18"/>
                <w:szCs w:val="18"/>
              </w:rPr>
            </w:pPr>
            <w:r>
              <w:rPr>
                <w:rFonts w:ascii="宋体" w:hAnsi="宋体" w:cs="宋体" w:eastAsia="宋体" w:hint="default"/>
                <w:sz w:val="18"/>
                <w:szCs w:val="18"/>
              </w:rPr>
              <w:t>完成股权转让登 记并取得广州华 炜控制权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180,836,938.76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36,000,732.31</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合并成本及商誉" w:id="331"/>
      <w:bookmarkEnd w:id="33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487"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78,000,000.00</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312,000,000.00</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390,000,000.00</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200,535,044.65</w:t>
            </w:r>
          </w:p>
        </w:tc>
      </w:tr>
      <w:tr>
        <w:trPr>
          <w:trHeight w:val="55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189,464,955.35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3"/>
        <w:spacing w:line="240" w:lineRule="auto" w:before="35"/>
        <w:ind w:right="0"/>
        <w:jc w:val="left"/>
        <w:rPr>
          <w:b w:val="0"/>
          <w:bCs w:val="0"/>
        </w:rPr>
      </w:pPr>
      <w:bookmarkStart w:name="（3）被购买方于购买日可辨认资产、负债" w:id="332"/>
      <w:bookmarkEnd w:id="33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79"/>
        <w:gridCol w:w="3202"/>
        <w:gridCol w:w="3179"/>
      </w:tblGrid>
      <w:tr>
        <w:trPr>
          <w:trHeight w:val="32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广州华炜科技有限公司</w:t>
            </w:r>
          </w:p>
        </w:tc>
      </w:tr>
      <w:tr>
        <w:trPr>
          <w:trHeight w:val="32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13,207,217.07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13,207,217.07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82,810,995.08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82,810,995.08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55,773,965.29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55,773,965.29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33,161,008.54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32,481,899.20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18,038,222.33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6,805,544.55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11,408,238.16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11,408,238.16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6,957,496.69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6,957,496.69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7,952,018.72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7,952,018.72</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7,666.59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7,666.59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7,750,000.00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2,095,224.66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1,895,111.01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12,620,012.66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12,620,012.66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28,000.00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248,902.18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248,902.18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2,060,839.34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2,060,839.34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18,134,440.00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18,134,440.00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25,033,752.55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25,033,752.55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1,816,785.12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1,067,734.05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1,067,734.05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-2,528,923.20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-2,528,923.20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735,369.28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735,369.28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5,267,705.00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5,267,705.00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202,304,972.41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192,009,856.76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1,769,927.76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1,769,927.76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200,535,044.65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190,239,929.00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4）购买日之前持有的股权按照公允价值重新计量产生的利得或损失" w:id="333"/>
      <w:bookmarkEnd w:id="33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3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5"/>
        <w:rPr>
          <w:rFonts w:ascii="宋体" w:hAnsi="宋体" w:cs="宋体" w:eastAsia="宋体" w:hint="default"/>
          <w:sz w:val="21"/>
          <w:szCs w:val="21"/>
        </w:rPr>
      </w:pPr>
    </w:p>
    <w:p>
      <w:pPr>
        <w:pStyle w:val="Heading3"/>
        <w:spacing w:line="475" w:lineRule="auto"/>
        <w:ind w:left="1133" w:right="1793"/>
        <w:jc w:val="left"/>
        <w:rPr>
          <w:rFonts w:ascii="宋体" w:hAnsi="宋体" w:cs="宋体" w:eastAsia="宋体" w:hint="default"/>
          <w:b w:val="0"/>
          <w:bCs w:val="0"/>
        </w:rPr>
      </w:pPr>
      <w:bookmarkStart w:name="（5）购买日或合并当期期末无法合理确定合并对价或被购买方可辨认资产、负债公允价值" w:id="334"/>
      <w:bookmarkEnd w:id="334"/>
      <w:r>
        <w:rPr>
          <w:b w:val="0"/>
          <w:bCs w:val="0"/>
        </w:rPr>
      </w:r>
      <w:r>
        <w:rPr>
          <w:w w:val="95"/>
        </w:rPr>
        <w:t>（</w:t>
      </w:r>
      <w:r>
        <w:rPr>
          <w:rFonts w:ascii="Times New Roman" w:hAnsi="Times New Roman" w:cs="Times New Roman" w:eastAsia="Times New Roman" w:hint="default"/>
          <w:w w:val="95"/>
        </w:rPr>
        <w:t>5</w:t>
      </w:r>
      <w:r>
        <w:rPr>
          <w:w w:val="95"/>
        </w:rPr>
        <w:t>）购买日或合并当期期末无法合理确定合并对价或被购买方可辨认资产、负债公允价值的相关说明   </w:t>
      </w:r>
      <w:r>
        <w:rPr>
          <w:spacing w:val="57"/>
          <w:w w:val="95"/>
        </w:rPr>
        <w:t> </w:t>
      </w:r>
      <w:r>
        <w:rPr>
          <w:spacing w:val="57"/>
          <w:w w:val="95"/>
        </w:rPr>
      </w:r>
      <w:r>
        <w:rPr>
          <w:rFonts w:ascii="宋体" w:hAnsi="宋体" w:cs="宋体" w:eastAsia="宋体" w:hint="default"/>
          <w:b w:val="0"/>
          <w:bCs w:val="0"/>
        </w:rPr>
        <w:t>无。</w:t>
      </w:r>
    </w:p>
    <w:p>
      <w:pPr>
        <w:pStyle w:val="Heading3"/>
        <w:spacing w:line="475" w:lineRule="auto" w:before="90"/>
        <w:ind w:left="1133" w:right="9383"/>
        <w:jc w:val="left"/>
        <w:rPr>
          <w:rFonts w:ascii="宋体" w:hAnsi="宋体" w:cs="宋体" w:eastAsia="宋体" w:hint="default"/>
          <w:b w:val="0"/>
          <w:bCs w:val="0"/>
        </w:rPr>
      </w:pPr>
      <w:bookmarkStart w:name="（6）其他说明" w:id="335"/>
      <w:bookmarkEnd w:id="335"/>
      <w:r>
        <w:rPr>
          <w:b w:val="0"/>
          <w:bCs w:val="0"/>
        </w:rPr>
      </w:r>
      <w:r>
        <w:rPr/>
        <w:t>（</w:t>
      </w:r>
      <w:r>
        <w:rPr>
          <w:rFonts w:ascii="Times New Roman" w:hAnsi="Times New Roman" w:cs="Times New Roman" w:eastAsia="Times New Roman" w:hint="default"/>
        </w:rPr>
        <w:t>6</w:t>
      </w:r>
      <w:r>
        <w:rPr/>
        <w:t>）其他说明</w:t>
      </w:r>
      <w:r>
        <w:rPr>
          <w:w w:val="99"/>
        </w:rPr>
        <w:t> </w:t>
      </w:r>
      <w:r>
        <w:rPr>
          <w:rFonts w:ascii="宋体" w:hAnsi="宋体" w:cs="宋体" w:eastAsia="宋体" w:hint="default"/>
          <w:b w:val="0"/>
          <w:bCs w:val="0"/>
        </w:rPr>
        <w:t>无。</w:t>
      </w:r>
    </w:p>
    <w:p>
      <w:pPr>
        <w:spacing w:line="475" w:lineRule="auto" w:before="91"/>
        <w:ind w:left="1134" w:right="6762" w:firstLine="0"/>
        <w:jc w:val="left"/>
        <w:rPr>
          <w:rFonts w:ascii="宋体" w:hAnsi="宋体" w:cs="宋体" w:eastAsia="宋体" w:hint="default"/>
          <w:sz w:val="21"/>
          <w:szCs w:val="21"/>
        </w:rPr>
      </w:pPr>
      <w:bookmarkStart w:name="2、同一控制下企业合并" w:id="336"/>
      <w:bookmarkEnd w:id="3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公司无同一控制下企业合并取得的子公司。</w:t>
      </w:r>
    </w:p>
    <w:p>
      <w:pPr>
        <w:spacing w:after="0" w:line="475" w:lineRule="auto"/>
        <w:jc w:val="left"/>
        <w:rPr>
          <w:rFonts w:ascii="宋体" w:hAnsi="宋体" w:cs="宋体" w:eastAsia="宋体" w:hint="default"/>
          <w:sz w:val="21"/>
          <w:szCs w:val="21"/>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spacing w:line="487" w:lineRule="auto" w:before="35"/>
        <w:ind w:left="1133" w:right="7603" w:firstLine="0"/>
        <w:jc w:val="left"/>
        <w:rPr>
          <w:rFonts w:ascii="宋体" w:hAnsi="宋体" w:cs="宋体" w:eastAsia="宋体" w:hint="default"/>
          <w:sz w:val="21"/>
          <w:szCs w:val="21"/>
        </w:rPr>
      </w:pPr>
      <w:bookmarkStart w:name="3、反向购买" w:id="337"/>
      <w:bookmarkEnd w:id="3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b/>
          <w:bCs/>
          <w:w w:val="99"/>
          <w:sz w:val="21"/>
          <w:szCs w:val="21"/>
        </w:rPr>
        <w:t> </w:t>
      </w:r>
      <w:r>
        <w:rPr>
          <w:rFonts w:ascii="宋体" w:hAnsi="宋体" w:cs="宋体" w:eastAsia="宋体" w:hint="default"/>
          <w:sz w:val="21"/>
          <w:szCs w:val="21"/>
        </w:rPr>
        <w:t>报告期内未发生反向购买行为。 </w:t>
      </w:r>
      <w:bookmarkStart w:name="4、处置子公司" w:id="338"/>
      <w:bookmarkEnd w:id="338"/>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报告期内未发生处置子公司行为。 </w:t>
      </w:r>
      <w:bookmarkStart w:name="5、其他原因的合并范围变动" w:id="339"/>
      <w:bookmarkEnd w:id="339"/>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487" w:lineRule="auto" w:before="44"/>
        <w:ind w:left="1134" w:right="10014" w:firstLine="0"/>
        <w:jc w:val="left"/>
        <w:rPr>
          <w:rFonts w:ascii="宋体" w:hAnsi="宋体" w:cs="宋体" w:eastAsia="宋体" w:hint="default"/>
          <w:sz w:val="21"/>
          <w:szCs w:val="21"/>
        </w:rPr>
      </w:pPr>
      <w:r>
        <w:rPr>
          <w:rFonts w:ascii="宋体" w:hAnsi="宋体" w:cs="宋体" w:eastAsia="宋体" w:hint="default"/>
          <w:sz w:val="21"/>
          <w:szCs w:val="21"/>
        </w:rPr>
        <w:t>无。 </w:t>
      </w:r>
      <w:bookmarkStart w:name="6、其他" w:id="340"/>
      <w:bookmarkEnd w:id="340"/>
      <w:r>
        <w:rPr>
          <w:rFonts w:ascii="宋体" w:hAnsi="宋体" w:cs="宋体" w:eastAsia="宋体" w:hint="default"/>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2"/>
        <w:spacing w:line="240" w:lineRule="auto" w:before="77"/>
        <w:ind w:left="1134" w:right="0"/>
        <w:jc w:val="left"/>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3119"/>
        <w:gridCol w:w="710"/>
        <w:gridCol w:w="708"/>
        <w:gridCol w:w="1702"/>
        <w:gridCol w:w="708"/>
        <w:gridCol w:w="710"/>
        <w:gridCol w:w="1916"/>
      </w:tblGrid>
      <w:tr>
        <w:trPr>
          <w:trHeight w:val="323" w:hRule="exact"/>
        </w:trPr>
        <w:tc>
          <w:tcPr>
            <w:tcW w:w="3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9" w:right="78" w:hanging="90"/>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3119"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9"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7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教育培训服务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60.00%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广东省南方信息技术行业研究院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研究和试验发展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75.00%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深圳中科蓝盾信息安全技有限公司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西安市中盾信息安全技术有限公司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广东汇青信息科技有限公司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广州华炜测控技术有限公司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41"/>
              <w:jc w:val="left"/>
              <w:rPr>
                <w:rFonts w:ascii="宋体" w:hAnsi="宋体" w:cs="宋体" w:eastAsia="宋体" w:hint="default"/>
                <w:sz w:val="18"/>
                <w:szCs w:val="18"/>
              </w:rPr>
            </w:pPr>
            <w:r>
              <w:rPr>
                <w:rFonts w:ascii="宋体" w:hAnsi="宋体" w:cs="宋体" w:eastAsia="宋体" w:hint="default"/>
                <w:spacing w:val="-10"/>
                <w:sz w:val="18"/>
                <w:szCs w:val="18"/>
              </w:rPr>
              <w:t>雷电防护（电磁安防）</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309" w:lineRule="exact"/>
              <w:ind w:right="-15"/>
              <w:jc w:val="left"/>
              <w:rPr>
                <w:rFonts w:ascii="宋体" w:hAnsi="宋体" w:cs="宋体" w:eastAsia="宋体" w:hint="default"/>
                <w:sz w:val="20"/>
                <w:szCs w:val="20"/>
              </w:rPr>
            </w:pPr>
            <w:r>
              <w:rPr>
                <w:rFonts w:ascii="宋体" w:hAnsi="宋体" w:cs="宋体" w:eastAsia="宋体" w:hint="default"/>
                <w:position w:val="-5"/>
                <w:sz w:val="20"/>
                <w:szCs w:val="20"/>
              </w:rPr>
              <w:pict>
                <v:group style="width:33.8pt;height:15.5pt;mso-position-horizontal-relative:char;mso-position-vertical-relative:line" coordorigin="0,0" coordsize="676,310">
                  <v:group style="position:absolute;left:11;top:11;width:2;height:287" coordorigin="11,11" coordsize="2,287">
                    <v:shape style="position:absolute;left:11;top:11;width:2;height:287" coordorigin="11,11" coordsize="0,287" path="m11,11l11,298e" filled="false" stroked="true" strokeweight="1.140pt" strokecolor="#ffffff">
                      <v:path arrowok="t"/>
                    </v:shape>
                  </v:group>
                  <v:group style="position:absolute;left:23;top:11;width:653;height:287" coordorigin="23,11" coordsize="653,287">
                    <v:shape style="position:absolute;left:23;top:11;width:653;height:287" coordorigin="23,11" coordsize="653,287" path="m23,298l676,298,676,11,23,11,23,298xe" filled="true" fillcolor="#ffffff" stroked="false">
                      <v:path arrowok="t"/>
                      <v:fill type="solid"/>
                    </v:shape>
                  </v:group>
                </v:group>
              </w:pict>
            </w:r>
            <w:r>
              <w:rPr>
                <w:rFonts w:ascii="宋体" w:hAnsi="宋体" w:cs="宋体" w:eastAsia="宋体" w:hint="default"/>
                <w:position w:val="-5"/>
                <w:sz w:val="20"/>
                <w:szCs w:val="20"/>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东莞市华炜雷电防护设备有限公司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68.00%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江西华炜电气技术有限公司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高安市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2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南京微润科技有限公司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2"/>
        <w:rPr>
          <w:rFonts w:ascii="宋体" w:hAnsi="宋体" w:cs="宋体" w:eastAsia="宋体" w:hint="default"/>
          <w:b/>
          <w:bCs/>
          <w:sz w:val="6"/>
          <w:szCs w:val="6"/>
        </w:rPr>
      </w:pPr>
    </w:p>
    <w:p>
      <w:pPr>
        <w:pStyle w:val="BodyText"/>
        <w:spacing w:line="240" w:lineRule="auto" w:before="35"/>
        <w:ind w:left="1134" w:right="0"/>
        <w:jc w:val="left"/>
      </w:pPr>
      <w:r>
        <w:rPr/>
        <w:t>在子公司的持股比例不同于表决权比例的说明：</w:t>
      </w:r>
    </w:p>
    <w:p>
      <w:pPr>
        <w:spacing w:after="0" w:line="240" w:lineRule="auto"/>
        <w:jc w:val="left"/>
        <w:sectPr>
          <w:pgSz w:w="11910" w:h="16840"/>
          <w:pgMar w:header="0" w:footer="979" w:top="1100" w:bottom="1160" w:left="0" w:right="0"/>
        </w:sectPr>
      </w:pPr>
    </w:p>
    <w:p>
      <w:pPr>
        <w:spacing w:line="240" w:lineRule="auto" w:before="7"/>
        <w:rPr>
          <w:rFonts w:ascii="宋体" w:hAnsi="宋体" w:cs="宋体" w:eastAsia="宋体" w:hint="default"/>
          <w:sz w:val="27"/>
          <w:szCs w:val="27"/>
        </w:rPr>
      </w:pPr>
    </w:p>
    <w:p>
      <w:pPr>
        <w:pStyle w:val="BodyText"/>
        <w:spacing w:line="384" w:lineRule="auto" w:before="35"/>
        <w:ind w:right="1513" w:firstLine="420"/>
        <w:jc w:val="left"/>
      </w:pPr>
      <w:r>
        <w:rPr/>
        <w:t>报告期内公司所有子公司的持股比例与表决权比例相同。 持有半数或以下表决权但仍控制被投资单位、以及持有半数以上表决权但不控制被投资单位的依据：</w:t>
      </w:r>
    </w:p>
    <w:p>
      <w:pPr>
        <w:pStyle w:val="BodyText"/>
        <w:spacing w:line="331" w:lineRule="auto" w:before="38"/>
        <w:ind w:right="1128" w:firstLine="420"/>
        <w:jc w:val="left"/>
      </w:pPr>
      <w:r>
        <w:rPr/>
        <w:t>报告期内公司设立了子公司广东汇青信息科技有限公司，持股比例为</w:t>
      </w:r>
      <w:r>
        <w:rPr>
          <w:rFonts w:ascii="Times New Roman" w:hAnsi="Times New Roman" w:cs="Times New Roman" w:eastAsia="Times New Roman" w:hint="default"/>
        </w:rPr>
        <w:t>50%</w:t>
      </w:r>
      <w:r>
        <w:rPr/>
        <w:t>，但公司控制被投资单位的 经营管理和决策。</w:t>
      </w:r>
    </w:p>
    <w:p>
      <w:pPr>
        <w:pStyle w:val="BodyText"/>
        <w:spacing w:line="384" w:lineRule="auto" w:before="85"/>
        <w:ind w:left="1553" w:right="4663" w:hanging="420"/>
        <w:jc w:val="left"/>
      </w:pPr>
      <w:r>
        <w:rPr/>
        <w:t>对于纳入合并范围的重要的结构化主体，控制的依据： 报告期内公司无持有半数以上表决权但不控制被投资单位的。</w:t>
      </w:r>
    </w:p>
    <w:p>
      <w:pPr>
        <w:pStyle w:val="BodyText"/>
        <w:spacing w:line="384" w:lineRule="auto" w:before="39"/>
        <w:ind w:right="7183"/>
        <w:jc w:val="left"/>
      </w:pPr>
      <w:r>
        <w:rPr/>
        <w:t>确定公司是代理人还是委托人的依据： 不适用。</w:t>
      </w:r>
    </w:p>
    <w:p>
      <w:pPr>
        <w:pStyle w:val="BodyText"/>
        <w:spacing w:line="384" w:lineRule="auto" w:before="39"/>
        <w:ind w:right="9703"/>
        <w:jc w:val="left"/>
      </w:pPr>
      <w:r>
        <w:rPr/>
        <w:t>其他说明： 无。</w:t>
      </w:r>
    </w:p>
    <w:p>
      <w:pPr>
        <w:spacing w:line="240" w:lineRule="auto" w:before="5"/>
        <w:rPr>
          <w:rFonts w:ascii="宋体" w:hAnsi="宋体" w:cs="宋体" w:eastAsia="宋体" w:hint="default"/>
          <w:sz w:val="14"/>
          <w:szCs w:val="14"/>
        </w:rPr>
      </w:pPr>
    </w:p>
    <w:p>
      <w:pPr>
        <w:pStyle w:val="Heading3"/>
        <w:spacing w:line="240" w:lineRule="auto"/>
        <w:ind w:right="0"/>
        <w:jc w:val="left"/>
        <w:rPr>
          <w:b w:val="0"/>
          <w:bCs w:val="0"/>
        </w:rPr>
      </w:pPr>
      <w:bookmarkStart w:name="（2）重要的非全资子公司" w:id="344"/>
      <w:bookmarkEnd w:id="3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836"/>
        <w:gridCol w:w="1418"/>
        <w:gridCol w:w="1702"/>
        <w:gridCol w:w="1703"/>
        <w:gridCol w:w="1913"/>
      </w:tblGrid>
      <w:tr>
        <w:trPr>
          <w:trHeight w:val="7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613" w:right="72"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574" w:right="35"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395" w:right="35"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2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2,115,522.88</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15,746,905.16</w:t>
            </w:r>
          </w:p>
        </w:tc>
      </w:tr>
      <w:tr>
        <w:trPr>
          <w:trHeight w:val="32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东莞市新铂铼电子有限公司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255,872.09</w:t>
            </w: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2,423,947.38</w:t>
            </w:r>
          </w:p>
        </w:tc>
      </w:tr>
      <w:tr>
        <w:trPr>
          <w:trHeight w:val="32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6"/>
          <w:szCs w:val="6"/>
        </w:rPr>
      </w:pPr>
    </w:p>
    <w:p>
      <w:pPr>
        <w:pStyle w:val="BodyText"/>
        <w:spacing w:line="453" w:lineRule="auto" w:before="35"/>
        <w:ind w:left="1554" w:right="2772" w:hanging="420"/>
        <w:jc w:val="left"/>
      </w:pPr>
      <w:r>
        <w:rPr/>
        <w:t>子公司少数股东的持股比例不同于表决权比例的说明： 广东蓝盾新微安全科技有限公司少数股东尚未投入资本金，不享有少数股东权益。</w:t>
      </w:r>
    </w:p>
    <w:p>
      <w:pPr>
        <w:pStyle w:val="BodyText"/>
        <w:spacing w:line="253" w:lineRule="exact"/>
        <w:ind w:right="0"/>
        <w:jc w:val="left"/>
      </w:pPr>
      <w:r>
        <w:rPr/>
        <w:t>其他说明：</w:t>
      </w:r>
    </w:p>
    <w:p>
      <w:pPr>
        <w:pStyle w:val="BodyText"/>
        <w:spacing w:line="240" w:lineRule="auto" w:before="164"/>
        <w:ind w:right="0"/>
        <w:jc w:val="left"/>
      </w:pPr>
      <w:r>
        <w:rPr/>
        <w:t>无。</w:t>
      </w:r>
    </w:p>
    <w:p>
      <w:pPr>
        <w:spacing w:after="0" w:line="240" w:lineRule="auto"/>
        <w:jc w:val="left"/>
        <w:sectPr>
          <w:pgSz w:w="11910" w:h="16840"/>
          <w:pgMar w:header="0" w:footer="979" w:top="1100" w:bottom="1160" w:left="0" w:right="0"/>
        </w:sectPr>
      </w:pPr>
    </w:p>
    <w:p>
      <w:pPr>
        <w:spacing w:line="240" w:lineRule="auto" w:before="4"/>
        <w:rPr>
          <w:rFonts w:ascii="宋体" w:hAnsi="宋体" w:cs="宋体" w:eastAsia="宋体" w:hint="default"/>
          <w:sz w:val="22"/>
          <w:szCs w:val="22"/>
        </w:rPr>
      </w:pPr>
    </w:p>
    <w:p>
      <w:pPr>
        <w:pStyle w:val="Heading3"/>
        <w:spacing w:line="240" w:lineRule="auto"/>
        <w:ind w:left="140" w:right="0"/>
        <w:jc w:val="left"/>
        <w:rPr>
          <w:b w:val="0"/>
          <w:bCs w:val="0"/>
        </w:rPr>
      </w:pPr>
      <w:r>
        <w:rPr/>
        <w:pict>
          <v:group style="position:absolute;margin-left:70.5pt;margin-top:.683667pt;width:701pt;height:.1pt;mso-position-horizontal-relative:page;mso-position-vertical-relative:paragraph;z-index:-858304" coordorigin="1410,14" coordsize="14020,2">
            <v:shape style="position:absolute;left:1410;top:14;width:14020;height:2" coordorigin="1410,14" coordsize="14020,0" path="m1410,14l15430,14e" filled="false" stroked="true" strokeweight=".72pt" strokecolor="#000000">
              <v:path arrowok="t"/>
            </v:shape>
            <w10:wrap type="none"/>
          </v:group>
        </w:pict>
      </w:r>
      <w:bookmarkStart w:name="（3）重要非全资子公司的主要财务信息" w:id="345"/>
      <w:bookmarkEnd w:id="345"/>
      <w:r>
        <w:rPr>
          <w:b w:val="0"/>
          <w:bCs w:val="0"/>
        </w:rPr>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after="0"/>
        <w:jc w:val="left"/>
        <w:rPr>
          <w:rFonts w:ascii="宋体" w:hAnsi="宋体" w:cs="宋体" w:eastAsia="宋体" w:hint="default"/>
          <w:sz w:val="18"/>
          <w:szCs w:val="18"/>
        </w:rPr>
        <w:sectPr>
          <w:headerReference w:type="default" r:id="rId37"/>
          <w:footerReference w:type="default" r:id="rId38"/>
          <w:pgSz w:w="16840" w:h="11910" w:orient="landscape"/>
          <w:pgMar w:header="0" w:footer="0" w:top="800" w:bottom="0" w:left="1300" w:right="0"/>
          <w:cols w:num="2" w:equalWidth="0">
            <w:col w:w="3827" w:space="6262"/>
            <w:col w:w="5451"/>
          </w:cols>
        </w:sectPr>
      </w:pPr>
    </w:p>
    <w:p>
      <w:pPr>
        <w:spacing w:line="240" w:lineRule="auto" w:before="8"/>
        <w:rPr>
          <w:rFonts w:ascii="宋体" w:hAnsi="宋体" w:cs="宋体" w:eastAsia="宋体" w:hint="default"/>
          <w:sz w:val="18"/>
          <w:szCs w:val="18"/>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419"/>
        <w:gridCol w:w="1134"/>
        <w:gridCol w:w="1134"/>
        <w:gridCol w:w="1134"/>
        <w:gridCol w:w="1134"/>
        <w:gridCol w:w="850"/>
        <w:gridCol w:w="1134"/>
        <w:gridCol w:w="1134"/>
        <w:gridCol w:w="1134"/>
        <w:gridCol w:w="1134"/>
        <w:gridCol w:w="1134"/>
        <w:gridCol w:w="851"/>
        <w:gridCol w:w="1134"/>
      </w:tblGrid>
      <w:tr>
        <w:trPr>
          <w:trHeight w:val="323"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52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2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56"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330" w:right="59" w:hanging="270"/>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330" w:right="59" w:hanging="271"/>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4"/>
              <w:jc w:val="left"/>
              <w:rPr>
                <w:rFonts w:ascii="宋体" w:hAnsi="宋体" w:cs="宋体" w:eastAsia="宋体" w:hint="default"/>
                <w:sz w:val="18"/>
                <w:szCs w:val="18"/>
              </w:rPr>
            </w:pPr>
            <w:r>
              <w:rPr>
                <w:rFonts w:ascii="宋体" w:hAnsi="宋体" w:cs="宋体" w:eastAsia="宋体" w:hint="default"/>
                <w:sz w:val="18"/>
                <w:szCs w:val="18"/>
              </w:rPr>
              <w:t>广东蓝盾乐庚信 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42,372,795.08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14,958,993.03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57,331,788.11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17,964,525.22</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17,964,525.22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10,100,876.61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8,188,931.33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18,289,807.94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4,211,352.26</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4,211,352.26</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4"/>
              <w:jc w:val="left"/>
              <w:rPr>
                <w:rFonts w:ascii="宋体" w:hAnsi="宋体" w:cs="宋体" w:eastAsia="宋体" w:hint="default"/>
                <w:sz w:val="18"/>
                <w:szCs w:val="18"/>
              </w:rPr>
            </w:pPr>
            <w:r>
              <w:rPr>
                <w:rFonts w:ascii="宋体" w:hAnsi="宋体" w:cs="宋体" w:eastAsia="宋体" w:hint="default"/>
                <w:sz w:val="18"/>
                <w:szCs w:val="18"/>
              </w:rPr>
              <w:t>东莞市新铂铼电 子有限公司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14,077,742.06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2,784,023.39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16,861,765.45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9,286,929.88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9,286,929.88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24"/>
              <w:jc w:val="left"/>
              <w:rPr>
                <w:rFonts w:ascii="宋体" w:hAnsi="宋体" w:cs="宋体" w:eastAsia="宋体" w:hint="default"/>
                <w:sz w:val="18"/>
                <w:szCs w:val="18"/>
              </w:rPr>
            </w:pPr>
            <w:r>
              <w:rPr>
                <w:rFonts w:ascii="宋体" w:hAnsi="宋体" w:cs="宋体" w:eastAsia="宋体" w:hint="default"/>
                <w:sz w:val="18"/>
                <w:szCs w:val="18"/>
              </w:rPr>
              <w:t>广东蓝盾新微安 全科技有限公司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2,312,093.05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27,033.50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2,339,126.55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96,179.78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96,179.78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before="10"/>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419"/>
        <w:gridCol w:w="1276"/>
        <w:gridCol w:w="1134"/>
        <w:gridCol w:w="1276"/>
        <w:gridCol w:w="1276"/>
        <w:gridCol w:w="1134"/>
        <w:gridCol w:w="1134"/>
        <w:gridCol w:w="1276"/>
        <w:gridCol w:w="1277"/>
      </w:tblGrid>
      <w:tr>
        <w:trPr>
          <w:trHeight w:val="324"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96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8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9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91"/>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52" w:right="91"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9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52" w:right="92"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4"/>
              <w:jc w:val="left"/>
              <w:rPr>
                <w:rFonts w:ascii="宋体" w:hAnsi="宋体" w:cs="宋体" w:eastAsia="宋体" w:hint="default"/>
                <w:sz w:val="18"/>
                <w:szCs w:val="18"/>
              </w:rPr>
            </w:pPr>
            <w:r>
              <w:rPr>
                <w:rFonts w:ascii="宋体" w:hAnsi="宋体" w:cs="宋体" w:eastAsia="宋体" w:hint="default"/>
                <w:sz w:val="18"/>
                <w:szCs w:val="18"/>
              </w:rPr>
              <w:t>广东蓝盾乐庚信 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30,577,395.50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5,288,807.21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5,288,807.21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1,192,917.07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15,492,982.83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4,052,019.89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4,052,019.89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2,609,342.89</w:t>
            </w: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4"/>
              <w:jc w:val="left"/>
              <w:rPr>
                <w:rFonts w:ascii="宋体" w:hAnsi="宋体" w:cs="宋体" w:eastAsia="宋体" w:hint="default"/>
                <w:sz w:val="18"/>
                <w:szCs w:val="18"/>
              </w:rPr>
            </w:pPr>
            <w:r>
              <w:rPr>
                <w:rFonts w:ascii="宋体" w:hAnsi="宋体" w:cs="宋体" w:eastAsia="宋体" w:hint="default"/>
                <w:sz w:val="18"/>
                <w:szCs w:val="18"/>
              </w:rPr>
              <w:t>东莞市新铂铼电 子有限公司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10,139,498.65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799,600.30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799,600.30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607,739.19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4"/>
              <w:jc w:val="left"/>
              <w:rPr>
                <w:rFonts w:ascii="宋体" w:hAnsi="宋体" w:cs="宋体" w:eastAsia="宋体" w:hint="default"/>
                <w:sz w:val="18"/>
                <w:szCs w:val="18"/>
              </w:rPr>
            </w:pPr>
            <w:r>
              <w:rPr>
                <w:rFonts w:ascii="宋体" w:hAnsi="宋体" w:cs="宋体" w:eastAsia="宋体" w:hint="default"/>
                <w:sz w:val="18"/>
                <w:szCs w:val="18"/>
              </w:rPr>
              <w:t>广东蓝盾新微安 全科技有限公司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-757,053.23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-757,053.23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-799,280.97</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201.919983pt;margin-top:21.922344pt;width:640pt;height:42pt;mso-position-horizontal-relative:page;mso-position-vertical-relative:paragraph;z-index:3712" type="#_x0000_t75" stroked="false">
            <v:imagedata r:id="rId17" o:title=""/>
          </v:shape>
        </w:pict>
      </w:r>
      <w:r>
        <w:rPr>
          <w:rFonts w:ascii="Times New Roman"/>
          <w:sz w:val="18"/>
        </w:rPr>
        <w:t>145</w:t>
      </w:r>
    </w:p>
    <w:p>
      <w:pPr>
        <w:spacing w:after="0"/>
        <w:jc w:val="right"/>
        <w:rPr>
          <w:rFonts w:ascii="Times New Roman" w:hAnsi="Times New Roman" w:cs="Times New Roman" w:eastAsia="Times New Roman" w:hint="default"/>
          <w:sz w:val="18"/>
          <w:szCs w:val="18"/>
        </w:rPr>
        <w:sectPr>
          <w:type w:val="continuous"/>
          <w:pgSz w:w="16840" w:h="11910" w:orient="landscape"/>
          <w:pgMar w:top="1100" w:bottom="1160" w:left="1300" w:right="0"/>
        </w:sectPr>
      </w:pPr>
    </w:p>
    <w:p>
      <w:pPr>
        <w:spacing w:line="240" w:lineRule="auto" w:before="8"/>
        <w:rPr>
          <w:rFonts w:ascii="Times New Roman" w:hAnsi="Times New Roman" w:cs="Times New Roman" w:eastAsia="Times New Roman" w:hint="default"/>
          <w:sz w:val="21"/>
          <w:szCs w:val="21"/>
        </w:rPr>
      </w:pPr>
    </w:p>
    <w:p>
      <w:pPr>
        <w:pStyle w:val="Heading3"/>
        <w:spacing w:line="475" w:lineRule="auto" w:before="35"/>
        <w:ind w:left="1133" w:right="5588"/>
        <w:jc w:val="left"/>
        <w:rPr>
          <w:rFonts w:ascii="宋体" w:hAnsi="宋体" w:cs="宋体" w:eastAsia="宋体" w:hint="default"/>
          <w:b w:val="0"/>
          <w:bCs w:val="0"/>
        </w:rPr>
      </w:pPr>
      <w:bookmarkStart w:name="（4）使用企业集团资产和清偿企业集团债务的重大限制" w:id="346"/>
      <w:bookmarkEnd w:id="346"/>
      <w:r>
        <w:rPr>
          <w:b w:val="0"/>
          <w:bCs w:val="0"/>
        </w:rPr>
      </w:r>
      <w:r>
        <w:rPr/>
        <w:t>（</w:t>
      </w:r>
      <w:r>
        <w:rPr>
          <w:rFonts w:ascii="Times New Roman" w:hAnsi="Times New Roman" w:cs="Times New Roman" w:eastAsia="Times New Roman" w:hint="default"/>
        </w:rPr>
        <w:t>4</w:t>
      </w:r>
      <w:r>
        <w:rPr/>
        <w:t>）使用企业集团资产和清偿企业集团债务的重大限制</w:t>
      </w:r>
      <w:r>
        <w:rPr>
          <w:w w:val="99"/>
        </w:rPr>
        <w:t> </w:t>
      </w:r>
      <w:r>
        <w:rPr>
          <w:rFonts w:ascii="宋体" w:hAnsi="宋体" w:cs="宋体" w:eastAsia="宋体" w:hint="default"/>
          <w:b w:val="0"/>
          <w:bCs w:val="0"/>
        </w:rPr>
        <w:t>无。</w:t>
      </w:r>
    </w:p>
    <w:p>
      <w:pPr>
        <w:pStyle w:val="Heading3"/>
        <w:spacing w:line="475" w:lineRule="auto" w:before="90"/>
        <w:ind w:right="4273"/>
        <w:jc w:val="left"/>
        <w:rPr>
          <w:rFonts w:ascii="宋体" w:hAnsi="宋体" w:cs="宋体" w:eastAsia="宋体" w:hint="default"/>
          <w:b w:val="0"/>
          <w:bCs w:val="0"/>
        </w:rPr>
      </w:pPr>
      <w:bookmarkStart w:name="（5）向纳入合并财务报表范围的结构化主体提供的财务支持或其他支持" w:id="347"/>
      <w:bookmarkEnd w:id="347"/>
      <w:r>
        <w:rPr>
          <w:b w:val="0"/>
          <w:bCs w:val="0"/>
        </w:rPr>
      </w:r>
      <w:r>
        <w:rPr>
          <w:w w:val="95"/>
        </w:rPr>
        <w:t>（</w:t>
      </w:r>
      <w:r>
        <w:rPr>
          <w:rFonts w:ascii="Times New Roman" w:hAnsi="Times New Roman" w:cs="Times New Roman" w:eastAsia="Times New Roman" w:hint="default"/>
          <w:w w:val="95"/>
        </w:rPr>
        <w:t>5</w:t>
      </w:r>
      <w:r>
        <w:rPr>
          <w:w w:val="95"/>
        </w:rPr>
        <w:t>）向纳入合并财务报表范围的结构化主体提供的财务支持或其他支持  </w:t>
      </w:r>
      <w:r>
        <w:rPr>
          <w:spacing w:val="22"/>
          <w:w w:val="95"/>
        </w:rPr>
        <w:t> </w:t>
      </w:r>
      <w:r>
        <w:rPr>
          <w:spacing w:val="22"/>
          <w:w w:val="95"/>
        </w:rPr>
      </w:r>
      <w:r>
        <w:rPr>
          <w:rFonts w:ascii="宋体" w:hAnsi="宋体" w:cs="宋体" w:eastAsia="宋体" w:hint="default"/>
          <w:b w:val="0"/>
          <w:bCs w:val="0"/>
        </w:rPr>
        <w:t>无。</w:t>
      </w:r>
    </w:p>
    <w:p>
      <w:pPr>
        <w:pStyle w:val="Heading3"/>
        <w:spacing w:line="240" w:lineRule="auto" w:before="90"/>
        <w:ind w:right="0"/>
        <w:jc w:val="left"/>
        <w:rPr>
          <w:b w:val="0"/>
          <w:bCs w:val="0"/>
        </w:rPr>
      </w:pPr>
      <w:bookmarkStart w:name="2、在子公司的所有者权益份额发生变化且仍控制子公司的交易" w:id="348"/>
      <w:bookmarkEnd w:id="34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1"/>
          <w:szCs w:val="21"/>
        </w:rPr>
      </w:pPr>
    </w:p>
    <w:p>
      <w:pPr>
        <w:pStyle w:val="Heading3"/>
        <w:spacing w:line="472" w:lineRule="auto"/>
        <w:ind w:right="5922"/>
        <w:jc w:val="left"/>
        <w:rPr>
          <w:rFonts w:ascii="宋体" w:hAnsi="宋体" w:cs="宋体" w:eastAsia="宋体" w:hint="default"/>
          <w:b w:val="0"/>
          <w:bCs w:val="0"/>
        </w:rPr>
      </w:pPr>
      <w:bookmarkStart w:name="（1）在子公司所有者权益份额发生变化的情况说明" w:id="349"/>
      <w:bookmarkEnd w:id="349"/>
      <w:r>
        <w:rPr>
          <w:b w:val="0"/>
          <w:bCs w:val="0"/>
        </w:rPr>
      </w:r>
      <w:r>
        <w:rPr>
          <w:w w:val="95"/>
        </w:rPr>
        <w:t>（</w:t>
      </w:r>
      <w:r>
        <w:rPr>
          <w:rFonts w:ascii="Times New Roman" w:hAnsi="Times New Roman" w:cs="Times New Roman" w:eastAsia="Times New Roman" w:hint="default"/>
          <w:w w:val="95"/>
        </w:rPr>
        <w:t>1</w:t>
      </w:r>
      <w:r>
        <w:rPr>
          <w:w w:val="95"/>
        </w:rPr>
        <w:t>）在子公司所有者权益份额发生变化的情况说明</w:t>
      </w:r>
      <w:r>
        <w:rPr>
          <w:spacing w:val="30"/>
          <w:w w:val="95"/>
        </w:rPr>
        <w:t> </w:t>
      </w:r>
      <w:r>
        <w:rPr>
          <w:spacing w:val="30"/>
          <w:w w:val="95"/>
        </w:rPr>
      </w:r>
      <w:r>
        <w:rPr>
          <w:rFonts w:ascii="宋体" w:hAnsi="宋体" w:cs="宋体" w:eastAsia="宋体" w:hint="default"/>
          <w:b w:val="0"/>
          <w:bCs w:val="0"/>
        </w:rPr>
        <w:t>无。</w:t>
      </w:r>
    </w:p>
    <w:p>
      <w:pPr>
        <w:pStyle w:val="Heading3"/>
        <w:spacing w:line="472" w:lineRule="auto" w:before="94"/>
        <w:ind w:right="4993"/>
        <w:jc w:val="left"/>
        <w:rPr>
          <w:rFonts w:ascii="宋体" w:hAnsi="宋体" w:cs="宋体" w:eastAsia="宋体" w:hint="default"/>
          <w:b w:val="0"/>
          <w:bCs w:val="0"/>
        </w:rPr>
      </w:pPr>
      <w:bookmarkStart w:name="（2）交易对于少数股东权益及归属于母公司所有者权益的影响" w:id="350"/>
      <w:bookmarkEnd w:id="350"/>
      <w:r>
        <w:rPr>
          <w:b w:val="0"/>
          <w:bCs w:val="0"/>
        </w:rPr>
      </w:r>
      <w:r>
        <w:rPr>
          <w:w w:val="95"/>
        </w:rPr>
        <w:t>（</w:t>
      </w:r>
      <w:r>
        <w:rPr>
          <w:rFonts w:ascii="Times New Roman" w:hAnsi="Times New Roman" w:cs="Times New Roman" w:eastAsia="Times New Roman" w:hint="default"/>
          <w:w w:val="95"/>
        </w:rPr>
        <w:t>2</w:t>
      </w:r>
      <w:r>
        <w:rPr>
          <w:w w:val="95"/>
        </w:rPr>
        <w:t>）交易对于少数股东权益及归属于母公司所有者权益的影响</w:t>
      </w:r>
      <w:r>
        <w:rPr>
          <w:spacing w:val="82"/>
          <w:w w:val="95"/>
        </w:rPr>
        <w:t> </w:t>
      </w:r>
      <w:r>
        <w:rPr>
          <w:spacing w:val="82"/>
          <w:w w:val="95"/>
        </w:rPr>
      </w:r>
      <w:r>
        <w:rPr>
          <w:rFonts w:ascii="宋体" w:hAnsi="宋体" w:cs="宋体" w:eastAsia="宋体" w:hint="default"/>
          <w:b w:val="0"/>
          <w:bCs w:val="0"/>
        </w:rPr>
        <w:t>无。</w:t>
      </w:r>
    </w:p>
    <w:p>
      <w:pPr>
        <w:pStyle w:val="Heading3"/>
        <w:spacing w:line="240" w:lineRule="auto" w:before="94"/>
        <w:ind w:right="0"/>
        <w:jc w:val="left"/>
        <w:rPr>
          <w:b w:val="0"/>
          <w:bCs w:val="0"/>
        </w:rPr>
      </w:pPr>
      <w:bookmarkStart w:name="3、在合营安排或联营企业中的权益" w:id="351"/>
      <w:bookmarkEnd w:id="35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重要的合营企业或联营企业" w:id="352"/>
      <w:bookmarkEnd w:id="35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2410"/>
        <w:gridCol w:w="1134"/>
        <w:gridCol w:w="1134"/>
        <w:gridCol w:w="1560"/>
        <w:gridCol w:w="993"/>
        <w:gridCol w:w="976"/>
        <w:gridCol w:w="1366"/>
      </w:tblGrid>
      <w:tr>
        <w:trPr>
          <w:trHeight w:val="360"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33" w:space="0" w:color="FFFFFF"/>
              <w:right w:val="single" w:sz="4" w:space="0" w:color="000000"/>
            </w:tcBorders>
            <w:shd w:val="clear" w:color="auto" w:fill="D2D2D2"/>
          </w:tcPr>
          <w:p>
            <w:pPr>
              <w:pStyle w:val="TableParagraph"/>
              <w:spacing w:line="240" w:lineRule="auto" w:before="10"/>
              <w:ind w:left="6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43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6" w:type="dxa"/>
            <w:tcBorders>
              <w:top w:val="single" w:sz="33"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993"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7"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6"/>
          <w:szCs w:val="6"/>
        </w:rPr>
      </w:pPr>
    </w:p>
    <w:p>
      <w:pPr>
        <w:pStyle w:val="BodyText"/>
        <w:spacing w:line="240" w:lineRule="auto" w:before="35"/>
        <w:ind w:left="1134" w:right="0"/>
        <w:jc w:val="left"/>
      </w:pPr>
      <w:r>
        <w:rPr/>
        <w:t>在合营企业或联营企业的持股比例不同于表决权比例的说明：无。</w:t>
      </w:r>
    </w:p>
    <w:p>
      <w:pPr>
        <w:pStyle w:val="BodyText"/>
        <w:spacing w:line="240" w:lineRule="auto" w:before="164"/>
        <w:ind w:right="0"/>
        <w:jc w:val="left"/>
      </w:pPr>
      <w:r>
        <w:rPr/>
        <w:t>持有</w:t>
      </w:r>
      <w:r>
        <w:rPr>
          <w:spacing w:val="-56"/>
        </w:rPr>
        <w:t> </w:t>
      </w:r>
      <w:r>
        <w:rPr>
          <w:rFonts w:ascii="Times New Roman" w:hAnsi="Times New Roman" w:cs="Times New Roman" w:eastAsia="Times New Roman" w:hint="default"/>
        </w:rPr>
        <w:t>20%</w:t>
      </w:r>
      <w:r>
        <w:rPr/>
        <w:t>以下表决权但具有重大影响，或者持有</w:t>
      </w:r>
      <w:r>
        <w:rPr>
          <w:spacing w:val="-55"/>
        </w:rPr>
        <w:t> </w:t>
      </w:r>
      <w:r>
        <w:rPr>
          <w:rFonts w:ascii="Times New Roman" w:hAnsi="Times New Roman" w:cs="Times New Roman" w:eastAsia="Times New Roman" w:hint="default"/>
        </w:rPr>
        <w:t>20%</w:t>
      </w:r>
      <w:r>
        <w:rPr/>
        <w:t>或以上表决权但不具有重大影响的依据：无。</w:t>
      </w:r>
    </w:p>
    <w:p>
      <w:pPr>
        <w:spacing w:line="240" w:lineRule="auto" w:before="11"/>
        <w:rPr>
          <w:rFonts w:ascii="宋体" w:hAnsi="宋体" w:cs="宋体" w:eastAsia="宋体" w:hint="default"/>
          <w:sz w:val="22"/>
          <w:szCs w:val="22"/>
        </w:rPr>
      </w:pPr>
    </w:p>
    <w:p>
      <w:pPr>
        <w:pStyle w:val="Heading3"/>
        <w:spacing w:line="475" w:lineRule="auto"/>
        <w:ind w:left="1133" w:right="7486"/>
        <w:jc w:val="left"/>
        <w:rPr>
          <w:rFonts w:ascii="宋体" w:hAnsi="宋体" w:cs="宋体" w:eastAsia="宋体" w:hint="default"/>
          <w:b w:val="0"/>
          <w:bCs w:val="0"/>
        </w:rPr>
      </w:pPr>
      <w:bookmarkStart w:name="（2）重要合营企业的主要财务信息" w:id="353"/>
      <w:bookmarkEnd w:id="353"/>
      <w:r>
        <w:rPr>
          <w:b w:val="0"/>
          <w:bCs w:val="0"/>
        </w:rPr>
      </w:r>
      <w:r>
        <w:rPr/>
        <w:t>（</w:t>
      </w:r>
      <w:r>
        <w:rPr>
          <w:rFonts w:ascii="Times New Roman" w:hAnsi="Times New Roman" w:cs="Times New Roman" w:eastAsia="Times New Roman" w:hint="default"/>
        </w:rPr>
        <w:t>2</w:t>
      </w:r>
      <w:r>
        <w:rPr/>
        <w:t>）重要合营企业的主要财务信息</w:t>
      </w:r>
      <w:r>
        <w:rPr>
          <w:w w:val="99"/>
        </w:rPr>
        <w:t> </w:t>
      </w:r>
      <w:r>
        <w:rPr>
          <w:rFonts w:ascii="宋体" w:hAnsi="宋体" w:cs="宋体" w:eastAsia="宋体" w:hint="default"/>
          <w:b w:val="0"/>
          <w:bCs w:val="0"/>
        </w:rPr>
        <w:t>不适用。</w:t>
      </w:r>
    </w:p>
    <w:p>
      <w:pPr>
        <w:pStyle w:val="Heading3"/>
        <w:spacing w:line="240" w:lineRule="auto" w:before="90"/>
        <w:ind w:left="1133" w:right="0"/>
        <w:jc w:val="left"/>
        <w:rPr>
          <w:b w:val="0"/>
          <w:bCs w:val="0"/>
        </w:rPr>
      </w:pPr>
      <w:bookmarkStart w:name="（3）重要联营企业的主要财务信息" w:id="354"/>
      <w:bookmarkEnd w:id="35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0"/>
        <w:rPr>
          <w:rFonts w:ascii="宋体" w:hAnsi="宋体" w:cs="宋体" w:eastAsia="宋体" w:hint="default"/>
          <w:b/>
          <w:bCs/>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10"/>
              <w:ind w:left="511"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510"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9,987,835.94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9,485,658.45</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342,478.63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72,218.94</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10,330,314.57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9,557,877.39</w:t>
            </w: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3,186,366.82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2,415,537.13</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3,186,366.82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2,415,537.13</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7,143,947.75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7,142,340.26</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979" w:header="0" w:top="1100" w:bottom="1160" w:left="0" w:right="0"/>
          <w:pgNumType w:start="146"/>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2,143,184.33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2,142,702.08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2,143,184.33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2,142,702.08</w:t>
            </w:r>
          </w:p>
        </w:tc>
      </w:tr>
      <w:tr>
        <w:trPr>
          <w:trHeight w:val="55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 w:right="95"/>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 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5,791,077.68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6,333,418.19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2,922.98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2,219.84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2,922.98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2,219.84</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475" w:lineRule="auto" w:before="35"/>
        <w:ind w:right="5922"/>
        <w:jc w:val="left"/>
        <w:rPr>
          <w:rFonts w:ascii="宋体" w:hAnsi="宋体" w:cs="宋体" w:eastAsia="宋体" w:hint="default"/>
          <w:b w:val="0"/>
          <w:bCs w:val="0"/>
        </w:rPr>
      </w:pPr>
      <w:bookmarkStart w:name="（4）不重要的合营企业和联营企业的汇总财务信息" w:id="355"/>
      <w:bookmarkEnd w:id="355"/>
      <w:r>
        <w:rPr>
          <w:b w:val="0"/>
          <w:bCs w:val="0"/>
        </w:rPr>
      </w:r>
      <w:r>
        <w:rPr>
          <w:w w:val="95"/>
        </w:rPr>
        <w:t>（</w:t>
      </w:r>
      <w:r>
        <w:rPr>
          <w:rFonts w:ascii="Times New Roman" w:hAnsi="Times New Roman" w:cs="Times New Roman" w:eastAsia="Times New Roman" w:hint="default"/>
          <w:w w:val="95"/>
        </w:rPr>
        <w:t>4</w:t>
      </w:r>
      <w:r>
        <w:rPr>
          <w:w w:val="95"/>
        </w:rPr>
        <w:t>）不重要的合营企业和联营企业的汇总财务信息</w:t>
      </w:r>
      <w:r>
        <w:rPr>
          <w:spacing w:val="30"/>
          <w:w w:val="95"/>
        </w:rPr>
        <w:t> </w:t>
      </w:r>
      <w:r>
        <w:rPr>
          <w:spacing w:val="30"/>
          <w:w w:val="95"/>
        </w:rPr>
      </w:r>
      <w:r>
        <w:rPr>
          <w:rFonts w:ascii="宋体" w:hAnsi="宋体" w:cs="宋体" w:eastAsia="宋体" w:hint="default"/>
          <w:b w:val="0"/>
          <w:bCs w:val="0"/>
        </w:rPr>
        <w:t>无。</w:t>
      </w:r>
    </w:p>
    <w:p>
      <w:pPr>
        <w:pStyle w:val="Heading3"/>
        <w:spacing w:line="475" w:lineRule="auto" w:before="90"/>
        <w:ind w:right="4273"/>
        <w:jc w:val="left"/>
        <w:rPr>
          <w:rFonts w:ascii="宋体" w:hAnsi="宋体" w:cs="宋体" w:eastAsia="宋体" w:hint="default"/>
          <w:b w:val="0"/>
          <w:bCs w:val="0"/>
        </w:rPr>
      </w:pPr>
      <w:bookmarkStart w:name="（5）合营企业或联营企业向本公司转移资金的能力存在重大限制的说明" w:id="356"/>
      <w:bookmarkEnd w:id="356"/>
      <w:r>
        <w:rPr>
          <w:b w:val="0"/>
          <w:bCs w:val="0"/>
        </w:rPr>
      </w:r>
      <w:r>
        <w:rPr>
          <w:w w:val="95"/>
        </w:rPr>
        <w:t>（</w:t>
      </w:r>
      <w:r>
        <w:rPr>
          <w:rFonts w:ascii="Times New Roman" w:hAnsi="Times New Roman" w:cs="Times New Roman" w:eastAsia="Times New Roman" w:hint="default"/>
          <w:w w:val="95"/>
        </w:rPr>
        <w:t>5</w:t>
      </w:r>
      <w:r>
        <w:rPr>
          <w:w w:val="95"/>
        </w:rPr>
        <w:t>）合营企业或联营企业向本公司转移资金的能力存在重大限制的说明  </w:t>
      </w:r>
      <w:r>
        <w:rPr>
          <w:spacing w:val="22"/>
          <w:w w:val="95"/>
        </w:rPr>
        <w:t> </w:t>
      </w:r>
      <w:r>
        <w:rPr>
          <w:spacing w:val="22"/>
          <w:w w:val="95"/>
        </w:rPr>
      </w:r>
      <w:r>
        <w:rPr>
          <w:rFonts w:ascii="宋体" w:hAnsi="宋体" w:cs="宋体" w:eastAsia="宋体" w:hint="default"/>
          <w:b w:val="0"/>
          <w:bCs w:val="0"/>
        </w:rPr>
        <w:t>无。</w:t>
      </w:r>
    </w:p>
    <w:p>
      <w:pPr>
        <w:pStyle w:val="Heading3"/>
        <w:spacing w:line="472" w:lineRule="auto" w:before="91"/>
        <w:ind w:right="6852"/>
        <w:jc w:val="left"/>
        <w:rPr>
          <w:rFonts w:ascii="宋体" w:hAnsi="宋体" w:cs="宋体" w:eastAsia="宋体" w:hint="default"/>
          <w:b w:val="0"/>
          <w:bCs w:val="0"/>
        </w:rPr>
      </w:pPr>
      <w:bookmarkStart w:name="（6）合营企业或联营企业发生的超额亏损" w:id="357"/>
      <w:bookmarkEnd w:id="357"/>
      <w:r>
        <w:rPr>
          <w:b w:val="0"/>
          <w:bCs w:val="0"/>
        </w:rPr>
      </w:r>
      <w:r>
        <w:rPr/>
        <w:t>（</w:t>
      </w:r>
      <w:r>
        <w:rPr>
          <w:rFonts w:ascii="Times New Roman" w:hAnsi="Times New Roman" w:cs="Times New Roman" w:eastAsia="Times New Roman" w:hint="default"/>
        </w:rPr>
        <w:t>6</w:t>
      </w:r>
      <w:r>
        <w:rPr/>
        <w:t>）合营企业或联营企业发生的超额亏损</w:t>
      </w:r>
      <w:r>
        <w:rPr>
          <w:spacing w:val="1"/>
          <w:w w:val="99"/>
        </w:rPr>
        <w:t> </w:t>
      </w:r>
      <w:r>
        <w:rPr>
          <w:rFonts w:ascii="宋体" w:hAnsi="宋体" w:cs="宋体" w:eastAsia="宋体" w:hint="default"/>
          <w:b w:val="0"/>
          <w:bCs w:val="0"/>
        </w:rPr>
        <w:t>无。</w:t>
      </w:r>
    </w:p>
    <w:p>
      <w:pPr>
        <w:pStyle w:val="Heading3"/>
        <w:spacing w:line="472" w:lineRule="auto" w:before="94"/>
        <w:ind w:right="7063"/>
        <w:jc w:val="left"/>
        <w:rPr>
          <w:rFonts w:ascii="宋体" w:hAnsi="宋体" w:cs="宋体" w:eastAsia="宋体" w:hint="default"/>
          <w:b w:val="0"/>
          <w:bCs w:val="0"/>
        </w:rPr>
      </w:pPr>
      <w:bookmarkStart w:name="（7）与合营企业投资相关的未确认承诺" w:id="358"/>
      <w:bookmarkEnd w:id="358"/>
      <w:r>
        <w:rPr>
          <w:b w:val="0"/>
          <w:bCs w:val="0"/>
        </w:rPr>
      </w:r>
      <w:r>
        <w:rPr/>
        <w:t>（</w:t>
      </w:r>
      <w:r>
        <w:rPr>
          <w:rFonts w:ascii="Times New Roman" w:hAnsi="Times New Roman" w:cs="Times New Roman" w:eastAsia="Times New Roman" w:hint="default"/>
        </w:rPr>
        <w:t>7</w:t>
      </w:r>
      <w:r>
        <w:rPr/>
        <w:t>）与合营企业投资相关的未确认承诺</w:t>
      </w:r>
      <w:r>
        <w:rPr>
          <w:w w:val="99"/>
        </w:rPr>
        <w:t> </w:t>
      </w:r>
      <w:r>
        <w:rPr>
          <w:rFonts w:ascii="宋体" w:hAnsi="宋体" w:cs="宋体" w:eastAsia="宋体" w:hint="default"/>
          <w:b w:val="0"/>
          <w:bCs w:val="0"/>
        </w:rPr>
        <w:t>无。</w:t>
      </w:r>
    </w:p>
    <w:p>
      <w:pPr>
        <w:pStyle w:val="Heading3"/>
        <w:spacing w:line="472" w:lineRule="auto" w:before="94"/>
        <w:ind w:right="6253"/>
        <w:jc w:val="left"/>
        <w:rPr>
          <w:rFonts w:ascii="宋体" w:hAnsi="宋体" w:cs="宋体" w:eastAsia="宋体" w:hint="default"/>
          <w:b w:val="0"/>
          <w:bCs w:val="0"/>
        </w:rPr>
      </w:pPr>
      <w:bookmarkStart w:name="（8）与合营企业或联营企业投资相关的或有负债" w:id="359"/>
      <w:bookmarkEnd w:id="359"/>
      <w:r>
        <w:rPr>
          <w:b w:val="0"/>
          <w:bCs w:val="0"/>
        </w:rPr>
      </w:r>
      <w:r>
        <w:rPr>
          <w:w w:val="95"/>
        </w:rPr>
        <w:t>（</w:t>
      </w:r>
      <w:r>
        <w:rPr>
          <w:rFonts w:ascii="Times New Roman" w:hAnsi="Times New Roman" w:cs="Times New Roman" w:eastAsia="Times New Roman" w:hint="default"/>
          <w:w w:val="95"/>
        </w:rPr>
        <w:t>8</w:t>
      </w:r>
      <w:r>
        <w:rPr>
          <w:w w:val="95"/>
        </w:rPr>
        <w:t>）与合营企业或联营企业投资相关的或有负债</w:t>
      </w:r>
      <w:r>
        <w:rPr>
          <w:spacing w:val="20"/>
          <w:w w:val="95"/>
        </w:rPr>
        <w:t> </w:t>
      </w:r>
      <w:r>
        <w:rPr>
          <w:spacing w:val="20"/>
          <w:w w:val="95"/>
        </w:rPr>
      </w:r>
      <w:r>
        <w:rPr>
          <w:rFonts w:ascii="宋体" w:hAnsi="宋体" w:cs="宋体" w:eastAsia="宋体" w:hint="default"/>
          <w:b w:val="0"/>
          <w:bCs w:val="0"/>
        </w:rPr>
        <w:t>无。</w:t>
      </w:r>
    </w:p>
    <w:p>
      <w:pPr>
        <w:pStyle w:val="Heading2"/>
        <w:spacing w:line="240" w:lineRule="auto" w:before="89"/>
        <w:ind w:left="1134" w:right="0"/>
        <w:jc w:val="left"/>
        <w:rPr>
          <w:b w:val="0"/>
          <w:bCs w:val="0"/>
        </w:rPr>
      </w:pPr>
      <w:bookmarkStart w:name="十、关联方及关联交易" w:id="360"/>
      <w:bookmarkEnd w:id="360"/>
      <w:r>
        <w:rPr>
          <w:b w:val="0"/>
          <w:bCs w:val="0"/>
        </w:rPr>
      </w:r>
      <w:r>
        <w:rPr/>
        <w:t>十、关联方及关联交易</w:t>
      </w:r>
      <w:r>
        <w:rPr>
          <w:b w:val="0"/>
          <w:bCs w:val="0"/>
        </w:rPr>
      </w:r>
    </w:p>
    <w:p>
      <w:pPr>
        <w:spacing w:line="684" w:lineRule="exact" w:before="0"/>
        <w:ind w:left="1133" w:right="8023" w:firstLine="0"/>
        <w:jc w:val="left"/>
        <w:rPr>
          <w:rFonts w:ascii="宋体" w:hAnsi="宋体" w:cs="宋体" w:eastAsia="宋体" w:hint="default"/>
          <w:sz w:val="21"/>
          <w:szCs w:val="21"/>
        </w:rPr>
      </w:pPr>
      <w:bookmarkStart w:name="1、本企业的母公司情况" w:id="361"/>
      <w:bookmarkEnd w:id="3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本企业的母公司情况的说明：</w:t>
      </w:r>
    </w:p>
    <w:p>
      <w:pPr>
        <w:spacing w:line="494" w:lineRule="auto" w:before="58"/>
        <w:ind w:left="1134" w:right="5607" w:firstLine="420"/>
        <w:jc w:val="left"/>
        <w:rPr>
          <w:rFonts w:ascii="宋体" w:hAnsi="宋体" w:cs="宋体" w:eastAsia="宋体" w:hint="default"/>
          <w:sz w:val="21"/>
          <w:szCs w:val="21"/>
        </w:rPr>
      </w:pPr>
      <w:r>
        <w:rPr>
          <w:rFonts w:ascii="宋体" w:hAnsi="宋体" w:cs="宋体" w:eastAsia="宋体" w:hint="default"/>
          <w:sz w:val="21"/>
          <w:szCs w:val="21"/>
        </w:rPr>
        <w:t>本企业最终控制方是柯宗庆、柯宗贵兄弟二人。 </w:t>
      </w:r>
      <w:bookmarkStart w:name="2、本企业的子公司情况" w:id="362"/>
      <w:bookmarkEnd w:id="362"/>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w:t>
      </w:r>
      <w:r>
        <w:rPr>
          <w:rFonts w:ascii="Times New Roman" w:hAnsi="Times New Roman" w:cs="Times New Roman" w:eastAsia="Times New Roman" w:hint="default"/>
          <w:sz w:val="21"/>
          <w:szCs w:val="21"/>
        </w:rPr>
        <w:t>1</w:t>
      </w:r>
      <w:r>
        <w:rPr>
          <w:rFonts w:ascii="宋体" w:hAnsi="宋体" w:cs="宋体" w:eastAsia="宋体" w:hint="default"/>
          <w:sz w:val="21"/>
          <w:szCs w:val="21"/>
        </w:rPr>
        <w:t>）在子公司的权益。</w:t>
      </w:r>
    </w:p>
    <w:p>
      <w:pPr>
        <w:spacing w:after="0" w:line="494" w:lineRule="auto"/>
        <w:jc w:val="left"/>
        <w:rPr>
          <w:rFonts w:ascii="宋体" w:hAnsi="宋体" w:cs="宋体" w:eastAsia="宋体" w:hint="default"/>
          <w:sz w:val="21"/>
          <w:szCs w:val="21"/>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3、本企业合营和联营企业情况" w:id="363"/>
      <w:bookmarkEnd w:id="36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30"/>
          <w:szCs w:val="30"/>
        </w:rPr>
      </w:pPr>
    </w:p>
    <w:p>
      <w:pPr>
        <w:pStyle w:val="BodyText"/>
        <w:spacing w:line="357" w:lineRule="auto"/>
        <w:ind w:right="1303"/>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 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8"/>
        <w:rPr>
          <w:rFonts w:ascii="宋体" w:hAnsi="宋体" w:cs="宋体" w:eastAsia="宋体" w:hint="default"/>
          <w:sz w:val="16"/>
          <w:szCs w:val="16"/>
        </w:rPr>
      </w:pPr>
    </w:p>
    <w:p>
      <w:pPr>
        <w:pStyle w:val="Heading3"/>
        <w:spacing w:line="240" w:lineRule="auto" w:before="35"/>
        <w:ind w:right="0"/>
        <w:jc w:val="left"/>
        <w:rPr>
          <w:b w:val="0"/>
          <w:bCs w:val="0"/>
        </w:rPr>
      </w:pPr>
      <w:bookmarkStart w:name="4、其他关联方情况" w:id="364"/>
      <w:bookmarkEnd w:id="36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北京纹歌科技发展有限公司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子公司的投资公司</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深圳市博益投资发展有限公司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以上的法人</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广州融轩投资咨询有限公司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广州奥邦投资咨询有限公司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广州景辕创业投资企业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广东益街坊电子商务有限公司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广州中科蓝华生物科技有限公司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广州景轩投资管理有限公司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中经汇通有限责任公司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中经汇通（武汉）有限公司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汇通宝支付有限责任公司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中经汇通电子商务有限公司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China Express Group</w:t>
            </w:r>
            <w:r>
              <w:rPr>
                <w:rFonts w:ascii="Times New Roman"/>
                <w:spacing w:val="-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China Express (Cayman)Holdings</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Access Universe International</w:t>
            </w:r>
            <w:r>
              <w:rPr>
                <w:rFonts w:ascii="Times New Roman"/>
                <w:spacing w:val="-8"/>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Winner choice International</w:t>
            </w:r>
            <w:r>
              <w:rPr>
                <w:rFonts w:ascii="Times New Roman"/>
                <w:spacing w:val="-15"/>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Swoop Success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China Express Holding Group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Chinex International</w:t>
            </w:r>
            <w:r>
              <w:rPr>
                <w:rFonts w:ascii="Times New Roman"/>
                <w:spacing w:val="-6"/>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China Express (HK) Group</w:t>
            </w:r>
            <w:r>
              <w:rPr>
                <w:rFonts w:ascii="Times New Roman"/>
                <w:spacing w:val="-7"/>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广州市经汇投资管理有限公司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广东迅通科技股份有限公司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实际控制人的关联自然人控制的企业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索菲亚家居股份有限公司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深圳市德赛电池科技股份有限公司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关联自然人担任董事的企业</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深圳名律网络科技有限公司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关联自然人投资的企业</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5、关联交易情况" w:id="365"/>
      <w:bookmarkEnd w:id="36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1"/>
          <w:szCs w:val="21"/>
        </w:rPr>
      </w:pPr>
    </w:p>
    <w:p>
      <w:pPr>
        <w:pStyle w:val="Heading3"/>
        <w:spacing w:line="475" w:lineRule="auto"/>
        <w:ind w:right="6641"/>
        <w:jc w:val="left"/>
        <w:rPr>
          <w:rFonts w:ascii="宋体" w:hAnsi="宋体" w:cs="宋体" w:eastAsia="宋体" w:hint="default"/>
          <w:b w:val="0"/>
          <w:bCs w:val="0"/>
        </w:rPr>
      </w:pPr>
      <w:bookmarkStart w:name="（1）购销商品、提供和接受劳务的关联交易" w:id="366"/>
      <w:bookmarkEnd w:id="366"/>
      <w:r>
        <w:rPr>
          <w:b w:val="0"/>
          <w:bCs w:val="0"/>
        </w:rPr>
      </w:r>
      <w:r>
        <w:rPr/>
        <w:t>（</w:t>
      </w:r>
      <w:r>
        <w:rPr>
          <w:rFonts w:ascii="Times New Roman" w:hAnsi="Times New Roman" w:cs="Times New Roman" w:eastAsia="Times New Roman" w:hint="default"/>
        </w:rPr>
        <w:t>1</w:t>
      </w:r>
      <w:r>
        <w:rPr/>
        <w:t>）购销商品、提供和接受劳务的关联交易</w:t>
      </w:r>
      <w:r>
        <w:rPr>
          <w:w w:val="99"/>
        </w:rPr>
        <w:t> </w:t>
      </w:r>
      <w:r>
        <w:rPr>
          <w:rFonts w:ascii="宋体" w:hAnsi="宋体" w:cs="宋体" w:eastAsia="宋体" w:hint="default"/>
          <w:b w:val="0"/>
          <w:bCs w:val="0"/>
        </w:rPr>
        <w:t>无。</w:t>
      </w:r>
    </w:p>
    <w:p>
      <w:pPr>
        <w:spacing w:after="0" w:line="475" w:lineRule="auto"/>
        <w:jc w:val="left"/>
        <w:rPr>
          <w:rFonts w:ascii="宋体" w:hAnsi="宋体" w:cs="宋体" w:eastAsia="宋体" w:hint="default"/>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pStyle w:val="Heading3"/>
        <w:spacing w:line="475" w:lineRule="auto" w:before="35"/>
        <w:ind w:left="1133" w:right="6526"/>
        <w:jc w:val="left"/>
        <w:rPr>
          <w:rFonts w:ascii="宋体" w:hAnsi="宋体" w:cs="宋体" w:eastAsia="宋体" w:hint="default"/>
          <w:b w:val="0"/>
          <w:bCs w:val="0"/>
        </w:rPr>
      </w:pPr>
      <w:bookmarkStart w:name="（2）关联受托管理/承包及委托管理/出包情况" w:id="367"/>
      <w:bookmarkEnd w:id="36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spacing w:val="1"/>
          <w:w w:val="99"/>
        </w:rPr>
        <w:t> </w:t>
      </w:r>
      <w:r>
        <w:rPr>
          <w:rFonts w:ascii="宋体" w:hAnsi="宋体" w:cs="宋体" w:eastAsia="宋体" w:hint="default"/>
          <w:b w:val="0"/>
          <w:bCs w:val="0"/>
        </w:rPr>
        <w:t>无。</w:t>
      </w:r>
    </w:p>
    <w:p>
      <w:pPr>
        <w:pStyle w:val="Heading3"/>
        <w:spacing w:line="475" w:lineRule="auto" w:before="90"/>
        <w:ind w:right="8960"/>
        <w:jc w:val="left"/>
        <w:rPr>
          <w:rFonts w:ascii="宋体" w:hAnsi="宋体" w:cs="宋体" w:eastAsia="宋体" w:hint="default"/>
          <w:b w:val="0"/>
          <w:bCs w:val="0"/>
        </w:rPr>
      </w:pPr>
      <w:bookmarkStart w:name="（3）关联租赁情况" w:id="368"/>
      <w:bookmarkEnd w:id="368"/>
      <w:r>
        <w:rPr>
          <w:b w:val="0"/>
          <w:bCs w:val="0"/>
        </w:rPr>
      </w:r>
      <w:r>
        <w:rPr/>
        <w:t>（</w:t>
      </w:r>
      <w:r>
        <w:rPr>
          <w:rFonts w:ascii="Times New Roman" w:hAnsi="Times New Roman" w:cs="Times New Roman" w:eastAsia="Times New Roman" w:hint="default"/>
        </w:rPr>
        <w:t>3</w:t>
      </w:r>
      <w:r>
        <w:rPr/>
        <w:t>）关联租赁情况</w:t>
      </w:r>
      <w:r>
        <w:rPr>
          <w:w w:val="99"/>
        </w:rPr>
        <w:t> </w:t>
      </w:r>
      <w:r>
        <w:rPr>
          <w:rFonts w:ascii="宋体" w:hAnsi="宋体" w:cs="宋体" w:eastAsia="宋体" w:hint="default"/>
          <w:b w:val="0"/>
          <w:bCs w:val="0"/>
        </w:rPr>
        <w:t>无。</w:t>
      </w:r>
    </w:p>
    <w:p>
      <w:pPr>
        <w:pStyle w:val="Heading3"/>
        <w:spacing w:line="240" w:lineRule="auto" w:before="90"/>
        <w:ind w:right="0"/>
        <w:jc w:val="left"/>
        <w:rPr>
          <w:b w:val="0"/>
          <w:bCs w:val="0"/>
        </w:rPr>
      </w:pPr>
      <w:bookmarkStart w:name="（4）关联担保情况" w:id="369"/>
      <w:bookmarkEnd w:id="36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979" w:top="1100" w:bottom="1160" w:left="0" w:right="0"/>
        </w:sectPr>
      </w:pPr>
    </w:p>
    <w:p>
      <w:pPr>
        <w:spacing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pStyle w:val="BodyText"/>
        <w:spacing w:line="240" w:lineRule="auto" w:before="142"/>
        <w:ind w:left="1115" w:right="1179"/>
        <w:jc w:val="center"/>
      </w:pPr>
      <w:r>
        <w:rPr/>
        <w:t>无。</w:t>
      </w:r>
    </w:p>
    <w:p>
      <w:pPr>
        <w:spacing w:before="60"/>
        <w:ind w:left="1134" w:right="-2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2755" w:space="6075"/>
            <w:col w:w="3080"/>
          </w:cols>
        </w:sectPr>
      </w:pP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2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18,213,027.00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18,213,027.00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6,786,973.00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6,786,973.00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柯宗贵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柯宗庆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78"/>
              <w:jc w:val="left"/>
              <w:rPr>
                <w:rFonts w:ascii="宋体" w:hAnsi="宋体" w:cs="宋体" w:eastAsia="宋体" w:hint="default"/>
                <w:sz w:val="18"/>
                <w:szCs w:val="18"/>
              </w:rPr>
            </w:pPr>
            <w:r>
              <w:rPr>
                <w:rFonts w:ascii="宋体" w:hAnsi="宋体" w:cs="宋体" w:eastAsia="宋体" w:hint="default"/>
                <w:sz w:val="18"/>
                <w:szCs w:val="18"/>
              </w:rPr>
              <w:t>南京微润科技有限公 司、东莞市华炜雷电防 护设备有限公司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10"/>
        <w:ind w:left="113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4"/>
        <w:rPr>
          <w:rFonts w:ascii="宋体" w:hAnsi="宋体" w:cs="宋体" w:eastAsia="宋体" w:hint="default"/>
          <w:sz w:val="22"/>
          <w:szCs w:val="22"/>
        </w:rPr>
      </w:pPr>
    </w:p>
    <w:p>
      <w:pPr>
        <w:pStyle w:val="Heading3"/>
        <w:spacing w:line="475" w:lineRule="auto"/>
        <w:ind w:right="8750"/>
        <w:jc w:val="left"/>
        <w:rPr>
          <w:rFonts w:ascii="宋体" w:hAnsi="宋体" w:cs="宋体" w:eastAsia="宋体" w:hint="default"/>
          <w:b w:val="0"/>
          <w:bCs w:val="0"/>
        </w:rPr>
      </w:pPr>
      <w:bookmarkStart w:name="（5）关联方资金拆借" w:id="370"/>
      <w:bookmarkEnd w:id="370"/>
      <w:r>
        <w:rPr>
          <w:b w:val="0"/>
          <w:bCs w:val="0"/>
        </w:rPr>
      </w:r>
      <w:r>
        <w:rPr/>
        <w:t>（</w:t>
      </w:r>
      <w:r>
        <w:rPr>
          <w:rFonts w:ascii="Times New Roman" w:hAnsi="Times New Roman" w:cs="Times New Roman" w:eastAsia="Times New Roman" w:hint="default"/>
        </w:rPr>
        <w:t>5</w:t>
      </w:r>
      <w:r>
        <w:rPr/>
        <w:t>）关联方资金拆借</w:t>
      </w:r>
      <w:r>
        <w:rPr>
          <w:w w:val="99"/>
        </w:rPr>
        <w:t> </w:t>
      </w:r>
      <w:r>
        <w:rPr>
          <w:rFonts w:ascii="宋体" w:hAnsi="宋体" w:cs="宋体" w:eastAsia="宋体" w:hint="default"/>
          <w:b w:val="0"/>
          <w:bCs w:val="0"/>
        </w:rPr>
        <w:t>无。</w:t>
      </w:r>
    </w:p>
    <w:p>
      <w:pPr>
        <w:pStyle w:val="Heading3"/>
        <w:spacing w:line="475" w:lineRule="auto" w:before="90"/>
        <w:ind w:right="7274"/>
        <w:jc w:val="left"/>
        <w:rPr>
          <w:rFonts w:ascii="宋体" w:hAnsi="宋体" w:cs="宋体" w:eastAsia="宋体" w:hint="default"/>
          <w:b w:val="0"/>
          <w:bCs w:val="0"/>
        </w:rPr>
      </w:pPr>
      <w:bookmarkStart w:name="（6）关联方资产转让、债务重组情况" w:id="371"/>
      <w:bookmarkEnd w:id="371"/>
      <w:r>
        <w:rPr>
          <w:b w:val="0"/>
          <w:bCs w:val="0"/>
        </w:rPr>
      </w:r>
      <w:r>
        <w:rPr/>
        <w:t>（</w:t>
      </w:r>
      <w:r>
        <w:rPr>
          <w:rFonts w:ascii="Times New Roman" w:hAnsi="Times New Roman" w:cs="Times New Roman" w:eastAsia="Times New Roman" w:hint="default"/>
        </w:rPr>
        <w:t>6</w:t>
      </w:r>
      <w:r>
        <w:rPr/>
        <w:t>）关联方资产转让、债务重组情况</w:t>
      </w:r>
      <w:r>
        <w:rPr>
          <w:w w:val="99"/>
        </w:rPr>
        <w:t> </w:t>
      </w:r>
      <w:r>
        <w:rPr>
          <w:rFonts w:ascii="宋体" w:hAnsi="宋体" w:cs="宋体" w:eastAsia="宋体" w:hint="default"/>
          <w:b w:val="0"/>
          <w:bCs w:val="0"/>
        </w:rPr>
        <w:t>无。</w:t>
      </w:r>
    </w:p>
    <w:p>
      <w:pPr>
        <w:pStyle w:val="Heading3"/>
        <w:spacing w:line="240" w:lineRule="auto" w:before="90"/>
        <w:ind w:right="0"/>
        <w:jc w:val="left"/>
        <w:rPr>
          <w:b w:val="0"/>
          <w:bCs w:val="0"/>
        </w:rPr>
      </w:pPr>
      <w:bookmarkStart w:name="（7）关键管理人员报酬" w:id="372"/>
      <w:bookmarkEnd w:id="37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万元</w:t>
      </w:r>
    </w:p>
    <w:p>
      <w:pPr>
        <w:spacing w:after="0"/>
        <w:jc w:val="right"/>
        <w:rPr>
          <w:rFonts w:ascii="宋体" w:hAnsi="宋体" w:cs="宋体" w:eastAsia="宋体" w:hint="default"/>
          <w:sz w:val="18"/>
          <w:szCs w:val="18"/>
        </w:rPr>
        <w:sectPr>
          <w:type w:val="continuous"/>
          <w:pgSz w:w="11910" w:h="16840"/>
          <w:pgMar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336.60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300.45</w:t>
            </w:r>
          </w:p>
        </w:tc>
      </w:tr>
    </w:tbl>
    <w:p>
      <w:pPr>
        <w:spacing w:line="240" w:lineRule="auto" w:before="7"/>
        <w:rPr>
          <w:rFonts w:ascii="宋体" w:hAnsi="宋体" w:cs="宋体" w:eastAsia="宋体" w:hint="default"/>
          <w:sz w:val="17"/>
          <w:szCs w:val="17"/>
        </w:rPr>
      </w:pPr>
    </w:p>
    <w:p>
      <w:pPr>
        <w:pStyle w:val="Heading3"/>
        <w:spacing w:line="475" w:lineRule="auto" w:before="35"/>
        <w:ind w:right="8960"/>
        <w:jc w:val="left"/>
        <w:rPr>
          <w:rFonts w:ascii="宋体" w:hAnsi="宋体" w:cs="宋体" w:eastAsia="宋体" w:hint="default"/>
          <w:b w:val="0"/>
          <w:bCs w:val="0"/>
        </w:rPr>
      </w:pPr>
      <w:bookmarkStart w:name="（8）其他关联交易" w:id="373"/>
      <w:bookmarkEnd w:id="373"/>
      <w:r>
        <w:rPr>
          <w:b w:val="0"/>
          <w:bCs w:val="0"/>
        </w:rPr>
      </w:r>
      <w:r>
        <w:rPr/>
        <w:t>（</w:t>
      </w:r>
      <w:r>
        <w:rPr>
          <w:rFonts w:ascii="Times New Roman" w:hAnsi="Times New Roman" w:cs="Times New Roman" w:eastAsia="Times New Roman" w:hint="default"/>
        </w:rPr>
        <w:t>8</w:t>
      </w:r>
      <w:r>
        <w:rPr/>
        <w:t>）其他关联交易</w:t>
      </w:r>
      <w:r>
        <w:rPr>
          <w:w w:val="99"/>
        </w:rPr>
        <w:t> </w:t>
      </w:r>
      <w:r>
        <w:rPr>
          <w:rFonts w:ascii="宋体" w:hAnsi="宋体" w:cs="宋体" w:eastAsia="宋体" w:hint="default"/>
          <w:b w:val="0"/>
          <w:bCs w:val="0"/>
        </w:rPr>
        <w:t>无。</w:t>
      </w:r>
    </w:p>
    <w:p>
      <w:pPr>
        <w:pStyle w:val="Heading3"/>
        <w:spacing w:line="472" w:lineRule="auto" w:before="91"/>
        <w:ind w:right="8539"/>
        <w:jc w:val="left"/>
        <w:rPr>
          <w:rFonts w:ascii="宋体" w:hAnsi="宋体" w:cs="宋体" w:eastAsia="宋体" w:hint="default"/>
          <w:b w:val="0"/>
          <w:bCs w:val="0"/>
        </w:rPr>
      </w:pPr>
      <w:bookmarkStart w:name="6、关联方应收应付款项" w:id="374"/>
      <w:bookmarkEnd w:id="374"/>
      <w:r>
        <w:rPr>
          <w:b w:val="0"/>
          <w:bCs w:val="0"/>
        </w:rPr>
      </w:r>
      <w:r>
        <w:rPr>
          <w:rFonts w:ascii="Times New Roman" w:hAnsi="Times New Roman" w:cs="Times New Roman" w:eastAsia="Times New Roman" w:hint="default"/>
        </w:rPr>
        <w:t>6</w:t>
      </w:r>
      <w:r>
        <w:rPr/>
        <w:t>、关联方应收应付款项</w:t>
      </w:r>
      <w:r>
        <w:rPr>
          <w:w w:val="99"/>
        </w:rPr>
        <w:t> </w:t>
      </w:r>
      <w:r>
        <w:rPr>
          <w:rFonts w:ascii="宋体" w:hAnsi="宋体" w:cs="宋体" w:eastAsia="宋体" w:hint="default"/>
          <w:b w:val="0"/>
          <w:bCs w:val="0"/>
        </w:rPr>
        <w:t>无。</w:t>
      </w:r>
    </w:p>
    <w:p>
      <w:pPr>
        <w:pStyle w:val="Heading3"/>
        <w:spacing w:line="475" w:lineRule="auto" w:before="92"/>
        <w:ind w:right="9382"/>
        <w:jc w:val="left"/>
        <w:rPr>
          <w:rFonts w:ascii="宋体" w:hAnsi="宋体" w:cs="宋体" w:eastAsia="宋体" w:hint="default"/>
          <w:b w:val="0"/>
          <w:bCs w:val="0"/>
        </w:rPr>
      </w:pPr>
      <w:bookmarkStart w:name="7、关联方承诺" w:id="375"/>
      <w:bookmarkEnd w:id="375"/>
      <w:r>
        <w:rPr>
          <w:b w:val="0"/>
          <w:bCs w:val="0"/>
        </w:rPr>
      </w:r>
      <w:r>
        <w:rPr>
          <w:rFonts w:ascii="Times New Roman" w:hAnsi="Times New Roman" w:cs="Times New Roman" w:eastAsia="Times New Roman" w:hint="default"/>
        </w:rPr>
        <w:t>7</w:t>
      </w:r>
      <w:r>
        <w:rPr/>
        <w:t>、关联方承诺</w:t>
      </w:r>
      <w:r>
        <w:rPr>
          <w:w w:val="99"/>
        </w:rPr>
        <w:t> </w:t>
      </w:r>
      <w:r>
        <w:rPr>
          <w:rFonts w:ascii="宋体" w:hAnsi="宋体" w:cs="宋体" w:eastAsia="宋体" w:hint="default"/>
          <w:b w:val="0"/>
          <w:bCs w:val="0"/>
        </w:rPr>
        <w:t>无。</w:t>
      </w:r>
    </w:p>
    <w:p>
      <w:pPr>
        <w:spacing w:line="475" w:lineRule="auto" w:before="90"/>
        <w:ind w:left="1134" w:right="10014" w:firstLine="0"/>
        <w:jc w:val="left"/>
        <w:rPr>
          <w:rFonts w:ascii="宋体" w:hAnsi="宋体" w:cs="宋体" w:eastAsia="宋体" w:hint="default"/>
          <w:sz w:val="21"/>
          <w:szCs w:val="21"/>
        </w:rPr>
      </w:pPr>
      <w:bookmarkStart w:name="8、其他" w:id="376"/>
      <w:bookmarkEnd w:id="3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line="532" w:lineRule="auto" w:before="86"/>
        <w:ind w:left="1133" w:right="7393" w:firstLine="0"/>
        <w:jc w:val="left"/>
        <w:rPr>
          <w:rFonts w:ascii="宋体" w:hAnsi="宋体" w:cs="宋体" w:eastAsia="宋体" w:hint="default"/>
          <w:sz w:val="24"/>
          <w:szCs w:val="24"/>
        </w:rPr>
      </w:pPr>
      <w:bookmarkStart w:name="十一、股份支付" w:id="377"/>
      <w:bookmarkEnd w:id="377"/>
      <w:r>
        <w:rPr/>
      </w:r>
      <w:r>
        <w:rPr>
          <w:rFonts w:ascii="宋体" w:hAnsi="宋体" w:cs="宋体" w:eastAsia="宋体" w:hint="default"/>
          <w:b/>
          <w:bCs/>
          <w:sz w:val="24"/>
          <w:szCs w:val="24"/>
        </w:rPr>
        <w:t>十一、股份支付</w:t>
      </w:r>
      <w:r>
        <w:rPr>
          <w:rFonts w:ascii="宋体" w:hAnsi="宋体" w:cs="宋体" w:eastAsia="宋体" w:hint="default"/>
          <w:b/>
          <w:bCs/>
          <w:w w:val="99"/>
          <w:sz w:val="24"/>
          <w:szCs w:val="24"/>
        </w:rPr>
        <w:t> </w:t>
      </w:r>
      <w:r>
        <w:rPr>
          <w:rFonts w:ascii="宋体" w:hAnsi="宋体" w:cs="宋体" w:eastAsia="宋体" w:hint="default"/>
          <w:sz w:val="21"/>
          <w:szCs w:val="21"/>
        </w:rPr>
        <w:t>公司本报告期未发生股份支付事项。 </w:t>
      </w:r>
      <w:bookmarkStart w:name="十二、承诺及或有事项" w:id="378"/>
      <w:bookmarkEnd w:id="378"/>
      <w:r>
        <w:rPr>
          <w:rFonts w:ascii="宋体" w:hAnsi="宋体" w:cs="宋体" w:eastAsia="宋体" w:hint="default"/>
          <w:sz w:val="21"/>
          <w:szCs w:val="21"/>
        </w:rPr>
      </w:r>
      <w:r>
        <w:rPr>
          <w:rFonts w:ascii="宋体" w:hAnsi="宋体" w:cs="宋体" w:eastAsia="宋体" w:hint="default"/>
          <w:b/>
          <w:bCs/>
          <w:sz w:val="24"/>
          <w:szCs w:val="24"/>
        </w:rPr>
        <w:t>十二、承诺及或有事项</w:t>
      </w:r>
      <w:r>
        <w:rPr>
          <w:rFonts w:ascii="宋体" w:hAnsi="宋体" w:cs="宋体" w:eastAsia="宋体" w:hint="default"/>
          <w:sz w:val="24"/>
          <w:szCs w:val="24"/>
        </w:rPr>
      </w:r>
    </w:p>
    <w:p>
      <w:pPr>
        <w:pStyle w:val="Heading3"/>
        <w:spacing w:line="240" w:lineRule="auto" w:before="9"/>
        <w:ind w:left="1133" w:right="0"/>
        <w:jc w:val="left"/>
        <w:rPr>
          <w:b w:val="0"/>
          <w:bCs w:val="0"/>
        </w:rPr>
      </w:pPr>
      <w:bookmarkStart w:name="1、重要承诺事项" w:id="379"/>
      <w:bookmarkEnd w:id="37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0"/>
        <w:rPr>
          <w:rFonts w:ascii="宋体" w:hAnsi="宋体" w:cs="宋体" w:eastAsia="宋体" w:hint="default"/>
          <w:b/>
          <w:bCs/>
          <w:sz w:val="22"/>
          <w:szCs w:val="22"/>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331" w:lineRule="auto" w:before="143"/>
        <w:ind w:right="0" w:firstLine="420"/>
        <w:jc w:val="left"/>
      </w:pP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3-5</w:t>
      </w:r>
      <w:r>
        <w:rPr>
          <w:spacing w:val="-2"/>
        </w:rPr>
        <w:t>月向交通银行天河北支行借入借款</w:t>
      </w:r>
      <w:r>
        <w:rPr>
          <w:rFonts w:ascii="Times New Roman" w:hAnsi="Times New Roman" w:cs="Times New Roman" w:eastAsia="Times New Roman" w:hint="default"/>
          <w:spacing w:val="-2"/>
        </w:rPr>
        <w:t>195,044,286.46</w:t>
      </w:r>
      <w:r>
        <w:rPr>
          <w:spacing w:val="-2"/>
        </w:rPr>
        <w:t>元，其中</w:t>
      </w:r>
      <w:r>
        <w:rPr>
          <w:rFonts w:ascii="Times New Roman" w:hAnsi="Times New Roman" w:cs="Times New Roman" w:eastAsia="Times New Roman" w:hint="default"/>
          <w:spacing w:val="-2"/>
        </w:rPr>
        <w:t>29,610,000.00</w:t>
      </w:r>
      <w:r>
        <w:rPr>
          <w:spacing w:val="-2"/>
        </w:rPr>
        <w:t>元的借款期限</w:t>
      </w:r>
      <w:r>
        <w:rPr/>
        <w:t> </w:t>
      </w:r>
      <w:r>
        <w:rPr>
          <w:spacing w:val="-6"/>
        </w:rPr>
        <w:t>为</w:t>
      </w:r>
      <w:r>
        <w:rPr>
          <w:rFonts w:ascii="Times New Roman" w:hAnsi="Times New Roman" w:cs="Times New Roman" w:eastAsia="Times New Roman" w:hint="default"/>
          <w:spacing w:val="-6"/>
        </w:rPr>
        <w:t>8</w:t>
      </w:r>
      <w:r>
        <w:rPr>
          <w:spacing w:val="-6"/>
        </w:rPr>
        <w:t>年，利率为</w:t>
      </w:r>
      <w:r>
        <w:rPr>
          <w:rFonts w:ascii="Times New Roman" w:hAnsi="Times New Roman" w:cs="Times New Roman" w:eastAsia="Times New Roman" w:hint="default"/>
          <w:spacing w:val="-6"/>
        </w:rPr>
        <w:t>5.50%</w:t>
      </w:r>
      <w:r>
        <w:rPr>
          <w:spacing w:val="-6"/>
        </w:rPr>
        <w:t>；金额为</w:t>
      </w:r>
      <w:r>
        <w:rPr>
          <w:rFonts w:ascii="Times New Roman" w:hAnsi="Times New Roman" w:cs="Times New Roman" w:eastAsia="Times New Roman" w:hint="default"/>
          <w:spacing w:val="-6"/>
        </w:rPr>
        <w:t>60,000,000.00</w:t>
      </w:r>
      <w:r>
        <w:rPr>
          <w:spacing w:val="-6"/>
        </w:rPr>
        <w:t>元的借款期限为</w:t>
      </w:r>
      <w:r>
        <w:rPr>
          <w:rFonts w:ascii="Times New Roman" w:hAnsi="Times New Roman" w:cs="Times New Roman" w:eastAsia="Times New Roman" w:hint="default"/>
          <w:spacing w:val="-6"/>
        </w:rPr>
        <w:t>3</w:t>
      </w:r>
      <w:r>
        <w:rPr>
          <w:spacing w:val="-6"/>
        </w:rPr>
        <w:t>年，利率为</w:t>
      </w:r>
      <w:r>
        <w:rPr>
          <w:rFonts w:ascii="Times New Roman" w:hAnsi="Times New Roman" w:cs="Times New Roman" w:eastAsia="Times New Roman" w:hint="default"/>
          <w:spacing w:val="-6"/>
        </w:rPr>
        <w:t>6.33%</w:t>
      </w:r>
      <w:r>
        <w:rPr>
          <w:spacing w:val="-6"/>
        </w:rPr>
        <w:t>，</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11</w:t>
      </w:r>
      <w:r>
        <w:rPr>
          <w:spacing w:val="-6"/>
        </w:rPr>
        <w:t>月偿还</w:t>
      </w:r>
      <w:r>
        <w:rPr>
          <w:rFonts w:ascii="Times New Roman" w:hAnsi="Times New Roman" w:cs="Times New Roman" w:eastAsia="Times New Roman" w:hint="default"/>
          <w:spacing w:val="-6"/>
        </w:rPr>
        <w:t>10,000,000.00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元；金额为</w:t>
      </w:r>
      <w:r>
        <w:rPr>
          <w:rFonts w:ascii="Times New Roman" w:hAnsi="Times New Roman" w:cs="Times New Roman" w:eastAsia="Times New Roman" w:hint="default"/>
        </w:rPr>
        <w:t>80,814,286.46</w:t>
      </w:r>
      <w:r>
        <w:rPr/>
        <w:t>元的借款期限为</w:t>
      </w:r>
      <w:r>
        <w:rPr>
          <w:rFonts w:ascii="Times New Roman" w:hAnsi="Times New Roman" w:cs="Times New Roman" w:eastAsia="Times New Roman" w:hint="default"/>
        </w:rPr>
        <w:t>8</w:t>
      </w:r>
      <w:r>
        <w:rPr/>
        <w:t>年，利率为</w:t>
      </w:r>
      <w:r>
        <w:rPr>
          <w:rFonts w:ascii="Times New Roman" w:hAnsi="Times New Roman" w:cs="Times New Roman" w:eastAsia="Times New Roman" w:hint="default"/>
        </w:rPr>
        <w:t>6.50%</w:t>
      </w:r>
      <w:r>
        <w:rPr/>
        <w:t>；金额为</w:t>
      </w:r>
      <w:r>
        <w:rPr>
          <w:rFonts w:ascii="Times New Roman" w:hAnsi="Times New Roman" w:cs="Times New Roman" w:eastAsia="Times New Roman" w:hint="default"/>
        </w:rPr>
        <w:t>25,420,000.00</w:t>
      </w:r>
      <w:r>
        <w:rPr/>
        <w:t>元的借款期限为</w:t>
      </w:r>
      <w:r>
        <w:rPr>
          <w:rFonts w:ascii="Times New Roman" w:hAnsi="Times New Roman" w:cs="Times New Roman" w:eastAsia="Times New Roman" w:hint="default"/>
        </w:rPr>
        <w:t>8</w:t>
      </w:r>
      <w:r>
        <w:rPr/>
        <w:t>年，利 率为</w:t>
      </w:r>
      <w:r>
        <w:rPr>
          <w:rFonts w:ascii="Times New Roman" w:hAnsi="Times New Roman" w:cs="Times New Roman" w:eastAsia="Times New Roman" w:hint="default"/>
        </w:rPr>
        <w:t>7.38%</w:t>
      </w:r>
      <w:r>
        <w:rPr/>
        <w:t>。由公司位于广州市天河区天慧路的部分房产（房产编号为穗字第</w:t>
      </w:r>
      <w:r>
        <w:rPr>
          <w:rFonts w:ascii="Times New Roman" w:hAnsi="Times New Roman" w:cs="Times New Roman" w:eastAsia="Times New Roman" w:hint="default"/>
        </w:rPr>
        <w:t>0150277328</w:t>
      </w:r>
      <w:r>
        <w:rPr/>
        <w:t>号、穗字第 </w:t>
      </w:r>
      <w:r>
        <w:rPr>
          <w:rFonts w:ascii="Times New Roman" w:hAnsi="Times New Roman" w:cs="Times New Roman" w:eastAsia="Times New Roman" w:hint="default"/>
          <w:spacing w:val="-5"/>
        </w:rPr>
        <w:t>0150277133</w:t>
      </w:r>
      <w:r>
        <w:rPr>
          <w:spacing w:val="-5"/>
        </w:rPr>
        <w:t>号、穗字第</w:t>
      </w:r>
      <w:r>
        <w:rPr>
          <w:rFonts w:ascii="Times New Roman" w:hAnsi="Times New Roman" w:cs="Times New Roman" w:eastAsia="Times New Roman" w:hint="default"/>
          <w:spacing w:val="-5"/>
        </w:rPr>
        <w:t>0150277134</w:t>
      </w:r>
      <w:r>
        <w:rPr>
          <w:spacing w:val="-5"/>
        </w:rPr>
        <w:t>号、穗字第</w:t>
      </w:r>
      <w:r>
        <w:rPr>
          <w:rFonts w:ascii="Times New Roman" w:hAnsi="Times New Roman" w:cs="Times New Roman" w:eastAsia="Times New Roman" w:hint="default"/>
          <w:spacing w:val="-5"/>
        </w:rPr>
        <w:t>0150277135</w:t>
      </w:r>
      <w:r>
        <w:rPr>
          <w:spacing w:val="-5"/>
        </w:rPr>
        <w:t>号、穗字第</w:t>
      </w:r>
      <w:r>
        <w:rPr>
          <w:rFonts w:ascii="Times New Roman" w:hAnsi="Times New Roman" w:cs="Times New Roman" w:eastAsia="Times New Roman" w:hint="default"/>
          <w:spacing w:val="-5"/>
        </w:rPr>
        <w:t>0150277136</w:t>
      </w:r>
      <w:r>
        <w:rPr>
          <w:spacing w:val="-5"/>
        </w:rPr>
        <w:t>号、穗字第</w:t>
      </w:r>
      <w:r>
        <w:rPr>
          <w:rFonts w:ascii="Times New Roman" w:hAnsi="Times New Roman" w:cs="Times New Roman" w:eastAsia="Times New Roman" w:hint="default"/>
          <w:spacing w:val="-5"/>
        </w:rPr>
        <w:t>0150277137</w:t>
      </w:r>
      <w:r>
        <w:rPr>
          <w:spacing w:val="-5"/>
        </w:rPr>
        <w:t>号），</w:t>
      </w:r>
      <w:r>
        <w:rPr>
          <w:spacing w:val="-82"/>
        </w:rPr>
        <w:t> </w:t>
      </w:r>
      <w:r>
        <w:rPr>
          <w:spacing w:val="-82"/>
        </w:rPr>
      </w:r>
      <w:r>
        <w:rPr/>
        <w:t>账面原值为</w:t>
      </w:r>
      <w:r>
        <w:rPr>
          <w:rFonts w:ascii="Times New Roman" w:hAnsi="Times New Roman" w:cs="Times New Roman" w:eastAsia="Times New Roman" w:hint="default"/>
        </w:rPr>
        <w:t>172,539,549.74</w:t>
      </w:r>
      <w:r>
        <w:rPr/>
        <w:t>元；以及萝岗基建土地产权地字第穗开规地（</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3</w:t>
      </w:r>
      <w:r>
        <w:rPr/>
        <w:t>号无形资产作为抵押，账 面原值为</w:t>
      </w:r>
      <w:r>
        <w:rPr>
          <w:rFonts w:ascii="Times New Roman" w:hAnsi="Times New Roman" w:cs="Times New Roman" w:eastAsia="Times New Roman" w:hint="default"/>
        </w:rPr>
        <w:t>6,571,400.00</w:t>
      </w:r>
      <w:r>
        <w:rPr/>
        <w:t>元。</w:t>
      </w:r>
    </w:p>
    <w:p>
      <w:pPr>
        <w:spacing w:line="240" w:lineRule="auto" w:before="1"/>
        <w:rPr>
          <w:rFonts w:ascii="宋体" w:hAnsi="宋体" w:cs="宋体" w:eastAsia="宋体" w:hint="default"/>
          <w:sz w:val="16"/>
          <w:szCs w:val="16"/>
        </w:rPr>
      </w:pPr>
    </w:p>
    <w:p>
      <w:pPr>
        <w:pStyle w:val="Heading3"/>
        <w:spacing w:line="240" w:lineRule="auto"/>
        <w:ind w:left="1133" w:right="0"/>
        <w:jc w:val="left"/>
        <w:rPr>
          <w:b w:val="0"/>
          <w:bCs w:val="0"/>
        </w:rPr>
      </w:pPr>
      <w:bookmarkStart w:name="2、或有事项" w:id="380"/>
      <w:bookmarkEnd w:id="38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1"/>
          <w:szCs w:val="21"/>
        </w:rPr>
      </w:pPr>
    </w:p>
    <w:p>
      <w:pPr>
        <w:pStyle w:val="Heading3"/>
        <w:spacing w:line="472" w:lineRule="auto"/>
        <w:ind w:left="1133" w:right="7064"/>
        <w:jc w:val="left"/>
        <w:rPr>
          <w:rFonts w:ascii="宋体" w:hAnsi="宋体" w:cs="宋体" w:eastAsia="宋体" w:hint="default"/>
          <w:b w:val="0"/>
          <w:bCs w:val="0"/>
        </w:rPr>
      </w:pPr>
      <w:bookmarkStart w:name="（1）资产负债表日存在的重要或有事项" w:id="381"/>
      <w:bookmarkEnd w:id="381"/>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rFonts w:ascii="宋体" w:hAnsi="宋体" w:cs="宋体" w:eastAsia="宋体" w:hint="default"/>
          <w:b w:val="0"/>
          <w:bCs w:val="0"/>
        </w:rPr>
        <w:t>无。</w:t>
      </w:r>
    </w:p>
    <w:p>
      <w:pPr>
        <w:spacing w:after="0" w:line="472" w:lineRule="auto"/>
        <w:jc w:val="left"/>
        <w:rPr>
          <w:rFonts w:ascii="宋体" w:hAnsi="宋体" w:cs="宋体" w:eastAsia="宋体" w:hint="default"/>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spacing w:line="475" w:lineRule="auto" w:before="35"/>
        <w:ind w:left="1133" w:right="5588" w:firstLine="0"/>
        <w:jc w:val="left"/>
        <w:rPr>
          <w:rFonts w:ascii="宋体" w:hAnsi="宋体" w:cs="宋体" w:eastAsia="宋体" w:hint="default"/>
          <w:sz w:val="21"/>
          <w:szCs w:val="21"/>
        </w:rPr>
      </w:pPr>
      <w:bookmarkStart w:name="（2）公司没有需要披露的重要或有事项，也应予以说明"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spacing w:line="472" w:lineRule="auto" w:before="90"/>
        <w:ind w:left="1133" w:right="10015" w:firstLine="0"/>
        <w:jc w:val="left"/>
        <w:rPr>
          <w:rFonts w:ascii="宋体" w:hAnsi="宋体" w:cs="宋体" w:eastAsia="宋体" w:hint="default"/>
          <w:sz w:val="21"/>
          <w:szCs w:val="21"/>
        </w:rPr>
      </w:pPr>
      <w:bookmarkStart w:name="3、其他" w:id="383"/>
      <w:bookmarkEnd w:id="3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2"/>
        <w:spacing w:line="240" w:lineRule="auto" w:before="90"/>
        <w:ind w:left="1134" w:right="0"/>
        <w:jc w:val="left"/>
        <w:rPr>
          <w:b w:val="0"/>
          <w:bCs w:val="0"/>
        </w:rPr>
      </w:pPr>
      <w:bookmarkStart w:name="十三、资产负债表日后事项" w:id="384"/>
      <w:bookmarkEnd w:id="384"/>
      <w:r>
        <w:rPr>
          <w:b w:val="0"/>
          <w:bCs w:val="0"/>
        </w:rPr>
      </w:r>
      <w:r>
        <w:rPr/>
        <w:t>十三、资产负债表日后事项</w:t>
      </w:r>
      <w:r>
        <w:rPr>
          <w:b w:val="0"/>
          <w:bCs w:val="0"/>
        </w:rPr>
      </w:r>
    </w:p>
    <w:p>
      <w:pPr>
        <w:spacing w:line="240" w:lineRule="auto" w:before="1"/>
        <w:rPr>
          <w:rFonts w:ascii="宋体" w:hAnsi="宋体" w:cs="宋体" w:eastAsia="宋体" w:hint="default"/>
          <w:b/>
          <w:bCs/>
          <w:sz w:val="23"/>
          <w:szCs w:val="23"/>
        </w:rPr>
      </w:pPr>
    </w:p>
    <w:p>
      <w:pPr>
        <w:pStyle w:val="Heading3"/>
        <w:spacing w:line="475" w:lineRule="auto"/>
        <w:ind w:left="1133" w:right="8751"/>
        <w:jc w:val="left"/>
        <w:rPr>
          <w:rFonts w:ascii="宋体" w:hAnsi="宋体" w:cs="宋体" w:eastAsia="宋体" w:hint="default"/>
          <w:b w:val="0"/>
          <w:bCs w:val="0"/>
        </w:rPr>
      </w:pPr>
      <w:bookmarkStart w:name="1、重要的非调整事项" w:id="385"/>
      <w:bookmarkEnd w:id="385"/>
      <w:r>
        <w:rPr>
          <w:b w:val="0"/>
          <w:bCs w:val="0"/>
        </w:rPr>
      </w:r>
      <w:r>
        <w:rPr>
          <w:rFonts w:ascii="Times New Roman" w:hAnsi="Times New Roman" w:cs="Times New Roman" w:eastAsia="Times New Roman" w:hint="default"/>
        </w:rPr>
        <w:t>1</w:t>
      </w:r>
      <w:r>
        <w:rPr/>
        <w:t>、重要的非调整事项</w:t>
      </w:r>
      <w:r>
        <w:rPr>
          <w:w w:val="99"/>
        </w:rPr>
        <w:t> </w:t>
      </w:r>
      <w:r>
        <w:rPr>
          <w:rFonts w:ascii="宋体" w:hAnsi="宋体" w:cs="宋体" w:eastAsia="宋体" w:hint="default"/>
          <w:b w:val="0"/>
          <w:bCs w:val="0"/>
        </w:rPr>
        <w:t>无。</w:t>
      </w:r>
    </w:p>
    <w:p>
      <w:pPr>
        <w:pStyle w:val="Heading3"/>
        <w:spacing w:line="475" w:lineRule="auto" w:before="90"/>
        <w:ind w:right="9171"/>
        <w:jc w:val="left"/>
        <w:rPr>
          <w:rFonts w:ascii="宋体" w:hAnsi="宋体" w:cs="宋体" w:eastAsia="宋体" w:hint="default"/>
          <w:b w:val="0"/>
          <w:bCs w:val="0"/>
        </w:rPr>
      </w:pPr>
      <w:bookmarkStart w:name="2、利润分配情况" w:id="386"/>
      <w:bookmarkEnd w:id="386"/>
      <w:r>
        <w:rPr>
          <w:b w:val="0"/>
          <w:bCs w:val="0"/>
        </w:rPr>
      </w:r>
      <w:r>
        <w:rPr>
          <w:rFonts w:ascii="Times New Roman" w:hAnsi="Times New Roman" w:cs="Times New Roman" w:eastAsia="Times New Roman" w:hint="default"/>
        </w:rPr>
        <w:t>2</w:t>
      </w:r>
      <w:r>
        <w:rPr/>
        <w:t>、利润分配情况</w:t>
      </w:r>
      <w:r>
        <w:rPr>
          <w:w w:val="99"/>
        </w:rPr>
        <w:t> </w:t>
      </w:r>
      <w:r>
        <w:rPr>
          <w:rFonts w:ascii="宋体" w:hAnsi="宋体" w:cs="宋体" w:eastAsia="宋体" w:hint="default"/>
          <w:b w:val="0"/>
          <w:bCs w:val="0"/>
        </w:rPr>
        <w:t>无。</w:t>
      </w:r>
    </w:p>
    <w:p>
      <w:pPr>
        <w:spacing w:line="472" w:lineRule="auto" w:before="90"/>
        <w:ind w:left="1134" w:right="9593" w:firstLine="0"/>
        <w:jc w:val="left"/>
        <w:rPr>
          <w:rFonts w:ascii="宋体" w:hAnsi="宋体" w:cs="宋体" w:eastAsia="宋体" w:hint="default"/>
          <w:sz w:val="21"/>
          <w:szCs w:val="21"/>
        </w:rPr>
      </w:pPr>
      <w:bookmarkStart w:name="3、销售退回" w:id="387"/>
      <w:bookmarkEnd w:id="38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3"/>
        <w:spacing w:line="240" w:lineRule="auto" w:before="94"/>
        <w:ind w:right="0"/>
        <w:jc w:val="left"/>
        <w:rPr>
          <w:b w:val="0"/>
          <w:bCs w:val="0"/>
        </w:rPr>
      </w:pPr>
      <w:bookmarkStart w:name="4、其他资产负债表日后事项说明" w:id="388"/>
      <w:bookmarkEnd w:id="38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1"/>
        <w:rPr>
          <w:rFonts w:ascii="宋体" w:hAnsi="宋体" w:cs="宋体" w:eastAsia="宋体" w:hint="default"/>
          <w:b/>
          <w:bCs/>
          <w:sz w:val="30"/>
          <w:szCs w:val="30"/>
        </w:rPr>
      </w:pPr>
    </w:p>
    <w:p>
      <w:pPr>
        <w:pStyle w:val="BodyText"/>
        <w:spacing w:line="336" w:lineRule="auto"/>
        <w:ind w:left="1134" w:right="1132" w:firstLine="420"/>
        <w:jc w:val="both"/>
      </w:pPr>
      <w:r>
        <w:rPr/>
        <w:t>公司接到中国证券监督管理委员会（以下简称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）的通知，经中国证监会上市公司并购重 </w:t>
      </w:r>
      <w:r>
        <w:rPr>
          <w:spacing w:val="-1"/>
        </w:rPr>
        <w:t>组审核委员会并购重组委工作会议审核，公司发行股份及支付现金购买资产并募集配套资金暨关联交易的</w:t>
      </w:r>
      <w:r>
        <w:rPr>
          <w:spacing w:val="-81"/>
        </w:rPr>
        <w:t> </w:t>
      </w:r>
      <w:r>
        <w:rPr>
          <w:spacing w:val="-81"/>
        </w:rPr>
      </w:r>
      <w:r>
        <w:rPr>
          <w:spacing w:val="-2"/>
        </w:rPr>
        <w:t>事项获得有条件通过，重大资产重组方案业经中国证券会证监许可</w:t>
      </w:r>
      <w:r>
        <w:rPr>
          <w:rFonts w:ascii="Times New Roman" w:hAnsi="Times New Roman" w:cs="Times New Roman" w:eastAsia="Times New Roman" w:hint="default"/>
          <w:spacing w:val="-2"/>
        </w:rPr>
        <w:t>[2016]616</w:t>
      </w:r>
      <w:r>
        <w:rPr>
          <w:spacing w:val="-2"/>
        </w:rPr>
        <w:t>号文批复，核准公司向中经汇</w:t>
      </w:r>
      <w:r>
        <w:rPr>
          <w:spacing w:val="-63"/>
        </w:rPr>
        <w:t> </w:t>
      </w:r>
      <w:r>
        <w:rPr>
          <w:spacing w:val="-63"/>
        </w:rPr>
      </w:r>
      <w:r>
        <w:rPr/>
        <w:t>通有限责任公司发行</w:t>
      </w:r>
      <w:r>
        <w:rPr>
          <w:rFonts w:ascii="Times New Roman" w:hAnsi="Times New Roman" w:cs="Times New Roman" w:eastAsia="Times New Roman" w:hint="default"/>
        </w:rPr>
        <w:t>112,515,042</w:t>
      </w:r>
      <w:r>
        <w:rPr/>
        <w:t>股股份购买相关资产，非公开发行股份募集配套资金不超过</w:t>
      </w:r>
      <w:r>
        <w:rPr>
          <w:rFonts w:ascii="Times New Roman" w:hAnsi="Times New Roman" w:cs="Times New Roman" w:eastAsia="Times New Roman" w:hint="default"/>
        </w:rPr>
        <w:t>11</w:t>
      </w:r>
      <w:r>
        <w:rPr/>
        <w:t>亿元。</w:t>
      </w:r>
    </w:p>
    <w:p>
      <w:pPr>
        <w:pStyle w:val="BodyText"/>
        <w:spacing w:line="331" w:lineRule="auto" w:before="16"/>
        <w:ind w:right="1132" w:firstLine="420"/>
        <w:jc w:val="both"/>
      </w:pPr>
      <w:r>
        <w:rPr>
          <w:spacing w:val="-2"/>
        </w:rPr>
        <w:t>公司第三届董事会第十三次</w:t>
      </w:r>
      <w:r>
        <w:rPr>
          <w:rFonts w:ascii="Times New Roman" w:hAnsi="Times New Roman" w:cs="Times New Roman" w:eastAsia="Times New Roman" w:hint="default"/>
          <w:spacing w:val="-2"/>
        </w:rPr>
        <w:t>(</w:t>
      </w:r>
      <w:r>
        <w:rPr>
          <w:spacing w:val="-2"/>
        </w:rPr>
        <w:t>临时</w:t>
      </w:r>
      <w:r>
        <w:rPr>
          <w:rFonts w:ascii="Times New Roman" w:hAnsi="Times New Roman" w:cs="Times New Roman" w:eastAsia="Times New Roman" w:hint="default"/>
          <w:spacing w:val="-2"/>
        </w:rPr>
        <w:t>)</w:t>
      </w:r>
      <w:r>
        <w:rPr>
          <w:spacing w:val="-2"/>
        </w:rPr>
        <w:t>会议于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日召开，会议审议通过《关于向激励对象授予限</w:t>
      </w:r>
      <w:r>
        <w:rPr/>
        <w:t> </w:t>
      </w:r>
      <w:r>
        <w:rPr>
          <w:spacing w:val="-1"/>
        </w:rPr>
        <w:t>制性股票的议案》，董事会同意授予</w:t>
      </w:r>
      <w:r>
        <w:rPr>
          <w:rFonts w:ascii="Times New Roman" w:hAnsi="Times New Roman" w:cs="Times New Roman" w:eastAsia="Times New Roman" w:hint="default"/>
          <w:spacing w:val="-1"/>
        </w:rPr>
        <w:t>290</w:t>
      </w:r>
      <w:r>
        <w:rPr>
          <w:spacing w:val="-1"/>
        </w:rPr>
        <w:t>名激励对象</w:t>
      </w:r>
      <w:r>
        <w:rPr>
          <w:rFonts w:ascii="Times New Roman" w:hAnsi="Times New Roman" w:cs="Times New Roman" w:eastAsia="Times New Roman" w:hint="default"/>
          <w:spacing w:val="-1"/>
        </w:rPr>
        <w:t>800</w:t>
      </w:r>
      <w:r>
        <w:rPr>
          <w:spacing w:val="-1"/>
        </w:rPr>
        <w:t>万股限制性股票，本次限制性股票的授予日为</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p>
    <w:p>
      <w:pPr>
        <w:spacing w:line="240" w:lineRule="auto" w:before="10"/>
        <w:rPr>
          <w:rFonts w:ascii="宋体" w:hAnsi="宋体" w:cs="宋体" w:eastAsia="宋体" w:hint="default"/>
          <w:sz w:val="15"/>
          <w:szCs w:val="15"/>
        </w:rPr>
      </w:pPr>
    </w:p>
    <w:p>
      <w:pPr>
        <w:spacing w:line="472" w:lineRule="auto" w:before="0"/>
        <w:ind w:left="1133" w:right="8584" w:firstLine="0"/>
        <w:jc w:val="left"/>
        <w:rPr>
          <w:rFonts w:ascii="宋体" w:hAnsi="宋体" w:cs="宋体" w:eastAsia="宋体" w:hint="default"/>
          <w:sz w:val="21"/>
          <w:szCs w:val="21"/>
        </w:rPr>
      </w:pPr>
      <w:bookmarkStart w:name="十四、其他重要事项" w:id="389"/>
      <w:bookmarkEnd w:id="389"/>
      <w:r>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bookmarkStart w:name="1、前期会计差错更正" w:id="390"/>
      <w:bookmarkEnd w:id="39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482" w:lineRule="auto" w:before="94"/>
        <w:ind w:left="1134" w:right="9593" w:firstLine="0"/>
        <w:jc w:val="left"/>
        <w:rPr>
          <w:rFonts w:ascii="宋体" w:hAnsi="宋体" w:cs="宋体" w:eastAsia="宋体" w:hint="default"/>
          <w:sz w:val="21"/>
          <w:szCs w:val="21"/>
        </w:rPr>
      </w:pPr>
      <w:bookmarkStart w:name="2、债务重组" w:id="391"/>
      <w:bookmarkEnd w:id="3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b/>
          <w:bCs/>
          <w:w w:val="99"/>
          <w:sz w:val="21"/>
          <w:szCs w:val="21"/>
        </w:rPr>
        <w:t> </w:t>
      </w:r>
      <w:r>
        <w:rPr>
          <w:rFonts w:ascii="宋体" w:hAnsi="宋体" w:cs="宋体" w:eastAsia="宋体" w:hint="default"/>
          <w:sz w:val="21"/>
          <w:szCs w:val="21"/>
        </w:rPr>
        <w:t>无。 </w:t>
      </w:r>
      <w:bookmarkStart w:name="3、资产置换" w:id="392"/>
      <w:bookmarkEnd w:id="392"/>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after="0" w:line="482" w:lineRule="auto"/>
        <w:jc w:val="left"/>
        <w:rPr>
          <w:rFonts w:ascii="宋体" w:hAnsi="宋体" w:cs="宋体" w:eastAsia="宋体" w:hint="default"/>
          <w:sz w:val="21"/>
          <w:szCs w:val="21"/>
        </w:rPr>
        <w:sectPr>
          <w:pgSz w:w="11910" w:h="16840"/>
          <w:pgMar w:header="0" w:footer="979" w:top="1100" w:bottom="1160" w:left="0" w:right="0"/>
        </w:sectPr>
      </w:pPr>
    </w:p>
    <w:p>
      <w:pPr>
        <w:spacing w:line="240" w:lineRule="auto" w:before="1"/>
        <w:rPr>
          <w:rFonts w:ascii="宋体" w:hAnsi="宋体" w:cs="宋体" w:eastAsia="宋体" w:hint="default"/>
          <w:sz w:val="19"/>
          <w:szCs w:val="19"/>
        </w:rPr>
      </w:pPr>
    </w:p>
    <w:p>
      <w:pPr>
        <w:spacing w:line="484" w:lineRule="auto" w:before="35"/>
        <w:ind w:left="1133" w:right="9594" w:firstLine="0"/>
        <w:jc w:val="left"/>
        <w:rPr>
          <w:rFonts w:ascii="宋体" w:hAnsi="宋体" w:cs="宋体" w:eastAsia="宋体" w:hint="default"/>
          <w:sz w:val="21"/>
          <w:szCs w:val="21"/>
        </w:rPr>
      </w:pPr>
      <w:bookmarkStart w:name="4、年金计划" w:id="393"/>
      <w:bookmarkEnd w:id="39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b/>
          <w:bCs/>
          <w:w w:val="99"/>
          <w:sz w:val="21"/>
          <w:szCs w:val="21"/>
        </w:rPr>
        <w:t> </w:t>
      </w:r>
      <w:r>
        <w:rPr>
          <w:rFonts w:ascii="宋体" w:hAnsi="宋体" w:cs="宋体" w:eastAsia="宋体" w:hint="default"/>
          <w:sz w:val="21"/>
          <w:szCs w:val="21"/>
        </w:rPr>
        <w:t>无。 </w:t>
      </w:r>
      <w:bookmarkStart w:name="5、终止经营" w:id="394"/>
      <w:bookmarkEnd w:id="394"/>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b/>
          <w:bCs/>
          <w:w w:val="99"/>
          <w:sz w:val="21"/>
          <w:szCs w:val="21"/>
        </w:rPr>
        <w:t> </w:t>
      </w:r>
      <w:r>
        <w:rPr>
          <w:rFonts w:ascii="宋体" w:hAnsi="宋体" w:cs="宋体" w:eastAsia="宋体" w:hint="default"/>
          <w:sz w:val="21"/>
          <w:szCs w:val="21"/>
        </w:rPr>
        <w:t>无。 </w:t>
      </w:r>
      <w:bookmarkStart w:name="6、分部信息" w:id="395"/>
      <w:bookmarkEnd w:id="395"/>
      <w:r>
        <w:rPr>
          <w:rFonts w:ascii="宋体" w:hAnsi="宋体" w:cs="宋体" w:eastAsia="宋体" w:hint="default"/>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3"/>
        <w:spacing w:line="472" w:lineRule="auto" w:before="83"/>
        <w:ind w:right="6431"/>
        <w:jc w:val="left"/>
        <w:rPr>
          <w:rFonts w:ascii="宋体" w:hAnsi="宋体" w:cs="宋体" w:eastAsia="宋体" w:hint="default"/>
          <w:b w:val="0"/>
          <w:bCs w:val="0"/>
        </w:rPr>
      </w:pPr>
      <w:bookmarkStart w:name="7、其他对投资者决策有影响的重要交易和事项" w:id="396"/>
      <w:bookmarkEnd w:id="396"/>
      <w:r>
        <w:rPr>
          <w:b w:val="0"/>
          <w:bCs w:val="0"/>
        </w:rPr>
      </w:r>
      <w:r>
        <w:rPr>
          <w:rFonts w:ascii="Times New Roman" w:hAnsi="Times New Roman" w:cs="Times New Roman" w:eastAsia="Times New Roman" w:hint="default"/>
        </w:rPr>
        <w:t>7</w:t>
      </w:r>
      <w:r>
        <w:rPr/>
        <w:t>、其他对投资者决策有影响的重要交易和事项</w:t>
      </w:r>
      <w:r>
        <w:rPr>
          <w:w w:val="99"/>
        </w:rPr>
        <w:t> </w:t>
      </w:r>
      <w:r>
        <w:rPr>
          <w:rFonts w:ascii="宋体" w:hAnsi="宋体" w:cs="宋体" w:eastAsia="宋体" w:hint="default"/>
          <w:b w:val="0"/>
          <w:bCs w:val="0"/>
        </w:rPr>
        <w:t>无。</w:t>
      </w:r>
    </w:p>
    <w:p>
      <w:pPr>
        <w:spacing w:line="472" w:lineRule="auto" w:before="94"/>
        <w:ind w:left="1134" w:right="10014" w:firstLine="0"/>
        <w:jc w:val="left"/>
        <w:rPr>
          <w:rFonts w:ascii="宋体" w:hAnsi="宋体" w:cs="宋体" w:eastAsia="宋体" w:hint="default"/>
          <w:sz w:val="21"/>
          <w:szCs w:val="21"/>
        </w:rPr>
      </w:pPr>
      <w:bookmarkStart w:name="8、其他" w:id="397"/>
      <w:bookmarkEnd w:id="39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2"/>
        <w:spacing w:line="240" w:lineRule="auto" w:before="90"/>
        <w:ind w:left="1134" w:right="0"/>
        <w:jc w:val="left"/>
        <w:rPr>
          <w:b w:val="0"/>
          <w:bCs w:val="0"/>
        </w:rPr>
      </w:pPr>
      <w:bookmarkStart w:name="十五、母公司财务报表主要项目注释" w:id="398"/>
      <w:bookmarkEnd w:id="398"/>
      <w:r>
        <w:rPr>
          <w:b w:val="0"/>
          <w:bCs w:val="0"/>
        </w:rPr>
      </w:r>
      <w:r>
        <w:rPr/>
        <w:t>十五、母公司财务报表主要项目注释</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1133" w:right="0"/>
        <w:jc w:val="left"/>
        <w:rPr>
          <w:b w:val="0"/>
          <w:bCs w:val="0"/>
        </w:rPr>
      </w:pPr>
      <w:bookmarkStart w:name="1、应收账款" w:id="399"/>
      <w:bookmarkEnd w:id="39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3" w:right="0"/>
        <w:jc w:val="left"/>
        <w:rPr>
          <w:b w:val="0"/>
          <w:bCs w:val="0"/>
        </w:rPr>
      </w:pPr>
      <w:bookmarkStart w:name="（1）应收账款分类披露" w:id="400"/>
      <w:bookmarkEnd w:id="40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431" w:type="dxa"/>
        <w:tblLayout w:type="fixed"/>
        <w:tblCellMar>
          <w:top w:w="0" w:type="dxa"/>
          <w:left w:w="0" w:type="dxa"/>
          <w:bottom w:w="0" w:type="dxa"/>
          <w:right w:w="0" w:type="dxa"/>
        </w:tblCellMar>
        <w:tblLook w:val="01E0"/>
      </w:tblPr>
      <w:tblGrid>
        <w:gridCol w:w="970"/>
        <w:gridCol w:w="1288"/>
        <w:gridCol w:w="708"/>
        <w:gridCol w:w="1134"/>
        <w:gridCol w:w="710"/>
        <w:gridCol w:w="1276"/>
        <w:gridCol w:w="1277"/>
        <w:gridCol w:w="708"/>
        <w:gridCol w:w="1134"/>
        <w:gridCol w:w="566"/>
        <w:gridCol w:w="1276"/>
      </w:tblGrid>
      <w:tr>
        <w:trPr>
          <w:trHeight w:val="319" w:hRule="exact"/>
        </w:trPr>
        <w:tc>
          <w:tcPr>
            <w:tcW w:w="970" w:type="dxa"/>
            <w:vMerge w:val="restart"/>
            <w:tcBorders>
              <w:top w:val="single" w:sz="4" w:space="0" w:color="000000"/>
              <w:left w:val="single" w:sz="4" w:space="0" w:color="000000"/>
              <w:right w:val="single" w:sz="4" w:space="0" w:color="000000"/>
            </w:tcBorders>
            <w:shd w:val="clear" w:color="auto" w:fill="D2D2D2"/>
          </w:tcPr>
          <w:p>
            <w:pPr/>
          </w:p>
        </w:tc>
        <w:tc>
          <w:tcPr>
            <w:tcW w:w="51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6" w:hRule="exact"/>
        </w:trPr>
        <w:tc>
          <w:tcPr>
            <w:tcW w:w="970" w:type="dxa"/>
            <w:vMerge/>
            <w:tcBorders>
              <w:left w:val="single" w:sz="4" w:space="0" w:color="000000"/>
              <w:bottom w:val="nil" w:sz="6" w:space="0" w:color="auto"/>
              <w:right w:val="single" w:sz="4" w:space="0" w:color="000000"/>
            </w:tcBorders>
            <w:shd w:val="clear" w:color="auto" w:fill="D2D2D2"/>
          </w:tcPr>
          <w:p>
            <w:pPr/>
          </w:p>
        </w:tc>
        <w:tc>
          <w:tcPr>
            <w:tcW w:w="1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9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9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9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96" w:type="dxa"/>
            <w:gridSpan w:val="2"/>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700"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970"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187" w:lineRule="exact"/>
              <w:ind w:right="1"/>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187"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8"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970"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64" w:hRule="exact"/>
        </w:trPr>
        <w:tc>
          <w:tcPr>
            <w:tcW w:w="9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37" w:lineRule="auto" w:before="12"/>
              <w:ind w:left="11" w:right="47"/>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8" w:type="dxa"/>
            <w:tcBorders>
              <w:top w:val="single" w:sz="50" w:space="0" w:color="D2D2D2"/>
              <w:left w:val="single" w:sz="13" w:space="0" w:color="D2D2D2"/>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221,237,395.66</w:t>
            </w:r>
          </w:p>
        </w:tc>
        <w:tc>
          <w:tcPr>
            <w:tcW w:w="708" w:type="dxa"/>
            <w:tcBorders>
              <w:top w:val="single" w:sz="50"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50"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30,121,279.22</w:t>
            </w:r>
          </w:p>
        </w:tc>
        <w:tc>
          <w:tcPr>
            <w:tcW w:w="71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13.61%</w:t>
            </w:r>
          </w:p>
        </w:tc>
        <w:tc>
          <w:tcPr>
            <w:tcW w:w="1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191,116,116.44</w:t>
            </w:r>
          </w:p>
        </w:tc>
        <w:tc>
          <w:tcPr>
            <w:tcW w:w="1277" w:type="dxa"/>
            <w:tcBorders>
              <w:top w:val="single" w:sz="50"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229,428,644.85</w:t>
            </w:r>
          </w:p>
        </w:tc>
        <w:tc>
          <w:tcPr>
            <w:tcW w:w="708" w:type="dxa"/>
            <w:tcBorders>
              <w:top w:val="single" w:sz="50"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50" w:space="0" w:color="D2D2D2"/>
              <w:left w:val="single" w:sz="4" w:space="0" w:color="000000"/>
              <w:bottom w:val="single" w:sz="4" w:space="0" w:color="FFFFFF"/>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21,041,013.07</w:t>
            </w:r>
          </w:p>
        </w:tc>
        <w:tc>
          <w:tcPr>
            <w:tcW w:w="56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9.17%</w:t>
            </w:r>
          </w:p>
        </w:tc>
        <w:tc>
          <w:tcPr>
            <w:tcW w:w="1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208,387,631.78</w:t>
            </w:r>
          </w:p>
        </w:tc>
      </w:tr>
      <w:tr>
        <w:trPr>
          <w:trHeight w:val="433" w:hRule="exact"/>
        </w:trPr>
        <w:tc>
          <w:tcPr>
            <w:tcW w:w="9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5"/>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FFFFFF"/>
              <w:left w:val="single" w:sz="13" w:space="0" w:color="D2D2D2"/>
              <w:bottom w:val="single" w:sz="4" w:space="0" w:color="000000"/>
              <w:right w:val="single" w:sz="4" w:space="0" w:color="000000"/>
            </w:tcBorders>
          </w:tcPr>
          <w:p>
            <w:pPr>
              <w:pStyle w:val="TableParagraph"/>
              <w:spacing w:line="240" w:lineRule="auto" w:before="84"/>
              <w:ind w:left="96" w:right="0"/>
              <w:jc w:val="center"/>
              <w:rPr>
                <w:rFonts w:ascii="Times New Roman" w:hAnsi="Times New Roman" w:cs="Times New Roman" w:eastAsia="Times New Roman" w:hint="default"/>
                <w:sz w:val="18"/>
                <w:szCs w:val="18"/>
              </w:rPr>
            </w:pPr>
            <w:r>
              <w:rPr>
                <w:rFonts w:ascii="Times New Roman"/>
                <w:sz w:val="18"/>
              </w:rPr>
              <w:t>221,237,395.66</w:t>
            </w:r>
          </w:p>
        </w:tc>
        <w:tc>
          <w:tcPr>
            <w:tcW w:w="70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30" w:right="0"/>
              <w:jc w:val="lef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65" w:right="0"/>
              <w:jc w:val="left"/>
              <w:rPr>
                <w:rFonts w:ascii="Times New Roman" w:hAnsi="Times New Roman" w:cs="Times New Roman" w:eastAsia="Times New Roman" w:hint="default"/>
                <w:sz w:val="18"/>
                <w:szCs w:val="18"/>
              </w:rPr>
            </w:pPr>
            <w:r>
              <w:rPr>
                <w:rFonts w:ascii="Times New Roman"/>
                <w:sz w:val="18"/>
              </w:rPr>
              <w:t>30,121,279.22</w:t>
            </w:r>
          </w:p>
        </w:tc>
        <w:tc>
          <w:tcPr>
            <w:tcW w:w="71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97" w:right="0"/>
              <w:jc w:val="center"/>
              <w:rPr>
                <w:rFonts w:ascii="Times New Roman" w:hAnsi="Times New Roman" w:cs="Times New Roman" w:eastAsia="Times New Roman" w:hint="default"/>
                <w:sz w:val="18"/>
                <w:szCs w:val="18"/>
              </w:rPr>
            </w:pPr>
            <w:r>
              <w:rPr>
                <w:rFonts w:ascii="Times New Roman"/>
                <w:sz w:val="18"/>
              </w:rPr>
              <w:t>13.61%</w:t>
            </w:r>
          </w:p>
        </w:tc>
        <w:tc>
          <w:tcPr>
            <w:tcW w:w="12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109" w:right="0"/>
              <w:jc w:val="center"/>
              <w:rPr>
                <w:rFonts w:ascii="Times New Roman" w:hAnsi="Times New Roman" w:cs="Times New Roman" w:eastAsia="Times New Roman" w:hint="default"/>
                <w:sz w:val="18"/>
                <w:szCs w:val="18"/>
              </w:rPr>
            </w:pPr>
            <w:r>
              <w:rPr>
                <w:rFonts w:ascii="Times New Roman"/>
                <w:sz w:val="18"/>
              </w:rPr>
              <w:t>191,116,116.44</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229,428,644.85</w:t>
            </w:r>
          </w:p>
        </w:tc>
        <w:tc>
          <w:tcPr>
            <w:tcW w:w="708" w:type="dxa"/>
            <w:tcBorders>
              <w:top w:val="single" w:sz="4" w:space="0" w:color="FFFFFF"/>
              <w:left w:val="single" w:sz="4" w:space="0" w:color="000000"/>
              <w:bottom w:val="single" w:sz="4" w:space="0" w:color="000000"/>
              <w:right w:val="single" w:sz="4" w:space="0" w:color="000000"/>
            </w:tcBorders>
          </w:tcPr>
          <w:p>
            <w:pPr/>
          </w:p>
        </w:tc>
        <w:tc>
          <w:tcPr>
            <w:tcW w:w="113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42" w:right="0"/>
              <w:jc w:val="center"/>
              <w:rPr>
                <w:rFonts w:ascii="Times New Roman" w:hAnsi="Times New Roman" w:cs="Times New Roman" w:eastAsia="Times New Roman" w:hint="default"/>
                <w:sz w:val="18"/>
                <w:szCs w:val="18"/>
              </w:rPr>
            </w:pPr>
            <w:r>
              <w:rPr>
                <w:rFonts w:ascii="Times New Roman"/>
                <w:sz w:val="18"/>
              </w:rPr>
              <w:t>21,041,013.07</w:t>
            </w:r>
          </w:p>
        </w:tc>
        <w:tc>
          <w:tcPr>
            <w:tcW w:w="566" w:type="dxa"/>
            <w:tcBorders>
              <w:top w:val="single" w:sz="4" w:space="0" w:color="FFFFFF"/>
              <w:left w:val="single" w:sz="4" w:space="0" w:color="000000"/>
              <w:bottom w:val="single" w:sz="4" w:space="0" w:color="000000"/>
              <w:right w:val="single" w:sz="4" w:space="0" w:color="000000"/>
            </w:tcBorders>
          </w:tcPr>
          <w:p>
            <w:pPr/>
          </w:p>
        </w:tc>
        <w:tc>
          <w:tcPr>
            <w:tcW w:w="12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84"/>
              <w:ind w:left="96" w:right="0"/>
              <w:jc w:val="center"/>
              <w:rPr>
                <w:rFonts w:ascii="Times New Roman" w:hAnsi="Times New Roman" w:cs="Times New Roman" w:eastAsia="Times New Roman" w:hint="default"/>
                <w:sz w:val="18"/>
                <w:szCs w:val="18"/>
              </w:rPr>
            </w:pPr>
            <w:r>
              <w:rPr>
                <w:rFonts w:ascii="Times New Roman"/>
                <w:sz w:val="18"/>
              </w:rPr>
              <w:t>208,387,631.78</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0" w:right="0"/>
        </w:sectPr>
      </w:pPr>
    </w:p>
    <w:p>
      <w:pPr>
        <w:spacing w:before="10"/>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264" w:lineRule="auto" w:before="3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20"/>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5275" w:space="3555"/>
            <w:col w:w="3080"/>
          </w:cols>
        </w:sectPr>
      </w:pP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32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119,215,667.38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5,960,783.37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51,189,325.67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5,118,932.57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34,931,830.52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10,479,549.16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14,042,463.19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7,021,231.60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1,586,631.90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1,269,305.52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80.00%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271,477.00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271,477.00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221,237,395.66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30,121,279.22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6"/>
          <w:szCs w:val="6"/>
        </w:rPr>
      </w:pPr>
    </w:p>
    <w:p>
      <w:pPr>
        <w:pStyle w:val="BodyText"/>
        <w:spacing w:line="240" w:lineRule="auto" w:before="35"/>
        <w:ind w:left="1134" w:right="0"/>
        <w:jc w:val="left"/>
      </w:pPr>
      <w:r>
        <w:rPr/>
        <w:t>组合中，采用余额百分比法计提坏账准备的应收账款：</w:t>
      </w:r>
    </w:p>
    <w:p>
      <w:pPr>
        <w:pStyle w:val="BodyText"/>
        <w:spacing w:line="374" w:lineRule="auto" w:before="164"/>
        <w:ind w:left="1134"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组合中，采用其他方法计提坏账准备的应收账款： 无。</w:t>
      </w:r>
    </w:p>
    <w:p>
      <w:pPr>
        <w:spacing w:line="240" w:lineRule="auto" w:before="2"/>
        <w:rPr>
          <w:rFonts w:ascii="宋体" w:hAnsi="宋体" w:cs="宋体" w:eastAsia="宋体" w:hint="default"/>
          <w:sz w:val="15"/>
          <w:szCs w:val="15"/>
        </w:rPr>
      </w:pPr>
    </w:p>
    <w:p>
      <w:pPr>
        <w:spacing w:line="472" w:lineRule="auto" w:before="0"/>
        <w:ind w:left="1134" w:right="6641" w:firstLine="0"/>
        <w:jc w:val="left"/>
        <w:rPr>
          <w:rFonts w:ascii="宋体" w:hAnsi="宋体" w:cs="宋体" w:eastAsia="宋体" w:hint="default"/>
          <w:sz w:val="21"/>
          <w:szCs w:val="21"/>
        </w:rPr>
      </w:pPr>
      <w:bookmarkStart w:name="（2）本期计提、收回或转回的坏账准备情况" w:id="401"/>
      <w:bookmarkEnd w:id="4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9,080,266.15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Heading3"/>
        <w:spacing w:line="472" w:lineRule="auto" w:before="56"/>
        <w:ind w:right="7485"/>
        <w:jc w:val="left"/>
        <w:rPr>
          <w:rFonts w:ascii="宋体" w:hAnsi="宋体" w:cs="宋体" w:eastAsia="宋体" w:hint="default"/>
          <w:b w:val="0"/>
          <w:bCs w:val="0"/>
        </w:rPr>
      </w:pPr>
      <w:bookmarkStart w:name="（3）本期实际核销的应收账款情况" w:id="402"/>
      <w:bookmarkEnd w:id="402"/>
      <w:r>
        <w:rPr>
          <w:b w:val="0"/>
          <w:bCs w:val="0"/>
        </w:rPr>
      </w:r>
      <w:r>
        <w:rPr/>
        <w:t>（</w:t>
      </w:r>
      <w:r>
        <w:rPr>
          <w:rFonts w:ascii="Times New Roman" w:hAnsi="Times New Roman" w:cs="Times New Roman" w:eastAsia="Times New Roman" w:hint="default"/>
        </w:rPr>
        <w:t>3</w:t>
      </w:r>
      <w:r>
        <w:rPr/>
        <w:t>）本期实际核销的应收账款情况</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4）按欠款方归集的期末余额前五名的应收账款情况" w:id="403"/>
      <w:bookmarkEnd w:id="40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21" w:type="dxa"/>
        <w:tblLayout w:type="fixed"/>
        <w:tblCellMar>
          <w:top w:w="0" w:type="dxa"/>
          <w:left w:w="0" w:type="dxa"/>
          <w:bottom w:w="0" w:type="dxa"/>
          <w:right w:w="0" w:type="dxa"/>
        </w:tblCellMar>
        <w:tblLook w:val="01E0"/>
      </w:tblPr>
      <w:tblGrid>
        <w:gridCol w:w="3370"/>
        <w:gridCol w:w="2126"/>
        <w:gridCol w:w="1702"/>
        <w:gridCol w:w="2125"/>
      </w:tblGrid>
      <w:tr>
        <w:trPr>
          <w:trHeight w:val="47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占应收账款期末余</w:t>
            </w:r>
          </w:p>
          <w:p>
            <w:pPr>
              <w:pStyle w:val="TableParagraph"/>
              <w:spacing w:line="248"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8"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40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广州市社会保险基金管理中心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16,715,759.99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z w:val="18"/>
              </w:rPr>
              <w:t>7.56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5,014,728.00</w:t>
            </w:r>
          </w:p>
        </w:tc>
      </w:tr>
      <w:tr>
        <w:trPr>
          <w:trHeight w:val="4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广东兴业国际实业有限公司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pacing w:val="-1"/>
                <w:sz w:val="18"/>
              </w:rPr>
              <w:t>12,303,859.76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8"/>
                <w:szCs w:val="18"/>
              </w:rPr>
            </w:pPr>
            <w:r>
              <w:rPr>
                <w:rFonts w:ascii="Times New Roman"/>
                <w:sz w:val="18"/>
              </w:rPr>
              <w:t>5.56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Times New Roman" w:hAnsi="Times New Roman" w:cs="Times New Roman" w:eastAsia="Times New Roman" w:hint="default"/>
                <w:sz w:val="18"/>
                <w:szCs w:val="18"/>
              </w:rPr>
            </w:pPr>
            <w:r>
              <w:rPr>
                <w:rFonts w:ascii="Times New Roman"/>
                <w:spacing w:val="-1"/>
                <w:sz w:val="18"/>
              </w:rPr>
              <w:t>3,691,157.93</w:t>
            </w:r>
          </w:p>
        </w:tc>
      </w:tr>
      <w:tr>
        <w:trPr>
          <w:trHeight w:val="42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南京东大智能化系统有限公司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11,332,322.87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5.12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1,133,232.29</w:t>
            </w:r>
          </w:p>
        </w:tc>
      </w:tr>
      <w:tr>
        <w:trPr>
          <w:trHeight w:val="43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资兴市电子政务中心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pacing w:val="-1"/>
                <w:sz w:val="18"/>
              </w:rPr>
              <w:t>10,027,880.00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4.53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spacing w:val="-1"/>
                <w:sz w:val="18"/>
              </w:rPr>
              <w:t>1,002,788.00</w:t>
            </w:r>
          </w:p>
        </w:tc>
      </w:tr>
      <w:tr>
        <w:trPr>
          <w:trHeight w:val="42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广州德合电子科技有限公司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7,360,750.00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3.33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368,037.50</w:t>
            </w:r>
          </w:p>
        </w:tc>
      </w:tr>
      <w:tr>
        <w:trPr>
          <w:trHeight w:val="41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57,740,572.62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26.10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11,209,943.71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Heading3"/>
        <w:spacing w:line="472" w:lineRule="auto"/>
        <w:ind w:right="6641"/>
        <w:jc w:val="left"/>
        <w:rPr>
          <w:rFonts w:ascii="宋体" w:hAnsi="宋体" w:cs="宋体" w:eastAsia="宋体" w:hint="default"/>
          <w:b w:val="0"/>
          <w:bCs w:val="0"/>
        </w:rPr>
      </w:pPr>
      <w:bookmarkStart w:name="（5）因金融资产转移而终止确认的应收账款" w:id="404"/>
      <w:bookmarkEnd w:id="404"/>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3"/>
        <w:spacing w:line="472" w:lineRule="auto" w:before="94"/>
        <w:ind w:right="5798"/>
        <w:jc w:val="left"/>
        <w:rPr>
          <w:rFonts w:ascii="宋体" w:hAnsi="宋体" w:cs="宋体" w:eastAsia="宋体" w:hint="default"/>
          <w:b w:val="0"/>
          <w:bCs w:val="0"/>
        </w:rPr>
      </w:pPr>
      <w:bookmarkStart w:name="（6）转移应收账款且继续涉入形成的资产、负债金额" w:id="405"/>
      <w:bookmarkEnd w:id="405"/>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2、其他应收款" w:id="406"/>
      <w:bookmarkEnd w:id="40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其他应收款分类披露" w:id="407"/>
      <w:bookmarkEnd w:id="40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562" w:type="dxa"/>
        <w:tblLayout w:type="fixed"/>
        <w:tblCellMar>
          <w:top w:w="0" w:type="dxa"/>
          <w:left w:w="0" w:type="dxa"/>
          <w:bottom w:w="0" w:type="dxa"/>
          <w:right w:w="0" w:type="dxa"/>
        </w:tblCellMar>
        <w:tblLook w:val="01E0"/>
      </w:tblPr>
      <w:tblGrid>
        <w:gridCol w:w="1418"/>
        <w:gridCol w:w="1843"/>
        <w:gridCol w:w="1702"/>
        <w:gridCol w:w="1134"/>
        <w:gridCol w:w="1842"/>
        <w:gridCol w:w="1700"/>
        <w:gridCol w:w="1134"/>
      </w:tblGrid>
      <w:tr>
        <w:trPr>
          <w:trHeight w:val="32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6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6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561" w:type="dxa"/>
        <w:tblLayout w:type="fixed"/>
        <w:tblCellMar>
          <w:top w:w="0" w:type="dxa"/>
          <w:left w:w="0" w:type="dxa"/>
          <w:bottom w:w="0" w:type="dxa"/>
          <w:right w:w="0" w:type="dxa"/>
        </w:tblCellMar>
        <w:tblLook w:val="01E0"/>
      </w:tblPr>
      <w:tblGrid>
        <w:gridCol w:w="1407"/>
        <w:gridCol w:w="1145"/>
        <w:gridCol w:w="709"/>
        <w:gridCol w:w="1134"/>
        <w:gridCol w:w="568"/>
        <w:gridCol w:w="1134"/>
        <w:gridCol w:w="1134"/>
        <w:gridCol w:w="708"/>
        <w:gridCol w:w="992"/>
        <w:gridCol w:w="708"/>
        <w:gridCol w:w="1134"/>
      </w:tblGrid>
      <w:tr>
        <w:trPr>
          <w:trHeight w:val="122" w:hRule="exact"/>
        </w:trPr>
        <w:tc>
          <w:tcPr>
            <w:tcW w:w="1407" w:type="dxa"/>
            <w:vMerge w:val="restart"/>
            <w:tcBorders>
              <w:top w:val="single" w:sz="4" w:space="0" w:color="000000"/>
              <w:left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98" w:right="9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257"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434" w:hRule="exact"/>
        </w:trPr>
        <w:tc>
          <w:tcPr>
            <w:tcW w:w="1407"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6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791"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3" w:right="11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45" w:type="dxa"/>
            <w:tcBorders>
              <w:top w:val="single" w:sz="50" w:space="0" w:color="D2D2D2"/>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34,348,840.29</w:t>
            </w:r>
          </w:p>
        </w:tc>
        <w:tc>
          <w:tcPr>
            <w:tcW w:w="709"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2,300,693.50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32,048,146.79</w:t>
            </w:r>
          </w:p>
        </w:tc>
        <w:tc>
          <w:tcPr>
            <w:tcW w:w="113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2,941,194.26</w:t>
            </w:r>
          </w:p>
        </w:tc>
        <w:tc>
          <w:tcPr>
            <w:tcW w:w="708"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602,468.50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20.48%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2,338,725.76</w:t>
            </w:r>
          </w:p>
        </w:tc>
      </w:tr>
      <w:tr>
        <w:trPr>
          <w:trHeight w:val="405"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0"/>
              <w:ind w:left="42" w:right="0"/>
              <w:jc w:val="center"/>
              <w:rPr>
                <w:rFonts w:ascii="Times New Roman" w:hAnsi="Times New Roman" w:cs="Times New Roman" w:eastAsia="Times New Roman" w:hint="default"/>
                <w:sz w:val="18"/>
                <w:szCs w:val="18"/>
              </w:rPr>
            </w:pPr>
            <w:r>
              <w:rPr>
                <w:rFonts w:ascii="Times New Roman"/>
                <w:sz w:val="18"/>
              </w:rPr>
              <w:t>34,348,840.29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 w:right="0"/>
              <w:jc w:val="center"/>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2,300,693.50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32,048,146.79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2,941,194.26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 w:right="0"/>
              <w:jc w:val="center"/>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center"/>
              <w:rPr>
                <w:rFonts w:ascii="Times New Roman" w:hAnsi="Times New Roman" w:cs="Times New Roman" w:eastAsia="Times New Roman" w:hint="default"/>
                <w:sz w:val="18"/>
                <w:szCs w:val="18"/>
              </w:rPr>
            </w:pPr>
            <w:r>
              <w:rPr>
                <w:rFonts w:ascii="Times New Roman"/>
                <w:sz w:val="18"/>
              </w:rPr>
              <w:t>602,468.50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6" w:right="0"/>
              <w:jc w:val="center"/>
              <w:rPr>
                <w:rFonts w:ascii="Times New Roman" w:hAnsi="Times New Roman" w:cs="Times New Roman" w:eastAsia="Times New Roman" w:hint="default"/>
                <w:sz w:val="18"/>
                <w:szCs w:val="18"/>
              </w:rPr>
            </w:pPr>
            <w:r>
              <w:rPr>
                <w:rFonts w:ascii="Times New Roman"/>
                <w:sz w:val="18"/>
              </w:rPr>
              <w:t>20.48%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2,338,725.76</w:t>
            </w:r>
          </w:p>
        </w:tc>
      </w:tr>
    </w:tbl>
    <w:p>
      <w:pPr>
        <w:spacing w:line="240" w:lineRule="auto" w:before="2"/>
        <w:rPr>
          <w:rFonts w:ascii="宋体" w:hAnsi="宋体" w:cs="宋体" w:eastAsia="宋体" w:hint="default"/>
          <w:sz w:val="6"/>
          <w:szCs w:val="6"/>
        </w:rPr>
      </w:pPr>
    </w:p>
    <w:p>
      <w:pPr>
        <w:pStyle w:val="BodyText"/>
        <w:spacing w:line="240" w:lineRule="auto" w:before="35"/>
        <w:ind w:left="1134" w:right="0"/>
        <w:jc w:val="left"/>
      </w:pPr>
      <w:r>
        <w:rPr/>
        <w:t>期末单项金额重大并单项计提坏账准备的其他应收款：</w:t>
      </w:r>
    </w:p>
    <w:p>
      <w:pPr>
        <w:pStyle w:val="BodyText"/>
        <w:spacing w:line="362" w:lineRule="auto" w:before="164"/>
        <w:ind w:left="1134" w:right="59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组合中，按账龄分析法计提坏账准备的其他应收款：</w:t>
      </w:r>
    </w:p>
    <w:p>
      <w:pPr>
        <w:spacing w:after="0" w:line="362" w:lineRule="auto"/>
        <w:jc w:val="left"/>
        <w:sectPr>
          <w:pgSz w:w="11910" w:h="16840"/>
          <w:pgMar w:header="0" w:footer="979" w:top="1100" w:bottom="1160" w:left="0" w:right="0"/>
        </w:sectPr>
      </w:pPr>
    </w:p>
    <w:p>
      <w:pPr>
        <w:pStyle w:val="BodyText"/>
        <w:spacing w:line="240" w:lineRule="auto" w:before="58"/>
        <w:ind w:left="1134"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6"/>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after="0"/>
        <w:jc w:val="center"/>
        <w:rPr>
          <w:rFonts w:ascii="宋体" w:hAnsi="宋体" w:cs="宋体" w:eastAsia="宋体" w:hint="default"/>
          <w:sz w:val="18"/>
          <w:szCs w:val="18"/>
        </w:rPr>
        <w:sectPr>
          <w:type w:val="continuous"/>
          <w:pgSz w:w="11910" w:h="16840"/>
          <w:pgMar w:top="1100" w:bottom="1160" w:left="0" w:right="0"/>
          <w:cols w:num="2" w:equalWidth="0">
            <w:col w:w="2742" w:space="6088"/>
            <w:col w:w="3080"/>
          </w:cols>
        </w:sectPr>
      </w:pP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482"/>
        <w:gridCol w:w="2307"/>
        <w:gridCol w:w="2391"/>
        <w:gridCol w:w="2389"/>
      </w:tblGrid>
      <w:tr>
        <w:trPr>
          <w:trHeight w:val="323" w:hRule="exact"/>
        </w:trPr>
        <w:tc>
          <w:tcPr>
            <w:tcW w:w="2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482" w:type="dxa"/>
            <w:vMerge/>
            <w:tcBorders>
              <w:left w:val="single" w:sz="4" w:space="0" w:color="000000"/>
              <w:bottom w:val="single" w:sz="4" w:space="0" w:color="000000"/>
              <w:right w:val="single" w:sz="4" w:space="0" w:color="000000"/>
            </w:tcBorders>
            <w:shd w:val="clear" w:color="auto" w:fill="D2D2D2"/>
          </w:tcPr>
          <w:p>
            <w:pP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32,672,032.26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1,633,601.61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436,489.00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43,648.90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593,130.63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177,939.19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337,050.00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168,525.00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50.00%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165,798.00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132,638.40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80.00%</w:t>
            </w:r>
          </w:p>
        </w:tc>
      </w:tr>
      <w:tr>
        <w:trPr>
          <w:trHeight w:val="324"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144,340.40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144,340.40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2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34,348,840.29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2,300,693.50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1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264" w:lineRule="auto" w:before="38"/>
        <w:ind w:left="113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确定该组合依据的说明：</w:t>
      </w:r>
    </w:p>
    <w:p>
      <w:pPr>
        <w:spacing w:before="19"/>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38"/>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1"/>
          <w:szCs w:val="21"/>
        </w:rPr>
      </w:pPr>
    </w:p>
    <w:p>
      <w:pPr>
        <w:pStyle w:val="Heading3"/>
        <w:spacing w:line="240" w:lineRule="auto"/>
        <w:ind w:left="1133" w:right="0"/>
        <w:jc w:val="left"/>
        <w:rPr>
          <w:b w:val="0"/>
          <w:bCs w:val="0"/>
        </w:rPr>
      </w:pPr>
      <w:bookmarkStart w:name="（2）本期计提、收回或转回的坏账准备情况" w:id="408"/>
      <w:bookmarkEnd w:id="4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30"/>
          <w:szCs w:val="30"/>
        </w:rPr>
      </w:pPr>
    </w:p>
    <w:p>
      <w:pPr>
        <w:pStyle w:val="BodyText"/>
        <w:spacing w:line="362" w:lineRule="auto"/>
        <w:ind w:left="1134" w:right="6342"/>
        <w:jc w:val="left"/>
      </w:pPr>
      <w:r>
        <w:rPr/>
        <w:t>本期计提坏账准备金额</w:t>
      </w:r>
      <w:r>
        <w:rPr>
          <w:spacing w:val="-52"/>
        </w:rPr>
        <w:t> </w:t>
      </w:r>
      <w:r>
        <w:rPr>
          <w:rFonts w:ascii="Times New Roman" w:hAnsi="Times New Roman" w:cs="Times New Roman" w:eastAsia="Times New Roman" w:hint="default"/>
        </w:rPr>
        <w:t>1,698,225.00</w:t>
      </w:r>
      <w:r>
        <w:rPr>
          <w:rFonts w:ascii="Times New Roman" w:hAnsi="Times New Roman" w:cs="Times New Roman" w:eastAsia="Times New Roman" w:hint="default"/>
          <w:spacing w:val="-1"/>
        </w:rPr>
        <w:t> </w:t>
      </w:r>
      <w:r>
        <w:rPr/>
        <w:t>元。 其中本期坏账准备转回或收回金额重要的：无。</w:t>
      </w:r>
    </w:p>
    <w:p>
      <w:pPr>
        <w:spacing w:line="240" w:lineRule="auto" w:before="12"/>
        <w:rPr>
          <w:rFonts w:ascii="宋体" w:hAnsi="宋体" w:cs="宋体" w:eastAsia="宋体" w:hint="default"/>
          <w:sz w:val="15"/>
          <w:szCs w:val="15"/>
        </w:rPr>
      </w:pPr>
    </w:p>
    <w:p>
      <w:pPr>
        <w:pStyle w:val="Heading3"/>
        <w:spacing w:line="472" w:lineRule="auto"/>
        <w:ind w:right="7274"/>
        <w:jc w:val="left"/>
        <w:rPr>
          <w:rFonts w:ascii="宋体" w:hAnsi="宋体" w:cs="宋体" w:eastAsia="宋体" w:hint="default"/>
          <w:b w:val="0"/>
          <w:bCs w:val="0"/>
        </w:rPr>
      </w:pPr>
      <w:bookmarkStart w:name="（3）本期实际核销的其他应收款情况" w:id="409"/>
      <w:bookmarkEnd w:id="409"/>
      <w:r>
        <w:rPr>
          <w:b w:val="0"/>
          <w:bCs w:val="0"/>
        </w:rPr>
      </w:r>
      <w:r>
        <w:rPr/>
        <w:t>（</w:t>
      </w:r>
      <w:r>
        <w:rPr>
          <w:rFonts w:ascii="Times New Roman" w:hAnsi="Times New Roman" w:cs="Times New Roman" w:eastAsia="Times New Roman" w:hint="default"/>
        </w:rPr>
        <w:t>3</w:t>
      </w:r>
      <w:r>
        <w:rPr/>
        <w:t>）本期实际核销的其他应收款情况</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4）其他应收款按款项性质分类情况" w:id="410"/>
      <w:bookmarkEnd w:id="41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32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1,807,828.35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2,723,311.05</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11,011.94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203,394.21</w:t>
            </w:r>
          </w:p>
        </w:tc>
      </w:tr>
      <w:tr>
        <w:trPr>
          <w:trHeight w:val="32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代垫运杂费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32,530,000.00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14,489.00</w:t>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34,348,840.29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2,941,194.26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160" w:left="0" w:right="0"/>
        </w:sectPr>
      </w:pPr>
    </w:p>
    <w:p>
      <w:pPr>
        <w:spacing w:line="240" w:lineRule="auto" w:before="1"/>
        <w:rPr>
          <w:rFonts w:ascii="宋体" w:hAnsi="宋体" w:cs="宋体" w:eastAsia="宋体" w:hint="default"/>
          <w:sz w:val="19"/>
          <w:szCs w:val="19"/>
        </w:rPr>
      </w:pPr>
    </w:p>
    <w:p>
      <w:pPr>
        <w:pStyle w:val="Heading3"/>
        <w:spacing w:line="240" w:lineRule="auto" w:before="35"/>
        <w:ind w:left="1133" w:right="0"/>
        <w:jc w:val="left"/>
        <w:rPr>
          <w:b w:val="0"/>
          <w:bCs w:val="0"/>
        </w:rPr>
      </w:pPr>
      <w:bookmarkStart w:name="（5）按欠款方归集的期末余额前五名的其他应收款情况" w:id="411"/>
      <w:bookmarkEnd w:id="41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978"/>
        <w:gridCol w:w="1134"/>
        <w:gridCol w:w="1276"/>
        <w:gridCol w:w="953"/>
        <w:gridCol w:w="1614"/>
        <w:gridCol w:w="1615"/>
      </w:tblGrid>
      <w:tr>
        <w:trPr>
          <w:trHeight w:val="557"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9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87.34%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北京京穗蓝盾信息安全技术有限公司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32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557"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北京中关村软件园发展有限责任公司</w:t>
            </w:r>
          </w:p>
        </w:tc>
        <w:tc>
          <w:tcPr>
            <w:tcW w:w="1134"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202,569.53</w:t>
            </w:r>
          </w:p>
        </w:tc>
        <w:tc>
          <w:tcPr>
            <w:tcW w:w="953" w:type="dxa"/>
            <w:tcBorders>
              <w:top w:val="single" w:sz="4" w:space="0" w:color="000000"/>
              <w:left w:val="single" w:sz="4" w:space="0" w:color="000000"/>
              <w:bottom w:val="single" w:sz="9" w:space="0" w:color="D2D2D2"/>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60,770.86</w:t>
            </w:r>
          </w:p>
        </w:tc>
      </w:tr>
      <w:tr>
        <w:trPr>
          <w:trHeight w:val="32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32,682,569.53</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95.15%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1,684,770.86</w:t>
            </w:r>
          </w:p>
        </w:tc>
      </w:tr>
    </w:tbl>
    <w:p>
      <w:pPr>
        <w:spacing w:line="240" w:lineRule="auto" w:before="7"/>
        <w:rPr>
          <w:rFonts w:ascii="宋体" w:hAnsi="宋体" w:cs="宋体" w:eastAsia="宋体" w:hint="default"/>
          <w:sz w:val="17"/>
          <w:szCs w:val="17"/>
        </w:rPr>
      </w:pPr>
    </w:p>
    <w:p>
      <w:pPr>
        <w:pStyle w:val="Heading3"/>
        <w:spacing w:line="472" w:lineRule="auto" w:before="35"/>
        <w:ind w:right="7906"/>
        <w:jc w:val="left"/>
        <w:rPr>
          <w:rFonts w:ascii="宋体" w:hAnsi="宋体" w:cs="宋体" w:eastAsia="宋体" w:hint="default"/>
          <w:b w:val="0"/>
          <w:bCs w:val="0"/>
        </w:rPr>
      </w:pPr>
      <w:bookmarkStart w:name="（6）涉及政府补助的应收款项" w:id="412"/>
      <w:bookmarkEnd w:id="412"/>
      <w:r>
        <w:rPr>
          <w:b w:val="0"/>
          <w:bCs w:val="0"/>
        </w:rPr>
      </w:r>
      <w:r>
        <w:rPr/>
        <w:t>（</w:t>
      </w:r>
      <w:r>
        <w:rPr>
          <w:rFonts w:ascii="Times New Roman" w:hAnsi="Times New Roman" w:cs="Times New Roman" w:eastAsia="Times New Roman" w:hint="default"/>
        </w:rPr>
        <w:t>6</w:t>
      </w:r>
      <w:r>
        <w:rPr/>
        <w:t>）涉及政府补助的应收款项</w:t>
      </w:r>
      <w:r>
        <w:rPr>
          <w:w w:val="99"/>
        </w:rPr>
        <w:t> </w:t>
      </w:r>
      <w:r>
        <w:rPr>
          <w:rFonts w:ascii="宋体" w:hAnsi="宋体" w:cs="宋体" w:eastAsia="宋体" w:hint="default"/>
          <w:b w:val="0"/>
          <w:bCs w:val="0"/>
        </w:rPr>
        <w:t>无。</w:t>
      </w:r>
    </w:p>
    <w:p>
      <w:pPr>
        <w:pStyle w:val="Heading3"/>
        <w:spacing w:line="472" w:lineRule="auto" w:before="94"/>
        <w:ind w:right="6431"/>
        <w:jc w:val="left"/>
        <w:rPr>
          <w:rFonts w:ascii="宋体" w:hAnsi="宋体" w:cs="宋体" w:eastAsia="宋体" w:hint="default"/>
          <w:b w:val="0"/>
          <w:bCs w:val="0"/>
        </w:rPr>
      </w:pPr>
      <w:bookmarkStart w:name="（7）因金融资产转移而终止确认的其他应收款" w:id="413"/>
      <w:bookmarkEnd w:id="413"/>
      <w:r>
        <w:rPr>
          <w:b w:val="0"/>
          <w:bCs w:val="0"/>
        </w:rPr>
      </w: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3"/>
        <w:spacing w:line="472" w:lineRule="auto" w:before="94"/>
        <w:ind w:left="1133" w:right="5588"/>
        <w:jc w:val="left"/>
        <w:rPr>
          <w:rFonts w:ascii="宋体" w:hAnsi="宋体" w:cs="宋体" w:eastAsia="宋体" w:hint="default"/>
          <w:b w:val="0"/>
          <w:bCs w:val="0"/>
        </w:rPr>
      </w:pPr>
      <w:bookmarkStart w:name="（8）转移其他应收款且继续涉入形成的资产、负债金额" w:id="414"/>
      <w:bookmarkEnd w:id="414"/>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3、长期股权投资" w:id="415"/>
      <w:bookmarkEnd w:id="41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16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166,000,000.00</w:t>
            </w:r>
          </w:p>
        </w:tc>
      </w:tr>
      <w:tr>
        <w:trPr>
          <w:trHeight w:val="32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632,000,000.00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166,000,000.00</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1）对子公司投资" w:id="416"/>
      <w:bookmarkEnd w:id="41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694"/>
        <w:gridCol w:w="1276"/>
        <w:gridCol w:w="1276"/>
        <w:gridCol w:w="851"/>
        <w:gridCol w:w="1276"/>
        <w:gridCol w:w="1134"/>
        <w:gridCol w:w="1061"/>
      </w:tblGrid>
      <w:tr>
        <w:trPr>
          <w:trHeight w:val="556"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5" w:right="7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蓝盾信息安全技术有限公司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广东省蓝盾职业培训学院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广东蓝盾乐庚信息技术有限公司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广东蓝盾移动互联网信息科技有 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广东省南方信息技术研究院</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广州华炜科技有限公司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390,000,000.00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广东蓝盾投资管理有限公司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2694"/>
        <w:gridCol w:w="1276"/>
        <w:gridCol w:w="1276"/>
        <w:gridCol w:w="851"/>
        <w:gridCol w:w="1276"/>
        <w:gridCol w:w="1134"/>
        <w:gridCol w:w="1061"/>
      </w:tblGrid>
      <w:tr>
        <w:trPr>
          <w:trHeight w:val="557"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1"/>
              <w:jc w:val="left"/>
              <w:rPr>
                <w:rFonts w:ascii="宋体" w:hAnsi="宋体" w:cs="宋体" w:eastAsia="宋体" w:hint="default"/>
                <w:sz w:val="18"/>
                <w:szCs w:val="18"/>
              </w:rPr>
            </w:pPr>
            <w:r>
              <w:rPr>
                <w:rFonts w:ascii="宋体" w:hAnsi="宋体" w:cs="宋体" w:eastAsia="宋体" w:hint="default"/>
                <w:sz w:val="18"/>
                <w:szCs w:val="18"/>
              </w:rPr>
              <w:t>深圳中科蓝盾信息安全技术有限 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广东蓝盾新微安全科技有限公司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广西蓝盾信息安全技术有限公司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广州市奔特信息科技有限公司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Times New Roman" w:hAnsi="Times New Roman" w:cs="Times New Roman" w:eastAsia="Times New Roman" w:hint="default"/>
                <w:sz w:val="18"/>
                <w:szCs w:val="18"/>
              </w:rPr>
            </w:pPr>
            <w:r>
              <w:rPr>
                <w:rFonts w:ascii="Times New Roman"/>
                <w:sz w:val="18"/>
              </w:rPr>
              <w:t>166,000,000.00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466,000,000.00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472" w:lineRule="auto" w:before="35"/>
        <w:ind w:right="8117"/>
        <w:jc w:val="left"/>
        <w:rPr>
          <w:rFonts w:ascii="宋体" w:hAnsi="宋体" w:cs="宋体" w:eastAsia="宋体" w:hint="default"/>
          <w:b w:val="0"/>
          <w:bCs w:val="0"/>
        </w:rPr>
      </w:pPr>
      <w:bookmarkStart w:name="（2）对联营、合营企业投资" w:id="417"/>
      <w:bookmarkEnd w:id="417"/>
      <w:r>
        <w:rPr>
          <w:b w:val="0"/>
          <w:bCs w:val="0"/>
        </w:rPr>
      </w:r>
      <w:r>
        <w:rPr/>
        <w:t>（</w:t>
      </w:r>
      <w:r>
        <w:rPr>
          <w:rFonts w:ascii="Times New Roman" w:hAnsi="Times New Roman" w:cs="Times New Roman" w:eastAsia="Times New Roman" w:hint="default"/>
        </w:rPr>
        <w:t>2</w:t>
      </w:r>
      <w:r>
        <w:rPr/>
        <w:t>）对联营、合营企业投资</w:t>
      </w:r>
      <w:r>
        <w:rPr>
          <w:w w:val="99"/>
        </w:rPr>
        <w:t> </w:t>
      </w:r>
      <w:r>
        <w:rPr>
          <w:rFonts w:ascii="宋体" w:hAnsi="宋体" w:cs="宋体" w:eastAsia="宋体" w:hint="default"/>
          <w:b w:val="0"/>
          <w:bCs w:val="0"/>
        </w:rPr>
        <w:t>无。</w:t>
      </w:r>
    </w:p>
    <w:p>
      <w:pPr>
        <w:pStyle w:val="Heading3"/>
        <w:spacing w:line="472" w:lineRule="auto" w:before="94"/>
        <w:ind w:right="9382"/>
        <w:jc w:val="left"/>
        <w:rPr>
          <w:rFonts w:ascii="宋体" w:hAnsi="宋体" w:cs="宋体" w:eastAsia="宋体" w:hint="default"/>
          <w:b w:val="0"/>
          <w:bCs w:val="0"/>
        </w:rPr>
      </w:pPr>
      <w:bookmarkStart w:name="（3）其他说明" w:id="418"/>
      <w:bookmarkEnd w:id="418"/>
      <w:r>
        <w:rPr>
          <w:b w:val="0"/>
          <w:bCs w:val="0"/>
        </w:rPr>
      </w:r>
      <w:r>
        <w:rPr/>
        <w:t>（</w:t>
      </w:r>
      <w:r>
        <w:rPr>
          <w:rFonts w:ascii="Times New Roman" w:hAnsi="Times New Roman" w:cs="Times New Roman" w:eastAsia="Times New Roman" w:hint="default"/>
        </w:rPr>
        <w:t>3</w:t>
      </w:r>
      <w:r>
        <w:rPr/>
        <w:t>）其他说明</w:t>
      </w:r>
      <w:r>
        <w:rPr>
          <w:w w:val="99"/>
        </w:rPr>
        <w:t> </w:t>
      </w:r>
      <w:r>
        <w:rPr>
          <w:rFonts w:ascii="宋体" w:hAnsi="宋体" w:cs="宋体" w:eastAsia="宋体" w:hint="default"/>
          <w:b w:val="0"/>
          <w:bCs w:val="0"/>
        </w:rPr>
        <w:t>无。</w:t>
      </w:r>
    </w:p>
    <w:p>
      <w:pPr>
        <w:pStyle w:val="Heading3"/>
        <w:spacing w:line="240" w:lineRule="auto" w:before="94"/>
        <w:ind w:right="0"/>
        <w:jc w:val="left"/>
        <w:rPr>
          <w:b w:val="0"/>
          <w:bCs w:val="0"/>
        </w:rPr>
      </w:pPr>
      <w:bookmarkStart w:name="4、营业收入和营业成本" w:id="419"/>
      <w:bookmarkEnd w:id="41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16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7"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275,602,318.45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133,212,222.19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312,561,846.51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173,931,505.59</w:t>
            </w:r>
          </w:p>
        </w:tc>
      </w:tr>
      <w:tr>
        <w:trPr>
          <w:trHeight w:val="32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964,448.10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443,910.06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276,566,766.55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133,656,132.25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312,561,846.51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173,931,505.59</w:t>
            </w:r>
          </w:p>
        </w:tc>
      </w:tr>
    </w:tbl>
    <w:p>
      <w:pPr>
        <w:spacing w:line="240" w:lineRule="auto" w:before="7"/>
        <w:rPr>
          <w:rFonts w:ascii="宋体" w:hAnsi="宋体" w:cs="宋体" w:eastAsia="宋体" w:hint="default"/>
          <w:sz w:val="17"/>
          <w:szCs w:val="17"/>
        </w:rPr>
      </w:pPr>
    </w:p>
    <w:p>
      <w:pPr>
        <w:spacing w:line="482" w:lineRule="auto" w:before="35"/>
        <w:ind w:left="1134" w:right="9611" w:firstLine="0"/>
        <w:jc w:val="left"/>
        <w:rPr>
          <w:rFonts w:ascii="宋体" w:hAnsi="宋体" w:cs="宋体" w:eastAsia="宋体" w:hint="default"/>
          <w:sz w:val="21"/>
          <w:szCs w:val="21"/>
        </w:rPr>
      </w:pPr>
      <w:bookmarkStart w:name="5、投资收益" w:id="420"/>
      <w:bookmarkEnd w:id="42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b/>
          <w:bCs/>
          <w:w w:val="99"/>
          <w:sz w:val="21"/>
          <w:szCs w:val="21"/>
        </w:rPr>
        <w:t> </w:t>
      </w:r>
      <w:r>
        <w:rPr>
          <w:rFonts w:ascii="宋体" w:hAnsi="宋体" w:cs="宋体" w:eastAsia="宋体" w:hint="default"/>
          <w:sz w:val="21"/>
          <w:szCs w:val="21"/>
        </w:rPr>
        <w:t>无。 </w:t>
      </w:r>
      <w:bookmarkStart w:name="6、其他" w:id="421"/>
      <w:bookmarkEnd w:id="421"/>
      <w:r>
        <w:rPr>
          <w:rFonts w:ascii="宋体" w:hAnsi="宋体" w:cs="宋体" w:eastAsia="宋体" w:hint="default"/>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2"/>
        <w:spacing w:line="240" w:lineRule="auto" w:before="80"/>
        <w:ind w:left="1134" w:right="0"/>
        <w:jc w:val="left"/>
        <w:rPr>
          <w:b w:val="0"/>
          <w:bCs w:val="0"/>
        </w:rPr>
      </w:pPr>
      <w:bookmarkStart w:name="十六、补充资料" w:id="422"/>
      <w:bookmarkEnd w:id="422"/>
      <w:r>
        <w:rPr>
          <w:b w:val="0"/>
          <w:bCs w:val="0"/>
        </w:rPr>
      </w:r>
      <w:r>
        <w:rPr/>
        <w:t>十六、补充资料</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3" w:right="0"/>
        <w:jc w:val="left"/>
        <w:rPr>
          <w:b w:val="0"/>
          <w:bCs w:val="0"/>
        </w:rPr>
      </w:pPr>
      <w:bookmarkStart w:name="1、当期非经常性损益明细表" w:id="423"/>
      <w:bookmarkEnd w:id="42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18"/>
          <w:szCs w:val="18"/>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2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40" w:type="dxa"/>
        <w:tblLayout w:type="fixed"/>
        <w:tblCellMar>
          <w:top w:w="0" w:type="dxa"/>
          <w:left w:w="0" w:type="dxa"/>
          <w:bottom w:w="0" w:type="dxa"/>
          <w:right w:w="0" w:type="dxa"/>
        </w:tblCellMar>
        <w:tblLook w:val="01E0"/>
      </w:tblPr>
      <w:tblGrid>
        <w:gridCol w:w="4656"/>
        <w:gridCol w:w="2706"/>
        <w:gridCol w:w="2197"/>
      </w:tblGrid>
      <w:tr>
        <w:trPr>
          <w:trHeight w:val="32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-399.94</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统一标准定额或定量享受的政府补助除外）</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20,851,379.35</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-1,559,552.88</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499,042.25</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2,894,672.67</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128,330.83</w:t>
            </w: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126" w:type="dxa"/>
        <w:tblLayout w:type="fixed"/>
        <w:tblCellMar>
          <w:top w:w="0" w:type="dxa"/>
          <w:left w:w="0" w:type="dxa"/>
          <w:bottom w:w="0" w:type="dxa"/>
          <w:right w:w="0" w:type="dxa"/>
        </w:tblCellMar>
        <w:tblLook w:val="01E0"/>
      </w:tblPr>
      <w:tblGrid>
        <w:gridCol w:w="4681"/>
        <w:gridCol w:w="2706"/>
        <w:gridCol w:w="2174"/>
      </w:tblGrid>
      <w:tr>
        <w:trPr>
          <w:trHeight w:val="324"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49"/>
              <w:ind w:left="1627" w:right="0"/>
              <w:jc w:val="left"/>
              <w:rPr>
                <w:rFonts w:ascii="Times New Roman" w:hAnsi="Times New Roman" w:cs="Times New Roman" w:eastAsia="Times New Roman" w:hint="default"/>
                <w:sz w:val="18"/>
                <w:szCs w:val="18"/>
              </w:rPr>
            </w:pPr>
            <w:r>
              <w:rPr>
                <w:rFonts w:ascii="Times New Roman"/>
                <w:sz w:val="18"/>
              </w:rPr>
              <w:t>16,767,465.28</w:t>
            </w:r>
          </w:p>
        </w:tc>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6"/>
          <w:szCs w:val="6"/>
        </w:rPr>
      </w:pPr>
    </w:p>
    <w:p>
      <w:pPr>
        <w:pStyle w:val="BodyText"/>
        <w:spacing w:line="240" w:lineRule="auto" w:before="35"/>
        <w:ind w:left="1134"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非经常性损益》定义界定的非经常性损</w:t>
      </w:r>
    </w:p>
    <w:p>
      <w:pPr>
        <w:pStyle w:val="BodyText"/>
        <w:spacing w:line="331" w:lineRule="auto" w:before="110"/>
        <w:ind w:right="1116"/>
        <w:jc w:val="left"/>
      </w:pPr>
      <w:r>
        <w:rPr/>
        <w:t>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pStyle w:val="BodyText"/>
        <w:spacing w:line="240" w:lineRule="auto" w:before="85"/>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4"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增值税退税补贴</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7" w:right="0"/>
              <w:jc w:val="left"/>
              <w:rPr>
                <w:rFonts w:ascii="Times New Roman" w:hAnsi="Times New Roman" w:cs="Times New Roman" w:eastAsia="Times New Roman" w:hint="default"/>
                <w:sz w:val="18"/>
                <w:szCs w:val="18"/>
              </w:rPr>
            </w:pPr>
            <w:r>
              <w:rPr>
                <w:rFonts w:ascii="Times New Roman"/>
                <w:sz w:val="18"/>
              </w:rPr>
              <w:t>11,470,329.14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91"/>
              <w:jc w:val="both"/>
              <w:rPr>
                <w:rFonts w:ascii="宋体" w:hAnsi="宋体" w:cs="宋体" w:eastAsia="宋体" w:hint="default"/>
                <w:sz w:val="18"/>
                <w:szCs w:val="18"/>
              </w:rPr>
            </w:pPr>
            <w:r>
              <w:rPr>
                <w:rFonts w:ascii="宋体" w:hAnsi="宋体" w:cs="宋体" w:eastAsia="宋体" w:hint="default"/>
                <w:sz w:val="18"/>
                <w:szCs w:val="18"/>
              </w:rPr>
              <w:t>依据国家对软件行业的总体政策导向， 预期软件增值税退税的税收优惠政策将 在较长时期内保持稳定，故定义为经常 性损益。</w:t>
            </w:r>
          </w:p>
        </w:tc>
      </w:tr>
    </w:tbl>
    <w:p>
      <w:pPr>
        <w:spacing w:line="240" w:lineRule="auto" w:before="7"/>
        <w:rPr>
          <w:rFonts w:ascii="宋体" w:hAnsi="宋体" w:cs="宋体" w:eastAsia="宋体" w:hint="default"/>
          <w:sz w:val="17"/>
          <w:szCs w:val="17"/>
        </w:rPr>
      </w:pPr>
    </w:p>
    <w:p>
      <w:pPr>
        <w:pStyle w:val="Heading3"/>
        <w:spacing w:line="240" w:lineRule="auto" w:before="35"/>
        <w:ind w:right="0"/>
        <w:jc w:val="left"/>
        <w:rPr>
          <w:b w:val="0"/>
          <w:bCs w:val="0"/>
        </w:rPr>
      </w:pPr>
      <w:bookmarkStart w:name="2、净资产收益率及每股收益" w:id="424"/>
      <w:bookmarkEnd w:id="42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24"/>
          <w:szCs w:val="24"/>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16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7"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2"/>
                <w:sz w:val="18"/>
              </w:rPr>
              <w:t>11.89%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0.13</w:t>
            </w:r>
          </w:p>
        </w:tc>
      </w:tr>
      <w:tr>
        <w:trPr>
          <w:trHeight w:val="557"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7"/>
        <w:rPr>
          <w:rFonts w:ascii="宋体" w:hAnsi="宋体" w:cs="宋体" w:eastAsia="宋体" w:hint="default"/>
          <w:b/>
          <w:bCs/>
          <w:sz w:val="17"/>
          <w:szCs w:val="17"/>
        </w:rPr>
      </w:pPr>
    </w:p>
    <w:p>
      <w:pPr>
        <w:pStyle w:val="Heading3"/>
        <w:spacing w:line="240" w:lineRule="auto" w:before="35"/>
        <w:ind w:right="0"/>
        <w:jc w:val="left"/>
        <w:rPr>
          <w:b w:val="0"/>
          <w:bCs w:val="0"/>
        </w:rPr>
      </w:pPr>
      <w:bookmarkStart w:name="3、境内外会计准则下会计数据差异" w:id="425"/>
      <w:bookmarkEnd w:id="42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left"/>
        <w:rPr>
          <w:b w:val="0"/>
          <w:bCs w:val="0"/>
        </w:rPr>
      </w:pPr>
      <w:bookmarkStart w:name="（1）同时按照国际会计准则与按中国会计准则披露的财务报告中净利润和净资产差异情况" w:id="426"/>
      <w:bookmarkEnd w:id="42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中国会计准则披露的财务报告中净利润和净资产差异情况" w:id="427"/>
      <w:bookmarkEnd w:id="42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1"/>
          <w:szCs w:val="21"/>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3"/>
          <w:szCs w:val="23"/>
        </w:rPr>
      </w:pPr>
    </w:p>
    <w:p>
      <w:pPr>
        <w:pStyle w:val="Heading3"/>
        <w:spacing w:line="274" w:lineRule="exact"/>
        <w:ind w:right="0"/>
        <w:jc w:val="left"/>
        <w:rPr>
          <w:b w:val="0"/>
          <w:bCs w:val="0"/>
        </w:rPr>
      </w:pPr>
      <w:bookmarkStart w:name="（3）境内外会计准则下会计数据差异原因说明，对已经境外审计机构审计的数据进行差异" w:id="428"/>
      <w:bookmarkEnd w:id="42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11"/>
        <w:rPr>
          <w:rFonts w:ascii="宋体" w:hAnsi="宋体" w:cs="宋体" w:eastAsia="宋体" w:hint="default"/>
          <w:b/>
          <w:bCs/>
          <w:sz w:val="20"/>
          <w:szCs w:val="20"/>
        </w:rPr>
      </w:pPr>
    </w:p>
    <w:p>
      <w:pPr>
        <w:spacing w:line="487" w:lineRule="auto" w:before="0"/>
        <w:ind w:left="1134" w:right="10014" w:firstLine="0"/>
        <w:jc w:val="left"/>
        <w:rPr>
          <w:rFonts w:ascii="宋体" w:hAnsi="宋体" w:cs="宋体" w:eastAsia="宋体" w:hint="default"/>
          <w:sz w:val="21"/>
          <w:szCs w:val="21"/>
        </w:rPr>
      </w:pPr>
      <w:r>
        <w:rPr>
          <w:rFonts w:ascii="宋体" w:hAnsi="宋体" w:cs="宋体" w:eastAsia="宋体" w:hint="default"/>
          <w:sz w:val="21"/>
          <w:szCs w:val="21"/>
        </w:rPr>
        <w:t>无。 </w:t>
      </w:r>
      <w:bookmarkStart w:name="4、其他" w:id="429"/>
      <w:bookmarkEnd w:id="429"/>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after="0" w:line="487" w:lineRule="auto"/>
        <w:jc w:val="left"/>
        <w:rPr>
          <w:rFonts w:ascii="宋体" w:hAnsi="宋体" w:cs="宋体" w:eastAsia="宋体" w:hint="default"/>
          <w:sz w:val="21"/>
          <w:szCs w:val="21"/>
        </w:rPr>
        <w:sectPr>
          <w:pgSz w:w="11910" w:h="16840"/>
          <w:pgMar w:header="0" w:footer="979" w:top="1100" w:bottom="1160" w:left="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1"/>
        <w:spacing w:line="240" w:lineRule="auto"/>
        <w:ind w:right="1536"/>
        <w:jc w:val="center"/>
        <w:rPr>
          <w:b w:val="0"/>
          <w:bCs w:val="0"/>
        </w:rPr>
      </w:pPr>
      <w:bookmarkStart w:name="第十一节 备查文件目录" w:id="430"/>
      <w:bookmarkEnd w:id="430"/>
      <w:r>
        <w:rPr>
          <w:b w:val="0"/>
          <w:bCs w:val="0"/>
        </w:rPr>
      </w:r>
      <w:bookmarkStart w:name="_bookmark10" w:id="431"/>
      <w:bookmarkEnd w:id="431"/>
      <w:r>
        <w:rPr>
          <w:b w:val="0"/>
          <w:bCs w:val="0"/>
        </w:rPr>
      </w:r>
      <w:r>
        <w:rPr/>
        <w:t>第十一节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47"/>
          <w:szCs w:val="47"/>
        </w:rPr>
      </w:pPr>
    </w:p>
    <w:p>
      <w:pPr>
        <w:pStyle w:val="BodyText"/>
        <w:spacing w:line="350" w:lineRule="auto"/>
        <w:ind w:right="0" w:firstLine="420"/>
        <w:jc w:val="left"/>
      </w:pPr>
      <w:r>
        <w:rPr>
          <w:spacing w:val="-1"/>
        </w:rPr>
        <w:t>一、载有公司法定代表人、主管会计工作负责人、公司会计机构负责人（会计主管人员）签名并盖章</w:t>
      </w:r>
      <w:r>
        <w:rPr/>
        <w:t> 的财务报表。</w:t>
      </w:r>
    </w:p>
    <w:p>
      <w:pPr>
        <w:pStyle w:val="BodyText"/>
        <w:spacing w:line="350" w:lineRule="auto" w:before="28"/>
        <w:ind w:left="1553" w:right="2143"/>
        <w:jc w:val="left"/>
      </w:pPr>
      <w:r>
        <w:rPr/>
        <w:t>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2015</w:t>
      </w:r>
      <w:r>
        <w:rPr/>
        <w:t>年年度报告文本原件。</w:t>
      </w:r>
    </w:p>
    <w:p>
      <w:pPr>
        <w:pStyle w:val="BodyText"/>
        <w:spacing w:line="698" w:lineRule="auto" w:before="2"/>
        <w:ind w:left="1553" w:right="6763"/>
        <w:jc w:val="left"/>
      </w:pPr>
      <w:r>
        <w:rPr/>
        <w:t>五、其他相关资料。 以上备查文件的备置地点：公司证券部</w:t>
      </w:r>
    </w:p>
    <w:sectPr>
      <w:pgSz w:w="11910" w:h="16840"/>
      <w:pgMar w:header="0"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920" type="#_x0000_t75" stroked="false">
          <v:imagedata r:id="rId1" o:title=""/>
        </v:shape>
      </w:pict>
    </w:r>
    <w:r>
      <w:rPr/>
      <w:pict>
        <v:shape style="position:absolute;margin-left:532.179993pt;margin-top:781.957947pt;width:8.5pt;height:11pt;mso-position-horizontal-relative:page;mso-position-vertical-relative:page;z-index:-860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440" type="#_x0000_t75" stroked="false">
          <v:imagedata r:id="rId1" o:title=""/>
        </v:shape>
      </w:pict>
    </w:r>
    <w:r>
      <w:rPr/>
      <w:pict>
        <v:shape style="position:absolute;margin-left:527.679993pt;margin-top:781.957947pt;width:13pt;height:11pt;mso-position-horizontal-relative:page;mso-position-vertical-relative:page;z-index:-860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392" type="#_x0000_t75" stroked="false">
          <v:imagedata r:id="rId1" o:title=""/>
        </v:shape>
      </w:pict>
    </w:r>
    <w:r>
      <w:rPr/>
      <w:pict>
        <v:shape style="position:absolute;margin-left:524.179993pt;margin-top:781.957947pt;width:15.5pt;height:11pt;mso-position-horizontal-relative:page;mso-position-vertical-relative:page;z-index:-860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344" type="#_x0000_t75" stroked="false">
          <v:imagedata r:id="rId1" o:title=""/>
        </v:shape>
      </w:pict>
    </w:r>
    <w:r>
      <w:rPr/>
      <w:pict>
        <v:shape style="position:absolute;margin-left:523.179993pt;margin-top:781.957947pt;width:17.5pt;height:11pt;mso-position-horizontal-relative:page;mso-position-vertical-relative:page;z-index:-860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296" type="#_x0000_t75" stroked="false">
          <v:imagedata r:id="rId1" o:title=""/>
        </v:shape>
      </w:pict>
    </w:r>
    <w:r>
      <w:rPr/>
      <w:pict>
        <v:shape style="position:absolute;margin-left:523.179993pt;margin-top:781.957947pt;width:17.5pt;height:11pt;mso-position-horizontal-relative:page;mso-position-vertical-relative:page;z-index:-860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248" type="#_x0000_t75" stroked="false">
          <v:imagedata r:id="rId1" o:title=""/>
        </v:shape>
      </w:pict>
    </w:r>
    <w:r>
      <w:rPr/>
      <w:pict>
        <v:shape style="position:absolute;margin-left:523.179993pt;margin-top:781.957947pt;width:17.5pt;height:11pt;mso-position-horizontal-relative:page;mso-position-vertical-relative:page;z-index:-860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872" type="#_x0000_t75" stroked="false">
          <v:imagedata r:id="rId1" o:title=""/>
        </v:shape>
      </w:pict>
    </w:r>
    <w:r>
      <w:rPr/>
      <w:pict>
        <v:shape style="position:absolute;margin-left:527.679993pt;margin-top:781.957947pt;width:13pt;height:11pt;mso-position-horizontal-relative:page;mso-position-vertical-relative:page;z-index:-860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824" type="#_x0000_t75" stroked="false">
          <v:imagedata r:id="rId1" o:title=""/>
        </v:shape>
      </w:pict>
    </w:r>
    <w:r>
      <w:rPr/>
      <w:pict>
        <v:shape style="position:absolute;margin-left:527.679993pt;margin-top:781.957947pt;width:13pt;height:11pt;mso-position-horizontal-relative:page;mso-position-vertical-relative:page;z-index:-860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60752" type="#_x0000_t75" stroked="false">
          <v:imagedata r:id="rId1" o:title=""/>
        </v:shape>
      </w:pict>
    </w:r>
    <w:r>
      <w:rPr/>
      <w:pict>
        <v:shape style="position:absolute;margin-left:758.97998pt;margin-top:535.357971pt;width:13pt;height:11pt;mso-position-horizontal-relative:page;mso-position-vertical-relative:page;z-index:-860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656" type="#_x0000_t75" stroked="false">
          <v:imagedata r:id="rId1" o:title=""/>
        </v:shape>
      </w:pict>
    </w:r>
    <w:r>
      <w:rPr/>
      <w:pict>
        <v:shape style="position:absolute;margin-left:527.679993pt;margin-top:781.957947pt;width:13pt;height:11pt;mso-position-horizontal-relative:page;mso-position-vertical-relative:page;z-index:-860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0608" type="#_x0000_t75" stroked="false">
          <v:imagedata r:id="rId1" o:title=""/>
        </v:shape>
      </w:pict>
    </w:r>
    <w:r>
      <w:rPr/>
      <w:pict>
        <v:shape style="position:absolute;margin-left:527.679993pt;margin-top:781.957947pt;width:13pt;height:11pt;mso-position-horizontal-relative:page;mso-position-vertical-relative:page;z-index:-860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60536" type="#_x0000_t75" stroked="false">
          <v:imagedata r:id="rId1" o:title=""/>
        </v:shape>
      </w:pict>
    </w:r>
    <w:r>
      <w:rPr/>
      <w:pict>
        <v:shape style="position:absolute;margin-left:758.97998pt;margin-top:535.357971pt;width:13pt;height:11pt;mso-position-horizontal-relative:page;mso-position-vertical-relative:page;z-index:-860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6096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44.160004pt;margin-top:42.865608pt;width:195.55pt;height:11.5pt;mso-position-horizontal-relative:page;mso-position-vertical-relative:page;z-index:-860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55pt;height:11.5pt;mso-position-horizontal-relative:page;mso-position-vertical-relative:page;z-index:-860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6070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160004pt;margin-top:42.865608pt;width:195.55pt;height:11.5pt;mso-position-horizontal-relative:page;mso-position-vertical-relative:page;z-index:-860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60022pt;margin-top:42.865631pt;width:195.55pt;height:11.5pt;mso-position-horizontal-relative:page;mso-position-vertical-relative:page;z-index:-8605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86048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160004pt;margin-top:42.865608pt;width:195.55pt;height:11.5pt;mso-position-horizontal-relative:page;mso-position-vertical-relative:page;z-index:-860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蓝盾信息安全技术股份有限公司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8"/>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153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luedon.com/" TargetMode="External"/><Relationship Id="rId10" Type="http://schemas.openxmlformats.org/officeDocument/2006/relationships/hyperlink" Target="mailto:stock@chinabluedon.cn" TargetMode="External"/><Relationship Id="rId11" Type="http://schemas.openxmlformats.org/officeDocument/2006/relationships/hyperlink" Target="mailto:lee_bluedon@163.com" TargetMode="External"/><Relationship Id="rId12" Type="http://schemas.openxmlformats.org/officeDocument/2006/relationships/hyperlink" Target="mailto:weiyy@chinabluedon.cn" TargetMode="External"/><Relationship Id="rId13" Type="http://schemas.openxmlformats.org/officeDocument/2006/relationships/hyperlink" Target="http://www.cninfo.com.cn/" TargetMode="External"/><Relationship Id="rId14" Type="http://schemas.openxmlformats.org/officeDocument/2006/relationships/hyperlink" Target="http://chinext.cninfo/" TargetMode="Externa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footer" Target="footer4.xml"/><Relationship Id="rId19" Type="http://schemas.openxmlformats.org/officeDocument/2006/relationships/hyperlink" Target="http://irm.cninfo.com.cn/ssessgs/S300297/index.html" TargetMode="External"/><Relationship Id="rId20" Type="http://schemas.openxmlformats.org/officeDocument/2006/relationships/header" Target="header3.xml"/><Relationship Id="rId21" Type="http://schemas.openxmlformats.org/officeDocument/2006/relationships/footer" Target="footer5.xml"/><Relationship Id="rId22" Type="http://schemas.openxmlformats.org/officeDocument/2006/relationships/header" Target="header4.xml"/><Relationship Id="rId23" Type="http://schemas.openxmlformats.org/officeDocument/2006/relationships/footer" Target="footer6.xml"/><Relationship Id="rId24" Type="http://schemas.openxmlformats.org/officeDocument/2006/relationships/header" Target="header5.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image" Target="media/image4.png"/><Relationship Id="rId28" Type="http://schemas.openxmlformats.org/officeDocument/2006/relationships/header" Target="header6.xml"/><Relationship Id="rId29" Type="http://schemas.openxmlformats.org/officeDocument/2006/relationships/footer" Target="footer9.xml"/><Relationship Id="rId30" Type="http://schemas.openxmlformats.org/officeDocument/2006/relationships/header" Target="header7.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footer" Target="footer12.xml"/><Relationship Id="rId34" Type="http://schemas.openxmlformats.org/officeDocument/2006/relationships/header" Target="header8.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9.xml"/><Relationship Id="rId38" Type="http://schemas.openxmlformats.org/officeDocument/2006/relationships/footer" Target="footer15.xml"/><Relationship Id="rId39" Type="http://schemas.openxmlformats.org/officeDocument/2006/relationships/footer" Target="footer1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蓝盾信息安全技术股份有限公司</dc:creator>
  <dc:title>蓝盾信息安全技术股份有限公司2015年年度报告</dc:title>
  <dcterms:created xsi:type="dcterms:W3CDTF">2020-05-04T16:33:47Z</dcterms:created>
  <dcterms:modified xsi:type="dcterms:W3CDTF">2020-05-04T16:33:47Z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