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spacing w:line="1605" w:lineRule="exact"/>
        <w:ind w:left="22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4664262" cy="101955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664262" cy="1019555"/>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0"/>
        <w:rPr>
          <w:rFonts w:ascii="Times New Roman" w:hAnsi="Times New Roman" w:cs="Times New Roman" w:eastAsia="Times New Roman" w:hint="default"/>
          <w:sz w:val="20"/>
          <w:szCs w:val="20"/>
        </w:rPr>
      </w:pPr>
    </w:p>
    <w:p>
      <w:pPr>
        <w:spacing w:before="129"/>
        <w:ind w:left="1535" w:right="1535" w:firstLine="0"/>
        <w:jc w:val="center"/>
        <w:rPr>
          <w:rFonts w:ascii="宋体" w:hAnsi="宋体" w:cs="宋体" w:eastAsia="宋体" w:hint="default"/>
          <w:sz w:val="36"/>
          <w:szCs w:val="36"/>
        </w:rPr>
      </w:pPr>
      <w:r>
        <w:rPr>
          <w:rFonts w:ascii="宋体" w:hAnsi="宋体" w:cs="宋体" w:eastAsia="宋体" w:hint="default"/>
          <w:b/>
          <w:bCs/>
          <w:sz w:val="36"/>
          <w:szCs w:val="36"/>
        </w:rPr>
        <w:t>蓝盾信息安全技术股份有限公司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44"/>
          <w:szCs w:val="44"/>
        </w:rPr>
      </w:pPr>
    </w:p>
    <w:p>
      <w:pPr>
        <w:spacing w:before="0"/>
        <w:ind w:left="1535" w:right="1536" w:firstLine="0"/>
        <w:jc w:val="center"/>
        <w:rPr>
          <w:rFonts w:ascii="宋体" w:hAnsi="宋体" w:cs="宋体" w:eastAsia="宋体" w:hint="default"/>
          <w:sz w:val="32"/>
          <w:szCs w:val="32"/>
        </w:rPr>
      </w:pPr>
      <w:bookmarkStart w:name="2017年年度报告" w:id="1"/>
      <w:bookmarkEnd w:id="1"/>
      <w:r>
        <w:rPr/>
      </w: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35"/>
          <w:szCs w:val="35"/>
        </w:rPr>
      </w:pPr>
    </w:p>
    <w:p>
      <w:pPr>
        <w:spacing w:before="0"/>
        <w:ind w:left="1535" w:right="15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77" w:footer="979" w:top="1100" w:bottom="1160" w:left="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3785" w:right="0"/>
        <w:jc w:val="left"/>
        <w:rPr>
          <w:b w:val="0"/>
          <w:bCs w:val="0"/>
        </w:rPr>
      </w:pPr>
      <w:bookmarkStart w:name="第一节 重要提示、目录和释义" w:id="2"/>
      <w:bookmarkEnd w:id="2"/>
      <w:r>
        <w:rPr>
          <w:b w:val="0"/>
          <w:bCs w:val="0"/>
        </w:rPr>
      </w:r>
      <w:bookmarkStart w:name="_bookmark0" w:id="3"/>
      <w:bookmarkEnd w:id="3"/>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225" w:firstLine="551"/>
        <w:jc w:val="both"/>
        <w:rPr>
          <w:rFonts w:ascii="宋体" w:hAnsi="宋体" w:cs="宋体" w:eastAsia="宋体" w:hint="default"/>
          <w:sz w:val="28"/>
          <w:szCs w:val="28"/>
        </w:rPr>
      </w:pPr>
      <w:r>
        <w:rPr>
          <w:rFonts w:ascii="宋体" w:hAnsi="宋体" w:cs="宋体" w:eastAsia="宋体" w:hint="default"/>
          <w:b/>
          <w:bCs/>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w w:val="95"/>
          <w:sz w:val="28"/>
          <w:szCs w:val="28"/>
        </w:rPr>
        <w:t>真实、准确、完整，不存在虚假记载、误导性陈述或重大遗漏，并承担个别和</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公司负责人柯宗贵、主管会计工作负责人魏树华及会计机构负责人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景丽声明：保证年度报告中财务报告的真实、准确、完整。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本公司请投资者认真阅读本年度报告全文，并特别注意下列风险因素。公</w:t>
      </w:r>
      <w:r>
        <w:rPr>
          <w:rFonts w:ascii="宋体" w:hAnsi="宋体" w:cs="宋体" w:eastAsia="宋体" w:hint="default"/>
          <w:spacing w:val="3"/>
          <w:sz w:val="28"/>
          <w:szCs w:val="28"/>
        </w:rPr>
      </w:r>
    </w:p>
    <w:p>
      <w:pPr>
        <w:spacing w:line="408" w:lineRule="auto" w:before="0"/>
        <w:ind w:left="1133" w:right="113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司存在投资并购及管理风险、固定资产折旧、无形资产摊销、限制性股票费用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摊销给公司经营业绩造成的风险、技术失密和核心技术人员流失的风险、技术</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pacing w:val="3"/>
          <w:w w:val="95"/>
          <w:sz w:val="28"/>
          <w:szCs w:val="28"/>
        </w:rPr>
        <w:t>开发和升级滞后的风险、应收账款风险、人力成本上升的风险等风险。详细内</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9"/>
          <w:sz w:val="28"/>
          <w:szCs w:val="28"/>
        </w:rPr>
        <w:t>容见本报告“第四节</w:t>
      </w:r>
      <w:r>
        <w:rPr>
          <w:rFonts w:ascii="宋体" w:hAnsi="宋体" w:cs="宋体" w:eastAsia="宋体" w:hint="default"/>
          <w:b/>
          <w:bCs/>
          <w:spacing w:val="17"/>
          <w:w w:val="99"/>
          <w:sz w:val="28"/>
          <w:szCs w:val="28"/>
        </w:rPr>
        <w:t> </w:t>
      </w:r>
      <w:r>
        <w:rPr>
          <w:rFonts w:ascii="宋体" w:hAnsi="宋体" w:cs="宋体" w:eastAsia="宋体" w:hint="default"/>
          <w:b/>
          <w:bCs/>
          <w:spacing w:val="-3"/>
          <w:w w:val="99"/>
          <w:sz w:val="28"/>
          <w:szCs w:val="28"/>
        </w:rPr>
        <w:t>经营情况讨论与分析之九、（三）影响公司发展的主要风</w:t>
      </w:r>
      <w:r>
        <w:rPr>
          <w:rFonts w:ascii="宋体" w:hAnsi="宋体" w:cs="宋体" w:eastAsia="宋体" w:hint="default"/>
          <w:b/>
          <w:bCs/>
          <w:w w:val="99"/>
          <w:sz w:val="28"/>
          <w:szCs w:val="28"/>
        </w:rPr>
        <w:t> </w:t>
      </w:r>
      <w:r>
        <w:rPr>
          <w:rFonts w:ascii="宋体" w:hAnsi="宋体" w:cs="宋体" w:eastAsia="宋体" w:hint="default"/>
          <w:b/>
          <w:bCs/>
          <w:spacing w:val="-23"/>
          <w:w w:val="99"/>
          <w:sz w:val="28"/>
          <w:szCs w:val="28"/>
        </w:rPr>
        <w:t>险及对策”。</w:t>
      </w:r>
      <w:r>
        <w:rPr>
          <w:rFonts w:ascii="宋体" w:hAnsi="宋体" w:cs="宋体" w:eastAsia="宋体" w:hint="default"/>
          <w:spacing w:val="-23"/>
          <w:sz w:val="28"/>
          <w:szCs w:val="28"/>
        </w:rPr>
      </w:r>
    </w:p>
    <w:p>
      <w:pPr>
        <w:spacing w:before="161"/>
        <w:ind w:left="1695"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公司经</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次董事</w:t>
      </w:r>
      <w:r>
        <w:rPr>
          <w:rFonts w:ascii="宋体" w:hAnsi="宋体" w:cs="宋体" w:eastAsia="宋体" w:hint="default"/>
          <w:b/>
          <w:bCs/>
          <w:spacing w:val="2"/>
          <w:w w:val="99"/>
          <w:sz w:val="28"/>
          <w:szCs w:val="28"/>
        </w:rPr>
        <w:t>会</w:t>
      </w:r>
      <w:r>
        <w:rPr>
          <w:rFonts w:ascii="宋体" w:hAnsi="宋体" w:cs="宋体" w:eastAsia="宋体" w:hint="default"/>
          <w:b/>
          <w:bCs/>
          <w:w w:val="99"/>
          <w:sz w:val="28"/>
          <w:szCs w:val="28"/>
        </w:rPr>
        <w:t>审议通</w:t>
      </w:r>
      <w:r>
        <w:rPr>
          <w:rFonts w:ascii="宋体" w:hAnsi="宋体" w:cs="宋体" w:eastAsia="宋体" w:hint="default"/>
          <w:b/>
          <w:bCs/>
          <w:spacing w:val="2"/>
          <w:w w:val="99"/>
          <w:sz w:val="28"/>
          <w:szCs w:val="28"/>
        </w:rPr>
        <w:t>过</w:t>
      </w:r>
      <w:r>
        <w:rPr>
          <w:rFonts w:ascii="宋体" w:hAnsi="宋体" w:cs="宋体" w:eastAsia="宋体" w:hint="default"/>
          <w:b/>
          <w:bCs/>
          <w:w w:val="99"/>
          <w:sz w:val="28"/>
          <w:szCs w:val="28"/>
        </w:rPr>
        <w:t>的利润</w:t>
      </w:r>
      <w:r>
        <w:rPr>
          <w:rFonts w:ascii="宋体" w:hAnsi="宋体" w:cs="宋体" w:eastAsia="宋体" w:hint="default"/>
          <w:b/>
          <w:bCs/>
          <w:spacing w:val="2"/>
          <w:w w:val="99"/>
          <w:sz w:val="28"/>
          <w:szCs w:val="28"/>
        </w:rPr>
        <w:t>分</w:t>
      </w:r>
      <w:r>
        <w:rPr>
          <w:rFonts w:ascii="宋体" w:hAnsi="宋体" w:cs="宋体" w:eastAsia="宋体" w:hint="default"/>
          <w:b/>
          <w:bCs/>
          <w:w w:val="99"/>
          <w:sz w:val="28"/>
          <w:szCs w:val="28"/>
        </w:rPr>
        <w:t>配预案</w:t>
      </w:r>
      <w:r>
        <w:rPr>
          <w:rFonts w:ascii="宋体" w:hAnsi="宋体" w:cs="宋体" w:eastAsia="宋体" w:hint="default"/>
          <w:b/>
          <w:bCs/>
          <w:spacing w:val="2"/>
          <w:w w:val="99"/>
          <w:sz w:val="28"/>
          <w:szCs w:val="28"/>
        </w:rPr>
        <w:t>为</w:t>
      </w:r>
      <w:r>
        <w:rPr>
          <w:rFonts w:ascii="宋体" w:hAnsi="宋体" w:cs="宋体" w:eastAsia="宋体" w:hint="default"/>
          <w:b/>
          <w:bCs/>
          <w:spacing w:val="-12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1,175</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365,904</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386" w:lineRule="auto" w:before="236"/>
        <w:ind w:left="1133" w:right="1159" w:firstLine="0"/>
        <w:jc w:val="both"/>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0.36</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9"/>
          <w:w w:val="99"/>
          <w:sz w:val="28"/>
          <w:szCs w:val="28"/>
        </w:rPr>
        <w:t> </w:t>
      </w:r>
      <w:r>
        <w:rPr>
          <w:rFonts w:ascii="宋体" w:hAnsi="宋体" w:cs="宋体" w:eastAsia="宋体" w:hint="default"/>
          <w:b/>
          <w:bCs/>
          <w:w w:val="99"/>
          <w:sz w:val="28"/>
          <w:szCs w:val="28"/>
        </w:rPr>
        <w:t>股，不以资本公积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1"/>
        <w:ind w:left="1535" w:right="15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6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10761" w:val="right" w:leader="dot"/>
            </w:tabs>
            <w:spacing w:line="240" w:lineRule="auto"/>
            <w:ind w:left="1134"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10762" w:val="right" w:leader="dot"/>
            </w:tabs>
            <w:spacing w:line="240" w:lineRule="auto" w:before="185"/>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18</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38</w:t>
            </w:r>
            <w:r>
              <w:rPr>
                <w:rFonts w:ascii="宋体" w:hAnsi="宋体" w:cs="宋体" w:eastAsia="宋体" w:hint="default"/>
                <w:b w:val="0"/>
                <w:bCs w:val="0"/>
              </w:rPr>
            </w:r>
          </w:hyperlink>
        </w:p>
        <w:p>
          <w:pPr>
            <w:pStyle w:val="TOC1"/>
            <w:tabs>
              <w:tab w:pos="10762" w:val="right" w:leader="dot"/>
            </w:tabs>
            <w:spacing w:line="240" w:lineRule="auto" w:before="185"/>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54</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63</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64</w:t>
            </w:r>
            <w:r>
              <w:rPr>
                <w:rFonts w:ascii="宋体" w:hAnsi="宋体" w:cs="宋体" w:eastAsia="宋体" w:hint="default"/>
                <w:b w:val="0"/>
                <w:bCs w:val="0"/>
              </w:rPr>
            </w:r>
          </w:hyperlink>
        </w:p>
        <w:p>
          <w:pPr>
            <w:pStyle w:val="TOC1"/>
            <w:tabs>
              <w:tab w:pos="10762" w:val="right" w:leader="dot"/>
            </w:tabs>
            <w:spacing w:line="240" w:lineRule="auto" w:before="185"/>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72</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80</w:t>
            </w:r>
            <w:r>
              <w:rPr>
                <w:rFonts w:ascii="宋体" w:hAnsi="宋体" w:cs="宋体" w:eastAsia="宋体" w:hint="default"/>
                <w:b w:val="0"/>
                <w:bCs w:val="0"/>
              </w:rPr>
            </w:r>
          </w:hyperlink>
        </w:p>
        <w:p>
          <w:pPr>
            <w:pStyle w:val="TOC1"/>
            <w:tabs>
              <w:tab w:pos="1076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81</w:t>
            </w:r>
            <w:r>
              <w:rPr>
                <w:rFonts w:ascii="宋体" w:hAnsi="宋体" w:cs="宋体" w:eastAsia="宋体" w:hint="default"/>
                <w:b w:val="0"/>
                <w:bCs w:val="0"/>
              </w:rPr>
            </w:r>
          </w:hyperlink>
        </w:p>
        <w:p>
          <w:pPr>
            <w:pStyle w:val="TOC1"/>
            <w:tabs>
              <w:tab w:pos="10763" w:val="right" w:leader="dot"/>
            </w:tabs>
            <w:spacing w:line="240" w:lineRule="auto" w:before="185"/>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214</w:t>
            </w:r>
            <w:r>
              <w:rPr>
                <w:rFonts w:ascii="宋体" w:hAnsi="宋体" w:cs="宋体" w:eastAsia="宋体" w:hint="default"/>
                <w:b w:val="0"/>
                <w:bCs w:val="0"/>
              </w:rPr>
            </w:r>
          </w:hyperlink>
        </w:p>
        <w:p>
          <w:pPr/>
          <w:r>
            <w:fldChar w:fldCharType="end"/>
          </w:r>
        </w:p>
      </w:sdtContent>
    </w:sdt>
    <w:p>
      <w:pPr>
        <w:spacing w:after="0"/>
        <w:sectPr>
          <w:pgSz w:w="11910" w:h="16840"/>
          <w:pgMar w:header="877" w:footer="979" w:top="1100" w:bottom="1160" w:left="0" w:right="0"/>
        </w:sectPr>
      </w:pPr>
    </w:p>
    <w:p>
      <w:pPr>
        <w:spacing w:before="974"/>
        <w:ind w:left="1535" w:right="15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公司、本公司、母公司、蓝盾股份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柯宗庆、柯宗贵兄弟二人</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蓝盾技术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华炜科技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中经电商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汇通宝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汇通宝支付有限责任公司，公司全资子公司</w:t>
            </w: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中经汇通</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3"/>
              <w:ind w:left="27" w:right="-9"/>
              <w:jc w:val="left"/>
              <w:rPr>
                <w:rFonts w:ascii="宋体" w:hAnsi="宋体" w:cs="宋体" w:eastAsia="宋体" w:hint="default"/>
                <w:sz w:val="18"/>
                <w:szCs w:val="18"/>
              </w:rPr>
            </w:pPr>
            <w:r>
              <w:rPr>
                <w:rFonts w:ascii="宋体" w:hAnsi="宋体" w:cs="宋体" w:eastAsia="宋体" w:hint="default"/>
                <w:sz w:val="18"/>
                <w:szCs w:val="18"/>
              </w:rPr>
              <w:t>中经汇通有限责任公司，公司股东、公司实际控制人之一致行动人、 公司收购中经电商及汇通宝股权的交易对方之一</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湖北蓝盾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蓝盾工控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广州蓝盾工控技术有限公司，蓝盾技术全资子公司</w:t>
            </w: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满泰科技</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2"/>
              <w:ind w:left="27" w:right="22"/>
              <w:jc w:val="left"/>
              <w:rPr>
                <w:rFonts w:ascii="宋体" w:hAnsi="宋体" w:cs="宋体" w:eastAsia="宋体" w:hint="default"/>
                <w:sz w:val="18"/>
                <w:szCs w:val="18"/>
              </w:rPr>
            </w:pPr>
            <w:r>
              <w:rPr>
                <w:rFonts w:ascii="宋体" w:hAnsi="宋体" w:cs="宋体" w:eastAsia="宋体" w:hint="default"/>
                <w:spacing w:val="-2"/>
                <w:sz w:val="18"/>
                <w:szCs w:val="18"/>
              </w:rPr>
              <w:t>深圳市蓝盾满泰科技发展有限公司（原名深圳市满泰科技发展有限公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9"/>
                <w:sz w:val="18"/>
                <w:szCs w:val="18"/>
              </w:rPr>
              <w:t>司），公司控股子公司</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广州满泰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广州市满泰信息科技有限公司，满泰科技全资子公司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广西蓝盾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蓝盾新微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华炜思创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北京华炜思创科技有限公司，华炜科技控股子公司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精灵云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成都精灵云科技有限公司，蓝盾投资参股子公司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戎磐网络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上海戎磐网络科技有限公司，蓝盾投资参股子公司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国保联盟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国保联盟信息安全技术有限公司，蓝盾技术参股子公司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云海麒麟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深圳市云海麒麟计算机系统有限公司，蓝盾投资参股子公司</w:t>
            </w: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瑞兴达投资</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52"/>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萍乡市瑞兴达投资管理合伙企</w:t>
            </w:r>
            <w:r>
              <w:rPr>
                <w:rFonts w:ascii="宋体" w:hAnsi="宋体" w:cs="宋体" w:eastAsia="宋体" w:hint="default"/>
                <w:spacing w:val="-69"/>
                <w:sz w:val="18"/>
                <w:szCs w:val="18"/>
              </w:rPr>
              <w:t>业</w:t>
            </w: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pacing w:val="-69"/>
                <w:sz w:val="18"/>
                <w:szCs w:val="18"/>
              </w:rPr>
              <w:t>，</w:t>
            </w:r>
            <w:r>
              <w:rPr>
                <w:rFonts w:ascii="宋体" w:hAnsi="宋体" w:cs="宋体" w:eastAsia="宋体" w:hint="default"/>
                <w:sz w:val="18"/>
                <w:szCs w:val="18"/>
              </w:rPr>
              <w:t>公司收购满泰科技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股权的交易对方之一，满泰科技业绩承诺的利润补偿方</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中美新兴产业基金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深圳市蓝盾中美信息技术创新投资企业（有限合伙</w:t>
            </w:r>
            <w:r>
              <w:rPr>
                <w:rFonts w:ascii="宋体" w:hAnsi="宋体" w:cs="宋体" w:eastAsia="宋体" w:hint="default"/>
                <w:spacing w:val="-90"/>
                <w:sz w:val="18"/>
                <w:szCs w:val="18"/>
              </w:rPr>
              <w:t>）</w:t>
            </w:r>
            <w:r>
              <w:rPr>
                <w:rFonts w:ascii="宋体" w:hAnsi="宋体" w:cs="宋体" w:eastAsia="宋体" w:hint="default"/>
                <w:sz w:val="18"/>
                <w:szCs w:val="18"/>
              </w:rPr>
              <w:t>，公司作为有限</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90.1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合伙人入伙的创投企业</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广州纳兰德基金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pacing w:val="-3"/>
                            <w:sz w:val="18"/>
                            <w:szCs w:val="18"/>
                          </w:rPr>
                          <w:t>广州纳兰德股权投资合伙企业（有限合伙），公司作为有限合伙人入</w:t>
                        </w:r>
                        <w:r>
                          <w:rPr>
                            <w:rFonts w:ascii="宋体" w:hAnsi="宋体" w:cs="宋体" w:eastAsia="宋体" w:hint="default"/>
                            <w:sz w:val="18"/>
                            <w:szCs w:val="18"/>
                          </w:rPr>
                          <w:t> 伙的创投企业</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CMMI5</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软件能力成熟度模型集成，是由美国国防部与卡内基</w:t>
                        </w:r>
                        <w:r>
                          <w:rPr>
                            <w:rFonts w:ascii="Times New Roman" w:hAnsi="Times New Roman" w:cs="Times New Roman" w:eastAsia="Times New Roman" w:hint="default"/>
                            <w:sz w:val="18"/>
                            <w:szCs w:val="18"/>
                          </w:rPr>
                          <w:t>-</w:t>
                        </w:r>
                        <w:r>
                          <w:rPr>
                            <w:rFonts w:ascii="宋体" w:hAnsi="宋体" w:cs="宋体" w:eastAsia="宋体" w:hint="default"/>
                            <w:sz w:val="18"/>
                            <w:szCs w:val="18"/>
                          </w:rPr>
                          <w:t>梅隆大学和美 国国防工业协会共同开发和制定的一套评估认证体系，</w:t>
                        </w: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模型分</w:t>
                        </w:r>
                        <w:r>
                          <w:rPr>
                            <w:rFonts w:ascii="宋体" w:hAnsi="宋体" w:cs="宋体" w:eastAsia="宋体" w:hint="default"/>
                            <w:w w:val="99"/>
                            <w:sz w:val="18"/>
                            <w:szCs w:val="18"/>
                          </w:rPr>
                          <w:t> </w:t>
                        </w: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CMMI5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级为最高级，标志着企业在标准化、规范化、</w:t>
                        </w:r>
                        <w:r>
                          <w:rPr>
                            <w:rFonts w:ascii="宋体" w:hAnsi="宋体" w:cs="宋体" w:eastAsia="宋体" w:hint="default"/>
                            <w:w w:val="99"/>
                            <w:sz w:val="18"/>
                            <w:szCs w:val="18"/>
                          </w:rPr>
                          <w:t> </w:t>
                        </w:r>
                        <w:r>
                          <w:rPr>
                            <w:rFonts w:ascii="宋体" w:hAnsi="宋体" w:cs="宋体" w:eastAsia="宋体" w:hint="default"/>
                            <w:sz w:val="18"/>
                            <w:szCs w:val="18"/>
                          </w:rPr>
                          <w:t>成熟度等方面表现优秀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用于保证信息安全的各种软件产品和相关的软硬一体化产品</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根据客户需求提供与信息安全相关的安全测评、技术支持、安全管理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咨询、系统维护、运营管理、安全培训、安全托管等内容</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根据客户要求，为客户设置或组建能满足其个性化需求的信息安全系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统，提供从安全方案设计、方案实施、系统测试到系统验收的信息安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全整体解决方案，满足客户在系统集成中对信息安全的全方位需求</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安全运营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利用先进的云计算技术，搭建云安全综合运营平台，为客户提供诸如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网站安全防护等一系列服务，让客户得到</w:t>
                        </w:r>
                        <w:r>
                          <w:rPr>
                            <w:rFonts w:ascii="Times New Roman" w:hAnsi="Times New Roman" w:cs="Times New Roman" w:eastAsia="Times New Roman" w:hint="default"/>
                            <w:sz w:val="18"/>
                            <w:szCs w:val="18"/>
                          </w:rPr>
                          <w:t>"</w:t>
                        </w:r>
                        <w:r>
                          <w:rPr>
                            <w:rFonts w:ascii="宋体" w:hAnsi="宋体" w:cs="宋体" w:eastAsia="宋体" w:hint="default"/>
                            <w:sz w:val="18"/>
                            <w:szCs w:val="18"/>
                          </w:rPr>
                          <w:t>零部署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零维护</w:t>
                        </w:r>
                        <w:r>
                          <w:rPr>
                            <w:rFonts w:ascii="Times New Roman" w:hAnsi="Times New Roman" w:cs="Times New Roman" w:eastAsia="Times New Roman" w:hint="default"/>
                            <w:sz w:val="18"/>
                            <w:szCs w:val="18"/>
                          </w:rPr>
                          <w:t>"</w:t>
                        </w:r>
                        <w:r>
                          <w:rPr>
                            <w:rFonts w:ascii="宋体" w:hAnsi="宋体" w:cs="宋体" w:eastAsia="宋体" w:hint="default"/>
                            <w:sz w:val="18"/>
                            <w:szCs w:val="18"/>
                          </w:rPr>
                          <w:t>等一站 式的智能安全防护体验</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大安全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公司近年提出的产业发展战略，通过</w:t>
                        </w:r>
                        <w:r>
                          <w:rPr>
                            <w:rFonts w:ascii="Times New Roman" w:hAnsi="Times New Roman" w:cs="Times New Roman" w:eastAsia="Times New Roman" w:hint="default"/>
                            <w:sz w:val="18"/>
                            <w:szCs w:val="18"/>
                          </w:rPr>
                          <w:t>"</w:t>
                        </w:r>
                        <w:r>
                          <w:rPr>
                            <w:rFonts w:ascii="宋体" w:hAnsi="宋体" w:cs="宋体" w:eastAsia="宋体" w:hint="default"/>
                            <w:sz w:val="18"/>
                            <w:szCs w:val="18"/>
                          </w:rPr>
                          <w:t>内生</w:t>
                        </w:r>
                        <w:r>
                          <w:rPr>
                            <w:rFonts w:ascii="Times New Roman" w:hAnsi="Times New Roman" w:cs="Times New Roman" w:eastAsia="Times New Roman" w:hint="default"/>
                            <w:sz w:val="18"/>
                            <w:szCs w:val="18"/>
                          </w:rPr>
                          <w:t>+</w:t>
                        </w:r>
                        <w:r>
                          <w:rPr>
                            <w:rFonts w:ascii="宋体" w:hAnsi="宋体" w:cs="宋体" w:eastAsia="宋体" w:hint="default"/>
                            <w:sz w:val="18"/>
                            <w:szCs w:val="18"/>
                          </w:rPr>
                          <w:t>外延</w:t>
                        </w:r>
                        <w:r>
                          <w:rPr>
                            <w:rFonts w:ascii="Times New Roman" w:hAnsi="Times New Roman" w:cs="Times New Roman" w:eastAsia="Times New Roman" w:hint="default"/>
                            <w:sz w:val="18"/>
                            <w:szCs w:val="18"/>
                          </w:rPr>
                          <w:t>"</w:t>
                        </w:r>
                        <w:r>
                          <w:rPr>
                            <w:rFonts w:ascii="宋体" w:hAnsi="宋体" w:cs="宋体" w:eastAsia="宋体" w:hint="default"/>
                            <w:sz w:val="18"/>
                            <w:szCs w:val="18"/>
                          </w:rPr>
                          <w:t>双轮驱动的方式， 紧抓信息安全产业外延不断扩大的机遇，发展出以网络安全为核心， </w:t>
                        </w:r>
                        <w:r>
                          <w:rPr>
                            <w:rFonts w:ascii="宋体" w:hAnsi="宋体" w:cs="宋体" w:eastAsia="宋体" w:hint="default"/>
                            <w:spacing w:val="-2"/>
                            <w:sz w:val="18"/>
                            <w:szCs w:val="18"/>
                          </w:rPr>
                          <w:t>以军工安全、互联网应用安全以及云计算安全等新兴技术安全为重要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方向的</w:t>
                        </w:r>
                        <w:r>
                          <w:rPr>
                            <w:rFonts w:ascii="Times New Roman" w:hAnsi="Times New Roman" w:cs="Times New Roman" w:eastAsia="Times New Roman" w:hint="default"/>
                            <w:sz w:val="18"/>
                            <w:szCs w:val="18"/>
                          </w:rPr>
                          <w:t>"</w:t>
                        </w:r>
                        <w:r>
                          <w:rPr>
                            <w:rFonts w:ascii="宋体" w:hAnsi="宋体" w:cs="宋体" w:eastAsia="宋体" w:hint="default"/>
                            <w:sz w:val="18"/>
                            <w:szCs w:val="18"/>
                          </w:rPr>
                          <w:t>大安全</w:t>
                        </w:r>
                        <w:r>
                          <w:rPr>
                            <w:rFonts w:ascii="Times New Roman" w:hAnsi="Times New Roman" w:cs="Times New Roman" w:eastAsia="Times New Roman" w:hint="default"/>
                            <w:sz w:val="18"/>
                            <w:szCs w:val="18"/>
                          </w:rPr>
                          <w:t>"</w:t>
                        </w:r>
                        <w:r>
                          <w:rPr>
                            <w:rFonts w:ascii="宋体" w:hAnsi="宋体" w:cs="宋体" w:eastAsia="宋体" w:hint="default"/>
                            <w:sz w:val="18"/>
                            <w:szCs w:val="18"/>
                          </w:rPr>
                          <w:t>产业生态体系</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蓝盾安全卫士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公司自主研发的首款移动互联网安全产品，集网银安全、数据安全、 </w:t>
                        </w:r>
                        <w:r>
                          <w:rPr>
                            <w:rFonts w:ascii="宋体" w:hAnsi="宋体" w:cs="宋体" w:eastAsia="宋体" w:hint="default"/>
                            <w:spacing w:val="-4"/>
                            <w:sz w:val="18"/>
                            <w:szCs w:val="18"/>
                          </w:rPr>
                          <w:t>隐私保护、通信安全、防垃圾短信、防骚扰电话、防吸费、手机加速</w:t>
                        </w:r>
                        <w:r>
                          <w:rPr>
                            <w:rFonts w:ascii="宋体" w:hAnsi="宋体" w:cs="宋体" w:eastAsia="宋体" w:hint="default"/>
                            <w:sz w:val="18"/>
                            <w:szCs w:val="18"/>
                          </w:rPr>
                          <w:t> 紧急求救等功能于一身</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等级保护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信息安全等级保护，是对信息和信息载体按照重要性等级分级别进行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保护的一种工作，包括定级、备案、安全建设和整改、信息安全等级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测评、信息安全检查五个阶段，要求不同安全等级的信息系统应具有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不同的安全保护能力</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分级保护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涉密信息系统分级保护，根据其涉密信息系统处理信息的最高密级， </w:t>
                        </w:r>
                        <w:r>
                          <w:rPr>
                            <w:rFonts w:ascii="宋体" w:hAnsi="宋体" w:cs="宋体" w:eastAsia="宋体" w:hint="default"/>
                            <w:spacing w:val="-3"/>
                            <w:sz w:val="18"/>
                            <w:szCs w:val="18"/>
                          </w:rPr>
                          <w:t>可以划分为秘密级、机密级和机密级（增强）、绝密级三个等级，是</w:t>
                        </w:r>
                        <w:r>
                          <w:rPr>
                            <w:rFonts w:ascii="宋体" w:hAnsi="宋体" w:cs="宋体" w:eastAsia="宋体" w:hint="default"/>
                            <w:sz w:val="18"/>
                            <w:szCs w:val="18"/>
                          </w:rPr>
                          <w:t> 等级保护在涉密领域的具体体现</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业务应用安全审计平台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公司自主研发的基于大数据架构、智能学习算法统计分析技术、三层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业务关联审计技术的安全审计平台，实现对业务操作违规行为的预 警，对非法操作事件追踪、定位</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电磁安防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防止电磁场、电磁脉冲对各类信息、控制、通信和电子设备的攻击、 干扰和破坏，而采取的抑制防护的安全措施</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云安全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一是云计算安全，是指云计算自身的安全保护；二是安全云服务，是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指传统安全产品的云化</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虚拟化技术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一种资源管理技术，是将计算机的各种实体资源，如服务器、网络、 </w:t>
                        </w:r>
                        <w:r>
                          <w:rPr>
                            <w:rFonts w:ascii="宋体" w:hAnsi="宋体" w:cs="宋体" w:eastAsia="宋体" w:hint="default"/>
                            <w:spacing w:val="-2"/>
                            <w:sz w:val="18"/>
                            <w:szCs w:val="18"/>
                          </w:rPr>
                          <w:t>内存及存储等，予以抽象、转换后呈现出来，打破实体结构间的不可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切割的障碍，使用户可以比原本的组态更好的方式来应用这些资源</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44"/>
        <w:ind w:left="0" w:right="1139" w:firstLine="0"/>
        <w:jc w:val="right"/>
        <w:rPr>
          <w:rFonts w:ascii="宋体" w:hAnsi="宋体" w:cs="宋体" w:eastAsia="宋体" w:hint="default"/>
          <w:sz w:val="18"/>
          <w:szCs w:val="18"/>
        </w:rPr>
      </w:pPr>
      <w:r>
        <w:rPr/>
        <w:pict>
          <v:shape style="position:absolute;margin-left:56.459999pt;margin-top:-273.028290pt;width:479.25pt;height:469.1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态势感知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是一种基于环境的、动态、整体地洞悉安全风险的能力，是以安全大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数据为基础，从全局视角提升对安全威胁的发现识别、理解分析、响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应处置能力的一种方式，最终是为了决策与行动，是安全能力的落地</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人工智能防火墙</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防火墙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公司自主研发的一款基于机器学习威胁检测的</w:t>
                        </w:r>
                        <w:r>
                          <w:rPr>
                            <w:rFonts w:ascii="Times New Roman" w:hAnsi="Times New Roman" w:cs="Times New Roman" w:eastAsia="Times New Roman" w:hint="default"/>
                            <w:sz w:val="18"/>
                            <w:szCs w:val="18"/>
                          </w:rPr>
                          <w:t>"</w:t>
                        </w:r>
                        <w:r>
                          <w:rPr>
                            <w:rFonts w:ascii="宋体" w:hAnsi="宋体" w:cs="宋体" w:eastAsia="宋体" w:hint="default"/>
                            <w:sz w:val="18"/>
                            <w:szCs w:val="18"/>
                          </w:rPr>
                          <w:t>第三代防火墙</w:t>
                        </w:r>
                        <w:r>
                          <w:rPr>
                            <w:rFonts w:ascii="Times New Roman" w:hAnsi="Times New Roman" w:cs="Times New Roman" w:eastAsia="Times New Roman" w:hint="default"/>
                            <w:sz w:val="18"/>
                            <w:szCs w:val="18"/>
                          </w:rPr>
                          <w:t>"</w:t>
                        </w:r>
                        <w:r>
                          <w:rPr>
                            <w:rFonts w:ascii="宋体" w:hAnsi="宋体" w:cs="宋体" w:eastAsia="宋体" w:hint="default"/>
                            <w:sz w:val="18"/>
                            <w:szCs w:val="18"/>
                          </w:rPr>
                          <w:t>，可通 过机器学习模型判定安全威胁，并能检测木马变种和未知威胁攻击、 </w:t>
                        </w:r>
                        <w:r>
                          <w:rPr>
                            <w:rFonts w:ascii="Times New Roman" w:hAnsi="Times New Roman" w:cs="Times New Roman" w:eastAsia="Times New Roman" w:hint="default"/>
                            <w:sz w:val="18"/>
                            <w:szCs w:val="18"/>
                          </w:rPr>
                          <w:t>0 day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攻击等，误报率极低，且能做到主动防御</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蓝盾智慧眼监控雷达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该款雷达是公司推出一种新型的安防雷达，能够自动跟踪目标和联动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视频监控实现智慧安防指挥系统功能，自动化程度高，有效减轻安防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人工巡逻的强度。适用于海岛、边境，核电站、卫星发射场、高铁大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桥，油田、储油气码头，机密区域、重点外事区域等场所的安防。</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软件基因</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“软件基因”是软件体上具有功能或携带信息的二进制片段，支撑着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软件的基本构造，存储着软件生命 周期的全部信息，如同生物体的 基因，具有物质性和信息性</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通过去中心化和去信任的方式集体维护一个可靠数据库的技术方案， 是比特币的底层技术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WannaCry</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月份爆发的一种</w:t>
                        </w:r>
                        <w:r>
                          <w:rPr>
                            <w:rFonts w:ascii="Times New Roman" w:hAnsi="Times New Roman" w:cs="Times New Roman" w:eastAsia="Times New Roman" w:hint="default"/>
                            <w:sz w:val="18"/>
                            <w:szCs w:val="18"/>
                          </w:rPr>
                          <w:t>"</w:t>
                        </w:r>
                        <w:r>
                          <w:rPr>
                            <w:rFonts w:ascii="宋体" w:hAnsi="宋体" w:cs="宋体" w:eastAsia="宋体" w:hint="default"/>
                            <w:sz w:val="18"/>
                            <w:szCs w:val="18"/>
                          </w:rPr>
                          <w:t>蠕虫式</w:t>
                        </w:r>
                        <w:r>
                          <w:rPr>
                            <w:rFonts w:ascii="Times New Roman" w:hAnsi="Times New Roman" w:cs="Times New Roman" w:eastAsia="Times New Roman" w:hint="default"/>
                            <w:sz w:val="18"/>
                            <w:szCs w:val="18"/>
                          </w:rPr>
                          <w:t>"</w:t>
                        </w:r>
                        <w:r>
                          <w:rPr>
                            <w:rFonts w:ascii="宋体" w:hAnsi="宋体" w:cs="宋体" w:eastAsia="宋体" w:hint="default"/>
                            <w:sz w:val="18"/>
                            <w:szCs w:val="18"/>
                          </w:rPr>
                          <w:t>的勒索病毒软件，由不法分子利用 美国国家安全局泄露的危险漏洞</w:t>
                        </w:r>
                        <w:r>
                          <w:rPr>
                            <w:rFonts w:ascii="Times New Roman" w:hAnsi="Times New Roman" w:cs="Times New Roman" w:eastAsia="Times New Roman" w:hint="default"/>
                            <w:sz w:val="18"/>
                            <w:szCs w:val="18"/>
                          </w:rPr>
                          <w:t>"EternalBlue"</w:t>
                        </w:r>
                        <w:r>
                          <w:rPr>
                            <w:rFonts w:ascii="宋体" w:hAnsi="宋体" w:cs="宋体" w:eastAsia="宋体" w:hint="default"/>
                            <w:sz w:val="18"/>
                            <w:szCs w:val="18"/>
                          </w:rPr>
                          <w:t>（永恒之蓝）进行传播</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“数字福建”安全专区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pacing w:val="4"/>
                            <w:sz w:val="18"/>
                            <w:szCs w:val="18"/>
                          </w:rPr>
                          <w:t>公司与福建省数字福建云计算运营有限公司合作建设的重要信息系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统及政府网站安全专区</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第一期员工持股计划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蓝盾信息安全技术股份有限公司限制性股票激励计划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保荐机构、独立财务顾问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24" w:right="0"/>
        <w:jc w:val="left"/>
        <w:rPr>
          <w:b w:val="0"/>
          <w:bCs w:val="0"/>
        </w:rPr>
      </w:pPr>
      <w:bookmarkStart w:name="第二节 公司简介和主要财务指标" w:id="4"/>
      <w:bookmarkEnd w:id="4"/>
      <w:r>
        <w:rPr>
          <w:b w:val="0"/>
          <w:bCs w:val="0"/>
        </w:rPr>
      </w:r>
      <w:bookmarkStart w:name="_bookmark1" w:id="5"/>
      <w:bookmarkEnd w:id="5"/>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14942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6"/>
      <w:bookmarkEnd w:id="6"/>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蓝盾股份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300297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蓝盾股份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Bluedon Information Security Technologies</w:t>
            </w:r>
            <w:r>
              <w:rPr>
                <w:rFonts w:ascii="Times New Roman"/>
                <w:spacing w:val="-23"/>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BLUEDON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柯宗贵</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510665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www.bluedon.com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stock@chinabluedon.cn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7"/>
      <w:bookmarkEnd w:id="7"/>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危永荧</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号自编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号自编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lee_bluedon@163.com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weiyy@chinabluedon.cn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8"/>
      <w:bookmarkEnd w:id="8"/>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before="26"/>
        <w:ind w:right="0"/>
        <w:jc w:val="left"/>
        <w:rPr>
          <w:b w:val="0"/>
          <w:bCs w:val="0"/>
        </w:rPr>
      </w:pPr>
      <w:bookmarkStart w:name="四、其他有关资料" w:id="9"/>
      <w:bookmarkEnd w:id="9"/>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81"/>
              <w:jc w:val="righ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广东省广州市天河北路</w:t>
            </w:r>
          </w:p>
          <w:p>
            <w:pPr>
              <w:pStyle w:val="TableParagraph"/>
              <w:spacing w:line="240" w:lineRule="auto" w:before="7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4301-4316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77"/>
              <w:jc w:val="right"/>
              <w:rPr>
                <w:rFonts w:ascii="宋体" w:hAnsi="宋体" w:cs="宋体" w:eastAsia="宋体" w:hint="default"/>
                <w:sz w:val="18"/>
                <w:szCs w:val="18"/>
              </w:rPr>
            </w:pPr>
            <w:r>
              <w:rPr>
                <w:rFonts w:ascii="宋体" w:hAnsi="宋体" w:cs="宋体" w:eastAsia="宋体" w:hint="default"/>
                <w:sz w:val="18"/>
                <w:szCs w:val="18"/>
              </w:rPr>
              <w:t>朱保力、何尔璇、林焕荣</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2016-04-05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2017-12-31</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五、主要会计数据和财务指标" w:id="10"/>
      <w:bookmarkEnd w:id="10"/>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2,216,476,420.87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1,573,504,560.72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1,000,925,196.89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413,809,537.85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322,894,873.34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119,452,531.65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389,075,297.22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304,805,738.92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102,685,066.37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25,352,086.98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343,196,379.04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110,958,168.61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8,288,981,155.41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6,301,740,278.69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2,256,662,527.56</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3,982,961,122.24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3,571,638,334.37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1,242,745,944.76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1,175,365,904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spacing w:line="319" w:lineRule="auto" w:before="44"/>
        <w:ind w:left="1133" w:right="1118"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0.3521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是否存在公司债</w:t>
      </w:r>
    </w:p>
    <w:p>
      <w:pPr>
        <w:spacing w:line="338" w:lineRule="auto" w:before="117"/>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公司是否存在最近两年连续亏损的情形</w:t>
      </w:r>
    </w:p>
    <w:p>
      <w:pPr>
        <w:spacing w:before="4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134" w:right="0"/>
        <w:jc w:val="left"/>
        <w:rPr>
          <w:b w:val="0"/>
          <w:bCs w:val="0"/>
        </w:rPr>
      </w:pPr>
      <w:bookmarkStart w:name="六、分季度主要财务指标" w:id="11"/>
      <w:bookmarkEnd w:id="11"/>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340,451,081.52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599,401,152.67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509,922,530.18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766,701,656.50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56,860,297.76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83,964,579.27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72,654,474.00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200,330,186.82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52,843,977.89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83,546,410.20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73,046,513.77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179,638,395.36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-560,108,259.06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-201,263,645.22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-145,812,198.12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934,013,022.35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2"/>
      <w:bookmarkEnd w:id="12"/>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3、境内外会计准则下会计数据差异原因说明" w:id="15"/>
      <w:bookmarkEnd w:id="15"/>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八、非经常性损益项目及金额" w:id="16"/>
      <w:bookmarkEnd w:id="16"/>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-2,709,755.40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-4,741,421.57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34,603,760.56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26,295,276.82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20,851,379.35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12,583.12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-3,656,801.33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-100,063.83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-1,559,552.88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606,449.05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457,969.53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499,042.25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3,843,162.69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3,313,767.27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2,894,672.67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278,832.68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508,859.26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128,330.83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24,734,240.63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18,089,134.42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16,767,465.28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0"/>
              <w:jc w:val="right"/>
              <w:rPr>
                <w:rFonts w:ascii="宋体" w:hAnsi="宋体" w:cs="宋体" w:eastAsia="宋体" w:hint="default"/>
                <w:sz w:val="18"/>
                <w:szCs w:val="18"/>
              </w:rPr>
            </w:pPr>
            <w:r>
              <w:rPr>
                <w:rFonts w:ascii="宋体" w:hAnsi="宋体" w:cs="宋体" w:eastAsia="宋体" w:hint="default"/>
                <w:sz w:val="18"/>
                <w:szCs w:val="18"/>
              </w:rPr>
              <w:t>增值税退税补贴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8" w:right="0"/>
              <w:jc w:val="left"/>
              <w:rPr>
                <w:rFonts w:ascii="Times New Roman" w:hAnsi="Times New Roman" w:cs="Times New Roman" w:eastAsia="Times New Roman" w:hint="default"/>
                <w:sz w:val="18"/>
                <w:szCs w:val="18"/>
              </w:rPr>
            </w:pPr>
            <w:r>
              <w:rPr>
                <w:rFonts w:ascii="Times New Roman"/>
                <w:sz w:val="18"/>
              </w:rPr>
              <w:t>52,317,607.19</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依据国家对软件行业的总体政策导向，预期软件增值税退税的税 收优惠政策将在较长时期内保持稳定，故定义为经常性损益。</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35"/>
        <w:jc w:val="center"/>
        <w:rPr>
          <w:b w:val="0"/>
          <w:bCs w:val="0"/>
        </w:rPr>
      </w:pPr>
      <w:bookmarkStart w:name="第三节 公司业务概要" w:id="17"/>
      <w:bookmarkEnd w:id="17"/>
      <w:r>
        <w:rPr>
          <w:b w:val="0"/>
          <w:bCs w:val="0"/>
        </w:rPr>
      </w:r>
      <w:bookmarkStart w:name="_bookmark2" w:id="18"/>
      <w:bookmarkEnd w:id="18"/>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5"/>
        <w:rPr>
          <w:rFonts w:ascii="宋体" w:hAnsi="宋体" w:cs="宋体" w:eastAsia="宋体" w:hint="default"/>
          <w:b/>
          <w:bCs/>
          <w:sz w:val="31"/>
          <w:szCs w:val="31"/>
        </w:rPr>
      </w:pPr>
    </w:p>
    <w:p>
      <w:pPr>
        <w:spacing w:line="384" w:lineRule="auto" w:before="0"/>
        <w:ind w:left="1553" w:right="1117" w:firstLine="2"/>
        <w:jc w:val="left"/>
        <w:rPr>
          <w:rFonts w:ascii="宋体" w:hAnsi="宋体" w:cs="宋体" w:eastAsia="宋体" w:hint="default"/>
          <w:sz w:val="21"/>
          <w:szCs w:val="21"/>
        </w:rPr>
      </w:pPr>
      <w:r>
        <w:rPr>
          <w:rFonts w:ascii="宋体" w:hAnsi="宋体" w:cs="宋体" w:eastAsia="宋体" w:hint="default"/>
          <w:b/>
          <w:bCs/>
          <w:sz w:val="21"/>
          <w:szCs w:val="21"/>
        </w:rPr>
        <w:t>（一）公司的主要业务和产品</w:t>
      </w:r>
      <w:r>
        <w:rPr>
          <w:rFonts w:ascii="宋体" w:hAnsi="宋体" w:cs="宋体" w:eastAsia="宋体" w:hint="default"/>
          <w:b/>
          <w:bCs/>
          <w:w w:val="99"/>
          <w:sz w:val="21"/>
          <w:szCs w:val="21"/>
        </w:rPr>
        <w:t> </w:t>
      </w:r>
      <w:r>
        <w:rPr>
          <w:rFonts w:ascii="宋体" w:hAnsi="宋体" w:cs="宋体" w:eastAsia="宋体" w:hint="default"/>
          <w:sz w:val="21"/>
          <w:szCs w:val="21"/>
        </w:rPr>
        <w:t>公司成立于</w:t>
      </w:r>
      <w:r>
        <w:rPr>
          <w:rFonts w:ascii="Times New Roman" w:hAnsi="Times New Roman" w:cs="Times New Roman" w:eastAsia="Times New Roman" w:hint="default"/>
          <w:sz w:val="21"/>
          <w:szCs w:val="21"/>
        </w:rPr>
        <w:t>1999</w:t>
      </w:r>
      <w:r>
        <w:rPr>
          <w:rFonts w:ascii="宋体" w:hAnsi="宋体" w:cs="宋体" w:eastAsia="宋体" w:hint="default"/>
          <w:sz w:val="21"/>
          <w:szCs w:val="21"/>
        </w:rPr>
        <w:t>年，成立以来一直专注于网络信息安全领域，以</w:t>
      </w:r>
      <w:r>
        <w:rPr>
          <w:rFonts w:ascii="Times New Roman" w:hAnsi="Times New Roman" w:cs="Times New Roman" w:eastAsia="Times New Roman" w:hint="default"/>
          <w:sz w:val="21"/>
          <w:szCs w:val="21"/>
        </w:rPr>
        <w:t>“</w:t>
      </w:r>
      <w:r>
        <w:rPr>
          <w:rFonts w:ascii="宋体" w:hAnsi="宋体" w:cs="宋体" w:eastAsia="宋体" w:hint="default"/>
          <w:sz w:val="21"/>
          <w:szCs w:val="21"/>
        </w:rPr>
        <w:t>国际一流的信息安全企业</w:t>
      </w:r>
      <w:r>
        <w:rPr>
          <w:rFonts w:ascii="Times New Roman" w:hAnsi="Times New Roman" w:cs="Times New Roman" w:eastAsia="Times New Roman" w:hint="default"/>
          <w:sz w:val="21"/>
          <w:szCs w:val="21"/>
        </w:rPr>
        <w:t>”</w:t>
      </w:r>
      <w:r>
        <w:rPr>
          <w:rFonts w:ascii="宋体" w:hAnsi="宋体" w:cs="宋体" w:eastAsia="宋体" w:hint="default"/>
          <w:sz w:val="21"/>
          <w:szCs w:val="21"/>
        </w:rPr>
        <w:t>为战略远</w:t>
      </w:r>
    </w:p>
    <w:p>
      <w:pPr>
        <w:pStyle w:val="BodyText"/>
        <w:spacing w:line="244" w:lineRule="exact"/>
        <w:ind w:right="0"/>
        <w:jc w:val="both"/>
      </w:pPr>
      <w:r>
        <w:rPr/>
        <w:t>景，致力于成为我国智慧安全的领导者。公司构建了以安全产品为基础，覆盖安全方案、安全服务、安全</w:t>
      </w:r>
    </w:p>
    <w:p>
      <w:pPr>
        <w:pStyle w:val="BodyText"/>
        <w:spacing w:line="336" w:lineRule="auto" w:before="126"/>
        <w:ind w:right="1130"/>
        <w:jc w:val="both"/>
      </w:pPr>
      <w:r>
        <w:rPr>
          <w:spacing w:val="-1"/>
        </w:rPr>
        <w:t>运营的完整业务生态，为各大行业客户提供一站式的信息安全整体解决方案。同时，公司也瞄准了信息安</w:t>
      </w:r>
      <w:r>
        <w:rPr>
          <w:spacing w:val="-83"/>
        </w:rPr>
        <w:t> </w:t>
      </w:r>
      <w:r>
        <w:rPr>
          <w:spacing w:val="-83"/>
        </w:rPr>
      </w:r>
      <w:r>
        <w:rPr>
          <w:spacing w:val="-2"/>
        </w:rPr>
        <w:t>全外延不断扩大的趋势，通过</w:t>
      </w:r>
      <w:r>
        <w:rPr>
          <w:rFonts w:ascii="Times New Roman" w:hAnsi="Times New Roman" w:cs="Times New Roman" w:eastAsia="Times New Roman" w:hint="default"/>
          <w:spacing w:val="-2"/>
        </w:rPr>
        <w:t>“</w:t>
      </w:r>
      <w:r>
        <w:rPr>
          <w:spacing w:val="-2"/>
        </w:rPr>
        <w:t>自主研发</w:t>
      </w:r>
      <w:r>
        <w:rPr>
          <w:rFonts w:ascii="宋体" w:hAnsi="宋体" w:cs="宋体" w:eastAsia="宋体" w:hint="default"/>
          <w:spacing w:val="-2"/>
        </w:rPr>
        <w:t>+</w:t>
      </w:r>
      <w:r>
        <w:rPr>
          <w:spacing w:val="-2"/>
        </w:rPr>
        <w:t>投资并购</w:t>
      </w:r>
      <w:r>
        <w:rPr>
          <w:rFonts w:ascii="Times New Roman" w:hAnsi="Times New Roman" w:cs="Times New Roman" w:eastAsia="Times New Roman" w:hint="default"/>
          <w:spacing w:val="-2"/>
        </w:rPr>
        <w:t>”</w:t>
      </w:r>
      <w:r>
        <w:rPr>
          <w:spacing w:val="-2"/>
        </w:rPr>
        <w:t>双轮驱动的方式，持续推进</w:t>
      </w:r>
      <w:r>
        <w:rPr>
          <w:rFonts w:ascii="Times New Roman" w:hAnsi="Times New Roman" w:cs="Times New Roman" w:eastAsia="Times New Roman" w:hint="default"/>
          <w:spacing w:val="-2"/>
        </w:rPr>
        <w:t>“</w:t>
      </w:r>
      <w:r>
        <w:rPr>
          <w:spacing w:val="-2"/>
        </w:rPr>
        <w:t>大安全</w:t>
      </w:r>
      <w:r>
        <w:rPr>
          <w:rFonts w:ascii="Times New Roman" w:hAnsi="Times New Roman" w:cs="Times New Roman" w:eastAsia="Times New Roman" w:hint="default"/>
          <w:spacing w:val="-2"/>
        </w:rPr>
        <w:t>”</w:t>
      </w:r>
      <w:r>
        <w:rPr>
          <w:spacing w:val="-2"/>
        </w:rPr>
        <w:t>产业发展战略，并</w:t>
      </w:r>
      <w:r>
        <w:rPr>
          <w:spacing w:val="-90"/>
        </w:rPr>
        <w:t> </w:t>
      </w:r>
      <w:r>
        <w:rPr>
          <w:spacing w:val="-90"/>
        </w:rPr>
      </w:r>
      <w:r>
        <w:rPr/>
        <w:t>以</w:t>
      </w:r>
      <w:r>
        <w:rPr>
          <w:rFonts w:ascii="Times New Roman" w:hAnsi="Times New Roman" w:cs="Times New Roman" w:eastAsia="Times New Roman" w:hint="default"/>
        </w:rPr>
        <w:t>“</w:t>
      </w:r>
      <w:r>
        <w:rPr/>
        <w:t>技术升级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空间拓展</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rFonts w:ascii="Times New Roman" w:hAnsi="Times New Roman" w:cs="Times New Roman" w:eastAsia="Times New Roman" w:hint="default"/>
        </w:rPr>
        <w:t>IT</w:t>
      </w:r>
      <w:r>
        <w:rPr/>
        <w:t>层级突破</w:t>
      </w:r>
      <w:r>
        <w:rPr>
          <w:rFonts w:ascii="Times New Roman" w:hAnsi="Times New Roman" w:cs="Times New Roman" w:eastAsia="Times New Roman" w:hint="default"/>
        </w:rPr>
        <w:t>”</w:t>
      </w:r>
      <w:r>
        <w:rPr/>
        <w:t>三个维度为主线进行布局，构建了完整的</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产业生态版</w:t>
      </w:r>
      <w:r>
        <w:rPr>
          <w:spacing w:val="-34"/>
        </w:rPr>
        <w:t> </w:t>
      </w:r>
      <w:r>
        <w:rPr>
          <w:spacing w:val="-34"/>
        </w:rPr>
      </w:r>
      <w:r>
        <w:rPr/>
        <w:t>图。</w:t>
      </w:r>
    </w:p>
    <w:p>
      <w:pPr>
        <w:pStyle w:val="BodyText"/>
        <w:spacing w:line="350" w:lineRule="auto" w:before="80"/>
        <w:ind w:left="1134" w:right="1023" w:firstLine="420"/>
        <w:jc w:val="left"/>
      </w:pPr>
      <w:r>
        <w:rPr/>
        <w:t>技术升级维度：公司主要通过自主研发和引入前沿技术团队等方式，打造完整的智慧安全产品体系， </w:t>
      </w:r>
      <w:r>
        <w:rPr>
          <w:spacing w:val="-3"/>
        </w:rPr>
        <w:t>不但覆盖了传统的边界安全、审计安全、应用安全、安全管理等完整的产品线，还将人工智能、软件基因、</w:t>
      </w:r>
      <w:r>
        <w:rPr>
          <w:spacing w:val="-94"/>
        </w:rPr>
        <w:t> </w:t>
      </w:r>
      <w:r>
        <w:rPr>
          <w:spacing w:val="-94"/>
        </w:rPr>
      </w:r>
      <w:r>
        <w:rPr/>
        <w:t>大数据分析、虚拟化等前沿技术应用至安全领域，使传统产品实现全面的技术升级（如将人工智能引擎与</w:t>
      </w:r>
      <w:r>
        <w:rPr/>
        <w:t> 防火墙相结合，在业内率先推出人工智能防火墙），并持续研发出虚拟安全器件、深度态势感知等一系列 下一代网络安全技术产品。</w:t>
      </w:r>
    </w:p>
    <w:p>
      <w:pPr>
        <w:pStyle w:val="BodyText"/>
        <w:spacing w:line="340" w:lineRule="auto" w:before="68"/>
        <w:ind w:right="0" w:firstLine="420"/>
        <w:jc w:val="left"/>
      </w:pPr>
      <w:r>
        <w:rPr/>
        <w:t>空间拓展维度：公司瞄准信息安全外延不断扩展的契机，以</w:t>
      </w:r>
      <w:r>
        <w:rPr>
          <w:rFonts w:ascii="Times New Roman" w:hAnsi="Times New Roman" w:cs="Times New Roman" w:eastAsia="Times New Roman" w:hint="default"/>
        </w:rPr>
        <w:t>“</w:t>
      </w:r>
      <w:r>
        <w:rPr/>
        <w:t>围绕安全，突破信息</w:t>
      </w:r>
      <w:r>
        <w:rPr>
          <w:rFonts w:ascii="Times New Roman" w:hAnsi="Times New Roman" w:cs="Times New Roman" w:eastAsia="Times New Roman" w:hint="default"/>
        </w:rPr>
        <w:t>”</w:t>
      </w:r>
      <w:r>
        <w:rPr/>
        <w:t>为思路，通过自主 研发、合作研发以及投资并购等方式，初步实现了空间安全拓展。如公司通过收购华炜科技，拓展至电磁 安防等物理安全、军工安全领域；通过收购满泰科技，以行业化的方式切入至工控安全及工业互联网安全 </w:t>
      </w:r>
      <w:r>
        <w:rPr>
          <w:spacing w:val="-3"/>
        </w:rPr>
        <w:t>领域；通过合资设立蓝盾新微，研发出</w:t>
      </w:r>
      <w:r>
        <w:rPr>
          <w:rFonts w:ascii="Times New Roman" w:hAnsi="Times New Roman" w:cs="Times New Roman" w:eastAsia="Times New Roman" w:hint="default"/>
          <w:spacing w:val="-3"/>
        </w:rPr>
        <w:t>VTS</w:t>
      </w:r>
      <w:r>
        <w:rPr>
          <w:spacing w:val="-3"/>
        </w:rPr>
        <w:t>雷达、视频监控雷达，应用于海事、桥梁、港口、机场、边防、</w:t>
      </w:r>
      <w:r>
        <w:rPr>
          <w:spacing w:val="-72"/>
        </w:rPr>
        <w:t> </w:t>
      </w:r>
      <w:r>
        <w:rPr>
          <w:spacing w:val="-72"/>
        </w:rPr>
      </w:r>
      <w:r>
        <w:rPr/>
        <w:t>核电站、智慧城市安防等领域；通过自主研发和技术合作，渗透至视频监控接入安全、车辆信息安全检测</w:t>
      </w:r>
      <w:r>
        <w:rPr/>
        <w:t> 等物联网安全领域。</w:t>
      </w:r>
    </w:p>
    <w:p>
      <w:pPr>
        <w:pStyle w:val="BodyText"/>
        <w:spacing w:line="333" w:lineRule="auto" w:before="77"/>
        <w:ind w:right="1131" w:firstLine="420"/>
        <w:jc w:val="both"/>
      </w:pPr>
      <w:r>
        <w:rPr>
          <w:rFonts w:ascii="Times New Roman" w:hAnsi="Times New Roman" w:cs="Times New Roman" w:eastAsia="Times New Roman" w:hint="default"/>
        </w:rPr>
        <w:t>IT</w:t>
      </w:r>
      <w:r>
        <w:rPr/>
        <w:t>层级突破维度：公司以国家倡导的</w:t>
      </w:r>
      <w:r>
        <w:rPr>
          <w:rFonts w:ascii="Times New Roman" w:hAnsi="Times New Roman" w:cs="Times New Roman" w:eastAsia="Times New Roman" w:hint="default"/>
        </w:rPr>
        <w:t>“</w:t>
      </w:r>
      <w:r>
        <w:rPr/>
        <w:t>自主可控</w:t>
      </w:r>
      <w:r>
        <w:rPr>
          <w:rFonts w:ascii="Times New Roman" w:hAnsi="Times New Roman" w:cs="Times New Roman" w:eastAsia="Times New Roman" w:hint="default"/>
        </w:rPr>
        <w:t>”</w:t>
      </w:r>
      <w:r>
        <w:rPr/>
        <w:t>为思路，在夯实网络安全、数据安全等能力的同时， </w:t>
      </w:r>
      <w:r>
        <w:rPr>
          <w:spacing w:val="-1"/>
        </w:rPr>
        <w:t>通过自主研发以及参股并购等方式，覆盖至移动安全及业务应用安全等业务层级；此外，在云计算技术全</w:t>
      </w:r>
      <w:r>
        <w:rPr>
          <w:spacing w:val="-83"/>
        </w:rPr>
        <w:t> </w:t>
      </w:r>
      <w:r>
        <w:rPr>
          <w:spacing w:val="-83"/>
        </w:rPr>
      </w:r>
      <w:r>
        <w:rPr/>
        <w:t>面应用的背景下，公司提出</w:t>
      </w:r>
      <w:r>
        <w:rPr>
          <w:rFonts w:ascii="Times New Roman" w:hAnsi="Times New Roman" w:cs="Times New Roman" w:eastAsia="Times New Roman" w:hint="default"/>
        </w:rPr>
        <w:t>“</w:t>
      </w:r>
      <w:r>
        <w:rPr/>
        <w:t>云战略</w:t>
      </w:r>
      <w:r>
        <w:rPr>
          <w:rFonts w:ascii="Times New Roman" w:hAnsi="Times New Roman" w:cs="Times New Roman" w:eastAsia="Times New Roman" w:hint="default"/>
        </w:rPr>
        <w:t>”</w:t>
      </w:r>
      <w:r>
        <w:rPr/>
        <w:t>，全面布局云端安全，通过自主研发、业务合作以及增资参股云海麒 麟、精灵云等方式，快速推进</w:t>
      </w:r>
      <w:r>
        <w:rPr>
          <w:rFonts w:ascii="Times New Roman" w:hAnsi="Times New Roman" w:cs="Times New Roman" w:eastAsia="Times New Roman" w:hint="default"/>
        </w:rPr>
        <w:t>“</w:t>
      </w:r>
      <w:r>
        <w:rPr/>
        <w:t>云安全</w:t>
      </w:r>
      <w:r>
        <w:rPr>
          <w:rFonts w:ascii="Times New Roman" w:hAnsi="Times New Roman" w:cs="Times New Roman" w:eastAsia="Times New Roman" w:hint="default"/>
        </w:rPr>
        <w:t>”</w:t>
      </w:r>
      <w:r>
        <w:rPr/>
        <w:t>（虚拟安全器件）及</w:t>
      </w:r>
      <w:r>
        <w:rPr>
          <w:rFonts w:ascii="Times New Roman" w:hAnsi="Times New Roman" w:cs="Times New Roman" w:eastAsia="Times New Roman" w:hint="default"/>
        </w:rPr>
        <w:t>“</w:t>
      </w:r>
      <w:r>
        <w:rPr/>
        <w:t>安全云</w:t>
      </w:r>
      <w:r>
        <w:rPr>
          <w:rFonts w:ascii="Times New Roman" w:hAnsi="Times New Roman" w:cs="Times New Roman" w:eastAsia="Times New Roman" w:hint="default"/>
        </w:rPr>
        <w:t>”</w:t>
      </w:r>
      <w:r>
        <w:rPr/>
        <w:t>等产品形态和业务模式创新，未来还</w:t>
      </w:r>
      <w:r>
        <w:rPr>
          <w:spacing w:val="-85"/>
        </w:rPr>
        <w:t> </w:t>
      </w:r>
      <w:r>
        <w:rPr>
          <w:spacing w:val="-85"/>
        </w:rPr>
      </w:r>
      <w:r>
        <w:rPr/>
        <w:t>将以</w:t>
      </w:r>
      <w:r>
        <w:rPr>
          <w:rFonts w:ascii="Times New Roman" w:hAnsi="Times New Roman" w:cs="Times New Roman" w:eastAsia="Times New Roman" w:hint="default"/>
        </w:rPr>
        <w:t>“</w:t>
      </w:r>
      <w:r>
        <w:rPr/>
        <w:t>云计算</w:t>
      </w:r>
      <w:r>
        <w:rPr>
          <w:rFonts w:ascii="Times New Roman" w:hAnsi="Times New Roman" w:cs="Times New Roman" w:eastAsia="Times New Roman" w:hint="default"/>
        </w:rPr>
        <w:t>IT</w:t>
      </w:r>
      <w:r>
        <w:rPr/>
        <w:t>安全</w:t>
      </w:r>
      <w:r>
        <w:rPr>
          <w:rFonts w:ascii="Times New Roman" w:hAnsi="Times New Roman" w:cs="Times New Roman" w:eastAsia="Times New Roman" w:hint="default"/>
        </w:rPr>
        <w:t>”</w:t>
      </w:r>
      <w:r>
        <w:rPr/>
        <w:t>为切入点，逐步下沉至安全路由交换、安全可信服务器、安全存储、安全芯片等关键</w:t>
      </w:r>
      <w:r>
        <w:rPr>
          <w:spacing w:val="-97"/>
        </w:rPr>
        <w:t> </w:t>
      </w:r>
      <w:r>
        <w:rPr>
          <w:spacing w:val="-97"/>
        </w:rPr>
      </w:r>
      <w:r>
        <w:rPr/>
        <w:t>信息基础设施安全领域。</w:t>
      </w:r>
    </w:p>
    <w:p>
      <w:pPr>
        <w:pStyle w:val="BodyText"/>
        <w:spacing w:line="240" w:lineRule="auto" w:before="83"/>
        <w:ind w:left="1554" w:right="0"/>
        <w:jc w:val="left"/>
      </w:pPr>
      <w:r>
        <w:rPr/>
        <w:t>公司近年来形成的</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战略全景图如下：</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26"/>
          <w:szCs w:val="26"/>
        </w:rPr>
      </w:pPr>
    </w:p>
    <w:p>
      <w:pPr>
        <w:spacing w:line="5784" w:lineRule="exact"/>
        <w:ind w:left="610" w:right="0" w:firstLine="0"/>
        <w:rPr>
          <w:rFonts w:ascii="宋体" w:hAnsi="宋体" w:cs="宋体" w:eastAsia="宋体" w:hint="default"/>
          <w:sz w:val="20"/>
          <w:szCs w:val="20"/>
        </w:rPr>
      </w:pPr>
      <w:r>
        <w:rPr>
          <w:rFonts w:ascii="宋体" w:hAnsi="宋体" w:cs="宋体" w:eastAsia="宋体" w:hint="default"/>
          <w:position w:val="-115"/>
          <w:sz w:val="20"/>
          <w:szCs w:val="20"/>
        </w:rPr>
        <w:drawing>
          <wp:inline distT="0" distB="0" distL="0" distR="0">
            <wp:extent cx="6678177" cy="367284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6678177" cy="3672840"/>
                    </a:xfrm>
                    <a:prstGeom prst="rect">
                      <a:avLst/>
                    </a:prstGeom>
                  </pic:spPr>
                </pic:pic>
              </a:graphicData>
            </a:graphic>
          </wp:inline>
        </w:drawing>
      </w:r>
      <w:r>
        <w:rPr>
          <w:rFonts w:ascii="宋体" w:hAnsi="宋体" w:cs="宋体" w:eastAsia="宋体" w:hint="default"/>
          <w:position w:val="-115"/>
          <w:sz w:val="20"/>
          <w:szCs w:val="20"/>
        </w:rPr>
      </w:r>
    </w:p>
    <w:p>
      <w:pPr>
        <w:spacing w:line="240" w:lineRule="auto" w:before="5"/>
        <w:rPr>
          <w:rFonts w:ascii="宋体" w:hAnsi="宋体" w:cs="宋体" w:eastAsia="宋体" w:hint="default"/>
          <w:sz w:val="6"/>
          <w:szCs w:val="6"/>
        </w:rPr>
      </w:pPr>
    </w:p>
    <w:p>
      <w:pPr>
        <w:spacing w:line="384" w:lineRule="auto" w:before="35"/>
        <w:ind w:left="1556" w:right="3883" w:hanging="63"/>
        <w:jc w:val="left"/>
        <w:rPr>
          <w:rFonts w:ascii="宋体" w:hAnsi="宋体" w:cs="宋体" w:eastAsia="宋体" w:hint="default"/>
          <w:sz w:val="21"/>
          <w:szCs w:val="21"/>
        </w:rPr>
      </w:pPr>
      <w:r>
        <w:rPr>
          <w:rFonts w:ascii="宋体" w:hAnsi="宋体" w:cs="宋体" w:eastAsia="宋体" w:hint="default"/>
          <w:sz w:val="21"/>
          <w:szCs w:val="21"/>
        </w:rPr>
        <w:t>报告期内，公司的主营业务所涉及的产品和服务主要包括以下几方面： </w:t>
      </w:r>
      <w:r>
        <w:rPr>
          <w:rFonts w:ascii="宋体" w:hAnsi="宋体" w:cs="宋体" w:eastAsia="宋体" w:hint="default"/>
          <w:b/>
          <w:bCs/>
          <w:sz w:val="21"/>
          <w:szCs w:val="21"/>
        </w:rPr>
        <w:t>1</w:t>
      </w:r>
      <w:r>
        <w:rPr>
          <w:rFonts w:ascii="宋体" w:hAnsi="宋体" w:cs="宋体" w:eastAsia="宋体" w:hint="default"/>
          <w:b/>
          <w:bCs/>
          <w:sz w:val="21"/>
          <w:szCs w:val="21"/>
        </w:rPr>
        <w:t>、安全及安防产品</w:t>
      </w:r>
      <w:r>
        <w:rPr>
          <w:rFonts w:ascii="宋体" w:hAnsi="宋体" w:cs="宋体" w:eastAsia="宋体" w:hint="default"/>
          <w:sz w:val="21"/>
          <w:szCs w:val="21"/>
        </w:rPr>
      </w:r>
    </w:p>
    <w:p>
      <w:pPr>
        <w:pStyle w:val="BodyText"/>
        <w:spacing w:line="336" w:lineRule="auto" w:before="38"/>
        <w:ind w:right="1024" w:firstLine="420"/>
        <w:jc w:val="left"/>
      </w:pPr>
      <w:r>
        <w:rPr>
          <w:spacing w:val="-6"/>
        </w:rPr>
        <w:t>信息安全产品方面，公司创建性地提出了</w:t>
      </w:r>
      <w:r>
        <w:rPr>
          <w:rFonts w:ascii="Times New Roman" w:hAnsi="Times New Roman" w:cs="Times New Roman" w:eastAsia="Times New Roman" w:hint="default"/>
          <w:spacing w:val="-6"/>
        </w:rPr>
        <w:t>“</w:t>
      </w:r>
      <w:r>
        <w:rPr>
          <w:spacing w:val="-6"/>
        </w:rPr>
        <w:t>主动、自动、联动</w:t>
      </w:r>
      <w:r>
        <w:rPr>
          <w:rFonts w:ascii="Times New Roman" w:hAnsi="Times New Roman" w:cs="Times New Roman" w:eastAsia="Times New Roman" w:hint="default"/>
          <w:spacing w:val="-6"/>
        </w:rPr>
        <w:t>”</w:t>
      </w:r>
      <w:r>
        <w:rPr>
          <w:spacing w:val="-6"/>
        </w:rPr>
        <w:t>的</w:t>
      </w:r>
      <w:r>
        <w:rPr>
          <w:rFonts w:ascii="Times New Roman" w:hAnsi="Times New Roman" w:cs="Times New Roman" w:eastAsia="Times New Roman" w:hint="default"/>
          <w:spacing w:val="-6"/>
        </w:rPr>
        <w:t>“</w:t>
      </w:r>
      <w:r>
        <w:rPr>
          <w:spacing w:val="-6"/>
        </w:rPr>
        <w:t>动立方</w:t>
      </w:r>
      <w:r>
        <w:rPr>
          <w:rFonts w:ascii="Times New Roman" w:hAnsi="Times New Roman" w:cs="Times New Roman" w:eastAsia="Times New Roman" w:hint="default"/>
          <w:spacing w:val="-6"/>
        </w:rPr>
        <w:t>”</w:t>
      </w:r>
      <w:r>
        <w:rPr>
          <w:spacing w:val="-6"/>
        </w:rPr>
        <w:t>产品理念，并形成了完整的</w:t>
      </w:r>
      <w:r>
        <w:rPr>
          <w:rFonts w:ascii="Times New Roman" w:hAnsi="Times New Roman" w:cs="Times New Roman" w:eastAsia="Times New Roman" w:hint="default"/>
          <w:spacing w:val="-6"/>
        </w:rPr>
        <w:t>“</w:t>
      </w:r>
      <w:r>
        <w:rPr>
          <w:spacing w:val="-6"/>
        </w:rPr>
        <w:t>智</w:t>
      </w:r>
      <w:r>
        <w:rPr/>
        <w:t> 慧安全</w:t>
      </w:r>
      <w:r>
        <w:rPr>
          <w:rFonts w:ascii="Times New Roman" w:hAnsi="Times New Roman" w:cs="Times New Roman" w:eastAsia="Times New Roman" w:hint="default"/>
        </w:rPr>
        <w:t>”</w:t>
      </w:r>
      <w:r>
        <w:rPr/>
        <w:t>产品体系。从产品类型来看，公司的安全产品涵盖了云安全、边界安全、应用安全、审计安全、</w:t>
      </w:r>
      <w:r>
        <w:rPr>
          <w:spacing w:val="-25"/>
        </w:rPr>
        <w:t> </w:t>
      </w:r>
      <w:r>
        <w:rPr>
          <w:spacing w:val="-25"/>
        </w:rPr>
      </w:r>
      <w:r>
        <w:rPr>
          <w:spacing w:val="-3"/>
        </w:rPr>
        <w:t>安全管理、物理空间安全等类型，各项产品均通过国家公安、安全、保密、军队等权威主管部门检测认证，</w:t>
      </w:r>
      <w:r>
        <w:rPr>
          <w:spacing w:val="-94"/>
        </w:rPr>
        <w:t> </w:t>
      </w:r>
      <w:r>
        <w:rPr>
          <w:spacing w:val="-94"/>
        </w:rPr>
      </w:r>
      <w:r>
        <w:rPr/>
        <w:t>并实现了全线安全产品的人工智能化。公司主要产品情况如下：</w:t>
      </w:r>
    </w:p>
    <w:p>
      <w:pPr>
        <w:pStyle w:val="BodyText"/>
        <w:spacing w:line="336" w:lineRule="auto" w:before="81"/>
        <w:ind w:right="1132" w:firstLine="420"/>
        <w:jc w:val="both"/>
      </w:pPr>
      <w:r>
        <w:rPr/>
        <w:t>（</w:t>
      </w:r>
      <w:r>
        <w:rPr>
          <w:rFonts w:ascii="宋体" w:hAnsi="宋体" w:cs="宋体" w:eastAsia="宋体" w:hint="default"/>
        </w:rPr>
        <w:t>1</w:t>
      </w:r>
      <w:r>
        <w:rPr/>
        <w:t>）云安全产品：蓝盾云安全产品基于信息系统安全等级保护要求、</w:t>
      </w:r>
      <w:r>
        <w:rPr>
          <w:rFonts w:ascii="Times New Roman" w:hAnsi="Times New Roman" w:cs="Times New Roman" w:eastAsia="Times New Roman" w:hint="default"/>
        </w:rPr>
        <w:t>CSA</w:t>
      </w:r>
      <w:r>
        <w:rPr/>
        <w:t>安全技术标准要求，可对 </w:t>
      </w:r>
      <w:r>
        <w:rPr>
          <w:spacing w:val="-1"/>
        </w:rPr>
        <w:t>云内网络和通信安全、设备和计算安全、应用和数据安全进行防护，可按需灵活部署，实现云租户自定义</w:t>
      </w:r>
      <w:r>
        <w:rPr>
          <w:spacing w:val="-86"/>
        </w:rPr>
        <w:t> </w:t>
      </w:r>
      <w:r>
        <w:rPr>
          <w:spacing w:val="-86"/>
        </w:rPr>
      </w:r>
      <w:r>
        <w:rPr>
          <w:spacing w:val="-2"/>
        </w:rPr>
        <w:t>安全能力，主要包括虚拟防火墙、虚拟</w:t>
      </w:r>
      <w:r>
        <w:rPr>
          <w:rFonts w:ascii="Times New Roman" w:hAnsi="Times New Roman" w:cs="Times New Roman" w:eastAsia="Times New Roman" w:hint="default"/>
          <w:spacing w:val="-2"/>
        </w:rPr>
        <w:t>SOC</w:t>
      </w:r>
      <w:r>
        <w:rPr>
          <w:spacing w:val="-2"/>
        </w:rPr>
        <w:t>、虚拟堡垒机、虚拟网页防篡改、虚拟漏扫、虚拟</w:t>
      </w:r>
      <w:r>
        <w:rPr>
          <w:rFonts w:ascii="Times New Roman" w:hAnsi="Times New Roman" w:cs="Times New Roman" w:eastAsia="Times New Roman" w:hint="default"/>
          <w:spacing w:val="-2"/>
        </w:rPr>
        <w:t>WAF</w:t>
      </w:r>
      <w:r>
        <w:rPr>
          <w:spacing w:val="-2"/>
        </w:rPr>
        <w:t>、虚拟</w:t>
      </w:r>
      <w:r>
        <w:rPr>
          <w:spacing w:val="-75"/>
        </w:rPr>
        <w:t> </w:t>
      </w:r>
      <w:r>
        <w:rPr>
          <w:spacing w:val="-75"/>
        </w:rPr>
      </w:r>
      <w:r>
        <w:rPr/>
        <w:t>上网行为审计、虚拟数据库审计等产品。</w:t>
      </w:r>
    </w:p>
    <w:p>
      <w:pPr>
        <w:pStyle w:val="BodyText"/>
        <w:spacing w:line="331" w:lineRule="auto" w:before="81"/>
        <w:ind w:left="1134" w:right="1132" w:firstLine="420"/>
        <w:jc w:val="both"/>
      </w:pPr>
      <w:r>
        <w:rPr/>
        <w:t>（</w:t>
      </w:r>
      <w:r>
        <w:rPr>
          <w:rFonts w:ascii="Times New Roman" w:hAnsi="Times New Roman" w:cs="Times New Roman" w:eastAsia="Times New Roman" w:hint="default"/>
        </w:rPr>
        <w:t>2</w:t>
      </w:r>
      <w:r>
        <w:rPr/>
        <w:t>）边界安全产品：部署在安全域的边界上，用于防御安全域外部对内部网络</w:t>
      </w:r>
      <w:r>
        <w:rPr>
          <w:rFonts w:ascii="Times New Roman" w:hAnsi="Times New Roman" w:cs="Times New Roman" w:eastAsia="Times New Roman" w:hint="default"/>
        </w:rPr>
        <w:t>/</w:t>
      </w:r>
      <w:r>
        <w:rPr/>
        <w:t>主机设备进行攻击、 </w:t>
      </w:r>
      <w:r>
        <w:rPr>
          <w:spacing w:val="-2"/>
        </w:rPr>
        <w:t>渗透或安全域内部网络</w:t>
      </w:r>
      <w:r>
        <w:rPr>
          <w:rFonts w:ascii="Times New Roman" w:hAnsi="Times New Roman" w:cs="Times New Roman" w:eastAsia="Times New Roman" w:hint="default"/>
          <w:spacing w:val="-2"/>
        </w:rPr>
        <w:t>/</w:t>
      </w:r>
      <w:r>
        <w:rPr>
          <w:spacing w:val="-2"/>
        </w:rPr>
        <w:t>主机设备向外部泄漏敏感信息的信息安全产品，主要包括防火墙、</w:t>
      </w:r>
      <w:r>
        <w:rPr>
          <w:rFonts w:ascii="Times New Roman" w:hAnsi="Times New Roman" w:cs="Times New Roman" w:eastAsia="Times New Roman" w:hint="default"/>
          <w:spacing w:val="-2"/>
        </w:rPr>
        <w:t>AI</w:t>
      </w:r>
      <w:r>
        <w:rPr>
          <w:spacing w:val="-2"/>
        </w:rPr>
        <w:t>防火墙、防毒</w:t>
      </w:r>
      <w:r>
        <w:rPr/>
        <w:t> 墙、入侵检测系统、入侵防御系统、漏洞扫描系统、</w:t>
      </w:r>
      <w:r>
        <w:rPr>
          <w:rFonts w:ascii="Times New Roman" w:hAnsi="Times New Roman" w:cs="Times New Roman" w:eastAsia="Times New Roman" w:hint="default"/>
        </w:rPr>
        <w:t>VPN</w:t>
      </w:r>
      <w:r>
        <w:rPr/>
        <w:t>安全网关、</w:t>
      </w:r>
      <w:r>
        <w:rPr>
          <w:rFonts w:ascii="Times New Roman" w:hAnsi="Times New Roman" w:cs="Times New Roman" w:eastAsia="Times New Roman" w:hint="default"/>
        </w:rPr>
        <w:t>DDoS</w:t>
      </w:r>
      <w:r>
        <w:rPr/>
        <w:t>防御网关、网闸、流量控制管</w:t>
      </w:r>
      <w:r>
        <w:rPr>
          <w:spacing w:val="-31"/>
        </w:rPr>
        <w:t> </w:t>
      </w:r>
      <w:r>
        <w:rPr>
          <w:spacing w:val="-31"/>
        </w:rPr>
      </w:r>
      <w:r>
        <w:rPr/>
        <w:t>理系统、综合安全网关、安全隔离与信息交换系统等产品。</w:t>
      </w:r>
    </w:p>
    <w:p>
      <w:pPr>
        <w:pStyle w:val="BodyText"/>
        <w:spacing w:line="343" w:lineRule="auto" w:before="84"/>
        <w:ind w:left="1134" w:right="1131" w:firstLine="420"/>
        <w:jc w:val="both"/>
      </w:pPr>
      <w:r>
        <w:rPr/>
        <w:t>（</w:t>
      </w:r>
      <w:r>
        <w:rPr>
          <w:rFonts w:ascii="Times New Roman" w:hAnsi="Times New Roman" w:cs="Times New Roman" w:eastAsia="Times New Roman" w:hint="default"/>
        </w:rPr>
        <w:t>3</w:t>
      </w:r>
      <w:r>
        <w:rPr/>
        <w:t>）安全管理产品：在统一的管理平台系统中集成了终端管理、网络管理、业务系统管理、资产管 </w:t>
      </w:r>
      <w:r>
        <w:rPr>
          <w:spacing w:val="-1"/>
        </w:rPr>
        <w:t>理等诸多功能，对内部网络安全域内所有计算机以及网络资源上的重要信息进行安全管理的产品，主要包</w:t>
      </w:r>
      <w:r>
        <w:rPr>
          <w:spacing w:val="-81"/>
        </w:rPr>
        <w:t> </w:t>
      </w:r>
      <w:r>
        <w:rPr>
          <w:spacing w:val="-81"/>
        </w:rPr>
      </w:r>
      <w:r>
        <w:rPr>
          <w:spacing w:val="-1"/>
        </w:rPr>
        <w:t>括态势感知平台、安全综合运维管理平台、内网安全管理及审计系统、业务监控系统、网络准入系统、移</w:t>
      </w:r>
      <w:r>
        <w:rPr>
          <w:spacing w:val="-83"/>
        </w:rPr>
        <w:t> </w:t>
      </w:r>
      <w:r>
        <w:rPr>
          <w:spacing w:val="-83"/>
        </w:rPr>
      </w:r>
      <w:r>
        <w:rPr/>
        <w:t>动存储介质安全管理系统、磁盘加密管理系统、</w:t>
      </w:r>
      <w:r>
        <w:rPr>
          <w:rFonts w:ascii="Times New Roman" w:hAnsi="Times New Roman" w:cs="Times New Roman" w:eastAsia="Times New Roman" w:hint="default"/>
        </w:rPr>
        <w:t>MAC-</w:t>
      </w:r>
      <w:r>
        <w:rPr/>
        <w:t>接入管理系统等产品。</w:t>
      </w:r>
    </w:p>
    <w:p>
      <w:pPr>
        <w:pStyle w:val="BodyText"/>
        <w:spacing w:line="240" w:lineRule="auto" w:before="49"/>
        <w:ind w:left="1554" w:right="0"/>
        <w:jc w:val="left"/>
      </w:pPr>
      <w:r>
        <w:rPr/>
        <w:t>（</w:t>
      </w:r>
      <w:r>
        <w:rPr>
          <w:rFonts w:ascii="Times New Roman" w:hAnsi="Times New Roman" w:cs="Times New Roman" w:eastAsia="Times New Roman" w:hint="default"/>
        </w:rPr>
        <w:t>4</w:t>
      </w:r>
      <w:r>
        <w:rPr/>
        <w:t>）应用安全产品：部署在特定的应用系统中，用于保障应用安全的信息安全产品，主要包括网页</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right="1117"/>
        <w:jc w:val="left"/>
      </w:pPr>
      <w:r>
        <w:rPr/>
        <w:t>防篡改保护系统、</w:t>
      </w:r>
      <w:r>
        <w:rPr>
          <w:rFonts w:ascii="Times New Roman" w:hAnsi="Times New Roman" w:cs="Times New Roman" w:eastAsia="Times New Roman" w:hint="default"/>
        </w:rPr>
        <w:t>Web</w:t>
      </w:r>
      <w:r>
        <w:rPr/>
        <w:t>应用防护系统、电子文档安全管理系统、反垃圾邮件系统、服务器管理系统、黑客 追踪系统等产品。</w:t>
      </w:r>
    </w:p>
    <w:p>
      <w:pPr>
        <w:pStyle w:val="BodyText"/>
        <w:spacing w:line="343" w:lineRule="auto" w:before="88"/>
        <w:ind w:right="1131" w:firstLine="420"/>
        <w:jc w:val="both"/>
      </w:pPr>
      <w:r>
        <w:rPr/>
        <w:t>（</w:t>
      </w:r>
      <w:r>
        <w:rPr>
          <w:rFonts w:ascii="Times New Roman" w:hAnsi="Times New Roman" w:cs="Times New Roman" w:eastAsia="Times New Roman" w:hint="default"/>
        </w:rPr>
        <w:t>5</w:t>
      </w:r>
      <w:r>
        <w:rPr/>
        <w:t>）审计安全产品：通过网络数据的采集、分析、识别，实时动态监测通信内容、网络行为和网络 </w:t>
      </w:r>
      <w:r>
        <w:rPr>
          <w:spacing w:val="-1"/>
        </w:rPr>
        <w:t>流量，发现和捕获各种敏感信息、入侵行为和违规行为，实时报警响应并为用户提供取证手段的信息安全</w:t>
      </w:r>
      <w:r>
        <w:rPr>
          <w:spacing w:val="-83"/>
        </w:rPr>
        <w:t> </w:t>
      </w:r>
      <w:r>
        <w:rPr>
          <w:spacing w:val="-83"/>
        </w:rPr>
      </w:r>
      <w:r>
        <w:rPr>
          <w:spacing w:val="-1"/>
        </w:rPr>
        <w:t>产品，主要包括业务应用安全审计平台、信息安全管理审计系统、账号集中管理与审计系统、数据库及业</w:t>
      </w:r>
      <w:r>
        <w:rPr>
          <w:spacing w:val="-86"/>
        </w:rPr>
        <w:t> </w:t>
      </w:r>
      <w:r>
        <w:rPr>
          <w:spacing w:val="-86"/>
        </w:rPr>
      </w:r>
      <w:r>
        <w:rPr/>
        <w:t>务应用安全监控审计系统、互联网审计系统、全网搜索系统等产品。</w:t>
      </w:r>
    </w:p>
    <w:p>
      <w:pPr>
        <w:pStyle w:val="BodyText"/>
        <w:spacing w:line="338" w:lineRule="auto" w:before="75"/>
        <w:ind w:right="1133" w:firstLine="420"/>
        <w:jc w:val="both"/>
      </w:pPr>
      <w:r>
        <w:rPr/>
        <w:t>（</w:t>
      </w:r>
      <w:r>
        <w:rPr>
          <w:rFonts w:ascii="Times New Roman" w:hAnsi="Times New Roman" w:cs="Times New Roman" w:eastAsia="Times New Roman" w:hint="default"/>
        </w:rPr>
        <w:t>6</w:t>
      </w:r>
      <w:r>
        <w:rPr/>
        <w:t>）物理空间安全产品：用以保护环境、设备、设施以及介质免遭物理破坏以及维护公共空间安防 </w:t>
      </w:r>
      <w:r>
        <w:rPr>
          <w:spacing w:val="-1"/>
        </w:rPr>
        <w:t>等安全产品，主要包括电磁安防系列产品、安防雷达系列产品、车辆信息安全检测、工控安全监测及自动</w:t>
      </w:r>
      <w:r>
        <w:rPr>
          <w:spacing w:val="-86"/>
        </w:rPr>
        <w:t> </w:t>
      </w:r>
      <w:r>
        <w:rPr>
          <w:spacing w:val="-86"/>
        </w:rPr>
      </w:r>
      <w:r>
        <w:rPr/>
        <w:t>化等产品。</w:t>
      </w:r>
    </w:p>
    <w:p>
      <w:pPr>
        <w:pStyle w:val="BodyText"/>
        <w:spacing w:line="362" w:lineRule="auto" w:before="79"/>
        <w:ind w:left="1553" w:right="0" w:firstLine="2"/>
        <w:jc w:val="left"/>
      </w:pPr>
      <w:r>
        <w:rPr>
          <w:rFonts w:ascii="Times New Roman" w:hAnsi="Times New Roman" w:cs="Times New Roman" w:eastAsia="Times New Roman" w:hint="default"/>
          <w:b/>
          <w:bCs/>
        </w:rPr>
        <w:t>2</w:t>
      </w:r>
      <w:r>
        <w:rPr>
          <w:rFonts w:ascii="宋体" w:hAnsi="宋体" w:cs="宋体" w:eastAsia="宋体" w:hint="default"/>
          <w:b/>
          <w:bCs/>
        </w:rPr>
        <w:t>、安全及安防方案</w:t>
      </w:r>
      <w:r>
        <w:rPr>
          <w:rFonts w:ascii="宋体" w:hAnsi="宋体" w:cs="宋体" w:eastAsia="宋体" w:hint="default"/>
          <w:b/>
          <w:bCs/>
          <w:w w:val="99"/>
        </w:rPr>
        <w:t> </w:t>
      </w:r>
      <w:r>
        <w:rPr>
          <w:spacing w:val="3"/>
        </w:rPr>
        <w:t>随着我国信息化及互联网化的深入发展，客户对信息安全的需求已不仅仅停留在安全产品堆叠的层</w:t>
      </w:r>
    </w:p>
    <w:p>
      <w:pPr>
        <w:pStyle w:val="BodyText"/>
        <w:spacing w:line="348" w:lineRule="auto" w:before="17"/>
        <w:ind w:right="1024"/>
        <w:jc w:val="left"/>
      </w:pPr>
      <w:r>
        <w:rPr/>
        <w:t>面，更需要把安全作为系统搭建的基础及核心考虑因素之一，从而构建智能、联动、全面、可感知的整体 安全防护体系。同时，随着虚拟化、云计算技术的广泛应用，信息安全行业的竞争逐渐从安全产品的竞争 发展成为安全能力及安全解决方案的竞争。公司作为国内最早的信息安全解决方案提供商之一，通过多年 来的行业积累，以行业最佳实践和国际标准为基础，组建了蓝盾解决方案中心，全面推进</w:t>
      </w:r>
      <w:r>
        <w:rPr>
          <w:rFonts w:ascii="Times New Roman" w:hAnsi="Times New Roman" w:cs="Times New Roman" w:eastAsia="Times New Roman" w:hint="default"/>
        </w:rPr>
        <w:t>“</w:t>
      </w:r>
      <w:r>
        <w:rPr/>
        <w:t>解决方案驱动</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的新模式，将公司的行业经验、产品研发经验与客户需求进行提炼，结合新技术的应用，形成以解决行业 </w:t>
      </w:r>
      <w:r>
        <w:rPr>
          <w:spacing w:val="-3"/>
        </w:rPr>
        <w:t>发展需求为基础的最佳安全解决方案。公司目前已在政府、公安、教育、军工、医疗、电信、金融、交通、</w:t>
      </w:r>
      <w:r>
        <w:rPr>
          <w:spacing w:val="-94"/>
        </w:rPr>
        <w:t> </w:t>
      </w:r>
      <w:r>
        <w:rPr>
          <w:spacing w:val="-94"/>
        </w:rPr>
      </w:r>
      <w:r>
        <w:rPr/>
        <w:t>电力、制造、税务、环保、运营商等十多个行业以及等级保护、分级保护、数据安全、网站安全、应急管</w:t>
      </w:r>
      <w:r>
        <w:rPr/>
        <w:t> 理、区域信息化、安全教育校企合作、安全整体外包服务、安全综合管理等应用领域形成成熟的一站式安 全解决方案，并通过行业化营销的方式，在各大行业迅速渗透。</w:t>
      </w:r>
    </w:p>
    <w:p>
      <w:pPr>
        <w:pStyle w:val="BodyText"/>
        <w:spacing w:line="362" w:lineRule="auto" w:before="70"/>
        <w:ind w:left="1553" w:right="1093" w:firstLine="2"/>
        <w:jc w:val="left"/>
      </w:pPr>
      <w:r>
        <w:rPr>
          <w:rFonts w:ascii="Times New Roman" w:hAnsi="Times New Roman" w:cs="Times New Roman" w:eastAsia="Times New Roman" w:hint="default"/>
          <w:b/>
          <w:bCs/>
        </w:rPr>
        <w:t>3</w:t>
      </w:r>
      <w:r>
        <w:rPr>
          <w:rFonts w:ascii="宋体" w:hAnsi="宋体" w:cs="宋体" w:eastAsia="宋体" w:hint="default"/>
          <w:b/>
          <w:bCs/>
        </w:rPr>
        <w:t>、安全及安防服务</w:t>
      </w:r>
      <w:r>
        <w:rPr>
          <w:rFonts w:ascii="宋体" w:hAnsi="宋体" w:cs="宋体" w:eastAsia="宋体" w:hint="default"/>
          <w:b/>
          <w:bCs/>
          <w:w w:val="99"/>
        </w:rPr>
        <w:t> </w:t>
      </w:r>
      <w:r>
        <w:rPr/>
        <w:t>信息安全服务方面，公司根据客户的实际需求，提供包括紧急响应服务、等级保护、网络安全评估、</w:t>
      </w:r>
    </w:p>
    <w:p>
      <w:pPr>
        <w:pStyle w:val="BodyText"/>
        <w:spacing w:line="340" w:lineRule="auto" w:before="17"/>
        <w:ind w:right="1110"/>
        <w:jc w:val="both"/>
      </w:pPr>
      <w:r>
        <w:rPr/>
        <w:t>系统集成与安装服务、软件开发服务、技术支持、远程监控服务、网络防病毒服务、安全管理策略服务、 </w:t>
      </w:r>
      <w:r>
        <w:rPr>
          <w:spacing w:val="-1"/>
        </w:rPr>
        <w:t>安全培训服务、安全信息通告服务、安全巡检服务、数据库专项服务、安全加固服务、</w:t>
      </w:r>
      <w:r>
        <w:rPr>
          <w:rFonts w:ascii="Times New Roman" w:hAnsi="Times New Roman" w:cs="Times New Roman" w:eastAsia="Times New Roman" w:hint="default"/>
          <w:spacing w:val="-1"/>
        </w:rPr>
        <w:t>ISO27000</w:t>
      </w:r>
      <w:r>
        <w:rPr>
          <w:spacing w:val="-1"/>
        </w:rPr>
        <w:t>体系建设</w:t>
      </w:r>
      <w:r>
        <w:rPr/>
        <w:t> 服务、业务流评估服务、体系建设咨询、安全事件处置和应急预案服务等全方位的专业安全服务。此外， </w:t>
      </w:r>
      <w:r>
        <w:rPr>
          <w:spacing w:val="-1"/>
        </w:rPr>
        <w:t>公司依托完整的云安全系列产品，将不断完善云安全运营服务体系，通过建设一站式安全云计算体系，全</w:t>
      </w:r>
      <w:r>
        <w:rPr>
          <w:spacing w:val="-82"/>
        </w:rPr>
        <w:t> </w:t>
      </w:r>
      <w:r>
        <w:rPr>
          <w:spacing w:val="-82"/>
        </w:rPr>
      </w:r>
      <w:r>
        <w:rPr/>
        <w:t>方位升级公司的云端安全防护服务能力水平，并通过自建以及与</w:t>
      </w:r>
      <w:r>
        <w:rPr>
          <w:rFonts w:ascii="Times New Roman" w:hAnsi="Times New Roman" w:cs="Times New Roman" w:eastAsia="Times New Roman" w:hint="default"/>
        </w:rPr>
        <w:t>IDC</w:t>
      </w:r>
      <w:r>
        <w:rPr/>
        <w:t>、电信运营商合作运营等模式，将云</w:t>
      </w:r>
      <w:r>
        <w:rPr>
          <w:spacing w:val="-74"/>
        </w:rPr>
        <w:t> </w:t>
      </w:r>
      <w:r>
        <w:rPr>
          <w:spacing w:val="-74"/>
        </w:rPr>
      </w:r>
      <w:r>
        <w:rPr/>
        <w:t>计算解决方案能力及云安全服务能力打造为公司的核心能力之一。</w:t>
      </w:r>
    </w:p>
    <w:p>
      <w:pPr>
        <w:spacing w:line="362" w:lineRule="auto" w:before="77"/>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、电子商务推广运营服务</w:t>
      </w:r>
      <w:r>
        <w:rPr>
          <w:rFonts w:ascii="宋体" w:hAnsi="宋体" w:cs="宋体" w:eastAsia="宋体" w:hint="default"/>
          <w:b/>
          <w:bCs/>
          <w:w w:val="99"/>
          <w:sz w:val="21"/>
          <w:szCs w:val="21"/>
        </w:rPr>
        <w:t> </w:t>
      </w:r>
      <w:r>
        <w:rPr>
          <w:rFonts w:ascii="宋体" w:hAnsi="宋体" w:cs="宋体" w:eastAsia="宋体" w:hint="default"/>
          <w:spacing w:val="-1"/>
          <w:sz w:val="21"/>
          <w:szCs w:val="21"/>
        </w:rPr>
        <w:t>公司全资子公司中经电商及汇通宝作为公司电子商务推广运营服务业务的运营主体，利用互联网搭建</w:t>
      </w:r>
    </w:p>
    <w:p>
      <w:pPr>
        <w:pStyle w:val="BodyText"/>
        <w:spacing w:line="350" w:lineRule="auto" w:before="19"/>
        <w:ind w:right="1024"/>
        <w:jc w:val="left"/>
      </w:pPr>
      <w:r>
        <w:rPr/>
        <w:t>的电子商务网络及平台向以油品零售商户、商场、超市、餐饮、汽车服务等其他商户提供网络营销、运营 </w:t>
      </w:r>
      <w:r>
        <w:rPr>
          <w:spacing w:val="-3"/>
        </w:rPr>
        <w:t>管理、客户管理以及积分管理等一系列推广运营服务，目前其业务范围已经覆盖广东、福建、上海、湖北、</w:t>
      </w:r>
      <w:r>
        <w:rPr>
          <w:spacing w:val="-94"/>
        </w:rPr>
        <w:t> </w:t>
      </w:r>
      <w:r>
        <w:rPr>
          <w:spacing w:val="-94"/>
        </w:rPr>
      </w:r>
      <w:r>
        <w:rPr/>
        <w:t>湖南等多个省市。基于为合作商户提供的推广运营管理等服务，中经电商会在结算期间内根据其用户消费</w:t>
      </w:r>
      <w:r>
        <w:rPr/>
        <w:t> </w:t>
      </w:r>
      <w:r>
        <w:rPr>
          <w:spacing w:val="-2"/>
        </w:rPr>
        <w:t>的商品数量</w:t>
      </w:r>
      <w:r>
        <w:rPr>
          <w:rFonts w:ascii="Times New Roman" w:hAnsi="Times New Roman" w:cs="Times New Roman" w:eastAsia="Times New Roman" w:hint="default"/>
          <w:spacing w:val="-2"/>
        </w:rPr>
        <w:t>/</w:t>
      </w:r>
      <w:r>
        <w:rPr>
          <w:spacing w:val="-2"/>
        </w:rPr>
        <w:t>金额按一定的结算标准自合作商户结算取得服务费收入。</w:t>
      </w:r>
      <w:r>
        <w:rPr>
          <w:rFonts w:ascii="Times New Roman" w:hAnsi="Times New Roman" w:cs="Times New Roman" w:eastAsia="Times New Roman" w:hint="default"/>
          <w:spacing w:val="-2"/>
        </w:rPr>
        <w:t>2017</w:t>
      </w:r>
      <w:r>
        <w:rPr>
          <w:spacing w:val="-2"/>
        </w:rPr>
        <w:t>年度，中经电商及汇通宝通过电</w:t>
      </w:r>
    </w:p>
    <w:p>
      <w:pPr>
        <w:spacing w:after="0" w:line="35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right="0"/>
        <w:jc w:val="left"/>
      </w:pPr>
      <w:r>
        <w:rPr>
          <w:spacing w:val="-2"/>
        </w:rPr>
        <w:t>子商务推广运营而产生的交易金额达到</w:t>
      </w:r>
      <w:r>
        <w:rPr>
          <w:rFonts w:ascii="Times New Roman" w:hAnsi="Times New Roman" w:cs="Times New Roman" w:eastAsia="Times New Roman" w:hint="default"/>
          <w:spacing w:val="-2"/>
        </w:rPr>
        <w:t>44.17</w:t>
      </w:r>
      <w:r>
        <w:rPr>
          <w:spacing w:val="-2"/>
        </w:rPr>
        <w:t>亿元，具体交易结构及截至报告期末的用户数量、合作商户数</w:t>
      </w:r>
      <w:r>
        <w:rPr>
          <w:spacing w:val="-84"/>
        </w:rPr>
        <w:t> </w:t>
      </w:r>
      <w:r>
        <w:rPr>
          <w:spacing w:val="-84"/>
        </w:rPr>
      </w:r>
      <w:r>
        <w:rPr/>
        <w:t>量情况如下：</w:t>
      </w:r>
    </w:p>
    <w:tbl>
      <w:tblPr>
        <w:tblW w:w="0" w:type="auto"/>
        <w:jc w:val="left"/>
        <w:tblInd w:w="1126" w:type="dxa"/>
        <w:tblLayout w:type="fixed"/>
        <w:tblCellMar>
          <w:top w:w="0" w:type="dxa"/>
          <w:left w:w="0" w:type="dxa"/>
          <w:bottom w:w="0" w:type="dxa"/>
          <w:right w:w="0" w:type="dxa"/>
        </w:tblCellMar>
        <w:tblLook w:val="01E0"/>
      </w:tblPr>
      <w:tblGrid>
        <w:gridCol w:w="2410"/>
        <w:gridCol w:w="2411"/>
        <w:gridCol w:w="2410"/>
        <w:gridCol w:w="2410"/>
      </w:tblGrid>
      <w:tr>
        <w:trPr>
          <w:trHeight w:val="427" w:hRule="exact"/>
        </w:trPr>
        <w:tc>
          <w:tcPr>
            <w:tcW w:w="96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根据合作商户类型分类</w:t>
            </w:r>
            <w:r>
              <w:rPr>
                <w:rFonts w:ascii="宋体" w:hAnsi="宋体" w:cs="宋体" w:eastAsia="宋体" w:hint="default"/>
                <w:sz w:val="18"/>
                <w:szCs w:val="18"/>
              </w:rPr>
            </w:r>
          </w:p>
        </w:tc>
      </w:tr>
      <w:tr>
        <w:trPr>
          <w:trHeight w:val="42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合作商户类型</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合作商户数量（个）</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交易金额（元）</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交易金额占比</w:t>
            </w:r>
          </w:p>
        </w:tc>
      </w:tr>
      <w:tr>
        <w:trPr>
          <w:trHeight w:val="42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油品合作商户</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4,720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2" w:right="0"/>
              <w:jc w:val="center"/>
              <w:rPr>
                <w:rFonts w:ascii="Times New Roman" w:hAnsi="Times New Roman" w:cs="Times New Roman" w:eastAsia="Times New Roman" w:hint="default"/>
                <w:sz w:val="18"/>
                <w:szCs w:val="18"/>
              </w:rPr>
            </w:pPr>
            <w:r>
              <w:rPr>
                <w:rFonts w:ascii="Times New Roman"/>
                <w:sz w:val="18"/>
              </w:rPr>
              <w:t>3,526,371,110.55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79.84%</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非油品合作商户</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11,470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890,509,271.06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w:t>
            </w:r>
          </w:p>
        </w:tc>
      </w:tr>
      <w:tr>
        <w:trPr>
          <w:trHeight w:val="42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16,190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2" w:right="0"/>
              <w:jc w:val="center"/>
              <w:rPr>
                <w:rFonts w:ascii="Times New Roman" w:hAnsi="Times New Roman" w:cs="Times New Roman" w:eastAsia="Times New Roman" w:hint="default"/>
                <w:sz w:val="18"/>
                <w:szCs w:val="18"/>
              </w:rPr>
            </w:pPr>
            <w:r>
              <w:rPr>
                <w:rFonts w:ascii="Times New Roman"/>
                <w:sz w:val="18"/>
              </w:rPr>
              <w:t>4,416,880,381.61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4"/>
        <w:rPr>
          <w:rFonts w:ascii="宋体" w:hAnsi="宋体" w:cs="宋体" w:eastAsia="宋体" w:hint="default"/>
          <w:sz w:val="19"/>
          <w:szCs w:val="19"/>
        </w:rPr>
      </w:pPr>
    </w:p>
    <w:tbl>
      <w:tblPr>
        <w:tblW w:w="0" w:type="auto"/>
        <w:jc w:val="left"/>
        <w:tblInd w:w="1126" w:type="dxa"/>
        <w:tblLayout w:type="fixed"/>
        <w:tblCellMar>
          <w:top w:w="0" w:type="dxa"/>
          <w:left w:w="0" w:type="dxa"/>
          <w:bottom w:w="0" w:type="dxa"/>
          <w:right w:w="0" w:type="dxa"/>
        </w:tblCellMar>
        <w:tblLook w:val="01E0"/>
      </w:tblPr>
      <w:tblGrid>
        <w:gridCol w:w="2410"/>
        <w:gridCol w:w="2411"/>
        <w:gridCol w:w="2410"/>
        <w:gridCol w:w="2410"/>
      </w:tblGrid>
      <w:tr>
        <w:trPr>
          <w:trHeight w:val="426" w:hRule="exact"/>
        </w:trPr>
        <w:tc>
          <w:tcPr>
            <w:tcW w:w="96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根据客户类型分类</w:t>
            </w:r>
            <w:r>
              <w:rPr>
                <w:rFonts w:ascii="宋体" w:hAnsi="宋体" w:cs="宋体" w:eastAsia="宋体" w:hint="default"/>
                <w:sz w:val="18"/>
                <w:szCs w:val="18"/>
              </w:rPr>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客户类型</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客户数量（个）</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交易金额（元）</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交易金额占比</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机构用户</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13,777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2" w:right="0"/>
              <w:jc w:val="center"/>
              <w:rPr>
                <w:rFonts w:ascii="Times New Roman" w:hAnsi="Times New Roman" w:cs="Times New Roman" w:eastAsia="Times New Roman" w:hint="default"/>
                <w:sz w:val="18"/>
                <w:szCs w:val="18"/>
              </w:rPr>
            </w:pPr>
            <w:r>
              <w:rPr>
                <w:rFonts w:ascii="Times New Roman"/>
                <w:sz w:val="18"/>
              </w:rPr>
              <w:t>1,656,388,866.72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37.50%</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个人用户</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12,226,548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2" w:right="0"/>
              <w:jc w:val="center"/>
              <w:rPr>
                <w:rFonts w:ascii="Times New Roman" w:hAnsi="Times New Roman" w:cs="Times New Roman" w:eastAsia="Times New Roman" w:hint="default"/>
                <w:sz w:val="18"/>
                <w:szCs w:val="18"/>
              </w:rPr>
            </w:pPr>
            <w:r>
              <w:rPr>
                <w:rFonts w:ascii="Times New Roman"/>
                <w:sz w:val="18"/>
              </w:rPr>
              <w:t>2,760,491,514.89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62.50%</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12,240,325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2" w:right="0"/>
              <w:jc w:val="center"/>
              <w:rPr>
                <w:rFonts w:ascii="Times New Roman" w:hAnsi="Times New Roman" w:cs="Times New Roman" w:eastAsia="Times New Roman" w:hint="default"/>
                <w:sz w:val="18"/>
                <w:szCs w:val="18"/>
              </w:rPr>
            </w:pPr>
            <w:r>
              <w:rPr>
                <w:rFonts w:ascii="Times New Roman"/>
                <w:sz w:val="18"/>
              </w:rPr>
              <w:t>4,416,880,381.61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6"/>
          <w:szCs w:val="6"/>
        </w:rPr>
      </w:pPr>
    </w:p>
    <w:p>
      <w:pPr>
        <w:pStyle w:val="Heading3"/>
        <w:spacing w:line="240" w:lineRule="auto" w:before="35"/>
        <w:ind w:left="1556" w:right="0"/>
        <w:jc w:val="left"/>
        <w:rPr>
          <w:b w:val="0"/>
          <w:bCs w:val="0"/>
        </w:rPr>
      </w:pPr>
      <w:r>
        <w:rPr/>
        <w:t>（二）主要的业绩驱动因素</w:t>
      </w:r>
      <w:r>
        <w:rPr>
          <w:b w:val="0"/>
          <w:bCs w:val="0"/>
        </w:rPr>
      </w:r>
    </w:p>
    <w:p>
      <w:pPr>
        <w:pStyle w:val="BodyText"/>
        <w:spacing w:line="362" w:lineRule="auto" w:before="164"/>
        <w:ind w:left="1553" w:right="0" w:firstLine="2"/>
        <w:jc w:val="left"/>
      </w:pPr>
      <w:r>
        <w:rPr>
          <w:rFonts w:ascii="Times New Roman" w:hAnsi="Times New Roman" w:cs="Times New Roman" w:eastAsia="Times New Roman" w:hint="default"/>
          <w:b/>
          <w:bCs/>
        </w:rPr>
        <w:t>1</w:t>
      </w:r>
      <w:r>
        <w:rPr>
          <w:rFonts w:ascii="宋体" w:hAnsi="宋体" w:cs="宋体" w:eastAsia="宋体" w:hint="default"/>
          <w:b/>
          <w:bCs/>
        </w:rPr>
        <w:t>、行业及政策推动因素</w:t>
      </w:r>
      <w:r>
        <w:rPr>
          <w:rFonts w:ascii="宋体" w:hAnsi="宋体" w:cs="宋体" w:eastAsia="宋体" w:hint="default"/>
          <w:b/>
          <w:bCs/>
          <w:w w:val="99"/>
        </w:rPr>
        <w:t> </w:t>
      </w:r>
      <w:r>
        <w:rPr>
          <w:spacing w:val="-4"/>
          <w:w w:val="100"/>
        </w:rPr>
        <w:t>报告期内，《中华人民共和国网络安全法》正式实施，同时</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4"/>
          <w:w w:val="100"/>
        </w:rPr>
        <w:t>WannaCry</w:t>
      </w:r>
      <w:r>
        <w:rPr>
          <w:rFonts w:ascii="Times New Roman" w:hAnsi="Times New Roman" w:cs="Times New Roman" w:eastAsia="Times New Roman" w:hint="default"/>
          <w:spacing w:val="-4"/>
          <w:w w:val="100"/>
        </w:rPr>
        <w:t>”</w:t>
      </w:r>
      <w:r>
        <w:rPr>
          <w:spacing w:val="-4"/>
          <w:w w:val="100"/>
        </w:rPr>
        <w:t>等勒索病毒在全球范围内爆发，</w:t>
      </w:r>
    </w:p>
    <w:p>
      <w:pPr>
        <w:pStyle w:val="BodyText"/>
        <w:spacing w:line="350" w:lineRule="auto"/>
        <w:ind w:right="1131"/>
        <w:jc w:val="both"/>
      </w:pPr>
      <w:r>
        <w:rPr>
          <w:spacing w:val="-1"/>
        </w:rPr>
        <w:t>信息安全市场需求持续提升。同时，随着移动互联网、云计算、大数据、物联网、人工智能、区块链等新</w:t>
      </w:r>
      <w:r>
        <w:rPr>
          <w:spacing w:val="-85"/>
        </w:rPr>
        <w:t> </w:t>
      </w:r>
      <w:r>
        <w:rPr>
          <w:spacing w:val="-85"/>
        </w:rPr>
      </w:r>
      <w:r>
        <w:rPr>
          <w:spacing w:val="-1"/>
        </w:rPr>
        <w:t>兴技术的广泛应用，新兴安全需求也在不断产生，合规性需求与自发性需求共同驱动着行业空间及公司业</w:t>
      </w:r>
      <w:r>
        <w:rPr>
          <w:spacing w:val="-81"/>
        </w:rPr>
        <w:t> </w:t>
      </w:r>
      <w:r>
        <w:rPr>
          <w:spacing w:val="-81"/>
        </w:rPr>
      </w:r>
      <w:r>
        <w:rPr/>
        <w:t>务规模的快速发展。</w:t>
      </w:r>
    </w:p>
    <w:p>
      <w:pPr>
        <w:pStyle w:val="BodyText"/>
        <w:spacing w:line="362" w:lineRule="auto" w:before="69"/>
        <w:ind w:left="1553" w:right="0" w:firstLine="2"/>
        <w:jc w:val="left"/>
      </w:pPr>
      <w:r>
        <w:rPr>
          <w:rFonts w:ascii="Times New Roman" w:hAnsi="Times New Roman" w:cs="Times New Roman" w:eastAsia="Times New Roman" w:hint="default"/>
          <w:b/>
          <w:bCs/>
        </w:rPr>
        <w:t>2</w:t>
      </w:r>
      <w:r>
        <w:rPr>
          <w:rFonts w:ascii="宋体" w:hAnsi="宋体" w:cs="宋体" w:eastAsia="宋体" w:hint="default"/>
          <w:b/>
          <w:bCs/>
        </w:rPr>
        <w:t>、并表协同因素</w:t>
      </w:r>
      <w:r>
        <w:rPr>
          <w:rFonts w:ascii="宋体" w:hAnsi="宋体" w:cs="宋体" w:eastAsia="宋体" w:hint="default"/>
          <w:b/>
          <w:bCs/>
          <w:w w:val="99"/>
        </w:rPr>
        <w:t> </w:t>
      </w:r>
      <w:r>
        <w:rPr>
          <w:spacing w:val="-1"/>
        </w:rPr>
        <w:t>报告期内，公司并购的中经电商及汇通宝等子公司的经营业绩增长稳定。其中，公司对中经电商及汇</w:t>
      </w:r>
    </w:p>
    <w:p>
      <w:pPr>
        <w:pStyle w:val="BodyText"/>
        <w:spacing w:line="343" w:lineRule="auto" w:before="19"/>
        <w:ind w:right="1131"/>
        <w:jc w:val="both"/>
      </w:pPr>
      <w:r>
        <w:rPr/>
        <w:t>通宝上年同期合并报表期间仅为</w:t>
      </w:r>
      <w:r>
        <w:rPr>
          <w:rFonts w:ascii="Times New Roman" w:hAnsi="Times New Roman" w:cs="Times New Roman" w:eastAsia="Times New Roman" w:hint="default"/>
        </w:rPr>
        <w:t>5-12</w:t>
      </w:r>
      <w:r>
        <w:rPr/>
        <w:t>月份，今年</w:t>
      </w:r>
      <w:r>
        <w:rPr>
          <w:rFonts w:ascii="Times New Roman" w:hAnsi="Times New Roman" w:cs="Times New Roman" w:eastAsia="Times New Roman" w:hint="default"/>
        </w:rPr>
        <w:t>1-12</w:t>
      </w:r>
      <w:r>
        <w:rPr/>
        <w:t>月份全部纳入公司合并报表范围，因此提升了公司报</w:t>
      </w:r>
      <w:r>
        <w:rPr>
          <w:spacing w:val="-69"/>
        </w:rPr>
        <w:t> </w:t>
      </w:r>
      <w:r>
        <w:rPr>
          <w:spacing w:val="-69"/>
        </w:rPr>
      </w:r>
      <w:r>
        <w:rPr>
          <w:spacing w:val="-1"/>
        </w:rPr>
        <w:t>告期的整体盈利水平。同时，公司合并报表范围新增了控股子公司满泰科技，也促进了公司报告期净利润</w:t>
      </w:r>
      <w:r>
        <w:rPr>
          <w:spacing w:val="-83"/>
        </w:rPr>
        <w:t> </w:t>
      </w:r>
      <w:r>
        <w:rPr>
          <w:spacing w:val="-83"/>
        </w:rPr>
      </w:r>
      <w:r>
        <w:rPr>
          <w:spacing w:val="-1"/>
        </w:rPr>
        <w:t>的增长。此外，公司通过充分发挥与收购的各家子公司之间的客户资源、市场渠道、产品研发、人力资源</w:t>
      </w:r>
      <w:r>
        <w:rPr>
          <w:spacing w:val="-83"/>
        </w:rPr>
        <w:t> </w:t>
      </w:r>
      <w:r>
        <w:rPr>
          <w:spacing w:val="-83"/>
        </w:rPr>
      </w:r>
      <w:r>
        <w:rPr/>
        <w:t>管理等方面的协同效应，也促进了公司整体经营效益的提升。</w:t>
      </w:r>
    </w:p>
    <w:p>
      <w:pPr>
        <w:pStyle w:val="BodyText"/>
        <w:spacing w:line="362" w:lineRule="auto" w:before="74"/>
        <w:ind w:left="1553" w:right="1126" w:firstLine="2"/>
        <w:jc w:val="left"/>
        <w:rPr>
          <w:rFonts w:ascii="Times New Roman" w:hAnsi="Times New Roman" w:cs="Times New Roman" w:eastAsia="Times New Roman" w:hint="default"/>
        </w:rPr>
      </w:pPr>
      <w:r>
        <w:rPr>
          <w:rFonts w:ascii="Times New Roman" w:hAnsi="Times New Roman" w:cs="Times New Roman" w:eastAsia="Times New Roman" w:hint="default"/>
          <w:b/>
          <w:bCs/>
        </w:rPr>
        <w:t>3</w:t>
      </w:r>
      <w:r>
        <w:rPr>
          <w:rFonts w:ascii="宋体" w:hAnsi="宋体" w:cs="宋体" w:eastAsia="宋体" w:hint="default"/>
          <w:b/>
          <w:bCs/>
        </w:rPr>
        <w:t>、市场拓展因素</w:t>
      </w:r>
      <w:r>
        <w:rPr>
          <w:rFonts w:ascii="宋体" w:hAnsi="宋体" w:cs="宋体" w:eastAsia="宋体" w:hint="default"/>
          <w:b/>
          <w:bCs/>
          <w:w w:val="99"/>
        </w:rPr>
        <w:t> </w:t>
      </w:r>
      <w:r>
        <w:rPr>
          <w:spacing w:val="-1"/>
        </w:rPr>
        <w:t>报告期内，公司加强了营销网络建设，行业化营销及渠道销售模式有效执行，同时公司加强了蓝盾</w:t>
      </w:r>
      <w:r>
        <w:rPr>
          <w:rFonts w:ascii="Times New Roman" w:hAnsi="Times New Roman" w:cs="Times New Roman" w:eastAsia="Times New Roman" w:hint="default"/>
          <w:spacing w:val="-1"/>
        </w:rPr>
        <w:t>AI</w:t>
      </w:r>
      <w:r>
        <w:rPr>
          <w:rFonts w:ascii="Times New Roman" w:hAnsi="Times New Roman" w:cs="Times New Roman" w:eastAsia="Times New Roman" w:hint="default"/>
        </w:rPr>
      </w:r>
    </w:p>
    <w:p>
      <w:pPr>
        <w:pStyle w:val="BodyText"/>
        <w:spacing w:line="350" w:lineRule="auto"/>
        <w:ind w:right="1133"/>
        <w:jc w:val="both"/>
      </w:pPr>
      <w:r>
        <w:rPr>
          <w:spacing w:val="-1"/>
        </w:rPr>
        <w:t>防火墙、蓝盾态势感知平台、蓝盾云安全产品、蓝盾智慧眼监控雷达、蓝盾业务应用安全审计平台等多款</w:t>
      </w:r>
      <w:r>
        <w:rPr>
          <w:spacing w:val="-86"/>
        </w:rPr>
        <w:t> </w:t>
      </w:r>
      <w:r>
        <w:rPr>
          <w:spacing w:val="-86"/>
        </w:rPr>
      </w:r>
      <w:r>
        <w:rPr/>
        <w:t>智慧安全新产品的推广应用，提升了公司</w:t>
      </w:r>
      <w:r>
        <w:rPr>
          <w:rFonts w:ascii="Times New Roman" w:hAnsi="Times New Roman" w:cs="Times New Roman" w:eastAsia="Times New Roman" w:hint="default"/>
        </w:rPr>
        <w:t>“</w:t>
      </w:r>
      <w:r>
        <w:rPr/>
        <w:t>智慧安全领导者</w:t>
      </w:r>
      <w:r>
        <w:rPr>
          <w:rFonts w:ascii="Times New Roman" w:hAnsi="Times New Roman" w:cs="Times New Roman" w:eastAsia="Times New Roman" w:hint="default"/>
        </w:rPr>
        <w:t>”</w:t>
      </w:r>
      <w:r>
        <w:rPr/>
        <w:t>的市场地位。</w:t>
      </w:r>
    </w:p>
    <w:p>
      <w:pPr>
        <w:pStyle w:val="Heading3"/>
        <w:spacing w:line="240" w:lineRule="auto" w:before="41"/>
        <w:ind w:left="1556" w:right="0"/>
        <w:jc w:val="left"/>
        <w:rPr>
          <w:b w:val="0"/>
          <w:bCs w:val="0"/>
        </w:rPr>
      </w:pPr>
      <w:r>
        <w:rPr/>
        <w:t>（三）报告期内公司所属行业的发展情况以及公司的行业地位</w:t>
      </w:r>
      <w:r>
        <w:rPr>
          <w:b w:val="0"/>
          <w:bCs w:val="0"/>
        </w:rPr>
      </w:r>
    </w:p>
    <w:p>
      <w:pPr>
        <w:pStyle w:val="Heading3"/>
        <w:spacing w:line="240" w:lineRule="auto" w:before="166"/>
        <w:ind w:left="1556" w:right="0"/>
        <w:jc w:val="left"/>
        <w:rPr>
          <w:b w:val="0"/>
          <w:bCs w:val="0"/>
        </w:rPr>
      </w:pPr>
      <w:r>
        <w:rPr>
          <w:rFonts w:ascii="Times New Roman" w:hAnsi="Times New Roman" w:cs="Times New Roman" w:eastAsia="Times New Roman" w:hint="default"/>
        </w:rPr>
        <w:t>1</w:t>
      </w:r>
      <w:r>
        <w:rPr/>
        <w:t>、行业发展情况</w:t>
      </w:r>
      <w:r>
        <w:rPr>
          <w:b w:val="0"/>
          <w:bCs w:val="0"/>
        </w:rPr>
      </w:r>
    </w:p>
    <w:p>
      <w:pPr>
        <w:pStyle w:val="BodyText"/>
        <w:spacing w:line="328" w:lineRule="auto" w:before="149"/>
        <w:ind w:left="1134" w:right="0" w:firstLine="420"/>
        <w:jc w:val="left"/>
      </w:pPr>
      <w:r>
        <w:rPr>
          <w:rFonts w:ascii="Times New Roman" w:hAnsi="Times New Roman" w:cs="Times New Roman" w:eastAsia="Times New Roman" w:hint="default"/>
          <w:spacing w:val="-1"/>
        </w:rPr>
        <w:t>2017</w:t>
      </w:r>
      <w:r>
        <w:rPr>
          <w:spacing w:val="-1"/>
        </w:rPr>
        <w:t>年是信息安全行业发展的重要一年，除了云计算、大数据、移动互联网、物联网、人工智能、区</w:t>
      </w:r>
      <w:r>
        <w:rPr/>
        <w:t> </w:t>
      </w:r>
      <w:r>
        <w:rPr>
          <w:spacing w:val="-1"/>
        </w:rPr>
        <w:t>块链等新兴技术的广泛应用不断拓宽安全产业的市场空间外，政策层面也发生了一系列对行业有深远影响</w:t>
      </w:r>
    </w:p>
    <w:p>
      <w:pPr>
        <w:spacing w:after="0" w:line="32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的事件：</w:t>
      </w:r>
    </w:p>
    <w:p>
      <w:pPr>
        <w:pStyle w:val="BodyText"/>
        <w:spacing w:line="240" w:lineRule="auto" w:before="165"/>
        <w:ind w:left="1553" w:right="0"/>
        <w:jc w:val="left"/>
      </w:pPr>
      <w:r>
        <w:rPr/>
        <w:t>（</w:t>
      </w:r>
      <w:r>
        <w:rPr>
          <w:rFonts w:ascii="Times New Roman" w:hAnsi="Times New Roman" w:cs="Times New Roman" w:eastAsia="Times New Roman" w:hint="default"/>
        </w:rPr>
        <w:t>1</w:t>
      </w:r>
      <w:r>
        <w:rPr/>
        <w:t>）国家网信办发布《网络产品和服务安全审查办法（试行）》</w:t>
      </w:r>
    </w:p>
    <w:p>
      <w:pPr>
        <w:pStyle w:val="BodyText"/>
        <w:spacing w:line="331" w:lineRule="auto" w:before="148"/>
        <w:ind w:left="1134" w:right="1023"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日，为提高网络产品和服务安全可控水平，防范网络安全风险，维护国家安全，国家网信 </w:t>
      </w:r>
      <w:r>
        <w:rPr>
          <w:spacing w:val="-3"/>
        </w:rPr>
        <w:t>办发布《网络产品和服务安全审查办法（征求意见稿）》，对网络产品与服务提出了具体的安全审查意见。</w:t>
      </w:r>
    </w:p>
    <w:p>
      <w:pPr>
        <w:pStyle w:val="BodyText"/>
        <w:spacing w:line="240" w:lineRule="auto" w:before="84"/>
        <w:ind w:left="1554" w:right="0"/>
        <w:jc w:val="left"/>
      </w:pPr>
      <w:r>
        <w:rPr/>
        <w:t>（</w:t>
      </w:r>
      <w:r>
        <w:rPr>
          <w:rFonts w:ascii="Times New Roman" w:hAnsi="Times New Roman" w:cs="Times New Roman" w:eastAsia="Times New Roman" w:hint="default"/>
        </w:rPr>
        <w:t>2</w:t>
      </w:r>
      <w:r>
        <w:rPr/>
        <w:t>）《中国人民共和国网络安全法》正式实施</w:t>
      </w:r>
    </w:p>
    <w:p>
      <w:pPr>
        <w:pStyle w:val="BodyText"/>
        <w:spacing w:line="340" w:lineRule="auto" w:before="149"/>
        <w:ind w:left="1134" w:right="1133"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日，为保障网络安全，维护网络空间主权和国家安全、社会公共利益，保护公民、法人和</w:t>
      </w:r>
      <w:r>
        <w:rPr/>
        <w:t> </w:t>
      </w:r>
      <w:r>
        <w:rPr>
          <w:spacing w:val="-1"/>
        </w:rPr>
        <w:t>其他组织的合法权益，促进经济社会信息化健康发展，我国正式实施《中国人民共和国网络安全法》。这</w:t>
      </w:r>
      <w:r>
        <w:rPr>
          <w:spacing w:val="-83"/>
        </w:rPr>
        <w:t> </w:t>
      </w:r>
      <w:r>
        <w:rPr>
          <w:spacing w:val="-83"/>
        </w:rPr>
      </w:r>
      <w:r>
        <w:rPr/>
        <w:t>是中国第一部关于网络安全的基础性法律，将对信息安全行业的发展产生深远影响。</w:t>
      </w:r>
    </w:p>
    <w:p>
      <w:pPr>
        <w:pStyle w:val="BodyText"/>
        <w:spacing w:line="240" w:lineRule="auto" w:before="76"/>
        <w:ind w:left="1553" w:right="0"/>
        <w:jc w:val="left"/>
      </w:pPr>
      <w:r>
        <w:rPr/>
        <w:t>（</w:t>
      </w:r>
      <w:r>
        <w:rPr>
          <w:rFonts w:ascii="Times New Roman" w:hAnsi="Times New Roman" w:cs="Times New Roman" w:eastAsia="Times New Roman" w:hint="default"/>
        </w:rPr>
        <w:t>3</w:t>
      </w:r>
      <w:r>
        <w:rPr/>
        <w:t>）国家网信办发布《关键信息基础设施安全保护条例（征求意见稿）》</w:t>
      </w:r>
    </w:p>
    <w:p>
      <w:pPr>
        <w:pStyle w:val="BodyText"/>
        <w:spacing w:line="331" w:lineRule="auto" w:before="149"/>
        <w:ind w:right="1126"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日，国家网信办发布《关键信息基础设施安全保护条例（征求意见稿）》，明确了</w:t>
      </w:r>
      <w:r>
        <w:rPr>
          <w:rFonts w:ascii="Times New Roman" w:hAnsi="Times New Roman" w:cs="Times New Roman" w:eastAsia="Times New Roman" w:hint="default"/>
          <w:spacing w:val="-1"/>
        </w:rPr>
        <w:t>“</w:t>
      </w:r>
      <w:r>
        <w:rPr>
          <w:spacing w:val="-1"/>
        </w:rPr>
        <w:t>关键</w:t>
      </w:r>
      <w:r>
        <w:rPr/>
        <w:t> </w:t>
      </w:r>
      <w:r>
        <w:rPr>
          <w:spacing w:val="2"/>
        </w:rPr>
        <w:t>信息基础设施</w:t>
      </w:r>
      <w:r>
        <w:rPr>
          <w:rFonts w:ascii="Times New Roman" w:hAnsi="Times New Roman" w:cs="Times New Roman" w:eastAsia="Times New Roman" w:hint="default"/>
          <w:spacing w:val="2"/>
        </w:rPr>
        <w:t>”</w:t>
      </w:r>
      <w:r>
        <w:rPr>
          <w:spacing w:val="2"/>
        </w:rPr>
        <w:t>的具体范围。作为《中国人民共和国网络安全法》的配套法规，该条例进一步细化了责任</w:t>
      </w:r>
      <w:r>
        <w:rPr>
          <w:spacing w:val="-103"/>
        </w:rPr>
        <w:t> </w:t>
      </w:r>
      <w:r>
        <w:rPr>
          <w:spacing w:val="-103"/>
        </w:rPr>
      </w:r>
      <w:r>
        <w:rPr/>
        <w:t>主体和各项责任。</w:t>
      </w:r>
    </w:p>
    <w:p>
      <w:pPr>
        <w:pStyle w:val="BodyText"/>
        <w:spacing w:line="240" w:lineRule="auto" w:before="84"/>
        <w:ind w:left="1553" w:right="0"/>
        <w:jc w:val="left"/>
      </w:pPr>
      <w:r>
        <w:rPr/>
        <w:t>（</w:t>
      </w:r>
      <w:r>
        <w:rPr>
          <w:rFonts w:ascii="Times New Roman" w:hAnsi="Times New Roman" w:cs="Times New Roman" w:eastAsia="Times New Roman" w:hint="default"/>
        </w:rPr>
        <w:t>4</w:t>
      </w:r>
      <w:r>
        <w:rPr/>
        <w:t>）工信部印发《工业控制系统信息安全防护能力评估工作管理办法》</w:t>
      </w:r>
    </w:p>
    <w:p>
      <w:pPr>
        <w:pStyle w:val="BodyText"/>
        <w:spacing w:line="240" w:lineRule="auto" w:before="149"/>
        <w:ind w:left="155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日，为贯彻落实《国务院关于深化制造业与互联网融合发展的指导意见》（国发〔</w:t>
      </w:r>
      <w:r>
        <w:rPr>
          <w:rFonts w:ascii="Times New Roman" w:hAnsi="Times New Roman" w:cs="Times New Roman" w:eastAsia="Times New Roman" w:hint="default"/>
        </w:rPr>
        <w:t>2016</w:t>
      </w:r>
      <w:r>
        <w:rPr/>
        <w:t>〕</w:t>
      </w:r>
    </w:p>
    <w:p>
      <w:pPr>
        <w:pStyle w:val="BodyText"/>
        <w:spacing w:line="331" w:lineRule="auto" w:before="109"/>
        <w:ind w:left="1134" w:right="0"/>
        <w:jc w:val="left"/>
      </w:pPr>
      <w:r>
        <w:rPr>
          <w:rFonts w:ascii="Times New Roman" w:hAnsi="Times New Roman" w:cs="Times New Roman" w:eastAsia="Times New Roman" w:hint="default"/>
          <w:spacing w:val="-1"/>
        </w:rPr>
        <w:t>28</w:t>
      </w:r>
      <w:r>
        <w:rPr>
          <w:spacing w:val="-1"/>
        </w:rPr>
        <w:t>号）等文件精神、督促工业企业做好工业控制系统信息安全防护工作，工信部印发了关于《工业控制系</w:t>
      </w:r>
      <w:r>
        <w:rPr>
          <w:spacing w:val="-87"/>
        </w:rPr>
        <w:t> </w:t>
      </w:r>
      <w:r>
        <w:rPr>
          <w:spacing w:val="-87"/>
        </w:rPr>
      </w:r>
      <w:r>
        <w:rPr/>
        <w:t>统信息安全防护能力评估工作管理办法》的通知。</w:t>
      </w:r>
    </w:p>
    <w:p>
      <w:pPr>
        <w:pStyle w:val="BodyText"/>
        <w:spacing w:line="240" w:lineRule="auto" w:before="85"/>
        <w:ind w:left="1554" w:right="0"/>
        <w:jc w:val="left"/>
      </w:pPr>
      <w:r>
        <w:rPr/>
        <w:t>（</w:t>
      </w:r>
      <w:r>
        <w:rPr>
          <w:rFonts w:ascii="Times New Roman" w:hAnsi="Times New Roman" w:cs="Times New Roman" w:eastAsia="Times New Roman" w:hint="default"/>
        </w:rPr>
        <w:t>5</w:t>
      </w:r>
      <w:r>
        <w:rPr/>
        <w:t>）工信部印发《公共互联网网络安全威胁监测与处置办法》</w:t>
      </w:r>
    </w:p>
    <w:p>
      <w:pPr>
        <w:pStyle w:val="BodyText"/>
        <w:spacing w:line="340" w:lineRule="auto" w:before="149"/>
        <w:ind w:right="1109"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日，为深入贯彻习近平总书记关于网络安全的重要讲话精神，积极应对严峻复杂的网络 安全形势，进一步健全公共互联网网络安全威胁监测与处置机制等，根据《中华人民共和国网络安全法》 等有关法律法规，工信部制定了《公共互联网网络安全威胁监测与处置办法》。</w:t>
      </w:r>
    </w:p>
    <w:p>
      <w:pPr>
        <w:pStyle w:val="BodyText"/>
        <w:spacing w:line="240" w:lineRule="auto" w:before="76"/>
        <w:ind w:left="1553" w:right="0"/>
        <w:jc w:val="left"/>
      </w:pPr>
      <w:r>
        <w:rPr/>
        <w:t>（</w:t>
      </w:r>
      <w:r>
        <w:rPr>
          <w:rFonts w:ascii="Times New Roman" w:hAnsi="Times New Roman" w:cs="Times New Roman" w:eastAsia="Times New Roman" w:hint="default"/>
        </w:rPr>
        <w:t>6</w:t>
      </w:r>
      <w:r>
        <w:rPr/>
        <w:t>）十九大报告对网络安全作出重要指示</w:t>
      </w:r>
    </w:p>
    <w:p>
      <w:pPr>
        <w:pStyle w:val="BodyText"/>
        <w:spacing w:line="328" w:lineRule="auto" w:before="149"/>
        <w:ind w:left="1134" w:right="0" w:firstLine="42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日，中国共产党召开第十九次全国人民代表大会，明确表示坚持国家安全总体规划，加</w:t>
      </w:r>
      <w:r>
        <w:rPr/>
        <w:t> 快建设网络安全强国，推动全社会形成维护国家安全的强大合力。</w:t>
      </w:r>
    </w:p>
    <w:p>
      <w:pPr>
        <w:pStyle w:val="BodyText"/>
        <w:spacing w:line="240" w:lineRule="auto" w:before="88"/>
        <w:ind w:left="1553" w:right="0"/>
        <w:jc w:val="left"/>
      </w:pPr>
      <w:r>
        <w:rPr/>
        <w:t>（</w:t>
      </w:r>
      <w:r>
        <w:rPr>
          <w:rFonts w:ascii="Times New Roman" w:hAnsi="Times New Roman" w:cs="Times New Roman" w:eastAsia="Times New Roman" w:hint="default"/>
        </w:rPr>
        <w:t>7</w:t>
      </w:r>
      <w:r>
        <w:rPr/>
        <w:t>）工信部印发《公共互联网网络安全突发事件应急预案》</w:t>
      </w:r>
    </w:p>
    <w:p>
      <w:pPr>
        <w:pStyle w:val="BodyText"/>
        <w:spacing w:line="328" w:lineRule="auto" w:before="149"/>
        <w:ind w:left="1134" w:right="0" w:firstLine="42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日，工信部对外公布印发《公共互联网网络安全突发事件应急预案》，明确了事件分级、</w:t>
      </w:r>
      <w:r>
        <w:rPr/>
        <w:t> 监测预警、应急处置、事后总结、预防与应急准备、保障措施等内容。</w:t>
      </w:r>
    </w:p>
    <w:p>
      <w:pPr>
        <w:pStyle w:val="BodyText"/>
        <w:spacing w:line="240" w:lineRule="auto" w:before="88"/>
        <w:ind w:left="1553" w:right="0"/>
        <w:jc w:val="left"/>
      </w:pPr>
      <w:r>
        <w:rPr/>
        <w:t>（</w:t>
      </w:r>
      <w:r>
        <w:rPr>
          <w:rFonts w:ascii="Times New Roman" w:hAnsi="Times New Roman" w:cs="Times New Roman" w:eastAsia="Times New Roman" w:hint="default"/>
        </w:rPr>
        <w:t>8</w:t>
      </w:r>
      <w:r>
        <w:rPr/>
        <w:t>）工信部印发《工业控制系统信息安全行动计划（</w:t>
      </w:r>
      <w:r>
        <w:rPr>
          <w:rFonts w:ascii="Times New Roman" w:hAnsi="Times New Roman" w:cs="Times New Roman" w:eastAsia="Times New Roman" w:hint="default"/>
        </w:rPr>
        <w:t>2018-2020</w:t>
      </w:r>
      <w:r>
        <w:rPr/>
        <w:t>年）》</w:t>
      </w:r>
    </w:p>
    <w:p>
      <w:pPr>
        <w:pStyle w:val="BodyText"/>
        <w:spacing w:line="340" w:lineRule="auto" w:before="148"/>
        <w:ind w:right="1023"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日，工信部印发《工业控制系统信息安全行动计划（</w:t>
      </w:r>
      <w:r>
        <w:rPr>
          <w:rFonts w:ascii="Times New Roman" w:hAnsi="Times New Roman" w:cs="Times New Roman" w:eastAsia="Times New Roman" w:hint="default"/>
        </w:rPr>
        <w:t>2018-2020</w:t>
      </w:r>
      <w:r>
        <w:rPr/>
        <w:t>年）》，指出到</w:t>
      </w:r>
      <w:r>
        <w:rPr>
          <w:rFonts w:ascii="Times New Roman" w:hAnsi="Times New Roman" w:cs="Times New Roman" w:eastAsia="Times New Roman" w:hint="default"/>
        </w:rPr>
        <w:t>2020</w:t>
      </w:r>
      <w:r>
        <w:rPr/>
        <w:t>年，</w:t>
      </w:r>
      <w:r>
        <w:rPr>
          <w:spacing w:val="1"/>
        </w:rPr>
        <w:t> </w:t>
      </w:r>
      <w:r>
        <w:rPr/>
        <w:t>要建成工控安全管理工作体系，将工控安全作为生产安全的重要组成部分，建立工控安全责任制，明确企</w:t>
      </w:r>
      <w:r>
        <w:rPr/>
        <w:t> 业法人代表、经营负责人第一责任者的责任。</w:t>
      </w:r>
    </w:p>
    <w:p>
      <w:pPr>
        <w:pStyle w:val="BodyText"/>
        <w:spacing w:line="348" w:lineRule="auto" w:before="77"/>
        <w:ind w:right="1018" w:firstLine="420"/>
        <w:jc w:val="left"/>
      </w:pPr>
      <w:r>
        <w:rPr>
          <w:spacing w:val="-3"/>
        </w:rPr>
        <w:t>可见，报告期内，无论是信息安全自发需求的提升，还是国家政策法规的支持、行业技术标准的制定，</w:t>
      </w:r>
      <w:r>
        <w:rPr/>
        <w:t> 都极大推动了安全行业的发展。</w:t>
      </w:r>
    </w:p>
    <w:p>
      <w:pPr>
        <w:pStyle w:val="Heading3"/>
        <w:spacing w:line="240" w:lineRule="auto" w:before="71"/>
        <w:ind w:left="1556" w:right="0"/>
        <w:jc w:val="left"/>
        <w:rPr>
          <w:b w:val="0"/>
          <w:bCs w:val="0"/>
        </w:rPr>
      </w:pPr>
      <w:r>
        <w:rPr>
          <w:rFonts w:ascii="Times New Roman" w:hAnsi="Times New Roman" w:cs="Times New Roman" w:eastAsia="Times New Roman" w:hint="default"/>
        </w:rPr>
        <w:t>2</w:t>
      </w:r>
      <w:r>
        <w:rPr/>
        <w:t>、公司的行业地位</w:t>
      </w:r>
      <w:r>
        <w:rPr>
          <w:b w:val="0"/>
          <w:bCs w:val="0"/>
        </w:rPr>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b/>
          <w:bCs/>
          <w:sz w:val="27"/>
          <w:szCs w:val="27"/>
        </w:rPr>
      </w:pPr>
    </w:p>
    <w:p>
      <w:pPr>
        <w:pStyle w:val="BodyText"/>
        <w:spacing w:line="343" w:lineRule="auto" w:before="35"/>
        <w:ind w:right="1109" w:firstLine="420"/>
        <w:jc w:val="both"/>
      </w:pPr>
      <w:r>
        <w:rPr/>
        <w:t>公司作为国内信息安全行业的领先企业之一，报告期内，公司的整体业务规模及盈利水平稳步增长， 公司在业内的知名度和影响力不断提升。同时，随着公司</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产业发展战略的推进及</w:t>
      </w:r>
      <w:r>
        <w:rPr>
          <w:rFonts w:ascii="Times New Roman" w:hAnsi="Times New Roman" w:cs="Times New Roman" w:eastAsia="Times New Roman" w:hint="default"/>
        </w:rPr>
        <w:t>“</w:t>
      </w:r>
      <w:r>
        <w:rPr/>
        <w:t>智慧安全</w:t>
      </w:r>
      <w:r>
        <w:rPr>
          <w:rFonts w:ascii="Times New Roman" w:hAnsi="Times New Roman" w:cs="Times New Roman" w:eastAsia="Times New Roman" w:hint="default"/>
        </w:rPr>
        <w:t>”</w:t>
      </w:r>
      <w:r>
        <w:rPr/>
        <w:t>理念</w:t>
      </w:r>
      <w:r>
        <w:rPr>
          <w:spacing w:val="-83"/>
        </w:rPr>
        <w:t> </w:t>
      </w:r>
      <w:r>
        <w:rPr>
          <w:spacing w:val="-1"/>
        </w:rPr>
        <w:t>的深化，公司在产品和业务上的差异化优势以及在研发创新上的技术优势逐步显现，市场竞争力得到较大</w:t>
      </w:r>
      <w:r>
        <w:rPr>
          <w:spacing w:val="-81"/>
        </w:rPr>
        <w:t> </w:t>
      </w:r>
      <w:r>
        <w:rPr>
          <w:spacing w:val="-81"/>
        </w:rPr>
      </w:r>
      <w:r>
        <w:rPr/>
        <w:t>提升，已经发展成为我国智慧安全领导者。</w:t>
      </w:r>
    </w:p>
    <w:p>
      <w:pPr>
        <w:pStyle w:val="BodyText"/>
        <w:spacing w:line="350" w:lineRule="auto" w:before="75"/>
        <w:ind w:right="1131" w:firstLine="420"/>
        <w:jc w:val="both"/>
      </w:pPr>
      <w:r>
        <w:rPr>
          <w:spacing w:val="-1"/>
        </w:rPr>
        <w:t>此外，公司收购的中经电商及汇通宝是国内领先的电子商务推广运营服务商，业务模式独特，品牌知</w:t>
      </w:r>
      <w:r>
        <w:rPr/>
        <w:t> </w:t>
      </w:r>
      <w:r>
        <w:rPr>
          <w:spacing w:val="-1"/>
        </w:rPr>
        <w:t>名度及影响力均处于行业领先地位；公司收购的华炜科技是电磁安防领域的龙头厂商之一，在军工、高铁</w:t>
      </w:r>
      <w:r>
        <w:rPr>
          <w:spacing w:val="-83"/>
        </w:rPr>
        <w:t> </w:t>
      </w:r>
      <w:r>
        <w:rPr>
          <w:spacing w:val="-83"/>
        </w:rPr>
      </w:r>
      <w:r>
        <w:rPr>
          <w:spacing w:val="-1"/>
        </w:rPr>
        <w:t>等业务领域具备较强的核心竞争力；公司收购的满泰科技是国内领先的水利水电综合自动化及信息化整体</w:t>
      </w:r>
      <w:r>
        <w:rPr>
          <w:spacing w:val="-81"/>
        </w:rPr>
        <w:t> </w:t>
      </w:r>
      <w:r>
        <w:rPr>
          <w:spacing w:val="-81"/>
        </w:rPr>
      </w:r>
      <w:r>
        <w:rPr/>
        <w:t>解决方案提供商，可提供成熟的工控综合自动化及工控系统安全解决方案。</w:t>
      </w:r>
    </w:p>
    <w:p>
      <w:pPr>
        <w:spacing w:line="240" w:lineRule="auto" w:before="6"/>
        <w:rPr>
          <w:rFonts w:ascii="宋体" w:hAnsi="宋体" w:cs="宋体" w:eastAsia="宋体" w:hint="default"/>
          <w:sz w:val="16"/>
          <w:szCs w:val="16"/>
        </w:rPr>
      </w:pPr>
    </w:p>
    <w:p>
      <w:pPr>
        <w:pStyle w:val="Heading2"/>
        <w:spacing w:line="240" w:lineRule="auto"/>
        <w:ind w:right="0"/>
        <w:jc w:val="left"/>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资产重大变化情况" w:id="21"/>
      <w:bookmarkEnd w:id="21"/>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before="44"/>
        <w:ind w:left="0" w:right="1139" w:firstLine="0"/>
        <w:jc w:val="right"/>
        <w:rPr>
          <w:rFonts w:ascii="宋体" w:hAnsi="宋体" w:cs="宋体" w:eastAsia="宋体" w:hint="default"/>
          <w:sz w:val="18"/>
          <w:szCs w:val="18"/>
        </w:rPr>
      </w:pPr>
      <w:r>
        <w:rPr/>
        <w:pict>
          <v:shape style="position:absolute;margin-left:56.459999pt;margin-top:-112.468285pt;width:479.2pt;height:132.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008"/>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17"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8"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公司现金收购深圳市蓝盾满泰科技发展有限公司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股权的事项已于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日获公司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年第七次临时股东大会审议通过，</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日，深圳市蓝盾满泰科技发展有限公司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股权已 过户至公司名下。报告期内，公司完成了本次交易的现金价款的支付手续。</w:t>
                        </w: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08" w:type="dxa"/>
                        <w:vMerge/>
                        <w:tcBorders>
                          <w:left w:val="single" w:sz="9" w:space="0" w:color="D2D2D2"/>
                          <w:right w:val="single" w:sz="4" w:space="0" w:color="000000"/>
                        </w:tcBorders>
                      </w:tcPr>
                      <w:p>
                        <w:pPr/>
                      </w:p>
                    </w:tc>
                  </w:tr>
                  <w:tr>
                    <w:trPr>
                      <w:trHeight w:val="317"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8" w:type="dxa"/>
                        <w:vMerge/>
                        <w:tcBorders>
                          <w:left w:val="single" w:sz="9" w:space="0" w:color="D2D2D2"/>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本报告期末固定资产比期初增长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16.73%</w:t>
                        </w:r>
                        <w:r>
                          <w:rPr>
                            <w:rFonts w:ascii="宋体" w:hAnsi="宋体" w:cs="宋体" w:eastAsia="宋体" w:hint="default"/>
                            <w:sz w:val="18"/>
                            <w:szCs w:val="18"/>
                          </w:rPr>
                          <w:t>，主要是公司新购入设备增加所致。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本报告期末无形资产比期初增长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101.57%</w:t>
                        </w:r>
                        <w:r>
                          <w:rPr>
                            <w:rFonts w:ascii="宋体" w:hAnsi="宋体" w:cs="宋体" w:eastAsia="宋体" w:hint="default"/>
                            <w:sz w:val="18"/>
                            <w:szCs w:val="18"/>
                          </w:rPr>
                          <w:t>，主要是报告期内外购无形资产的增加所致。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本报告期末在建工程比期初增长</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114.21%</w:t>
                        </w:r>
                        <w:r>
                          <w:rPr>
                            <w:rFonts w:ascii="宋体" w:hAnsi="宋体" w:cs="宋体" w:eastAsia="宋体" w:hint="default"/>
                            <w:sz w:val="18"/>
                            <w:szCs w:val="18"/>
                          </w:rPr>
                          <w:t>，主要是由于蓝盾信息西南总部及研发基地项目的投入增加</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3"/>
        <w:spacing w:line="240" w:lineRule="auto" w:before="35"/>
        <w:ind w:right="0"/>
        <w:jc w:val="both"/>
        <w:rPr>
          <w:b w:val="0"/>
          <w:bCs w:val="0"/>
        </w:rPr>
      </w:pPr>
      <w:bookmarkStart w:name="2、主要境外资产情况" w:id="22"/>
      <w:bookmarkEnd w:id="22"/>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bookmarkStart w:name="三、核心竞争力分析" w:id="23"/>
      <w:bookmarkEnd w:id="23"/>
      <w:r>
        <w:rPr>
          <w:b w:val="0"/>
          <w:bCs w:val="0"/>
        </w:rPr>
      </w:r>
      <w:r>
        <w:rPr/>
        <w:t>三、核心竞争力分析</w:t>
      </w:r>
      <w:r>
        <w:rPr>
          <w:b w:val="0"/>
          <w:bCs w:val="0"/>
        </w:rPr>
      </w:r>
    </w:p>
    <w:p>
      <w:pPr>
        <w:spacing w:line="240" w:lineRule="auto" w:before="5"/>
        <w:rPr>
          <w:rFonts w:ascii="宋体" w:hAnsi="宋体" w:cs="宋体" w:eastAsia="宋体" w:hint="default"/>
          <w:b/>
          <w:bCs/>
          <w:sz w:val="31"/>
          <w:szCs w:val="31"/>
        </w:rPr>
      </w:pPr>
    </w:p>
    <w:p>
      <w:pPr>
        <w:pStyle w:val="BodyText"/>
        <w:spacing w:line="343" w:lineRule="auto"/>
        <w:ind w:right="1110" w:firstLine="420"/>
        <w:jc w:val="both"/>
      </w:pPr>
      <w:r>
        <w:rPr>
          <w:spacing w:val="-1"/>
        </w:rPr>
        <w:t>公司自成立以来一直专注于网络信息安全领域，经过十多年的积累和沉淀，目前已成为国内信息安全</w:t>
      </w:r>
      <w:r>
        <w:rPr/>
        <w:t> </w:t>
      </w:r>
      <w:r>
        <w:rPr>
          <w:spacing w:val="-1"/>
        </w:rPr>
        <w:t>龙头企业之一，业务区域及品牌影响力也在全国范围内不断扩大和提升，整体规模位居行业前列。公司在</w:t>
      </w:r>
      <w:r>
        <w:rPr>
          <w:spacing w:val="-83"/>
        </w:rPr>
        <w:t> </w:t>
      </w:r>
      <w:r>
        <w:rPr>
          <w:spacing w:val="-83"/>
        </w:rPr>
      </w:r>
      <w:r>
        <w:rPr/>
        <w:t>业内首倡了</w:t>
      </w:r>
      <w:r>
        <w:rPr>
          <w:rFonts w:ascii="Times New Roman" w:hAnsi="Times New Roman" w:cs="Times New Roman" w:eastAsia="Times New Roman" w:hint="default"/>
        </w:rPr>
        <w:t>“</w:t>
      </w:r>
      <w:r>
        <w:rPr/>
        <w:t>智慧安全</w:t>
      </w:r>
      <w:r>
        <w:rPr>
          <w:rFonts w:ascii="Times New Roman" w:hAnsi="Times New Roman" w:cs="Times New Roman" w:eastAsia="Times New Roman" w:hint="default"/>
        </w:rPr>
        <w:t>”</w:t>
      </w:r>
      <w:r>
        <w:rPr/>
        <w:t>的理念，通过打造完整的智慧安全产品体系，逐步成为我国智慧安全领域的领导厂 商，加上在新兴技术领域的不断创新，公司的核心竞争力得到持续的巩固和提升，主要体现在以下方面：</w:t>
      </w:r>
    </w:p>
    <w:p>
      <w:pPr>
        <w:spacing w:line="362" w:lineRule="auto" w:before="75"/>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大安全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产业战略优势</w:t>
      </w:r>
      <w:r>
        <w:rPr>
          <w:rFonts w:ascii="宋体" w:hAnsi="宋体" w:cs="宋体" w:eastAsia="宋体" w:hint="default"/>
          <w:b/>
          <w:bCs/>
          <w:w w:val="99"/>
          <w:sz w:val="21"/>
          <w:szCs w:val="21"/>
        </w:rPr>
        <w:t> </w:t>
      </w:r>
      <w:r>
        <w:rPr>
          <w:rFonts w:ascii="宋体" w:hAnsi="宋体" w:cs="宋体" w:eastAsia="宋体" w:hint="default"/>
          <w:spacing w:val="-2"/>
          <w:sz w:val="21"/>
          <w:szCs w:val="21"/>
        </w:rPr>
        <w:t>公司近年提出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大安全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产业发展战略，紧抓信息安全产业外延不断扩大的机遇，围绕</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技术升级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空</w:t>
      </w:r>
    </w:p>
    <w:p>
      <w:pPr>
        <w:pStyle w:val="BodyText"/>
        <w:spacing w:line="340" w:lineRule="auto"/>
        <w:ind w:right="1129"/>
        <w:jc w:val="both"/>
      </w:pPr>
      <w:r>
        <w:rPr>
          <w:spacing w:val="-2"/>
        </w:rPr>
        <w:t>间拓展</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rFonts w:ascii="宋体" w:hAnsi="宋体" w:cs="宋体" w:eastAsia="宋体" w:hint="default"/>
          <w:spacing w:val="-2"/>
        </w:rPr>
        <w:t>IT</w:t>
      </w:r>
      <w:r>
        <w:rPr>
          <w:spacing w:val="-2"/>
        </w:rPr>
        <w:t>层级突破</w:t>
      </w:r>
      <w:r>
        <w:rPr>
          <w:rFonts w:ascii="Times New Roman" w:hAnsi="Times New Roman" w:cs="Times New Roman" w:eastAsia="Times New Roman" w:hint="default"/>
          <w:spacing w:val="-2"/>
        </w:rPr>
        <w:t>”</w:t>
      </w:r>
      <w:r>
        <w:rPr>
          <w:spacing w:val="-2"/>
        </w:rPr>
        <w:t>三个维度为主线进行布局，构建了完整的</w:t>
      </w:r>
      <w:r>
        <w:rPr>
          <w:rFonts w:ascii="Times New Roman" w:hAnsi="Times New Roman" w:cs="Times New Roman" w:eastAsia="Times New Roman" w:hint="default"/>
          <w:spacing w:val="-2"/>
        </w:rPr>
        <w:t>“</w:t>
      </w:r>
      <w:r>
        <w:rPr>
          <w:spacing w:val="-2"/>
        </w:rPr>
        <w:t>大安全</w:t>
      </w:r>
      <w:r>
        <w:rPr>
          <w:rFonts w:ascii="Times New Roman" w:hAnsi="Times New Roman" w:cs="Times New Roman" w:eastAsia="Times New Roman" w:hint="default"/>
          <w:spacing w:val="-2"/>
        </w:rPr>
        <w:t>”</w:t>
      </w:r>
      <w:r>
        <w:rPr>
          <w:spacing w:val="-2"/>
        </w:rPr>
        <w:t>产业生态版图，业务方向、业务</w:t>
      </w:r>
      <w:r>
        <w:rPr>
          <w:spacing w:val="-75"/>
        </w:rPr>
        <w:t> </w:t>
      </w:r>
      <w:r>
        <w:rPr>
          <w:spacing w:val="-75"/>
        </w:rPr>
      </w:r>
      <w:r>
        <w:rPr>
          <w:spacing w:val="-1"/>
        </w:rPr>
        <w:t>区域及市场空间得以迅速扩大。报告期内，公司各子公司及业务板块之间的协同联动良好，为公司的业绩</w:t>
      </w:r>
      <w:r>
        <w:rPr>
          <w:spacing w:val="-83"/>
        </w:rPr>
        <w:t> </w:t>
      </w:r>
      <w:r>
        <w:rPr>
          <w:spacing w:val="-83"/>
        </w:rPr>
      </w:r>
      <w:r>
        <w:rPr>
          <w:spacing w:val="-1"/>
        </w:rPr>
        <w:t>增长提供的保障。公司未来将继续以集团化的思路运作，不断强化各子公司的优势领域，加强子公司之间</w:t>
      </w:r>
      <w:r>
        <w:rPr>
          <w:spacing w:val="-83"/>
        </w:rPr>
        <w:t> </w:t>
      </w:r>
      <w:r>
        <w:rPr>
          <w:spacing w:val="-83"/>
        </w:rPr>
      </w:r>
      <w:r>
        <w:rPr/>
        <w:t>的技术和业务联动，及时研判行业发展趋势，持续推进外延并购布局，充分发挥</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产业发展战略带 来的先发优势。</w:t>
      </w:r>
    </w:p>
    <w:p>
      <w:pPr>
        <w:spacing w:after="0" w:line="340"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62" w:lineRule="auto" w:before="35"/>
        <w:ind w:left="1553" w:right="0" w:firstLine="2"/>
        <w:jc w:val="left"/>
      </w:pPr>
      <w:r>
        <w:rPr>
          <w:rFonts w:ascii="Times New Roman" w:hAnsi="Times New Roman" w:cs="Times New Roman" w:eastAsia="Times New Roman" w:hint="default"/>
          <w:b/>
          <w:bCs/>
        </w:rPr>
        <w:t>2</w:t>
      </w:r>
      <w:r>
        <w:rPr>
          <w:rFonts w:ascii="宋体" w:hAnsi="宋体" w:cs="宋体" w:eastAsia="宋体" w:hint="default"/>
          <w:b/>
          <w:bCs/>
        </w:rPr>
        <w:t>、技术研发优势</w:t>
      </w:r>
      <w:r>
        <w:rPr>
          <w:rFonts w:ascii="宋体" w:hAnsi="宋体" w:cs="宋体" w:eastAsia="宋体" w:hint="default"/>
          <w:b/>
          <w:bCs/>
          <w:w w:val="99"/>
        </w:rPr>
        <w:t> </w:t>
      </w:r>
      <w:r>
        <w:rPr>
          <w:spacing w:val="-1"/>
        </w:rPr>
        <w:t>公司始终以自主创新为发展源动力，以技术研发领先优势抢占市场，经过十多年的探索和积累，已掌</w:t>
      </w:r>
    </w:p>
    <w:p>
      <w:pPr>
        <w:pStyle w:val="BodyText"/>
        <w:spacing w:line="340" w:lineRule="auto" w:before="17"/>
        <w:ind w:right="1131"/>
        <w:jc w:val="both"/>
      </w:pPr>
      <w:r>
        <w:rPr>
          <w:spacing w:val="-1"/>
        </w:rPr>
        <w:t>握了信息安全领域内的主要核心技术，并实现了全线安全产品的人工智能化。公司目前掌握的主要技术处</w:t>
      </w:r>
      <w:r>
        <w:rPr>
          <w:spacing w:val="-81"/>
        </w:rPr>
        <w:t> </w:t>
      </w:r>
      <w:r>
        <w:rPr>
          <w:spacing w:val="-81"/>
        </w:rPr>
      </w:r>
      <w:r>
        <w:rPr>
          <w:spacing w:val="-1"/>
        </w:rPr>
        <w:t>于国内领先地位，凭借领先的技术实力，公司先后承担并实施了包括国家公安部科技攻关项目在内的数十</w:t>
      </w:r>
      <w:r>
        <w:rPr>
          <w:spacing w:val="-81"/>
        </w:rPr>
        <w:t> </w:t>
      </w:r>
      <w:r>
        <w:rPr>
          <w:spacing w:val="-81"/>
        </w:rPr>
      </w:r>
      <w:r>
        <w:rPr>
          <w:spacing w:val="-1"/>
        </w:rPr>
        <w:t>项国家级、部级、省市区级的重点信息安全科研项目，并为国家公安部等部委制定行业技术标准发挥了重</w:t>
      </w:r>
      <w:r>
        <w:rPr>
          <w:spacing w:val="-83"/>
        </w:rPr>
        <w:t> </w:t>
      </w:r>
      <w:r>
        <w:rPr>
          <w:spacing w:val="-83"/>
        </w:rPr>
      </w:r>
      <w:r>
        <w:rPr/>
        <w:t>要作用。截至报告期末，公司及主要子公司共拥有专利</w:t>
      </w:r>
      <w:r>
        <w:rPr>
          <w:rFonts w:ascii="Times New Roman" w:hAnsi="Times New Roman" w:cs="Times New Roman" w:eastAsia="Times New Roman" w:hint="default"/>
        </w:rPr>
        <w:t>82</w:t>
      </w:r>
      <w:r>
        <w:rPr/>
        <w:t>项，软件著作权</w:t>
      </w:r>
      <w:r>
        <w:rPr>
          <w:rFonts w:ascii="Times New Roman" w:hAnsi="Times New Roman" w:cs="Times New Roman" w:eastAsia="Times New Roman" w:hint="default"/>
        </w:rPr>
        <w:t>657</w:t>
      </w:r>
      <w:r>
        <w:rPr/>
        <w:t>项。其中，公司在云安全方</w:t>
      </w:r>
      <w:r>
        <w:rPr>
          <w:spacing w:val="-30"/>
        </w:rPr>
        <w:t> </w:t>
      </w:r>
      <w:r>
        <w:rPr>
          <w:spacing w:val="-30"/>
        </w:rPr>
      </w:r>
      <w:r>
        <w:rPr>
          <w:spacing w:val="-1"/>
        </w:rPr>
        <w:t>面具备一定先发优势，通过持续加大研发投入，形成了虚拟防火墙、虚拟</w:t>
      </w:r>
      <w:r>
        <w:rPr>
          <w:rFonts w:ascii="Times New Roman" w:hAnsi="Times New Roman" w:cs="Times New Roman" w:eastAsia="Times New Roman" w:hint="default"/>
          <w:spacing w:val="-1"/>
        </w:rPr>
        <w:t>SOC</w:t>
      </w:r>
      <w:r>
        <w:rPr>
          <w:spacing w:val="-1"/>
        </w:rPr>
        <w:t>、虚拟堡垒机、虚拟网页防</w:t>
      </w:r>
      <w:r>
        <w:rPr>
          <w:spacing w:val="-74"/>
        </w:rPr>
        <w:t> </w:t>
      </w:r>
      <w:r>
        <w:rPr>
          <w:spacing w:val="-74"/>
        </w:rPr>
      </w:r>
      <w:r>
        <w:rPr/>
        <w:t>篡改、虚拟漏扫、虚拟</w:t>
      </w:r>
      <w:r>
        <w:rPr>
          <w:rFonts w:ascii="Times New Roman" w:hAnsi="Times New Roman" w:cs="Times New Roman" w:eastAsia="Times New Roman" w:hint="default"/>
        </w:rPr>
        <w:t>WAF</w:t>
      </w:r>
      <w:r>
        <w:rPr/>
        <w:t>、虚拟上网行为审计、虚拟数据库审计等业内最齐全的八大虚拟安全产品。</w:t>
      </w:r>
    </w:p>
    <w:p>
      <w:pPr>
        <w:pStyle w:val="BodyText"/>
        <w:spacing w:line="362" w:lineRule="auto" w:before="51"/>
        <w:ind w:left="1554" w:right="0" w:firstLine="2"/>
        <w:jc w:val="left"/>
      </w:pPr>
      <w:r>
        <w:rPr>
          <w:rFonts w:ascii="Times New Roman" w:hAnsi="Times New Roman" w:cs="Times New Roman" w:eastAsia="Times New Roman" w:hint="default"/>
          <w:b/>
          <w:bCs/>
        </w:rPr>
        <w:t>3</w:t>
      </w:r>
      <w:r>
        <w:rPr>
          <w:rFonts w:ascii="宋体" w:hAnsi="宋体" w:cs="宋体" w:eastAsia="宋体" w:hint="default"/>
          <w:b/>
          <w:bCs/>
        </w:rPr>
        <w:t>、专业资质优势</w:t>
      </w:r>
      <w:r>
        <w:rPr>
          <w:rFonts w:ascii="宋体" w:hAnsi="宋体" w:cs="宋体" w:eastAsia="宋体" w:hint="default"/>
          <w:b/>
          <w:bCs/>
          <w:w w:val="99"/>
        </w:rPr>
        <w:t> </w:t>
      </w:r>
      <w:r>
        <w:rPr>
          <w:spacing w:val="-1"/>
        </w:rPr>
        <w:t>作为专业技术要求极高的行业，获得资质或许可的多少是衡量信息安全企业竞争实力的重要标准。截</w:t>
      </w:r>
    </w:p>
    <w:p>
      <w:pPr>
        <w:pStyle w:val="BodyText"/>
        <w:spacing w:line="343" w:lineRule="auto" w:before="17"/>
        <w:ind w:left="1134" w:right="1023"/>
        <w:jc w:val="left"/>
      </w:pPr>
      <w:r>
        <w:rPr/>
        <w:t>至报告期末，公司凭借领先的技术优势及丰富的案例优势，已拥有军用信息安全产品认证证书</w:t>
      </w:r>
      <w:r>
        <w:rPr>
          <w:rFonts w:ascii="Times New Roman" w:hAnsi="Times New Roman" w:cs="Times New Roman" w:eastAsia="Times New Roman" w:hint="default"/>
        </w:rPr>
        <w:t>13</w:t>
      </w:r>
      <w:r>
        <w:rPr/>
        <w:t>项、产品 </w:t>
      </w:r>
      <w:r>
        <w:rPr>
          <w:spacing w:val="-3"/>
        </w:rPr>
        <w:t>销售许可证</w:t>
      </w:r>
      <w:r>
        <w:rPr>
          <w:rFonts w:ascii="Times New Roman" w:hAnsi="Times New Roman" w:cs="Times New Roman" w:eastAsia="Times New Roman" w:hint="default"/>
          <w:spacing w:val="-3"/>
        </w:rPr>
        <w:t>37</w:t>
      </w:r>
      <w:r>
        <w:rPr>
          <w:spacing w:val="-3"/>
        </w:rPr>
        <w:t>项、中国信息安全认证中心产品认证证书</w:t>
      </w:r>
      <w:r>
        <w:rPr>
          <w:rFonts w:ascii="Times New Roman" w:hAnsi="Times New Roman" w:cs="Times New Roman" w:eastAsia="Times New Roman" w:hint="default"/>
          <w:spacing w:val="-3"/>
        </w:rPr>
        <w:t>24</w:t>
      </w:r>
      <w:r>
        <w:rPr>
          <w:spacing w:val="-3"/>
        </w:rPr>
        <w:t>项，并取得了信息系统集成及服务一级资质证书、</w:t>
      </w:r>
      <w:r>
        <w:rPr>
          <w:spacing w:val="-88"/>
        </w:rPr>
        <w:t> </w:t>
      </w:r>
      <w:r>
        <w:rPr>
          <w:spacing w:val="-88"/>
        </w:rPr>
      </w:r>
      <w:r>
        <w:rPr/>
        <w:t>中国国家强制性产品认证证书、武器装备质量管理体系认证证书、信息安全一级应急处理服务资质证书、 信息安全一级风险评估服务资质证书、国家信息安全测评信息安全服务资质证书（安全工程类一级、安全</w:t>
      </w:r>
      <w:r>
        <w:rPr/>
        <w:t> </w:t>
      </w:r>
      <w:r>
        <w:rPr>
          <w:spacing w:val="-3"/>
        </w:rPr>
        <w:t>开发类一级、风险评估一级）、通信网络安全服务能力评定证书（安全设计与集成一级、风险评估一级）、</w:t>
      </w:r>
      <w:r>
        <w:rPr>
          <w:spacing w:val="-95"/>
        </w:rPr>
        <w:t> </w:t>
      </w:r>
      <w:r>
        <w:rPr>
          <w:spacing w:val="-95"/>
        </w:rPr>
      </w:r>
      <w:r>
        <w:rPr>
          <w:rFonts w:ascii="Times New Roman" w:hAnsi="Times New Roman" w:cs="Times New Roman" w:eastAsia="Times New Roman" w:hint="default"/>
        </w:rPr>
        <w:t>CMMI5</w:t>
      </w:r>
      <w:r>
        <w:rPr/>
        <w:t>认证证书、</w:t>
      </w:r>
      <w:r>
        <w:rPr>
          <w:rFonts w:ascii="Times New Roman" w:hAnsi="Times New Roman" w:cs="Times New Roman" w:eastAsia="Times New Roman" w:hint="default"/>
        </w:rPr>
        <w:t>CVE</w:t>
      </w:r>
      <w:r>
        <w:rPr/>
        <w:t>国际兼容性产品认证证书、工程设计资质证书（建筑智能化系统设计专项乙级）、 电子与智能化工程专业承包贰级、防雷工程专业施工丙级证书、安全生产许可证（建筑施工）、广东省安 全技术防范系统设计、施工、维修资格一级证书等业务资质，基本获得了包括信息安全产品、信息安全集 成及信息安全服务在内的所有业务类别的较高级别资质或许可，成为业内资质或许可最齐全的企业之一。</w:t>
      </w:r>
    </w:p>
    <w:p>
      <w:pPr>
        <w:pStyle w:val="BodyText"/>
        <w:spacing w:line="362" w:lineRule="auto" w:before="75"/>
        <w:ind w:left="1554" w:right="0" w:firstLine="2"/>
        <w:jc w:val="left"/>
      </w:pPr>
      <w:r>
        <w:rPr>
          <w:rFonts w:ascii="Times New Roman" w:hAnsi="Times New Roman" w:cs="Times New Roman" w:eastAsia="Times New Roman" w:hint="default"/>
          <w:b/>
          <w:bCs/>
        </w:rPr>
        <w:t>4</w:t>
      </w:r>
      <w:r>
        <w:rPr>
          <w:rFonts w:ascii="宋体" w:hAnsi="宋体" w:cs="宋体" w:eastAsia="宋体" w:hint="default"/>
          <w:b/>
          <w:bCs/>
        </w:rPr>
        <w:t>、市场和渠道优势</w:t>
      </w:r>
      <w:r>
        <w:rPr>
          <w:rFonts w:ascii="宋体" w:hAnsi="宋体" w:cs="宋体" w:eastAsia="宋体" w:hint="default"/>
          <w:b/>
          <w:bCs/>
          <w:w w:val="99"/>
        </w:rPr>
        <w:t> </w:t>
      </w:r>
      <w:r>
        <w:rPr>
          <w:spacing w:val="-1"/>
        </w:rPr>
        <w:t>公司采用直销和渠道代理相结合的销售模式，经过多年的市场沉淀以及近年来的渠道建设，目前已形</w:t>
      </w:r>
    </w:p>
    <w:p>
      <w:pPr>
        <w:pStyle w:val="BodyText"/>
        <w:spacing w:line="350" w:lineRule="auto" w:before="19"/>
        <w:ind w:left="1134" w:right="1110"/>
        <w:jc w:val="both"/>
      </w:pPr>
      <w:r>
        <w:rPr>
          <w:spacing w:val="-1"/>
        </w:rPr>
        <w:t>成覆盖全国的完整营销网络。公司现有的客户资源既是稳定的业务来源，也是宣传品牌、扩大影响力的最</w:t>
      </w:r>
      <w:r>
        <w:rPr>
          <w:spacing w:val="-83"/>
        </w:rPr>
        <w:t> </w:t>
      </w:r>
      <w:r>
        <w:rPr>
          <w:spacing w:val="-83"/>
        </w:rPr>
      </w:r>
      <w:r>
        <w:rPr>
          <w:spacing w:val="-1"/>
        </w:rPr>
        <w:t>好载体，有利于新市场及新客户的开拓，为公司的持续盈利提供了重要保障，公司的客户资源遍布全国各</w:t>
      </w:r>
      <w:r>
        <w:rPr>
          <w:spacing w:val="-83"/>
        </w:rPr>
        <w:t> </w:t>
      </w:r>
      <w:r>
        <w:rPr>
          <w:spacing w:val="-83"/>
        </w:rPr>
      </w:r>
      <w:r>
        <w:rPr/>
        <w:t>地十多个行业上万家客户群体，是业内服务行业最广、服务客户数量最多的厂商之一；同时，报告期内， 公司积极拓展销售渠道，并加强对渠道商的市场管理，通过对签约渠道商提供市场活动经费、人力资源、 </w:t>
      </w:r>
      <w:r>
        <w:rPr>
          <w:spacing w:val="-1"/>
        </w:rPr>
        <w:t>针对售前和售后人员提供技术支持、安全评估、紧急救援及客户跟踪等售后服务与咨询工作等方式，有效</w:t>
      </w:r>
      <w:r>
        <w:rPr>
          <w:spacing w:val="-83"/>
        </w:rPr>
        <w:t> </w:t>
      </w:r>
      <w:r>
        <w:rPr>
          <w:spacing w:val="-83"/>
        </w:rPr>
      </w:r>
      <w:r>
        <w:rPr>
          <w:spacing w:val="-1"/>
        </w:rPr>
        <w:t>提升渠道商的业务能力，公司的渠道商也覆盖了全国主要省市，有效提升了公司的营销效率，为公司业务</w:t>
      </w:r>
      <w:r>
        <w:rPr>
          <w:spacing w:val="-83"/>
        </w:rPr>
        <w:t> </w:t>
      </w:r>
      <w:r>
        <w:rPr>
          <w:spacing w:val="-83"/>
        </w:rPr>
      </w:r>
      <w:r>
        <w:rPr/>
        <w:t>的持续拓展提供了有力保障。</w:t>
      </w:r>
    </w:p>
    <w:p>
      <w:pPr>
        <w:pStyle w:val="BodyText"/>
        <w:spacing w:line="362" w:lineRule="auto" w:before="67"/>
        <w:ind w:left="1554" w:right="0" w:firstLine="2"/>
        <w:jc w:val="left"/>
      </w:pPr>
      <w:r>
        <w:rPr>
          <w:rFonts w:ascii="Times New Roman" w:hAnsi="Times New Roman" w:cs="Times New Roman" w:eastAsia="Times New Roman" w:hint="default"/>
          <w:b/>
          <w:bCs/>
        </w:rPr>
        <w:t>5</w:t>
      </w:r>
      <w:r>
        <w:rPr>
          <w:rFonts w:ascii="宋体" w:hAnsi="宋体" w:cs="宋体" w:eastAsia="宋体" w:hint="default"/>
          <w:b/>
          <w:bCs/>
        </w:rPr>
        <w:t>、人才团队优势</w:t>
      </w:r>
      <w:r>
        <w:rPr>
          <w:rFonts w:ascii="宋体" w:hAnsi="宋体" w:cs="宋体" w:eastAsia="宋体" w:hint="default"/>
          <w:b/>
          <w:bCs/>
          <w:w w:val="99"/>
        </w:rPr>
        <w:t> </w:t>
      </w:r>
      <w:r>
        <w:rPr>
          <w:spacing w:val="-1"/>
        </w:rPr>
        <w:t>公司非常注重人才团队的建设，通过各种招聘渠道及产学合作、校企合作等人才引进方式，目前已建</w:t>
      </w:r>
    </w:p>
    <w:p>
      <w:pPr>
        <w:pStyle w:val="BodyText"/>
        <w:spacing w:line="350" w:lineRule="auto" w:before="18"/>
        <w:ind w:left="1134" w:right="1131"/>
        <w:jc w:val="both"/>
      </w:pPr>
      <w:r>
        <w:rPr>
          <w:spacing w:val="-1"/>
        </w:rPr>
        <w:t>立起一支技术精湛、经验丰富、业务熟练、结构合理、团结协作的研发、销售和管理团队。报告期内，公</w:t>
      </w:r>
      <w:r>
        <w:rPr>
          <w:spacing w:val="-85"/>
        </w:rPr>
        <w:t> </w:t>
      </w:r>
      <w:r>
        <w:rPr>
          <w:spacing w:val="-85"/>
        </w:rPr>
      </w:r>
      <w:r>
        <w:rPr>
          <w:spacing w:val="-1"/>
        </w:rPr>
        <w:t>司积极引入业内顶尖的营销人才及研发人才，为公司全方位快速发展提供了有力保障。同时，公司也通过</w:t>
      </w:r>
      <w:r>
        <w:rPr>
          <w:spacing w:val="-83"/>
        </w:rPr>
        <w:t> </w:t>
      </w:r>
      <w:r>
        <w:rPr>
          <w:spacing w:val="-83"/>
        </w:rPr>
      </w:r>
      <w:r>
        <w:rPr>
          <w:spacing w:val="-1"/>
        </w:rPr>
        <w:t>实施员工持股计划、股权激励计划等激励机制以及科学合理的薪酬机制，有效保证了公司核心技术、业务</w:t>
      </w:r>
      <w:r>
        <w:rPr>
          <w:spacing w:val="-83"/>
        </w:rPr>
        <w:t> </w:t>
      </w:r>
      <w:r>
        <w:rPr>
          <w:spacing w:val="-83"/>
        </w:rPr>
      </w:r>
      <w:r>
        <w:rPr/>
        <w:t>团队的稳定。</w:t>
      </w:r>
    </w:p>
    <w:p>
      <w:pPr>
        <w:spacing w:after="0" w:line="350" w:lineRule="auto"/>
        <w:jc w:val="both"/>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945" w:right="0"/>
        <w:jc w:val="left"/>
        <w:rPr>
          <w:b w:val="0"/>
          <w:bCs w:val="0"/>
        </w:rPr>
      </w:pPr>
      <w:bookmarkStart w:name="第四节 经营情况讨论与分析" w:id="24"/>
      <w:bookmarkEnd w:id="24"/>
      <w:r>
        <w:rPr>
          <w:b w:val="0"/>
          <w:bCs w:val="0"/>
        </w:rPr>
      </w:r>
      <w:bookmarkStart w:name="_bookmark3" w:id="25"/>
      <w:bookmarkEnd w:id="25"/>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6"/>
      <w:bookmarkEnd w:id="26"/>
      <w:r>
        <w:rPr>
          <w:b w:val="0"/>
          <w:bCs w:val="0"/>
        </w:rPr>
      </w:r>
      <w:r>
        <w:rPr/>
        <w:t>一、概述</w:t>
      </w:r>
      <w:r>
        <w:rPr>
          <w:b w:val="0"/>
          <w:bCs w:val="0"/>
        </w:rPr>
      </w:r>
    </w:p>
    <w:p>
      <w:pPr>
        <w:spacing w:line="240" w:lineRule="auto" w:before="5"/>
        <w:rPr>
          <w:rFonts w:ascii="宋体" w:hAnsi="宋体" w:cs="宋体" w:eastAsia="宋体" w:hint="default"/>
          <w:b/>
          <w:bCs/>
          <w:sz w:val="31"/>
          <w:szCs w:val="31"/>
        </w:rPr>
      </w:pPr>
    </w:p>
    <w:p>
      <w:pPr>
        <w:pStyle w:val="BodyText"/>
        <w:spacing w:line="336" w:lineRule="auto"/>
        <w:ind w:right="1012" w:firstLine="420"/>
        <w:jc w:val="left"/>
      </w:pPr>
      <w:r>
        <w:rPr/>
        <w:t>报告期内，公司紧紧围绕</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产业发展战略及</w:t>
      </w:r>
      <w:r>
        <w:rPr>
          <w:rFonts w:ascii="Times New Roman" w:hAnsi="Times New Roman" w:cs="Times New Roman" w:eastAsia="Times New Roman" w:hint="default"/>
        </w:rPr>
        <w:t>“</w:t>
      </w:r>
      <w:r>
        <w:rPr/>
        <w:t>智慧安全</w:t>
      </w:r>
      <w:r>
        <w:rPr>
          <w:rFonts w:ascii="Times New Roman" w:hAnsi="Times New Roman" w:cs="Times New Roman" w:eastAsia="Times New Roman" w:hint="default"/>
        </w:rPr>
        <w:t>”</w:t>
      </w:r>
      <w:r>
        <w:rPr/>
        <w:t>发展理念，业务拓展及产业扩张有序推 进，实现全线安全产品的人工智能化，同时通过不断加强与子公司间的业务协同，整合资源、优化管理， </w:t>
      </w:r>
      <w:r>
        <w:rPr>
          <w:spacing w:val="-4"/>
        </w:rPr>
        <w:t>巩固了公司</w:t>
      </w:r>
      <w:r>
        <w:rPr>
          <w:rFonts w:ascii="Times New Roman" w:hAnsi="Times New Roman" w:cs="Times New Roman" w:eastAsia="Times New Roman" w:hint="default"/>
          <w:spacing w:val="-4"/>
        </w:rPr>
        <w:t>“</w:t>
      </w:r>
      <w:r>
        <w:rPr>
          <w:spacing w:val="-4"/>
        </w:rPr>
        <w:t>智慧安全领导者</w:t>
      </w:r>
      <w:r>
        <w:rPr>
          <w:rFonts w:ascii="Times New Roman" w:hAnsi="Times New Roman" w:cs="Times New Roman" w:eastAsia="Times New Roman" w:hint="default"/>
          <w:spacing w:val="-4"/>
        </w:rPr>
        <w:t>”</w:t>
      </w:r>
      <w:r>
        <w:rPr>
          <w:spacing w:val="-4"/>
        </w:rPr>
        <w:t>的市场地位。报告期内，公司实现营业收入</w:t>
      </w:r>
      <w:r>
        <w:rPr>
          <w:rFonts w:ascii="Times New Roman" w:hAnsi="Times New Roman" w:cs="Times New Roman" w:eastAsia="Times New Roman" w:hint="default"/>
          <w:spacing w:val="-4"/>
        </w:rPr>
        <w:t>221,647.64</w:t>
      </w:r>
      <w:r>
        <w:rPr>
          <w:spacing w:val="-4"/>
        </w:rPr>
        <w:t>万元，同比增长</w:t>
      </w:r>
      <w:r>
        <w:rPr>
          <w:rFonts w:ascii="Times New Roman" w:hAnsi="Times New Roman" w:cs="Times New Roman" w:eastAsia="Times New Roman" w:hint="default"/>
          <w:spacing w:val="-4"/>
        </w:rPr>
        <w:t>40.86%</w:t>
      </w:r>
      <w:r>
        <w:rPr>
          <w:spacing w:val="-4"/>
        </w:rPr>
        <w:t>；</w:t>
      </w:r>
      <w:r>
        <w:rPr/>
        <w:t> 实现归属于上市公司股东的净利润</w:t>
      </w:r>
      <w:r>
        <w:rPr>
          <w:rFonts w:ascii="Times New Roman" w:hAnsi="Times New Roman" w:cs="Times New Roman" w:eastAsia="Times New Roman" w:hint="default"/>
        </w:rPr>
        <w:t>41,380.95</w:t>
      </w:r>
      <w:r>
        <w:rPr/>
        <w:t>万元，同比增长</w:t>
      </w:r>
      <w:r>
        <w:rPr>
          <w:rFonts w:ascii="Times New Roman" w:hAnsi="Times New Roman" w:cs="Times New Roman" w:eastAsia="Times New Roman" w:hint="default"/>
        </w:rPr>
        <w:t>28.16%</w:t>
      </w:r>
      <w:r>
        <w:rPr/>
        <w:t>。</w:t>
      </w:r>
    </w:p>
    <w:p>
      <w:pPr>
        <w:pStyle w:val="BodyText"/>
        <w:spacing w:line="240" w:lineRule="auto" w:before="56"/>
        <w:ind w:left="1554" w:right="0"/>
        <w:jc w:val="left"/>
      </w:pPr>
      <w:r>
        <w:rPr/>
        <w:t>报告期内，公司运营情况如下：</w:t>
      </w:r>
    </w:p>
    <w:p>
      <w:pPr>
        <w:pStyle w:val="Heading3"/>
        <w:spacing w:line="240" w:lineRule="auto" w:before="165"/>
        <w:ind w:left="1556" w:right="0"/>
        <w:jc w:val="left"/>
        <w:rPr>
          <w:b w:val="0"/>
          <w:bCs w:val="0"/>
        </w:rPr>
      </w:pPr>
      <w:r>
        <w:rPr/>
        <w:t>（一）研发创新方面</w:t>
      </w:r>
      <w:r>
        <w:rPr>
          <w:b w:val="0"/>
          <w:bCs w:val="0"/>
        </w:rPr>
      </w:r>
    </w:p>
    <w:p>
      <w:pPr>
        <w:pStyle w:val="BodyText"/>
        <w:spacing w:line="331" w:lineRule="auto" w:before="164"/>
        <w:ind w:right="0" w:firstLine="420"/>
        <w:jc w:val="left"/>
      </w:pPr>
      <w:r>
        <w:rPr>
          <w:rFonts w:ascii="Times New Roman" w:hAnsi="Times New Roman" w:cs="Times New Roman" w:eastAsia="Times New Roman" w:hint="default"/>
        </w:rPr>
        <w:t>1</w:t>
      </w:r>
      <w:r>
        <w:rPr/>
        <w:t>、持续加大研发投入。报告期内，公司研发投入金额为</w:t>
      </w:r>
      <w:r>
        <w:rPr>
          <w:rFonts w:ascii="Times New Roman" w:hAnsi="Times New Roman" w:cs="Times New Roman" w:eastAsia="Times New Roman" w:hint="default"/>
        </w:rPr>
        <w:t>24,505.53</w:t>
      </w:r>
      <w:r>
        <w:rPr/>
        <w:t>万元，较上年增加</w:t>
      </w:r>
      <w:r>
        <w:rPr>
          <w:rFonts w:ascii="Times New Roman" w:hAnsi="Times New Roman" w:cs="Times New Roman" w:eastAsia="Times New Roman" w:hint="default"/>
        </w:rPr>
        <w:t>10,299.30</w:t>
      </w:r>
      <w:r>
        <w:rPr/>
        <w:t>万元， </w:t>
      </w:r>
      <w:r>
        <w:rPr>
          <w:spacing w:val="-2"/>
        </w:rPr>
        <w:t>同比增加</w:t>
      </w:r>
      <w:r>
        <w:rPr>
          <w:rFonts w:ascii="Times New Roman" w:hAnsi="Times New Roman" w:cs="Times New Roman" w:eastAsia="Times New Roman" w:hint="default"/>
          <w:spacing w:val="-2"/>
        </w:rPr>
        <w:t>71.65%</w:t>
      </w:r>
      <w:r>
        <w:rPr>
          <w:spacing w:val="-2"/>
        </w:rPr>
        <w:t>；报告期末，公司的技术及研发人员从上年期末的</w:t>
      </w:r>
      <w:r>
        <w:rPr>
          <w:rFonts w:ascii="Times New Roman" w:hAnsi="Times New Roman" w:cs="Times New Roman" w:eastAsia="Times New Roman" w:hint="default"/>
          <w:spacing w:val="-2"/>
        </w:rPr>
        <w:t>860</w:t>
      </w:r>
      <w:r>
        <w:rPr>
          <w:spacing w:val="-2"/>
        </w:rPr>
        <w:t>人增加至</w:t>
      </w:r>
      <w:r>
        <w:rPr>
          <w:rFonts w:ascii="Times New Roman" w:hAnsi="Times New Roman" w:cs="Times New Roman" w:eastAsia="Times New Roman" w:hint="default"/>
          <w:spacing w:val="-2"/>
        </w:rPr>
        <w:t>1292</w:t>
      </w:r>
      <w:r>
        <w:rPr>
          <w:spacing w:val="-2"/>
        </w:rPr>
        <w:t>人，同比增加</w:t>
      </w:r>
      <w:r>
        <w:rPr>
          <w:rFonts w:ascii="Times New Roman" w:hAnsi="Times New Roman" w:cs="Times New Roman" w:eastAsia="Times New Roman" w:hint="default"/>
          <w:spacing w:val="-2"/>
        </w:rPr>
        <w:t>50.23%</w:t>
      </w:r>
      <w:r>
        <w:rPr>
          <w:spacing w:val="-2"/>
        </w:rPr>
        <w:t>，</w:t>
      </w:r>
      <w:r>
        <w:rPr>
          <w:spacing w:val="-56"/>
        </w:rPr>
        <w:t> </w:t>
      </w:r>
      <w:r>
        <w:rPr/>
        <w:t>技术及研发人员占公司员工总数达到</w:t>
      </w:r>
      <w:r>
        <w:rPr>
          <w:rFonts w:ascii="Times New Roman" w:hAnsi="Times New Roman" w:cs="Times New Roman" w:eastAsia="Times New Roman" w:hint="default"/>
        </w:rPr>
        <w:t>46.18%</w:t>
      </w:r>
      <w:r>
        <w:rPr/>
        <w:t>。持续增加的研发投入及不断扩大的研发人才团队保障了公司 的技术创新优势。</w:t>
      </w:r>
    </w:p>
    <w:p>
      <w:pPr>
        <w:pStyle w:val="BodyText"/>
        <w:spacing w:line="340" w:lineRule="auto" w:before="85"/>
        <w:ind w:right="1131" w:firstLine="420"/>
        <w:jc w:val="both"/>
      </w:pPr>
      <w:r>
        <w:rPr>
          <w:rFonts w:ascii="Times New Roman" w:hAnsi="Times New Roman" w:cs="Times New Roman" w:eastAsia="Times New Roman" w:hint="default"/>
          <w:spacing w:val="-3"/>
        </w:rPr>
        <w:t>2</w:t>
      </w:r>
      <w:r>
        <w:rPr>
          <w:spacing w:val="-3"/>
        </w:rPr>
        <w:t>、实现全线产品人工智能化。报告期内，公司将</w:t>
      </w:r>
      <w:r>
        <w:rPr>
          <w:rFonts w:ascii="Times New Roman" w:hAnsi="Times New Roman" w:cs="Times New Roman" w:eastAsia="Times New Roman" w:hint="default"/>
          <w:spacing w:val="-3"/>
        </w:rPr>
        <w:t>“</w:t>
      </w:r>
      <w:r>
        <w:rPr>
          <w:spacing w:val="-3"/>
        </w:rPr>
        <w:t>智慧安全</w:t>
      </w:r>
      <w:r>
        <w:rPr>
          <w:rFonts w:ascii="Times New Roman" w:hAnsi="Times New Roman" w:cs="Times New Roman" w:eastAsia="Times New Roman" w:hint="default"/>
          <w:spacing w:val="-3"/>
        </w:rPr>
        <w:t>”</w:t>
      </w:r>
      <w:r>
        <w:rPr>
          <w:spacing w:val="-3"/>
        </w:rPr>
        <w:t>的理念融入到产品的研发设计中，将人工</w:t>
      </w:r>
      <w:r>
        <w:rPr/>
        <w:t> </w:t>
      </w:r>
      <w:r>
        <w:rPr>
          <w:spacing w:val="-1"/>
        </w:rPr>
        <w:t>智能引擎应用到传统安全产品中，实现了全线产品的人工智能化，提升了安全检测能力和响应速度。报告</w:t>
      </w:r>
      <w:r>
        <w:rPr>
          <w:spacing w:val="-83"/>
        </w:rPr>
        <w:t> </w:t>
      </w:r>
      <w:r>
        <w:rPr>
          <w:spacing w:val="-83"/>
        </w:rPr>
      </w:r>
      <w:r>
        <w:rPr/>
        <w:t>期内，公司将人工智能与安全应用相融合的产品或场景主要如下：</w:t>
      </w:r>
    </w:p>
    <w:p>
      <w:pPr>
        <w:pStyle w:val="BodyText"/>
        <w:spacing w:line="336" w:lineRule="auto" w:before="76"/>
        <w:ind w:right="1131" w:firstLine="420"/>
        <w:jc w:val="both"/>
      </w:pPr>
      <w:r>
        <w:rPr>
          <w:spacing w:val="-3"/>
        </w:rPr>
        <w:t>（</w:t>
      </w:r>
      <w:r>
        <w:rPr>
          <w:rFonts w:ascii="Times New Roman" w:hAnsi="Times New Roman" w:cs="Times New Roman" w:eastAsia="Times New Roman" w:hint="default"/>
          <w:spacing w:val="-3"/>
        </w:rPr>
        <w:t>1</w:t>
      </w:r>
      <w:r>
        <w:rPr>
          <w:spacing w:val="-3"/>
        </w:rPr>
        <w:t>）蓝盾</w:t>
      </w:r>
      <w:r>
        <w:rPr>
          <w:rFonts w:ascii="Times New Roman" w:hAnsi="Times New Roman" w:cs="Times New Roman" w:eastAsia="Times New Roman" w:hint="default"/>
          <w:spacing w:val="-3"/>
        </w:rPr>
        <w:t>“</w:t>
      </w:r>
      <w:r>
        <w:rPr>
          <w:spacing w:val="-3"/>
        </w:rPr>
        <w:t>智核</w:t>
      </w:r>
      <w:r>
        <w:rPr>
          <w:rFonts w:ascii="Times New Roman" w:hAnsi="Times New Roman" w:cs="Times New Roman" w:eastAsia="Times New Roman" w:hint="default"/>
          <w:spacing w:val="-3"/>
        </w:rPr>
        <w:t>”</w:t>
      </w:r>
      <w:r>
        <w:rPr>
          <w:spacing w:val="-3"/>
        </w:rPr>
        <w:t>边界网关：包括蓝盾人工智能防火墙、蓝盾人工智能入侵检测防御等网关产品。公司</w:t>
      </w:r>
      <w:r>
        <w:rPr/>
        <w:t> </w:t>
      </w:r>
      <w:r>
        <w:rPr>
          <w:spacing w:val="-1"/>
        </w:rPr>
        <w:t>是业界首家在网关位置使用人工智能技术识别威胁的厂商，通过云端机器学习威胁模型训练与内置在网关</w:t>
      </w:r>
      <w:r>
        <w:rPr>
          <w:spacing w:val="-81"/>
        </w:rPr>
        <w:t> </w:t>
      </w:r>
      <w:r>
        <w:rPr>
          <w:spacing w:val="-81"/>
        </w:rPr>
      </w:r>
      <w:r>
        <w:rPr>
          <w:spacing w:val="-1"/>
        </w:rPr>
        <w:t>设备上的</w:t>
      </w:r>
      <w:r>
        <w:rPr>
          <w:rFonts w:ascii="Times New Roman" w:hAnsi="Times New Roman" w:cs="Times New Roman" w:eastAsia="Times New Roman" w:hint="default"/>
          <w:spacing w:val="-1"/>
        </w:rPr>
        <w:t>AI</w:t>
      </w:r>
      <w:r>
        <w:rPr>
          <w:spacing w:val="-1"/>
        </w:rPr>
        <w:t>智能引擎联动的模式，解决了</w:t>
      </w:r>
      <w:r>
        <w:rPr>
          <w:rFonts w:ascii="Times New Roman" w:hAnsi="Times New Roman" w:cs="Times New Roman" w:eastAsia="Times New Roman" w:hint="default"/>
          <w:spacing w:val="-1"/>
        </w:rPr>
        <w:t>AI</w:t>
      </w:r>
      <w:r>
        <w:rPr>
          <w:spacing w:val="-1"/>
        </w:rPr>
        <w:t>技术在网关应用的性能瓶颈，为客户带来人工智能的高效威胁</w:t>
      </w:r>
      <w:r>
        <w:rPr/>
        <w:t> 检测能力。</w:t>
      </w:r>
    </w:p>
    <w:p>
      <w:pPr>
        <w:pStyle w:val="BodyText"/>
        <w:spacing w:line="340" w:lineRule="auto" w:before="81"/>
        <w:ind w:right="1133" w:firstLine="420"/>
        <w:jc w:val="both"/>
      </w:pPr>
      <w:r>
        <w:rPr/>
        <w:t>（</w:t>
      </w:r>
      <w:r>
        <w:rPr>
          <w:rFonts w:ascii="Times New Roman" w:hAnsi="Times New Roman" w:cs="Times New Roman" w:eastAsia="Times New Roman" w:hint="default"/>
        </w:rPr>
        <w:t>2</w:t>
      </w:r>
      <w:r>
        <w:rPr/>
        <w:t>）蓝盾深度态势感知平台：公司利用大数据技术进行海量数据的融合，利用人工智能识别各种安 </w:t>
      </w:r>
      <w:r>
        <w:rPr>
          <w:spacing w:val="-1"/>
        </w:rPr>
        <w:t>全攻击，配合业内顶尖的软件基因技术，可实现深度溯源和调查取证，从而支撑业务应用的连续性，保护</w:t>
      </w:r>
      <w:r>
        <w:rPr>
          <w:spacing w:val="-86"/>
        </w:rPr>
        <w:t> </w:t>
      </w:r>
      <w:r>
        <w:rPr>
          <w:spacing w:val="-86"/>
        </w:rPr>
      </w:r>
      <w:r>
        <w:rPr/>
        <w:t>敏感信息的安全。</w:t>
      </w:r>
    </w:p>
    <w:p>
      <w:pPr>
        <w:pStyle w:val="BodyText"/>
        <w:spacing w:line="340" w:lineRule="auto" w:before="76"/>
        <w:ind w:right="0" w:firstLine="420"/>
        <w:jc w:val="left"/>
      </w:pPr>
      <w:r>
        <w:rPr>
          <w:spacing w:val="-1"/>
        </w:rPr>
        <w:t>（</w:t>
      </w:r>
      <w:r>
        <w:rPr>
          <w:rFonts w:ascii="Times New Roman" w:hAnsi="Times New Roman" w:cs="Times New Roman" w:eastAsia="Times New Roman" w:hint="default"/>
          <w:spacing w:val="-1"/>
        </w:rPr>
        <w:t>3</w:t>
      </w:r>
      <w:r>
        <w:rPr>
          <w:spacing w:val="-1"/>
        </w:rPr>
        <w:t>）蓝盾漏洞扫描与挖掘平台：公司基于庞大、精良的漏洞库，创新性地应用了智能任务调度算法、</w:t>
      </w:r>
      <w:r>
        <w:rPr/>
        <w:t> 深度扫描、智能登录扫描等技术，全方位发掘网络中各类主机、设备、应用及系统的深层次脆弱点，让用 户更准确地了解安全态势，快速精准修补漏洞，在网络攻击和威胁发生前做好坚实的防护。</w:t>
      </w:r>
    </w:p>
    <w:p>
      <w:pPr>
        <w:pStyle w:val="BodyText"/>
        <w:spacing w:line="340" w:lineRule="auto" w:before="77"/>
        <w:ind w:right="1093" w:firstLine="420"/>
        <w:jc w:val="left"/>
      </w:pPr>
      <w:r>
        <w:rPr/>
        <w:t>（</w:t>
      </w:r>
      <w:r>
        <w:rPr>
          <w:rFonts w:ascii="Times New Roman" w:hAnsi="Times New Roman" w:cs="Times New Roman" w:eastAsia="Times New Roman" w:hint="default"/>
        </w:rPr>
        <w:t>4</w:t>
      </w:r>
      <w:r>
        <w:rPr/>
        <w:t>）蓝盾工控安全平台：平台的核心是蓝盾工业态势感知平台，通过采集工控平台各类数据，结合 人工智能分析、大数据存储，能从全局视角提升对各种安全威胁的发现识别、理解分析、响应处置能力， 保障工业互联网络的安全。</w:t>
      </w:r>
    </w:p>
    <w:p>
      <w:pPr>
        <w:pStyle w:val="BodyText"/>
        <w:spacing w:line="331" w:lineRule="auto" w:before="77"/>
        <w:ind w:right="1130" w:firstLine="420"/>
        <w:jc w:val="both"/>
      </w:pPr>
      <w:r>
        <w:rPr>
          <w:spacing w:val="-3"/>
        </w:rPr>
        <w:t>（</w:t>
      </w:r>
      <w:r>
        <w:rPr>
          <w:rFonts w:ascii="Times New Roman" w:hAnsi="Times New Roman" w:cs="Times New Roman" w:eastAsia="Times New Roman" w:hint="default"/>
          <w:spacing w:val="-3"/>
        </w:rPr>
        <w:t>5</w:t>
      </w:r>
      <w:r>
        <w:rPr>
          <w:spacing w:val="-3"/>
        </w:rPr>
        <w:t>）蓝盾安全卫士：公司的移动终端安全产品蓝盾安全卫士成功应用了人工智能技术对</w:t>
      </w:r>
      <w:r>
        <w:rPr>
          <w:rFonts w:ascii="Times New Roman" w:hAnsi="Times New Roman" w:cs="Times New Roman" w:eastAsia="Times New Roman" w:hint="default"/>
          <w:spacing w:val="-3"/>
        </w:rPr>
        <w:t>APP</w:t>
      </w:r>
      <w:r>
        <w:rPr>
          <w:spacing w:val="-3"/>
        </w:rPr>
        <w:t>行为进行</w:t>
      </w:r>
      <w:r>
        <w:rPr/>
        <w:t> 威胁分析，可有效检测出恶意</w:t>
      </w:r>
      <w:r>
        <w:rPr>
          <w:rFonts w:ascii="Times New Roman" w:hAnsi="Times New Roman" w:cs="Times New Roman" w:eastAsia="Times New Roman" w:hint="default"/>
        </w:rPr>
        <w:t>APP</w:t>
      </w:r>
      <w:r>
        <w:rPr/>
        <w:t>，分析哪些</w:t>
      </w:r>
      <w:r>
        <w:rPr>
          <w:rFonts w:ascii="Times New Roman" w:hAnsi="Times New Roman" w:cs="Times New Roman" w:eastAsia="Times New Roman" w:hint="default"/>
        </w:rPr>
        <w:t>APP</w:t>
      </w:r>
      <w:r>
        <w:rPr/>
        <w:t>存在侵犯用户个人隐私的行为，使客户放心使用手机上</w:t>
      </w:r>
      <w:r>
        <w:rPr>
          <w:spacing w:val="-69"/>
        </w:rPr>
        <w:t> </w:t>
      </w:r>
      <w:r>
        <w:rPr>
          <w:spacing w:val="-69"/>
        </w:rPr>
      </w:r>
      <w:r>
        <w:rPr/>
        <w:t>的</w:t>
      </w:r>
      <w:r>
        <w:rPr>
          <w:rFonts w:ascii="Times New Roman" w:hAnsi="Times New Roman" w:cs="Times New Roman" w:eastAsia="Times New Roman" w:hint="default"/>
        </w:rPr>
        <w:t>APP</w:t>
      </w:r>
      <w:r>
        <w:rPr/>
        <w:t>。</w:t>
      </w:r>
    </w:p>
    <w:p>
      <w:pPr>
        <w:spacing w:after="0" w:line="331"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31" w:lineRule="auto" w:before="35"/>
        <w:ind w:right="1134" w:firstLine="420"/>
        <w:jc w:val="both"/>
      </w:pPr>
      <w:r>
        <w:rPr/>
        <w:t>（</w:t>
      </w:r>
      <w:r>
        <w:rPr>
          <w:rFonts w:ascii="Times New Roman" w:hAnsi="Times New Roman" w:cs="Times New Roman" w:eastAsia="Times New Roman" w:hint="default"/>
        </w:rPr>
        <w:t>6</w:t>
      </w:r>
      <w:r>
        <w:rPr/>
        <w:t>）蓝盾</w:t>
      </w:r>
      <w:r>
        <w:rPr>
          <w:rFonts w:ascii="宋体" w:hAnsi="宋体" w:cs="宋体" w:eastAsia="宋体" w:hint="default"/>
        </w:rPr>
        <w:t>AI</w:t>
      </w:r>
      <w:r>
        <w:rPr/>
        <w:t>安全云：公司开放</w:t>
      </w:r>
      <w:r>
        <w:rPr>
          <w:rFonts w:ascii="宋体" w:hAnsi="宋体" w:cs="宋体" w:eastAsia="宋体" w:hint="default"/>
        </w:rPr>
        <w:t>AI</w:t>
      </w:r>
      <w:r>
        <w:rPr/>
        <w:t>安全能力所打造的一个智能、专业的威胁分析平台，以云的方式提 供基于人工智能的可疑文件、高危应用检测分析服务，为传统网络、</w:t>
      </w:r>
      <w:r>
        <w:rPr>
          <w:rFonts w:ascii="Times New Roman" w:hAnsi="Times New Roman" w:cs="Times New Roman" w:eastAsia="Times New Roman" w:hint="default"/>
        </w:rPr>
        <w:t>IoT</w:t>
      </w:r>
      <w:r>
        <w:rPr/>
        <w:t>网络的终端设备提供基于云的安</w:t>
      </w:r>
      <w:r>
        <w:rPr>
          <w:spacing w:val="-18"/>
        </w:rPr>
        <w:t> </w:t>
      </w:r>
      <w:r>
        <w:rPr>
          <w:spacing w:val="-18"/>
        </w:rPr>
      </w:r>
      <w:r>
        <w:rPr/>
        <w:t>全大脑。</w:t>
      </w:r>
    </w:p>
    <w:p>
      <w:pPr>
        <w:pStyle w:val="BodyText"/>
        <w:spacing w:line="331" w:lineRule="auto" w:before="85"/>
        <w:ind w:right="1130" w:firstLine="42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w:t>
      </w:r>
      <w:r>
        <w:rPr>
          <w:spacing w:val="-3"/>
        </w:rPr>
        <w:t>云战略</w:t>
      </w:r>
      <w:r>
        <w:rPr>
          <w:rFonts w:ascii="Times New Roman" w:hAnsi="Times New Roman" w:cs="Times New Roman" w:eastAsia="Times New Roman" w:hint="default"/>
          <w:spacing w:val="-3"/>
        </w:rPr>
        <w:t>”</w:t>
      </w:r>
      <w:r>
        <w:rPr>
          <w:spacing w:val="-3"/>
        </w:rPr>
        <w:t>持续落地。报告期内，公司的云安全能力不断深化，推出了虚拟防火墙、虚拟</w:t>
      </w:r>
      <w:r>
        <w:rPr>
          <w:rFonts w:ascii="Times New Roman" w:hAnsi="Times New Roman" w:cs="Times New Roman" w:eastAsia="Times New Roman" w:hint="default"/>
          <w:spacing w:val="-3"/>
        </w:rPr>
        <w:t>SOC</w:t>
      </w:r>
      <w:r>
        <w:rPr>
          <w:spacing w:val="-3"/>
        </w:rPr>
        <w:t>、虚拟</w:t>
      </w:r>
      <w:r>
        <w:rPr/>
        <w:t> </w:t>
      </w:r>
      <w:r>
        <w:rPr>
          <w:spacing w:val="-2"/>
        </w:rPr>
        <w:t>堡垒机、虚拟网页防篡改、虚拟漏扫、虚拟</w:t>
      </w:r>
      <w:r>
        <w:rPr>
          <w:rFonts w:ascii="Times New Roman" w:hAnsi="Times New Roman" w:cs="Times New Roman" w:eastAsia="Times New Roman" w:hint="default"/>
          <w:spacing w:val="-2"/>
        </w:rPr>
        <w:t>WAF</w:t>
      </w:r>
      <w:r>
        <w:rPr>
          <w:spacing w:val="-2"/>
        </w:rPr>
        <w:t>、虚拟上网行为审计、虚拟数据库审计等业内最齐全的八</w:t>
      </w:r>
      <w:r>
        <w:rPr>
          <w:spacing w:val="-84"/>
        </w:rPr>
        <w:t> </w:t>
      </w:r>
      <w:r>
        <w:rPr>
          <w:spacing w:val="-84"/>
        </w:rPr>
      </w:r>
      <w:r>
        <w:rPr>
          <w:spacing w:val="-1"/>
        </w:rPr>
        <w:t>大虚拟安全器件，并发布了能提供全方位安全防护体系的蓝盾云平台（全面覆盖</w:t>
      </w:r>
      <w:r>
        <w:rPr>
          <w:rFonts w:ascii="Times New Roman" w:hAnsi="Times New Roman" w:cs="Times New Roman" w:eastAsia="Times New Roman" w:hint="default"/>
          <w:spacing w:val="-1"/>
        </w:rPr>
        <w:t>IaaS</w:t>
      </w:r>
      <w:r>
        <w:rPr>
          <w:spacing w:val="-1"/>
        </w:rPr>
        <w:t>层、</w:t>
      </w:r>
      <w:r>
        <w:rPr>
          <w:rFonts w:ascii="Times New Roman" w:hAnsi="Times New Roman" w:cs="Times New Roman" w:eastAsia="Times New Roman" w:hint="default"/>
          <w:spacing w:val="-1"/>
        </w:rPr>
        <w:t>PaaS</w:t>
      </w:r>
      <w:r>
        <w:rPr>
          <w:spacing w:val="-1"/>
        </w:rPr>
        <w:t>层和</w:t>
      </w:r>
      <w:r>
        <w:rPr>
          <w:rFonts w:ascii="Times New Roman" w:hAnsi="Times New Roman" w:cs="Times New Roman" w:eastAsia="Times New Roman" w:hint="default"/>
          <w:spacing w:val="-1"/>
        </w:rPr>
        <w:t>Sec-aaS</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3"/>
        </w:rPr>
        <w:t>层）以及能满足</w:t>
      </w:r>
      <w:r>
        <w:rPr>
          <w:rFonts w:ascii="Times New Roman" w:hAnsi="Times New Roman" w:cs="Times New Roman" w:eastAsia="Times New Roman" w:hint="default"/>
          <w:spacing w:val="-3"/>
        </w:rPr>
        <w:t>“</w:t>
      </w:r>
      <w:r>
        <w:rPr>
          <w:spacing w:val="-3"/>
        </w:rPr>
        <w:t>等保</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3"/>
        </w:rPr>
        <w:t>”</w:t>
      </w:r>
      <w:r>
        <w:rPr>
          <w:spacing w:val="-3"/>
        </w:rPr>
        <w:t>相关安全规范、由蓝盾云平台提供底层服务支撑的云桌面安全创新解决方案，</w:t>
      </w:r>
      <w:r>
        <w:rPr>
          <w:rFonts w:ascii="Times New Roman" w:hAnsi="Times New Roman" w:cs="Times New Roman" w:eastAsia="Times New Roman" w:hint="default"/>
          <w:spacing w:val="-3"/>
        </w:rPr>
        <w:t>“</w:t>
      </w:r>
      <w:r>
        <w:rPr>
          <w:spacing w:val="-3"/>
        </w:rPr>
        <w:t>云</w:t>
      </w:r>
      <w:r>
        <w:rPr/>
        <w:t> 战略</w:t>
      </w:r>
      <w:r>
        <w:rPr>
          <w:rFonts w:ascii="Times New Roman" w:hAnsi="Times New Roman" w:cs="Times New Roman" w:eastAsia="Times New Roman" w:hint="default"/>
        </w:rPr>
        <w:t>”</w:t>
      </w:r>
      <w:r>
        <w:rPr/>
        <w:t>持续落地，为公司云安全运营等新模式的拓展打下了坚实的技术基础。</w:t>
      </w:r>
    </w:p>
    <w:p>
      <w:pPr>
        <w:pStyle w:val="BodyText"/>
        <w:spacing w:line="331" w:lineRule="auto" w:before="60"/>
        <w:ind w:left="1134" w:right="1132" w:firstLine="420"/>
        <w:jc w:val="both"/>
      </w:pPr>
      <w:r>
        <w:rPr>
          <w:rFonts w:ascii="Times New Roman" w:hAnsi="Times New Roman" w:cs="Times New Roman" w:eastAsia="Times New Roman" w:hint="default"/>
        </w:rPr>
        <w:t>4</w:t>
      </w:r>
      <w:r>
        <w:rPr/>
        <w:t>、知识产权成果丰富。报告期内，公司及主要子公司新增专利</w:t>
      </w:r>
      <w:r>
        <w:rPr>
          <w:rFonts w:ascii="Times New Roman" w:hAnsi="Times New Roman" w:cs="Times New Roman" w:eastAsia="Times New Roman" w:hint="default"/>
        </w:rPr>
        <w:t>6</w:t>
      </w:r>
      <w:r>
        <w:rPr/>
        <w:t>项，新增软件著作权</w:t>
      </w:r>
      <w:r>
        <w:rPr>
          <w:rFonts w:ascii="Times New Roman" w:hAnsi="Times New Roman" w:cs="Times New Roman" w:eastAsia="Times New Roman" w:hint="default"/>
        </w:rPr>
        <w:t>143</w:t>
      </w:r>
      <w:r>
        <w:rPr/>
        <w:t>项；截至报 告期末，公司及主要子公司共拥有专利</w:t>
      </w:r>
      <w:r>
        <w:rPr>
          <w:rFonts w:ascii="Times New Roman" w:hAnsi="Times New Roman" w:cs="Times New Roman" w:eastAsia="Times New Roman" w:hint="default"/>
        </w:rPr>
        <w:t>82</w:t>
      </w:r>
      <w:r>
        <w:rPr/>
        <w:t>项，软件著作权</w:t>
      </w:r>
      <w:r>
        <w:rPr>
          <w:rFonts w:ascii="Times New Roman" w:hAnsi="Times New Roman" w:cs="Times New Roman" w:eastAsia="Times New Roman" w:hint="default"/>
        </w:rPr>
        <w:t>657</w:t>
      </w:r>
      <w:r>
        <w:rPr/>
        <w:t>项。</w:t>
      </w:r>
    </w:p>
    <w:p>
      <w:pPr>
        <w:pStyle w:val="Heading3"/>
        <w:spacing w:line="240" w:lineRule="auto" w:before="60"/>
        <w:ind w:left="1556" w:right="0"/>
        <w:jc w:val="left"/>
        <w:rPr>
          <w:b w:val="0"/>
          <w:bCs w:val="0"/>
        </w:rPr>
      </w:pPr>
      <w:r>
        <w:rPr/>
        <w:t>（二）市场拓展方面</w:t>
      </w:r>
      <w:r>
        <w:rPr>
          <w:b w:val="0"/>
          <w:bCs w:val="0"/>
        </w:rPr>
      </w:r>
    </w:p>
    <w:p>
      <w:pPr>
        <w:pStyle w:val="BodyText"/>
        <w:spacing w:line="331" w:lineRule="auto" w:before="165"/>
        <w:ind w:right="1131" w:firstLine="420"/>
        <w:jc w:val="both"/>
      </w:pPr>
      <w:r>
        <w:rPr>
          <w:rFonts w:ascii="Times New Roman" w:hAnsi="Times New Roman" w:cs="Times New Roman" w:eastAsia="Times New Roman" w:hint="default"/>
          <w:spacing w:val="-1"/>
        </w:rPr>
        <w:t>1</w:t>
      </w:r>
      <w:r>
        <w:rPr>
          <w:spacing w:val="-1"/>
        </w:rPr>
        <w:t>、业务规模稳步提升。报告期内，公司实现营业收入</w:t>
      </w:r>
      <w:r>
        <w:rPr>
          <w:rFonts w:ascii="Times New Roman" w:hAnsi="Times New Roman" w:cs="Times New Roman" w:eastAsia="Times New Roman" w:hint="default"/>
          <w:spacing w:val="-1"/>
        </w:rPr>
        <w:t>221,647.64</w:t>
      </w:r>
      <w:r>
        <w:rPr>
          <w:spacing w:val="-1"/>
        </w:rPr>
        <w:t>万元，同比增长</w:t>
      </w:r>
      <w:r>
        <w:rPr>
          <w:rFonts w:ascii="Times New Roman" w:hAnsi="Times New Roman" w:cs="Times New Roman" w:eastAsia="Times New Roman" w:hint="default"/>
          <w:spacing w:val="-1"/>
        </w:rPr>
        <w:t>40.86%</w:t>
      </w:r>
      <w:r>
        <w:rPr>
          <w:spacing w:val="-1"/>
        </w:rPr>
        <w:t>；实现归属于</w:t>
      </w:r>
      <w:r>
        <w:rPr/>
        <w:t> </w:t>
      </w:r>
      <w:r>
        <w:rPr>
          <w:spacing w:val="-3"/>
        </w:rPr>
        <w:t>上市公司股东的净利润</w:t>
      </w:r>
      <w:r>
        <w:rPr>
          <w:rFonts w:ascii="Times New Roman" w:hAnsi="Times New Roman" w:cs="Times New Roman" w:eastAsia="Times New Roman" w:hint="default"/>
          <w:spacing w:val="-3"/>
        </w:rPr>
        <w:t>41,380.95</w:t>
      </w:r>
      <w:r>
        <w:rPr>
          <w:spacing w:val="-3"/>
        </w:rPr>
        <w:t>万元，同比增长</w:t>
      </w:r>
      <w:r>
        <w:rPr>
          <w:rFonts w:ascii="Times New Roman" w:hAnsi="Times New Roman" w:cs="Times New Roman" w:eastAsia="Times New Roman" w:hint="default"/>
          <w:spacing w:val="-3"/>
        </w:rPr>
        <w:t>28.16%</w:t>
      </w:r>
      <w:r>
        <w:rPr>
          <w:spacing w:val="-3"/>
        </w:rPr>
        <w:t>。其中，公司的安全及安防集成收入达到</w:t>
      </w:r>
      <w:r>
        <w:rPr>
          <w:rFonts w:ascii="Times New Roman" w:hAnsi="Times New Roman" w:cs="Times New Roman" w:eastAsia="Times New Roman" w:hint="default"/>
          <w:spacing w:val="-3"/>
        </w:rPr>
        <w:t>101,759.17</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万元，占公司总营业收入的比例为</w:t>
      </w:r>
      <w:r>
        <w:rPr>
          <w:rFonts w:ascii="Times New Roman" w:hAnsi="Times New Roman" w:cs="Times New Roman" w:eastAsia="Times New Roman" w:hint="default"/>
        </w:rPr>
        <w:t>45.91%</w:t>
      </w:r>
      <w:r>
        <w:rPr/>
        <w:t>，公司的整体毛利率由上年的</w:t>
      </w:r>
      <w:r>
        <w:rPr>
          <w:rFonts w:ascii="Times New Roman" w:hAnsi="Times New Roman" w:cs="Times New Roman" w:eastAsia="Times New Roman" w:hint="default"/>
        </w:rPr>
        <w:t>52.40%</w:t>
      </w:r>
      <w:r>
        <w:rPr/>
        <w:t>提升至</w:t>
      </w:r>
      <w:r>
        <w:rPr>
          <w:rFonts w:ascii="Times New Roman" w:hAnsi="Times New Roman" w:cs="Times New Roman" w:eastAsia="Times New Roman" w:hint="default"/>
        </w:rPr>
        <w:t>54.48%</w:t>
      </w:r>
      <w:r>
        <w:rPr/>
        <w:t>。</w:t>
      </w:r>
    </w:p>
    <w:p>
      <w:pPr>
        <w:pStyle w:val="BodyText"/>
        <w:spacing w:line="340" w:lineRule="auto" w:before="60"/>
        <w:ind w:right="1110" w:firstLine="420"/>
        <w:jc w:val="both"/>
      </w:pPr>
      <w:r>
        <w:rPr>
          <w:rFonts w:ascii="Times New Roman" w:hAnsi="Times New Roman" w:cs="Times New Roman" w:eastAsia="Times New Roman" w:hint="default"/>
        </w:rPr>
        <w:t>2</w:t>
      </w:r>
      <w:r>
        <w:rPr/>
        <w:t>、新产品、新模式应用落地。报告期内，公司各类型新产品以及云安全运营等新模式陆续落地并形 </w:t>
      </w:r>
      <w:r>
        <w:rPr>
          <w:spacing w:val="-1"/>
        </w:rPr>
        <w:t>成了标杆项目和典型案例。如公司的云安全系列产品在国家信息中心等单位形成标杆项目，公司还通过与</w:t>
      </w:r>
      <w:r>
        <w:rPr>
          <w:spacing w:val="-81"/>
        </w:rPr>
        <w:t> </w:t>
      </w:r>
      <w:r>
        <w:rPr>
          <w:spacing w:val="-81"/>
        </w:rPr>
      </w:r>
      <w:r>
        <w:rPr>
          <w:rFonts w:ascii="宋体" w:hAnsi="宋体" w:cs="宋体" w:eastAsia="宋体" w:hint="default"/>
          <w:spacing w:val="-3"/>
        </w:rPr>
        <w:t>IDC</w:t>
      </w:r>
      <w:r>
        <w:rPr>
          <w:spacing w:val="-3"/>
        </w:rPr>
        <w:t>、运营商合作等模式，持续拓展云安全运营模式，并形成</w:t>
      </w:r>
      <w:r>
        <w:rPr>
          <w:rFonts w:ascii="Times New Roman" w:hAnsi="Times New Roman" w:cs="Times New Roman" w:eastAsia="Times New Roman" w:hint="default"/>
          <w:spacing w:val="-3"/>
        </w:rPr>
        <w:t>“</w:t>
      </w:r>
      <w:r>
        <w:rPr>
          <w:spacing w:val="-3"/>
        </w:rPr>
        <w:t>数字福建</w:t>
      </w:r>
      <w:r>
        <w:rPr>
          <w:rFonts w:ascii="Times New Roman" w:hAnsi="Times New Roman" w:cs="Times New Roman" w:eastAsia="Times New Roman" w:hint="default"/>
          <w:spacing w:val="-3"/>
        </w:rPr>
        <w:t>”</w:t>
      </w:r>
      <w:r>
        <w:rPr>
          <w:spacing w:val="-3"/>
        </w:rPr>
        <w:t>安全专区等典型案例；此外，公司</w:t>
      </w:r>
      <w:r>
        <w:rPr>
          <w:spacing w:val="-65"/>
        </w:rPr>
        <w:t> </w:t>
      </w:r>
      <w:r>
        <w:rPr>
          <w:spacing w:val="-65"/>
        </w:rPr>
      </w:r>
      <w:r>
        <w:rPr/>
        <w:t>的态势感知平台在政府、运营商、广电等行业落地，业务应用安全平台在公安、城管、医疗等行业落地， </w:t>
      </w:r>
      <w:r>
        <w:rPr>
          <w:spacing w:val="-1"/>
        </w:rPr>
        <w:t>工控安全产品在电力、水利等行业落地，雷达产品在海事、边防、监狱、机场等领域落地，物联网安全产</w:t>
      </w:r>
      <w:r>
        <w:rPr>
          <w:spacing w:val="-83"/>
        </w:rPr>
        <w:t> </w:t>
      </w:r>
      <w:r>
        <w:rPr>
          <w:spacing w:val="-83"/>
        </w:rPr>
      </w:r>
      <w:r>
        <w:rPr/>
        <w:t>品在平安城市视频监控接入等领域落地，均为公司新产品销售和新业务开拓打下了坚实的案例基础。</w:t>
      </w:r>
    </w:p>
    <w:p>
      <w:pPr>
        <w:pStyle w:val="BodyText"/>
        <w:spacing w:line="345" w:lineRule="auto" w:before="77"/>
        <w:ind w:right="1131" w:firstLine="420"/>
        <w:jc w:val="both"/>
      </w:pPr>
      <w:r>
        <w:rPr>
          <w:rFonts w:ascii="Times New Roman" w:hAnsi="Times New Roman" w:cs="Times New Roman" w:eastAsia="Times New Roman" w:hint="default"/>
        </w:rPr>
        <w:t>3</w:t>
      </w:r>
      <w:r>
        <w:rPr/>
        <w:t>、营销管理体系日臻成熟。报告期内，公司对内加强了销售团队的建设，积极引入业内顶尖的营销 </w:t>
      </w:r>
      <w:r>
        <w:rPr>
          <w:spacing w:val="-1"/>
        </w:rPr>
        <w:t>人才，陆续新增了多个事业部，并针对销售及售前人员进行了持续的产品及技术培训，提升了营销团队的</w:t>
      </w:r>
      <w:r>
        <w:rPr>
          <w:spacing w:val="-83"/>
        </w:rPr>
        <w:t> </w:t>
      </w:r>
      <w:r>
        <w:rPr>
          <w:spacing w:val="-83"/>
        </w:rPr>
      </w:r>
      <w:r>
        <w:rPr>
          <w:spacing w:val="-1"/>
        </w:rPr>
        <w:t>整体战斗力，从客户、项目、业绩、个人、生态等多个维度，初步建立了营销人员管理体系，营销人员人</w:t>
      </w:r>
      <w:r>
        <w:rPr>
          <w:spacing w:val="-85"/>
        </w:rPr>
        <w:t> </w:t>
      </w:r>
      <w:r>
        <w:rPr>
          <w:spacing w:val="-85"/>
        </w:rPr>
      </w:r>
      <w:r>
        <w:rPr>
          <w:spacing w:val="-1"/>
        </w:rPr>
        <w:t>均产品销售额大幅提升；对外持续拓展销售渠道，完善渠道架构，新增了一批行业核心代理商、省区总代</w:t>
      </w:r>
      <w:r>
        <w:rPr>
          <w:spacing w:val="-86"/>
        </w:rPr>
        <w:t> </w:t>
      </w:r>
      <w:r>
        <w:rPr>
          <w:spacing w:val="-86"/>
        </w:rPr>
      </w:r>
      <w:r>
        <w:rPr/>
        <w:t>理商、地市独家总代理商以及其他高级认证代理商，为公司业务在全国范围的拓展提供了重要助力。</w:t>
      </w:r>
    </w:p>
    <w:p>
      <w:pPr>
        <w:pStyle w:val="BodyText"/>
        <w:spacing w:line="331" w:lineRule="auto" w:before="73"/>
        <w:ind w:right="0" w:firstLine="420"/>
        <w:jc w:val="left"/>
      </w:pPr>
      <w:r>
        <w:rPr>
          <w:rFonts w:ascii="Times New Roman" w:hAnsi="Times New Roman" w:cs="Times New Roman" w:eastAsia="Times New Roman" w:hint="default"/>
        </w:rPr>
        <w:t>4</w:t>
      </w:r>
      <w:r>
        <w:rPr/>
        <w:t>、中经电商商业体系稳步扩张。报告期内，子公司中经电商的商业体系不断完善，经营业绩稳步提 升。截至报告期末，其终端个人用户数超过</w:t>
      </w:r>
      <w:r>
        <w:rPr>
          <w:rFonts w:ascii="Times New Roman" w:hAnsi="Times New Roman" w:cs="Times New Roman" w:eastAsia="Times New Roman" w:hint="default"/>
        </w:rPr>
        <w:t>1,222</w:t>
      </w:r>
      <w:r>
        <w:rPr/>
        <w:t>万个，终端机构用户数超过</w:t>
      </w:r>
      <w:r>
        <w:rPr>
          <w:rFonts w:ascii="Times New Roman" w:hAnsi="Times New Roman" w:cs="Times New Roman" w:eastAsia="Times New Roman" w:hint="default"/>
        </w:rPr>
        <w:t>1.37</w:t>
      </w:r>
      <w:r>
        <w:rPr/>
        <w:t>万个，向用户发行的联名 银行卡、车队卡、单用途预付卡、多用途预付卡等发卡量累计超过</w:t>
      </w:r>
      <w:r>
        <w:rPr>
          <w:rFonts w:ascii="Times New Roman" w:hAnsi="Times New Roman" w:cs="Times New Roman" w:eastAsia="Times New Roman" w:hint="default"/>
        </w:rPr>
        <w:t>1,200</w:t>
      </w:r>
      <w:r>
        <w:rPr/>
        <w:t>万张，并拥有超过</w:t>
      </w:r>
      <w:r>
        <w:rPr>
          <w:rFonts w:ascii="Times New Roman" w:hAnsi="Times New Roman" w:cs="Times New Roman" w:eastAsia="Times New Roman" w:hint="default"/>
        </w:rPr>
        <w:t>4,700</w:t>
      </w:r>
      <w:r>
        <w:rPr/>
        <w:t>家合作油</w:t>
      </w:r>
      <w:r>
        <w:rPr>
          <w:spacing w:val="-30"/>
        </w:rPr>
        <w:t> </w:t>
      </w:r>
      <w:r>
        <w:rPr>
          <w:spacing w:val="-30"/>
        </w:rPr>
      </w:r>
      <w:r>
        <w:rPr>
          <w:spacing w:val="-2"/>
        </w:rPr>
        <w:t>品零售商户以及超过</w:t>
      </w:r>
      <w:r>
        <w:rPr>
          <w:rFonts w:ascii="Times New Roman" w:hAnsi="Times New Roman" w:cs="Times New Roman" w:eastAsia="Times New Roman" w:hint="default"/>
          <w:spacing w:val="-2"/>
        </w:rPr>
        <w:t>11,400</w:t>
      </w:r>
      <w:r>
        <w:rPr>
          <w:spacing w:val="-2"/>
        </w:rPr>
        <w:t>家其他合作商户。报告期内，中经电商业务范围覆盖广东、福建、上海、湖北、</w:t>
      </w:r>
      <w:r>
        <w:rPr>
          <w:spacing w:val="-83"/>
        </w:rPr>
        <w:t> </w:t>
      </w:r>
      <w:r>
        <w:rPr>
          <w:spacing w:val="-83"/>
        </w:rPr>
      </w:r>
      <w:r>
        <w:rPr/>
        <w:t>湖南等多个省市，因其电商运营推广产生的交易总额为</w:t>
      </w:r>
      <w:r>
        <w:rPr>
          <w:rFonts w:ascii="Times New Roman" w:hAnsi="Times New Roman" w:cs="Times New Roman" w:eastAsia="Times New Roman" w:hint="default"/>
        </w:rPr>
        <w:t>44.17</w:t>
      </w:r>
      <w:r>
        <w:rPr/>
        <w:t>亿元，其中油品交易金额</w:t>
      </w:r>
      <w:r>
        <w:rPr>
          <w:rFonts w:ascii="Times New Roman" w:hAnsi="Times New Roman" w:cs="Times New Roman" w:eastAsia="Times New Roman" w:hint="default"/>
        </w:rPr>
        <w:t>35.26</w:t>
      </w:r>
      <w:r>
        <w:rPr/>
        <w:t>亿元，非油品</w:t>
      </w:r>
      <w:r>
        <w:rPr>
          <w:spacing w:val="-28"/>
        </w:rPr>
        <w:t> </w:t>
      </w:r>
      <w:r>
        <w:rPr>
          <w:spacing w:val="-28"/>
        </w:rPr>
      </w:r>
      <w:r>
        <w:rPr/>
        <w:t>交易金额为</w:t>
      </w:r>
      <w:r>
        <w:rPr>
          <w:rFonts w:ascii="Times New Roman" w:hAnsi="Times New Roman" w:cs="Times New Roman" w:eastAsia="Times New Roman" w:hint="default"/>
        </w:rPr>
        <w:t>8.91</w:t>
      </w:r>
      <w:r>
        <w:rPr/>
        <w:t>亿元。</w:t>
      </w:r>
    </w:p>
    <w:p>
      <w:pPr>
        <w:pStyle w:val="BodyText"/>
        <w:spacing w:line="384" w:lineRule="auto" w:before="61"/>
        <w:ind w:left="1553" w:right="0" w:firstLine="2"/>
        <w:jc w:val="left"/>
      </w:pPr>
      <w:r>
        <w:rPr>
          <w:rFonts w:ascii="宋体" w:hAnsi="宋体" w:cs="宋体" w:eastAsia="宋体" w:hint="default"/>
          <w:b/>
          <w:bCs/>
        </w:rPr>
        <w:t>（三）产业投资方面</w:t>
      </w:r>
      <w:r>
        <w:rPr>
          <w:rFonts w:ascii="宋体" w:hAnsi="宋体" w:cs="宋体" w:eastAsia="宋体" w:hint="default"/>
          <w:b/>
          <w:bCs/>
          <w:w w:val="99"/>
        </w:rPr>
        <w:t> </w:t>
      </w:r>
      <w:r>
        <w:rPr>
          <w:spacing w:val="-2"/>
        </w:rPr>
        <w:t>报告期内，公司持续进行产业投资布局，通过全资子公司蓝盾投资向云海麒麟增资</w:t>
      </w:r>
      <w:r>
        <w:rPr>
          <w:rFonts w:ascii="Times New Roman" w:hAnsi="Times New Roman" w:cs="Times New Roman" w:eastAsia="Times New Roman" w:hint="default"/>
          <w:spacing w:val="-2"/>
        </w:rPr>
        <w:t>1,000</w:t>
      </w:r>
      <w:r>
        <w:rPr>
          <w:spacing w:val="-2"/>
        </w:rPr>
        <w:t>万元，获取云</w:t>
      </w:r>
    </w:p>
    <w:p>
      <w:pPr>
        <w:spacing w:after="0" w:line="384"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31" w:lineRule="auto" w:before="35"/>
        <w:ind w:right="0"/>
        <w:jc w:val="left"/>
      </w:pPr>
      <w:r>
        <w:rPr/>
        <w:t>海麒麟</w:t>
      </w:r>
      <w:r>
        <w:rPr>
          <w:rFonts w:ascii="Times New Roman" w:hAnsi="Times New Roman" w:cs="Times New Roman" w:eastAsia="Times New Roman" w:hint="default"/>
        </w:rPr>
        <w:t>15%</w:t>
      </w:r>
      <w:r>
        <w:rPr/>
        <w:t>的股权，加速推进在云计算、大数据领域的业务拓展及技术研发；通过全资子公司蓝盾投资向</w:t>
      </w:r>
      <w:r>
        <w:rPr>
          <w:spacing w:val="-98"/>
        </w:rPr>
        <w:t> </w:t>
      </w:r>
      <w:r>
        <w:rPr>
          <w:spacing w:val="-98"/>
        </w:rPr>
      </w:r>
      <w:r>
        <w:rPr/>
        <w:t>精灵云增资</w:t>
      </w:r>
      <w:r>
        <w:rPr>
          <w:rFonts w:ascii="Times New Roman" w:hAnsi="Times New Roman" w:cs="Times New Roman" w:eastAsia="Times New Roman" w:hint="default"/>
        </w:rPr>
        <w:t>800</w:t>
      </w:r>
      <w:r>
        <w:rPr/>
        <w:t>万元，获取精灵云</w:t>
      </w:r>
      <w:r>
        <w:rPr>
          <w:rFonts w:ascii="Times New Roman" w:hAnsi="Times New Roman" w:cs="Times New Roman" w:eastAsia="Times New Roman" w:hint="default"/>
        </w:rPr>
        <w:t>20%</w:t>
      </w:r>
      <w:r>
        <w:rPr/>
        <w:t>的股权，加速推进公司</w:t>
      </w:r>
      <w:r>
        <w:rPr>
          <w:rFonts w:ascii="Times New Roman" w:hAnsi="Times New Roman" w:cs="Times New Roman" w:eastAsia="Times New Roman" w:hint="default"/>
        </w:rPr>
        <w:t>“</w:t>
      </w:r>
      <w:r>
        <w:rPr/>
        <w:t>云战略</w:t>
      </w:r>
      <w:r>
        <w:rPr>
          <w:rFonts w:ascii="Times New Roman" w:hAnsi="Times New Roman" w:cs="Times New Roman" w:eastAsia="Times New Roman" w:hint="default"/>
        </w:rPr>
        <w:t>”</w:t>
      </w:r>
      <w:r>
        <w:rPr/>
        <w:t>布局，构建</w:t>
      </w:r>
      <w:r>
        <w:rPr>
          <w:rFonts w:ascii="Times New Roman" w:hAnsi="Times New Roman" w:cs="Times New Roman" w:eastAsia="Times New Roman" w:hint="default"/>
        </w:rPr>
        <w:t>“</w:t>
      </w:r>
      <w:r>
        <w:rPr/>
        <w:t>智慧云安全</w:t>
      </w:r>
      <w:r>
        <w:rPr>
          <w:rFonts w:ascii="Times New Roman" w:hAnsi="Times New Roman" w:cs="Times New Roman" w:eastAsia="Times New Roman" w:hint="default"/>
        </w:rPr>
        <w:t>”</w:t>
      </w:r>
      <w:r>
        <w:rPr/>
        <w:t>体系；通过 全资子公司蓝盾投资向戎磐网络增资</w:t>
      </w:r>
      <w:r>
        <w:rPr>
          <w:rFonts w:ascii="Times New Roman" w:hAnsi="Times New Roman" w:cs="Times New Roman" w:eastAsia="Times New Roman" w:hint="default"/>
        </w:rPr>
        <w:t>1,000</w:t>
      </w:r>
      <w:r>
        <w:rPr/>
        <w:t>万元，获取戎磐网络</w:t>
      </w:r>
      <w:r>
        <w:rPr>
          <w:rFonts w:ascii="Times New Roman" w:hAnsi="Times New Roman" w:cs="Times New Roman" w:eastAsia="Times New Roman" w:hint="default"/>
        </w:rPr>
        <w:t>20%</w:t>
      </w:r>
      <w:r>
        <w:rPr/>
        <w:t>的股权，加强公司在软件基因等网络安 全前沿创新技术的战略布局；公司投资</w:t>
      </w:r>
      <w:r>
        <w:rPr>
          <w:rFonts w:ascii="Times New Roman" w:hAnsi="Times New Roman" w:cs="Times New Roman" w:eastAsia="Times New Roman" w:hint="default"/>
        </w:rPr>
        <w:t>1,000</w:t>
      </w:r>
      <w:r>
        <w:rPr/>
        <w:t>万元设立控股子公司广西蓝盾，布局广西地区智慧城市业务； </w:t>
      </w:r>
      <w:r>
        <w:rPr>
          <w:spacing w:val="2"/>
        </w:rPr>
        <w:t>公司投资</w:t>
      </w:r>
      <w:r>
        <w:rPr>
          <w:rFonts w:ascii="Times New Roman" w:hAnsi="Times New Roman" w:cs="Times New Roman" w:eastAsia="Times New Roman" w:hint="default"/>
          <w:spacing w:val="2"/>
        </w:rPr>
        <w:t>1,000</w:t>
      </w:r>
      <w:r>
        <w:rPr>
          <w:spacing w:val="2"/>
        </w:rPr>
        <w:t>万元设立湖北蓝盾，加快推进公司在华中地区的信息安全业务拓展；子公司蓝盾技术投资</w:t>
      </w:r>
      <w:r>
        <w:rPr>
          <w:spacing w:val="-88"/>
        </w:rPr>
        <w:t> </w:t>
      </w:r>
      <w:r>
        <w:rPr>
          <w:spacing w:val="-88"/>
        </w:rPr>
      </w:r>
      <w:r>
        <w:rPr>
          <w:rFonts w:ascii="Times New Roman" w:hAnsi="Times New Roman" w:cs="Times New Roman" w:eastAsia="Times New Roman" w:hint="default"/>
        </w:rPr>
        <w:t>1,000</w:t>
      </w:r>
      <w:r>
        <w:rPr/>
        <w:t>万元设立蓝盾工控，进一步加快布局工控安全业务；子公司蓝盾技术投资</w:t>
      </w:r>
      <w:r>
        <w:rPr>
          <w:rFonts w:ascii="Times New Roman" w:hAnsi="Times New Roman" w:cs="Times New Roman" w:eastAsia="Times New Roman" w:hint="default"/>
        </w:rPr>
        <w:t>1,000</w:t>
      </w:r>
      <w:r>
        <w:rPr/>
        <w:t>万元发起设立国保联</w:t>
      </w:r>
      <w:r>
        <w:rPr>
          <w:spacing w:val="-30"/>
        </w:rPr>
        <w:t> </w:t>
      </w:r>
      <w:r>
        <w:rPr>
          <w:spacing w:val="-30"/>
        </w:rPr>
      </w:r>
      <w:r>
        <w:rPr/>
        <w:t>盟，以参与国家信息安全保密技术创新产业联盟建设；子公司华炜科技投资</w:t>
      </w:r>
      <w:r>
        <w:rPr>
          <w:rFonts w:ascii="Times New Roman" w:hAnsi="Times New Roman" w:cs="Times New Roman" w:eastAsia="Times New Roman" w:hint="default"/>
        </w:rPr>
        <w:t>1,200</w:t>
      </w:r>
      <w:r>
        <w:rPr/>
        <w:t>万元设立控股子公司华炜 </w:t>
      </w:r>
      <w:r>
        <w:rPr>
          <w:spacing w:val="-1"/>
        </w:rPr>
        <w:t>思创，探索新型公共安全检测产品；子公司满泰科技投资</w:t>
      </w:r>
      <w:r>
        <w:rPr>
          <w:rFonts w:ascii="Times New Roman" w:hAnsi="Times New Roman" w:cs="Times New Roman" w:eastAsia="Times New Roman" w:hint="default"/>
          <w:spacing w:val="-1"/>
        </w:rPr>
        <w:t>1</w:t>
      </w:r>
      <w:r>
        <w:rPr>
          <w:spacing w:val="-1"/>
        </w:rPr>
        <w:t>亿元设立广州满泰，进一步加大业务拓展力度。</w:t>
      </w:r>
      <w:r>
        <w:rPr>
          <w:spacing w:val="-83"/>
        </w:rPr>
        <w:t> </w:t>
      </w:r>
      <w:r>
        <w:rPr>
          <w:spacing w:val="-83"/>
        </w:rPr>
      </w:r>
      <w:r>
        <w:rPr>
          <w:spacing w:val="-2"/>
        </w:rPr>
        <w:t>此外，报告期内，公司还与专业投资机构充分合作，将产业投资与产业整合有效融合，通过投资</w:t>
      </w:r>
      <w:r>
        <w:rPr>
          <w:rFonts w:ascii="Times New Roman" w:hAnsi="Times New Roman" w:cs="Times New Roman" w:eastAsia="Times New Roman" w:hint="default"/>
          <w:spacing w:val="-2"/>
        </w:rPr>
        <w:t>5,000</w:t>
      </w:r>
      <w:r>
        <w:rPr>
          <w:spacing w:val="-2"/>
        </w:rPr>
        <w:t>万元</w:t>
      </w:r>
      <w:r>
        <w:rPr>
          <w:spacing w:val="-87"/>
        </w:rPr>
        <w:t> </w:t>
      </w:r>
      <w:r>
        <w:rPr/>
        <w:t>入伙中美新兴产业基金，借道布局互联网、移动互联网、人工智能、国产芯片等新兴产业；通过投资</w:t>
      </w:r>
      <w:r>
        <w:rPr>
          <w:rFonts w:ascii="Times New Roman" w:hAnsi="Times New Roman" w:cs="Times New Roman" w:eastAsia="Times New Roman" w:hint="default"/>
        </w:rPr>
        <w:t>800</w:t>
      </w:r>
      <w:r>
        <w:rPr>
          <w:rFonts w:ascii="Times New Roman" w:hAnsi="Times New Roman" w:cs="Times New Roman" w:eastAsia="Times New Roman" w:hint="default"/>
          <w:spacing w:val="29"/>
        </w:rPr>
        <w:t> </w:t>
      </w:r>
      <w:r>
        <w:rPr/>
        <w:t>万元入伙广州纳兰德基金，以更好地把握我国尤其是广州地区信息技术发展及工业转型升级的发展契机。 </w:t>
      </w:r>
      <w:r>
        <w:rPr>
          <w:spacing w:val="-3"/>
        </w:rPr>
        <w:t>以上一系列的投资参股从资本、研发、市场等多个方面促进了公司各项业务的发展，持续完善了公司的</w:t>
      </w:r>
      <w:r>
        <w:rPr>
          <w:rFonts w:ascii="Times New Roman" w:hAnsi="Times New Roman" w:cs="Times New Roman" w:eastAsia="Times New Roman" w:hint="default"/>
          <w:spacing w:val="-3"/>
        </w:rPr>
        <w:t>“</w:t>
      </w:r>
      <w:r>
        <w:rPr>
          <w:spacing w:val="-3"/>
        </w:rPr>
        <w:t>大</w:t>
      </w:r>
      <w:r>
        <w:rPr>
          <w:spacing w:val="-81"/>
        </w:rPr>
        <w:t> </w:t>
      </w:r>
      <w:r>
        <w:rPr/>
        <w:t>安全</w:t>
      </w:r>
      <w:r>
        <w:rPr>
          <w:rFonts w:ascii="Times New Roman" w:hAnsi="Times New Roman" w:cs="Times New Roman" w:eastAsia="Times New Roman" w:hint="default"/>
        </w:rPr>
        <w:t>”</w:t>
      </w:r>
      <w:r>
        <w:rPr/>
        <w:t>产业生态体系。</w:t>
      </w:r>
    </w:p>
    <w:p>
      <w:pPr>
        <w:pStyle w:val="Heading3"/>
        <w:spacing w:line="240" w:lineRule="auto" w:before="61"/>
        <w:ind w:left="1556" w:right="0"/>
        <w:jc w:val="left"/>
        <w:rPr>
          <w:b w:val="0"/>
          <w:bCs w:val="0"/>
        </w:rPr>
      </w:pPr>
      <w:r>
        <w:rPr/>
        <w:t>（四）公司管理方面</w:t>
      </w:r>
      <w:r>
        <w:rPr>
          <w:b w:val="0"/>
          <w:bCs w:val="0"/>
        </w:rPr>
      </w:r>
    </w:p>
    <w:p>
      <w:pPr>
        <w:pStyle w:val="BodyText"/>
        <w:spacing w:line="336" w:lineRule="auto" w:before="164"/>
        <w:ind w:right="1130" w:firstLine="420"/>
        <w:jc w:val="both"/>
      </w:pPr>
      <w:r>
        <w:rPr>
          <w:rFonts w:ascii="Times New Roman" w:hAnsi="Times New Roman" w:cs="Times New Roman" w:eastAsia="Times New Roman" w:hint="default"/>
        </w:rPr>
        <w:t>1</w:t>
      </w:r>
      <w:r>
        <w:rPr/>
        <w:t>、加强人才引进，建设了稳定、优秀的人才团队。通过各种招聘渠道及产学合作、校企合作等人才 </w:t>
      </w:r>
      <w:r>
        <w:rPr>
          <w:spacing w:val="-1"/>
        </w:rPr>
        <w:t>引进方式，目前已建立起一支技术精湛、经验丰富、业务熟练、结构合理、团结协作的研发、销售和管理</w:t>
      </w:r>
      <w:r>
        <w:rPr>
          <w:spacing w:val="-83"/>
        </w:rPr>
        <w:t> </w:t>
      </w:r>
      <w:r>
        <w:rPr>
          <w:spacing w:val="-83"/>
        </w:rPr>
      </w:r>
      <w:r>
        <w:rPr>
          <w:spacing w:val="-1"/>
        </w:rPr>
        <w:t>团队。报告期内，公司积极引入业内顶尖的营销人才及研发人才，公司的员工人数从上年末的</w:t>
      </w:r>
      <w:r>
        <w:rPr>
          <w:rFonts w:ascii="Times New Roman" w:hAnsi="Times New Roman" w:cs="Times New Roman" w:eastAsia="Times New Roman" w:hint="default"/>
          <w:spacing w:val="-1"/>
        </w:rPr>
        <w:t>1980</w:t>
      </w:r>
      <w:r>
        <w:rPr>
          <w:spacing w:val="-1"/>
        </w:rPr>
        <w:t>人增加</w:t>
      </w:r>
      <w:r>
        <w:rPr>
          <w:spacing w:val="-81"/>
        </w:rPr>
        <w:t> </w:t>
      </w:r>
      <w:r>
        <w:rPr>
          <w:spacing w:val="-81"/>
        </w:rPr>
      </w:r>
      <w:r>
        <w:rPr/>
        <w:t>至报告期末的</w:t>
      </w:r>
      <w:r>
        <w:rPr>
          <w:rFonts w:ascii="Times New Roman" w:hAnsi="Times New Roman" w:cs="Times New Roman" w:eastAsia="Times New Roman" w:hint="default"/>
        </w:rPr>
        <w:t>2798</w:t>
      </w:r>
      <w:r>
        <w:rPr/>
        <w:t>人，为公司全方位快速发展提供了有力保障。</w:t>
      </w:r>
    </w:p>
    <w:p>
      <w:pPr>
        <w:pStyle w:val="BodyText"/>
        <w:spacing w:line="343" w:lineRule="auto" w:before="56"/>
        <w:ind w:right="1133" w:firstLine="420"/>
        <w:jc w:val="both"/>
      </w:pPr>
      <w:r>
        <w:rPr>
          <w:rFonts w:ascii="Times New Roman" w:hAnsi="Times New Roman" w:cs="Times New Roman" w:eastAsia="Times New Roman" w:hint="default"/>
        </w:rPr>
        <w:t>2</w:t>
      </w:r>
      <w:r>
        <w:rPr/>
        <w:t>、运用多种融资方式保障公司拥有充足的运营资金。由于公司业务规模增长迅猛，加上一系列项目 </w:t>
      </w:r>
      <w:r>
        <w:rPr>
          <w:spacing w:val="-1"/>
        </w:rPr>
        <w:t>建设的需要，公司所需的运营资金增多。报告期内，通过银行授信融资、筹划公开发行可转换公司债券等</w:t>
      </w:r>
      <w:r>
        <w:rPr>
          <w:spacing w:val="-86"/>
        </w:rPr>
        <w:t> </w:t>
      </w:r>
      <w:r>
        <w:rPr>
          <w:spacing w:val="-86"/>
        </w:rPr>
      </w:r>
      <w:r>
        <w:rPr>
          <w:spacing w:val="-1"/>
        </w:rPr>
        <w:t>方式，保障了公司拥有较充足的运营资金，为公司进一步扩大业务规模创造了有利条件，同时，公司也加</w:t>
      </w:r>
      <w:r>
        <w:rPr>
          <w:spacing w:val="-86"/>
        </w:rPr>
        <w:t> </w:t>
      </w:r>
      <w:r>
        <w:rPr>
          <w:spacing w:val="-86"/>
        </w:rPr>
      </w:r>
      <w:r>
        <w:rPr/>
        <w:t>强了募集资金管理，促使其存储与使用更加规范。</w:t>
      </w:r>
    </w:p>
    <w:p>
      <w:pPr>
        <w:pStyle w:val="BodyText"/>
        <w:spacing w:line="343" w:lineRule="auto" w:before="75"/>
        <w:ind w:left="1134" w:right="1133" w:firstLine="420"/>
        <w:jc w:val="both"/>
      </w:pPr>
      <w:r>
        <w:rPr>
          <w:rFonts w:ascii="Times New Roman" w:hAnsi="Times New Roman" w:cs="Times New Roman" w:eastAsia="Times New Roman" w:hint="default"/>
        </w:rPr>
        <w:t>3</w:t>
      </w:r>
      <w:r>
        <w:rPr/>
        <w:t>、完善内部治理，协同效应显现。报告期内，公司以集团化运作的思维出发，对公司内部的子公司 </w:t>
      </w:r>
      <w:r>
        <w:rPr>
          <w:spacing w:val="-1"/>
        </w:rPr>
        <w:t>实施了一系列的规范运作指引，通过对财务与现金流控制、预算控制、绩效控制等管控方式，极大地完善</w:t>
      </w:r>
      <w:r>
        <w:rPr>
          <w:spacing w:val="-86"/>
        </w:rPr>
        <w:t> </w:t>
      </w:r>
      <w:r>
        <w:rPr>
          <w:spacing w:val="-86"/>
        </w:rPr>
      </w:r>
      <w:r>
        <w:rPr>
          <w:spacing w:val="-1"/>
        </w:rPr>
        <w:t>了对集团子公司的管理。同时，通过定期召开战略、研发、业务与市场等研讨会议，明确了各子公司的分</w:t>
      </w:r>
      <w:r>
        <w:rPr>
          <w:spacing w:val="-83"/>
        </w:rPr>
        <w:t> </w:t>
      </w:r>
      <w:r>
        <w:rPr>
          <w:spacing w:val="-83"/>
        </w:rPr>
      </w:r>
      <w:r>
        <w:rPr/>
        <w:t>工，也促进了子公司业务及技术的融合，对公司业绩增长起到极大的促进作用。</w:t>
      </w:r>
    </w:p>
    <w:p>
      <w:pPr>
        <w:pStyle w:val="BodyText"/>
        <w:spacing w:line="336" w:lineRule="auto" w:before="74"/>
        <w:ind w:right="1025" w:firstLine="420"/>
        <w:jc w:val="left"/>
      </w:pPr>
      <w:r>
        <w:rPr>
          <w:rFonts w:ascii="Times New Roman" w:hAnsi="Times New Roman" w:cs="Times New Roman" w:eastAsia="Times New Roman" w:hint="default"/>
        </w:rPr>
        <w:t>4</w:t>
      </w:r>
      <w:r>
        <w:rPr/>
        <w:t>、加强信息披露及投资者关系管理，打造良好的品牌形象。报告期内，公司持续加强投资者关系管 理，保持各种沟通渠道畅通，同时通过高效、合规的信息披露，使投资者充分了解公司的发展状况，切实 有效地维护了投资者权益。报告期内，公司成功举办一系列网络空间安全竞赛活动，同时公司参加了第四 届世界互联网大会、第五届中国互联网安全大会、</w:t>
      </w:r>
      <w:r>
        <w:rPr>
          <w:rFonts w:ascii="Times New Roman" w:hAnsi="Times New Roman" w:cs="Times New Roman" w:eastAsia="Times New Roman" w:hint="default"/>
        </w:rPr>
        <w:t>2017</w:t>
      </w:r>
      <w:r>
        <w:rPr/>
        <w:t>《财富》全球论坛大会、首届国家网信安全生态建 </w:t>
      </w:r>
      <w:r>
        <w:rPr>
          <w:spacing w:val="-3"/>
        </w:rPr>
        <w:t>设高层研讨会、</w:t>
      </w:r>
      <w:r>
        <w:rPr>
          <w:rFonts w:ascii="Times New Roman" w:hAnsi="Times New Roman" w:cs="Times New Roman" w:eastAsia="Times New Roman" w:hint="default"/>
          <w:spacing w:val="-3"/>
        </w:rPr>
        <w:t>2017</w:t>
      </w:r>
      <w:r>
        <w:rPr>
          <w:spacing w:val="-3"/>
        </w:rPr>
        <w:t>网络安全标准论坛、国家网安基地专题调研座谈会、</w:t>
      </w:r>
      <w:r>
        <w:rPr>
          <w:rFonts w:ascii="Times New Roman" w:hAnsi="Times New Roman" w:cs="Times New Roman" w:eastAsia="Times New Roman" w:hint="default"/>
          <w:spacing w:val="-3"/>
        </w:rPr>
        <w:t>2017</w:t>
      </w:r>
      <w:r>
        <w:rPr>
          <w:spacing w:val="-3"/>
        </w:rPr>
        <w:t>电力安全与信息技术研讨会、</w:t>
      </w:r>
      <w:r>
        <w:rPr>
          <w:spacing w:val="-80"/>
        </w:rPr>
        <w:t> </w:t>
      </w:r>
      <w:r>
        <w:rPr>
          <w:spacing w:val="-80"/>
        </w:rPr>
      </w:r>
      <w:r>
        <w:rPr>
          <w:spacing w:val="-3"/>
        </w:rPr>
        <w:t>第二十一届中国国际软件博览会、</w:t>
      </w:r>
      <w:r>
        <w:rPr>
          <w:rFonts w:ascii="Times New Roman" w:hAnsi="Times New Roman" w:cs="Times New Roman" w:eastAsia="Times New Roman" w:hint="default"/>
          <w:spacing w:val="-3"/>
        </w:rPr>
        <w:t>2017</w:t>
      </w:r>
      <w:r>
        <w:rPr>
          <w:spacing w:val="-3"/>
        </w:rPr>
        <w:t>美国信息安全大会等一系列高端会议和论坛；公司在</w:t>
      </w:r>
      <w:r>
        <w:rPr>
          <w:rFonts w:ascii="Times New Roman" w:hAnsi="Times New Roman" w:cs="Times New Roman" w:eastAsia="Times New Roman" w:hint="default"/>
          <w:spacing w:val="-3"/>
        </w:rPr>
        <w:t>2017</w:t>
      </w:r>
      <w:r>
        <w:rPr>
          <w:spacing w:val="-3"/>
        </w:rPr>
        <w:t>年全国</w:t>
      </w:r>
      <w:r>
        <w:rPr>
          <w:rFonts w:ascii="Times New Roman" w:hAnsi="Times New Roman" w:cs="Times New Roman" w:eastAsia="Times New Roman" w:hint="default"/>
          <w:spacing w:val="-3"/>
        </w:rPr>
        <w:t>“</w:t>
      </w:r>
      <w:r>
        <w:rPr>
          <w:spacing w:val="-3"/>
        </w:rPr>
        <w:t>两</w:t>
      </w:r>
      <w:r>
        <w:rPr>
          <w:spacing w:val="-70"/>
        </w:rPr>
        <w:t> </w:t>
      </w:r>
      <w:r>
        <w:rPr/>
        <w:t>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年金砖国家峰会、第十四届中国</w:t>
      </w:r>
      <w:r>
        <w:rPr>
          <w:rFonts w:ascii="Times New Roman" w:hAnsi="Times New Roman" w:cs="Times New Roman" w:eastAsia="Times New Roman" w:hint="default"/>
        </w:rPr>
        <w:t>-</w:t>
      </w:r>
      <w:r>
        <w:rPr/>
        <w:t>东盟博览会、党的</w:t>
      </w:r>
      <w:r>
        <w:rPr>
          <w:rFonts w:ascii="Times New Roman" w:hAnsi="Times New Roman" w:cs="Times New Roman" w:eastAsia="Times New Roman" w:hint="default"/>
        </w:rPr>
        <w:t>“</w:t>
      </w:r>
      <w:r>
        <w:rPr/>
        <w:t>十九大</w:t>
      </w:r>
      <w:r>
        <w:rPr>
          <w:rFonts w:ascii="Times New Roman" w:hAnsi="Times New Roman" w:cs="Times New Roman" w:eastAsia="Times New Roman" w:hint="default"/>
        </w:rPr>
        <w:t>”</w:t>
      </w:r>
      <w:r>
        <w:rPr/>
        <w:t>等重大活动期间，为大会提供网络</w:t>
      </w:r>
      <w:r>
        <w:rPr>
          <w:spacing w:val="-64"/>
        </w:rPr>
        <w:t> </w:t>
      </w:r>
      <w:r>
        <w:rPr>
          <w:spacing w:val="-64"/>
        </w:rPr>
      </w:r>
      <w:r>
        <w:rPr/>
        <w:t>安全保障服务，为活动的顺利举行保驾护航；报告期内，公司成为中国大数据产业生态联盟、中国网络空</w:t>
      </w:r>
    </w:p>
    <w:p>
      <w:pPr>
        <w:spacing w:after="0" w:line="336"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31" w:lineRule="auto" w:before="35"/>
        <w:ind w:right="1131"/>
        <w:jc w:val="both"/>
      </w:pPr>
      <w:r>
        <w:rPr/>
        <w:t>间安全协会会员单位；报告期内，公司获得</w:t>
      </w:r>
      <w:r>
        <w:rPr>
          <w:rFonts w:ascii="Times New Roman" w:hAnsi="Times New Roman" w:cs="Times New Roman" w:eastAsia="Times New Roman" w:hint="default"/>
        </w:rPr>
        <w:t>“</w:t>
      </w:r>
      <w:r>
        <w:rPr>
          <w:rFonts w:ascii="Times New Roman" w:hAnsi="Times New Roman" w:cs="Times New Roman" w:eastAsia="Times New Roman" w:hint="default"/>
        </w:rPr>
        <w:t>2017</w:t>
      </w:r>
      <w:r>
        <w:rPr/>
        <w:t>年信息安全领域领军企业奖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rFonts w:ascii="Times New Roman" w:hAnsi="Times New Roman" w:cs="Times New Roman" w:eastAsia="Times New Roman" w:hint="default"/>
        </w:rPr>
        <w:t>2016-2017</w:t>
      </w:r>
      <w:r>
        <w:rPr/>
        <w:t>中国信息安全</w:t>
      </w:r>
      <w:r>
        <w:rPr>
          <w:spacing w:val="-66"/>
        </w:rPr>
        <w:t> </w:t>
      </w:r>
      <w:r>
        <w:rPr>
          <w:spacing w:val="-66"/>
        </w:rPr>
      </w:r>
      <w:r>
        <w:rPr>
          <w:spacing w:val="-3"/>
        </w:rPr>
        <w:t>市场年度创新产品奖</w:t>
      </w:r>
      <w:r>
        <w:rPr>
          <w:rFonts w:ascii="Times New Roman" w:hAnsi="Times New Roman" w:cs="Times New Roman" w:eastAsia="Times New Roman" w:hint="default"/>
          <w:spacing w:val="-3"/>
        </w:rPr>
        <w:t>”</w:t>
      </w:r>
      <w:r>
        <w:rPr>
          <w:spacing w:val="-3"/>
        </w:rPr>
        <w:t>、国内首批</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CSA</w:t>
      </w:r>
      <w:r>
        <w:rPr>
          <w:rFonts w:ascii="Times New Roman" w:hAnsi="Times New Roman" w:cs="Times New Roman" w:eastAsia="Times New Roman" w:hint="default"/>
          <w:spacing w:val="-38"/>
        </w:rPr>
        <w:t> </w:t>
      </w:r>
      <w:r>
        <w:rPr>
          <w:rFonts w:ascii="Times New Roman" w:hAnsi="Times New Roman" w:cs="Times New Roman" w:eastAsia="Times New Roman" w:hint="default"/>
        </w:rPr>
        <w:t>CS-CMMI5</w:t>
      </w:r>
      <w:r>
        <w:rPr/>
        <w:t>认证</w:t>
      </w:r>
      <w:r>
        <w:rPr>
          <w:rFonts w:ascii="Times New Roman" w:hAnsi="Times New Roman" w:cs="Times New Roman" w:eastAsia="Times New Roman" w:hint="default"/>
        </w:rPr>
        <w:t>”</w:t>
      </w:r>
      <w:r>
        <w:rPr/>
        <w:t>等荣誉，公司的品牌知名度和业内影响力得到极大 提升。</w:t>
      </w:r>
    </w:p>
    <w:p>
      <w:pPr>
        <w:spacing w:line="240" w:lineRule="auto" w:before="10"/>
        <w:rPr>
          <w:rFonts w:ascii="宋体" w:hAnsi="宋体" w:cs="宋体" w:eastAsia="宋体" w:hint="default"/>
          <w:sz w:val="17"/>
          <w:szCs w:val="17"/>
        </w:rPr>
      </w:pPr>
    </w:p>
    <w:p>
      <w:pPr>
        <w:pStyle w:val="Heading2"/>
        <w:spacing w:line="240" w:lineRule="auto"/>
        <w:ind w:right="0"/>
        <w:jc w:val="both"/>
        <w:rPr>
          <w:b w:val="0"/>
          <w:bCs w:val="0"/>
        </w:rPr>
      </w:pPr>
      <w:bookmarkStart w:name="二、主营业务分析" w:id="27"/>
      <w:bookmarkEnd w:id="27"/>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概述" w:id="28"/>
      <w:bookmarkEnd w:id="28"/>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是否与经营情况讨论与分析中的概述披露相同</w:t>
      </w:r>
    </w:p>
    <w:p>
      <w:pPr>
        <w:spacing w:line="340" w:lineRule="auto" w:before="116"/>
        <w:ind w:left="1133" w:right="64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4"/>
        <w:rPr>
          <w:rFonts w:ascii="宋体" w:hAnsi="宋体" w:cs="宋体" w:eastAsia="宋体" w:hint="default"/>
          <w:sz w:val="19"/>
          <w:szCs w:val="19"/>
        </w:rPr>
      </w:pPr>
    </w:p>
    <w:p>
      <w:pPr>
        <w:pStyle w:val="Heading3"/>
        <w:spacing w:line="240" w:lineRule="auto"/>
        <w:ind w:left="1133" w:right="0"/>
        <w:jc w:val="both"/>
        <w:rPr>
          <w:b w:val="0"/>
          <w:bCs w:val="0"/>
        </w:rPr>
      </w:pPr>
      <w:bookmarkStart w:name="2、收入与成本" w:id="29"/>
      <w:bookmarkEnd w:id="29"/>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both"/>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2,216,476,420.87</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1,573,504,560.72</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579,503,460.02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367,204,537.46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764,176,800.69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489,648,864.37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31,434,993.73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51,689,755.24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305,857,147.80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107,585,347.87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33,051,862.59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66,383,286.63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53,171,244.10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63,211,856.99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铁路</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56,387,461.85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75,863,093.62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40,929,010.10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15,791,893.09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石油石化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327,950,554.97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300,939,470.57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24,013,885.02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35,186,454.88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安全及安防产品</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549,752,344.92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378,220,283.77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安全及安防集成</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1,017,591,658.00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811,140,054.21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安全及安防服务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152,488,333.66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83,204,752.17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电商运营服务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496,644,084.29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300,939,470.57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10,624,593.87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19,293,038.93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136,702,812.99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92,697,508.96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175,263,911.07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121,453,584.64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1,786,462,074.80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1,215,174,795.37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61,043,421.59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83,600,898.78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21,699,325.33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14,244,902.64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23,764,386.97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26,480,920.63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915,894.25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558,910.77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579,503,460.02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400,358,620.10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764,176,800.69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275,602,030.26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305,857,147.80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78,289,363.07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石油石化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327,950,554.97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102,197,575.52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安全及安防产品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549,752,344.92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218,225,587.72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安全及安防集成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1,017,591,658.00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595,011,171.45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电商运营服务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496,644,084.29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125,528,446.34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1,786,462,074.79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787,387,437.31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31" w:lineRule="auto" w:before="35"/>
        <w:ind w:right="1174"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日，公司发布了《关于全资子公司签订重大合同的公告》，公司全资子公司蓝盾技术 与广东省卫生和计划生育委员会签订了总金额为</w:t>
      </w:r>
      <w:r>
        <w:rPr>
          <w:rFonts w:ascii="Times New Roman" w:hAnsi="Times New Roman" w:cs="Times New Roman" w:eastAsia="Times New Roman" w:hint="default"/>
        </w:rPr>
        <w:t>370,525,010.00</w:t>
      </w:r>
      <w:r>
        <w:rPr/>
        <w:t>元的</w:t>
      </w:r>
      <w:r>
        <w:rPr>
          <w:rFonts w:ascii="Times New Roman" w:hAnsi="Times New Roman" w:cs="Times New Roman" w:eastAsia="Times New Roman" w:hint="default"/>
        </w:rPr>
        <w:t>“</w:t>
      </w:r>
      <w:r>
        <w:rPr/>
        <w:t>广东省基层医疗卫生机构管理信息系 统项目</w:t>
      </w:r>
      <w:r>
        <w:rPr>
          <w:rFonts w:ascii="Times New Roman" w:hAnsi="Times New Roman" w:cs="Times New Roman" w:eastAsia="Times New Roman" w:hint="default"/>
        </w:rPr>
        <w:t>”</w:t>
      </w:r>
      <w:r>
        <w:rPr/>
        <w:t>合同，截至报告期末，该项目基本实施完毕。</w:t>
      </w:r>
    </w:p>
    <w:p>
      <w:pPr>
        <w:pStyle w:val="BodyText"/>
        <w:spacing w:line="331" w:lineRule="auto" w:before="21"/>
        <w:ind w:left="1134" w:right="1184"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日，公司发布了《关于全资子公司签订重大合同的公告》，公司全资子公司蓝盾技术 与呼伦贝尔市公安局签订了总金额为</w:t>
      </w:r>
      <w:r>
        <w:rPr>
          <w:rFonts w:ascii="Times New Roman" w:hAnsi="Times New Roman" w:cs="Times New Roman" w:eastAsia="Times New Roman" w:hint="default"/>
        </w:rPr>
        <w:t>73,029,504.39</w:t>
      </w:r>
      <w:r>
        <w:rPr/>
        <w:t>元的</w:t>
      </w:r>
      <w:r>
        <w:rPr>
          <w:rFonts w:ascii="Times New Roman" w:hAnsi="Times New Roman" w:cs="Times New Roman" w:eastAsia="Times New Roman" w:hint="default"/>
        </w:rPr>
        <w:t>“</w:t>
      </w:r>
      <w:r>
        <w:rPr/>
        <w:t>呼伦贝尔市平安城市二期建设项目</w:t>
      </w:r>
      <w:r>
        <w:rPr>
          <w:rFonts w:ascii="Times New Roman" w:hAnsi="Times New Roman" w:cs="Times New Roman" w:eastAsia="Times New Roman" w:hint="default"/>
        </w:rPr>
        <w:t>”</w:t>
      </w:r>
      <w:r>
        <w:rPr/>
        <w:t>合同，截至报 告期末，该项目正在履行中。</w:t>
      </w:r>
    </w:p>
    <w:p>
      <w:pPr>
        <w:pStyle w:val="BodyText"/>
        <w:spacing w:line="336" w:lineRule="auto" w:before="45"/>
        <w:ind w:left="1134" w:right="1168" w:firstLine="42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日，公司发布了《关于全资子公司签订重大合同的公告》，公司全资子公司蓝盾技 术与中国移动通信集团湖南有限公司株洲分公司及株洲渌湘投资发展集团有限公司签订了总金额为 </w:t>
      </w:r>
      <w:r>
        <w:rPr>
          <w:rFonts w:ascii="Times New Roman" w:hAnsi="Times New Roman" w:cs="Times New Roman" w:eastAsia="Times New Roman" w:hint="default"/>
        </w:rPr>
        <w:t>56,080,800.00</w:t>
      </w:r>
      <w:r>
        <w:rPr/>
        <w:t>元的《株洲县</w:t>
      </w:r>
      <w:r>
        <w:rPr>
          <w:rFonts w:ascii="Times New Roman" w:hAnsi="Times New Roman" w:cs="Times New Roman" w:eastAsia="Times New Roman" w:hint="default"/>
        </w:rPr>
        <w:t>“</w:t>
      </w:r>
      <w:r>
        <w:rPr/>
        <w:t>智慧渌口</w:t>
      </w:r>
      <w:r>
        <w:rPr>
          <w:rFonts w:ascii="Times New Roman" w:hAnsi="Times New Roman" w:cs="Times New Roman" w:eastAsia="Times New Roman" w:hint="default"/>
        </w:rPr>
        <w:t>”</w:t>
      </w:r>
      <w:r>
        <w:rPr/>
        <w:t>项目一期系统集成及运营服务采购项目合同》，截至报告期末，该 项目正在履行中。</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44"/>
        <w:gridCol w:w="1559"/>
        <w:gridCol w:w="1560"/>
        <w:gridCol w:w="1559"/>
        <w:gridCol w:w="1559"/>
        <w:gridCol w:w="1560"/>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400,358,620.10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246,515,302.97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275,602,030.26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157,575,165.24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20,365,467.38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35,200,602.58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78,289,363.07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57,243,024.40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20,819,541.11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54,420,316.51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44,701,814.87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47,590,882.65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30,821,090.40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43,980,179.84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-29.92%</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21,812,667.47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8,409,692.03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159.38%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石油石化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102,197,575.52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75,910,530.79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14,080,494.69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22,172,087.31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44"/>
        <w:gridCol w:w="1559"/>
        <w:gridCol w:w="1560"/>
        <w:gridCol w:w="1559"/>
        <w:gridCol w:w="1559"/>
        <w:gridCol w:w="1560"/>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安全及安防产品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218,225,587.72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171,072,663.01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27.56%</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安全及安防集成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595,011,171.45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465,787,173.51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安全及安防服务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70,283,459.36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36,247,417.01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电商运营服务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125,528,446.34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75,910,530.79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2"/>
          <w:szCs w:val="12"/>
        </w:rPr>
      </w:pPr>
    </w:p>
    <w:p>
      <w:pPr>
        <w:pStyle w:val="BodyText"/>
        <w:spacing w:line="240" w:lineRule="auto"/>
        <w:ind w:left="1553" w:right="0"/>
        <w:jc w:val="left"/>
      </w:pPr>
      <w:r>
        <w:rPr/>
        <w:t>详见第十一节财务报告第八项合并范围的变更</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495,064,056.16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22.34%</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广东省卫生和计划生育委员会</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187,897,023.89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中经电商商户八</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149,647,103.73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呼伦贝尔市公安局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65,792,346.30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中经电商商户九</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47,283,137.80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广东紫晶信息存储技术股份有限公司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44,444,444.44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495,064,056.16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249,775,568.65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24.56%</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广东中实国润科技有限公司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54,821,220.55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紫光电子商务有限公司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52,046,692.75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广州市高科通信技术股份有限公司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48,139,040.46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联想（深圳）电子有限公司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46,168,614.89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249,775,568.65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65"/>
        <w:gridCol w:w="1571"/>
        <w:gridCol w:w="1560"/>
        <w:gridCol w:w="1559"/>
        <w:gridCol w:w="3614"/>
      </w:tblGrid>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141,485,597.61</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80,208,718.75</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0" w:right="0"/>
              <w:jc w:val="left"/>
              <w:rPr>
                <w:rFonts w:ascii="Times New Roman" w:hAnsi="Times New Roman" w:cs="Times New Roman" w:eastAsia="Times New Roman" w:hint="default"/>
                <w:sz w:val="18"/>
                <w:szCs w:val="18"/>
              </w:rPr>
            </w:pPr>
            <w:r>
              <w:rPr>
                <w:rFonts w:ascii="Times New Roman"/>
                <w:sz w:val="18"/>
              </w:rPr>
              <w:t>76.40%</w:t>
            </w:r>
          </w:p>
        </w:tc>
        <w:tc>
          <w:tcPr>
            <w:tcW w:w="361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主要原因是业务拓展、人员增加、折旧费用增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加、租赁费用增加等导致销售费用增长</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71"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3614"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3614" w:type="dxa"/>
            <w:vMerge/>
            <w:tcBorders>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385,838,739.43</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291,485,174.82</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0" w:right="0"/>
              <w:jc w:val="left"/>
              <w:rPr>
                <w:rFonts w:ascii="Times New Roman" w:hAnsi="Times New Roman" w:cs="Times New Roman" w:eastAsia="Times New Roman" w:hint="default"/>
                <w:sz w:val="18"/>
                <w:szCs w:val="18"/>
              </w:rPr>
            </w:pPr>
            <w:r>
              <w:rPr>
                <w:rFonts w:ascii="Times New Roman"/>
                <w:sz w:val="18"/>
              </w:rPr>
              <w:t>32.37%</w:t>
            </w:r>
          </w:p>
        </w:tc>
        <w:tc>
          <w:tcPr>
            <w:tcW w:w="361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主要原因是人员增加、研发投入增加、折旧费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用、租赁费增加等导致管理费用增长</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71"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3614"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3614" w:type="dxa"/>
            <w:vMerge/>
            <w:tcBorders>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120,652,761.86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69,056,131.54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0" w:right="0"/>
              <w:jc w:val="left"/>
              <w:rPr>
                <w:rFonts w:ascii="Times New Roman" w:hAnsi="Times New Roman" w:cs="Times New Roman" w:eastAsia="Times New Roman" w:hint="default"/>
                <w:sz w:val="18"/>
                <w:szCs w:val="18"/>
              </w:rPr>
            </w:pPr>
            <w:r>
              <w:rPr>
                <w:rFonts w:ascii="Times New Roman"/>
                <w:sz w:val="18"/>
              </w:rPr>
              <w:t>74.72%</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主要原因是公司本年新增借款、融资所致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50" w:lineRule="auto"/>
        <w:ind w:right="0" w:firstLine="420"/>
        <w:jc w:val="left"/>
      </w:pPr>
      <w:r>
        <w:rPr>
          <w:spacing w:val="-1"/>
        </w:rPr>
        <w:t>通过持续加大研发创新力度，公司产品和技术不断创新，实现了全线产品的人工智能化，各个新兴安</w:t>
      </w:r>
      <w:r>
        <w:rPr/>
        <w:t> 全领域的产品应用相继落地。</w:t>
      </w:r>
    </w:p>
    <w:p>
      <w:pPr>
        <w:pStyle w:val="BodyText"/>
        <w:spacing w:line="328" w:lineRule="auto" w:before="28"/>
        <w:ind w:right="1093" w:firstLine="420"/>
        <w:jc w:val="left"/>
      </w:pPr>
      <w:r>
        <w:rPr/>
        <w:t>无形资产情况：报告期内，公司及主要子公司新增专利</w:t>
      </w:r>
      <w:r>
        <w:rPr>
          <w:rFonts w:ascii="Times New Roman" w:hAnsi="Times New Roman" w:cs="Times New Roman" w:eastAsia="Times New Roman" w:hint="default"/>
        </w:rPr>
        <w:t>6</w:t>
      </w:r>
      <w:r>
        <w:rPr/>
        <w:t>项，新增软件著作权</w:t>
      </w:r>
      <w:r>
        <w:rPr>
          <w:rFonts w:ascii="Times New Roman" w:hAnsi="Times New Roman" w:cs="Times New Roman" w:eastAsia="Times New Roman" w:hint="default"/>
        </w:rPr>
        <w:t>143</w:t>
      </w:r>
      <w:r>
        <w:rPr/>
        <w:t>项；截至报告期末， 公司及主要子公司共拥有专利</w:t>
      </w:r>
      <w:r>
        <w:rPr>
          <w:rFonts w:ascii="Times New Roman" w:hAnsi="Times New Roman" w:cs="Times New Roman" w:eastAsia="Times New Roman" w:hint="default"/>
        </w:rPr>
        <w:t>82</w:t>
      </w:r>
      <w:r>
        <w:rPr/>
        <w:t>项，软件著作权</w:t>
      </w:r>
      <w:r>
        <w:rPr>
          <w:rFonts w:ascii="Times New Roman" w:hAnsi="Times New Roman" w:cs="Times New Roman" w:eastAsia="Times New Roman" w:hint="default"/>
        </w:rPr>
        <w:t>657</w:t>
      </w:r>
      <w:r>
        <w:rPr/>
        <w:t>项。</w:t>
      </w: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54"/>
        <w:gridCol w:w="2139"/>
        <w:gridCol w:w="2268"/>
        <w:gridCol w:w="2196"/>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245,055,287.05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142,762,323.64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91,510,986.69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17,669,912.32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12,750,635.70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8,822,343.78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29"/>
        <w:gridCol w:w="2422"/>
        <w:gridCol w:w="2410"/>
        <w:gridCol w:w="2196"/>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6,095,609,353.37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4,119,193,553.99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47.98%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6,070,257,266.39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3,775,997,174.95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60.76%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25,352,086.98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343,196,379.04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-92.61%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411,019,895.50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256,416,351.53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1,589,626,947.00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959,515,891.48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-1,178,607,051.50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-703,099,539.95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2,176,775,527.82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2,700,289,944.04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1,498,245,087.11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792,772,584.76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88.99%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678,530,440.71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1,907,517,359.28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-64.43%</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-474,661,572.09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1,547,625,956.26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-130.67%</w:t>
            </w:r>
            <w:r>
              <w:rPr>
                <w:rFonts w:ascii="Times New Roman"/>
                <w:sz w:val="18"/>
              </w:rPr>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31" w:lineRule="auto"/>
        <w:ind w:right="1131" w:firstLine="420"/>
        <w:jc w:val="both"/>
      </w:pPr>
      <w:r>
        <w:rPr/>
        <w:t>（</w:t>
      </w:r>
      <w:r>
        <w:rPr>
          <w:rFonts w:ascii="Times New Roman" w:hAnsi="Times New Roman" w:cs="Times New Roman" w:eastAsia="Times New Roman" w:hint="default"/>
        </w:rPr>
        <w:t>1</w:t>
      </w:r>
      <w:r>
        <w:rPr/>
        <w:t>）经营活动产生的现金流量净额同比下降</w:t>
      </w:r>
      <w:r>
        <w:rPr>
          <w:rFonts w:ascii="Times New Roman" w:hAnsi="Times New Roman" w:cs="Times New Roman" w:eastAsia="Times New Roman" w:hint="default"/>
        </w:rPr>
        <w:t>92.18%</w:t>
      </w:r>
      <w:r>
        <w:rPr/>
        <w:t>，其中经营活动现金流入同比增长</w:t>
      </w:r>
      <w:r>
        <w:rPr>
          <w:rFonts w:ascii="Times New Roman" w:hAnsi="Times New Roman" w:cs="Times New Roman" w:eastAsia="Times New Roman" w:hint="default"/>
        </w:rPr>
        <w:t>47.98%</w:t>
      </w:r>
      <w:r>
        <w:rPr/>
        <w:t>，经营 </w:t>
      </w:r>
      <w:r>
        <w:rPr>
          <w:spacing w:val="-1"/>
        </w:rPr>
        <w:t>活动现金流出同比增长</w:t>
      </w:r>
      <w:r>
        <w:rPr>
          <w:rFonts w:ascii="Times New Roman" w:hAnsi="Times New Roman" w:cs="Times New Roman" w:eastAsia="Times New Roman" w:hint="default"/>
          <w:spacing w:val="-1"/>
        </w:rPr>
        <w:t>60.76%</w:t>
      </w:r>
      <w:r>
        <w:rPr>
          <w:spacing w:val="-1"/>
        </w:rPr>
        <w:t>，主要系报告期公司营业规模进一步扩大，购买材料支付的现金以及预付合</w:t>
      </w:r>
      <w:r>
        <w:rPr>
          <w:spacing w:val="-98"/>
        </w:rPr>
        <w:t> </w:t>
      </w:r>
      <w:r>
        <w:rPr>
          <w:spacing w:val="-98"/>
        </w:rPr>
      </w:r>
      <w:r>
        <w:rPr/>
        <w:t>作商户的消费额度款增加所致。</w:t>
      </w:r>
    </w:p>
    <w:p>
      <w:pPr>
        <w:pStyle w:val="BodyText"/>
        <w:spacing w:line="328" w:lineRule="auto" w:before="46"/>
        <w:ind w:left="1134" w:right="1131" w:firstLine="420"/>
        <w:jc w:val="both"/>
      </w:pPr>
      <w:r>
        <w:rPr/>
        <w:t>（</w:t>
      </w:r>
      <w:r>
        <w:rPr>
          <w:rFonts w:ascii="Times New Roman" w:hAnsi="Times New Roman" w:cs="Times New Roman" w:eastAsia="Times New Roman" w:hint="default"/>
        </w:rPr>
        <w:t>2</w:t>
      </w:r>
      <w:r>
        <w:rPr/>
        <w:t>）投资活动产生的现金流量净额同比增长</w:t>
      </w:r>
      <w:r>
        <w:rPr>
          <w:rFonts w:ascii="Times New Roman" w:hAnsi="Times New Roman" w:cs="Times New Roman" w:eastAsia="Times New Roman" w:hint="default"/>
        </w:rPr>
        <w:t>67.73%</w:t>
      </w:r>
      <w:r>
        <w:rPr/>
        <w:t>，其中投资活动现金流入增长</w:t>
      </w:r>
      <w:r>
        <w:rPr>
          <w:rFonts w:ascii="Times New Roman" w:hAnsi="Times New Roman" w:cs="Times New Roman" w:eastAsia="Times New Roman" w:hint="default"/>
        </w:rPr>
        <w:t>60.29%</w:t>
      </w:r>
      <w:r>
        <w:rPr/>
        <w:t>，投资活动 </w:t>
      </w:r>
      <w:r>
        <w:rPr>
          <w:spacing w:val="-1"/>
        </w:rPr>
        <w:t>现金流出增长</w:t>
      </w:r>
      <w:r>
        <w:rPr>
          <w:rFonts w:ascii="Times New Roman" w:hAnsi="Times New Roman" w:cs="Times New Roman" w:eastAsia="Times New Roman" w:hint="default"/>
          <w:spacing w:val="-1"/>
        </w:rPr>
        <w:t>65.67%</w:t>
      </w:r>
      <w:r>
        <w:rPr>
          <w:spacing w:val="-1"/>
        </w:rPr>
        <w:t>，主要系报告期公司购建固定资产、无形资产和其他长期资产支付的现金增加，取得</w:t>
      </w:r>
      <w:r>
        <w:rPr>
          <w:spacing w:val="-98"/>
        </w:rPr>
        <w:t> </w:t>
      </w:r>
      <w:r>
        <w:rPr>
          <w:spacing w:val="-98"/>
        </w:rPr>
      </w:r>
      <w:r>
        <w:rPr/>
        <w:t>子公司支付的现金增加。</w:t>
      </w:r>
    </w:p>
    <w:p>
      <w:pPr>
        <w:pStyle w:val="BodyText"/>
        <w:spacing w:line="328" w:lineRule="auto" w:before="48"/>
        <w:ind w:left="1134" w:right="1181" w:firstLine="420"/>
        <w:jc w:val="both"/>
      </w:pPr>
      <w:r>
        <w:rPr/>
        <w:t>（</w:t>
      </w:r>
      <w:r>
        <w:rPr>
          <w:rFonts w:ascii="Times New Roman" w:hAnsi="Times New Roman" w:cs="Times New Roman" w:eastAsia="Times New Roman" w:hint="default"/>
        </w:rPr>
        <w:t>3</w:t>
      </w:r>
      <w:r>
        <w:rPr/>
        <w:t>）筹资活动产生的现金流量净额同比下降</w:t>
      </w:r>
      <w:r>
        <w:rPr>
          <w:rFonts w:ascii="Times New Roman" w:hAnsi="Times New Roman" w:cs="Times New Roman" w:eastAsia="Times New Roman" w:hint="default"/>
        </w:rPr>
        <w:t>64.43%</w:t>
      </w:r>
      <w:r>
        <w:rPr/>
        <w:t>，其中筹资活动现金流入下降</w:t>
      </w:r>
      <w:r>
        <w:rPr>
          <w:rFonts w:ascii="Times New Roman" w:hAnsi="Times New Roman" w:cs="Times New Roman" w:eastAsia="Times New Roman" w:hint="default"/>
        </w:rPr>
        <w:t>19.39%</w:t>
      </w:r>
      <w:r>
        <w:rPr/>
        <w:t>，筹资活动 现金流出增长</w:t>
      </w:r>
      <w:r>
        <w:rPr>
          <w:rFonts w:ascii="Times New Roman" w:hAnsi="Times New Roman" w:cs="Times New Roman" w:eastAsia="Times New Roman" w:hint="default"/>
        </w:rPr>
        <w:t>88.99%</w:t>
      </w:r>
      <w:r>
        <w:rPr/>
        <w:t>，主要系报告期偿还债务所支付的现金增加导致筹资活动现金流出增加。</w:t>
      </w:r>
    </w:p>
    <w:p>
      <w:pPr>
        <w:pStyle w:val="BodyText"/>
        <w:spacing w:line="331" w:lineRule="auto" w:before="23"/>
        <w:ind w:left="1134" w:right="1132" w:firstLine="420"/>
        <w:jc w:val="both"/>
      </w:pPr>
      <w:r>
        <w:rPr>
          <w:spacing w:val="-1"/>
        </w:rPr>
        <w:t>（</w:t>
      </w:r>
      <w:r>
        <w:rPr>
          <w:rFonts w:ascii="Times New Roman" w:hAnsi="Times New Roman" w:cs="Times New Roman" w:eastAsia="Times New Roman" w:hint="default"/>
          <w:spacing w:val="-1"/>
        </w:rPr>
        <w:t>4</w:t>
      </w:r>
      <w:r>
        <w:rPr>
          <w:spacing w:val="-1"/>
        </w:rPr>
        <w:t>）现金及现金等价物净增加额同比下降</w:t>
      </w:r>
      <w:r>
        <w:rPr>
          <w:rFonts w:ascii="Times New Roman" w:hAnsi="Times New Roman" w:cs="Times New Roman" w:eastAsia="Times New Roman" w:hint="default"/>
          <w:spacing w:val="-1"/>
        </w:rPr>
        <w:t>130.67%</w:t>
      </w:r>
      <w:r>
        <w:rPr>
          <w:spacing w:val="-1"/>
        </w:rPr>
        <w:t>，主要系公司</w:t>
      </w:r>
      <w:r>
        <w:rPr>
          <w:rFonts w:ascii="Times New Roman" w:hAnsi="Times New Roman" w:cs="Times New Roman" w:eastAsia="Times New Roman" w:hint="default"/>
          <w:spacing w:val="-1"/>
        </w:rPr>
        <w:t>2016</w:t>
      </w:r>
      <w:r>
        <w:rPr>
          <w:spacing w:val="-1"/>
        </w:rPr>
        <w:t>年对外发行股份并募集配套资金</w:t>
      </w:r>
      <w:r>
        <w:rPr/>
        <w:t> 产生较大的现金流入，同时，公司报告期偿还债务所支付的现金增加所致。</w:t>
      </w:r>
    </w:p>
    <w:p>
      <w:pPr>
        <w:spacing w:line="240" w:lineRule="auto" w:before="8"/>
        <w:rPr>
          <w:rFonts w:ascii="宋体" w:hAnsi="宋体" w:cs="宋体" w:eastAsia="宋体" w:hint="default"/>
          <w:sz w:val="28"/>
          <w:szCs w:val="28"/>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41"/>
      <w:bookmarkEnd w:id="41"/>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 w:id="42"/>
      <w:bookmarkEnd w:id="42"/>
      <w:r>
        <w:rPr>
          <w:b w:val="0"/>
          <w:bCs w:val="0"/>
        </w:rPr>
      </w:r>
      <w:r>
        <w:rPr/>
        <w:t>四、资产及负债状况</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20"/>
          <w:szCs w:val="20"/>
        </w:rPr>
      </w:pPr>
    </w:p>
    <w:p>
      <w:pPr>
        <w:pStyle w:val="Heading3"/>
        <w:spacing w:line="240" w:lineRule="auto" w:before="35"/>
        <w:ind w:left="1133" w:right="0"/>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621"/>
        <w:gridCol w:w="1276"/>
        <w:gridCol w:w="1559"/>
        <w:gridCol w:w="1277"/>
        <w:gridCol w:w="1134"/>
        <w:gridCol w:w="1346"/>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897" w:type="dxa"/>
            <w:gridSpan w:val="2"/>
            <w:vMerge/>
            <w:tcBorders>
              <w:left w:val="single" w:sz="4" w:space="0" w:color="000000"/>
              <w:bottom w:val="single" w:sz="4" w:space="0" w:color="000000"/>
              <w:right w:val="single" w:sz="4" w:space="0" w:color="000000"/>
            </w:tcBorders>
            <w:shd w:val="clear" w:color="auto" w:fill="D2D2D2"/>
          </w:tcPr>
          <w:p>
            <w:pPr/>
          </w:p>
        </w:tc>
        <w:tc>
          <w:tcPr>
            <w:tcW w:w="2836"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1,666,726,210.53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20.11%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2,093,269,865.40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-13.11%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1,897,924,097.05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1,018,355,088.38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220,761,676.80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121,666,751.24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1,920,674.83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14,262,820.17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2,358,997.59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642,990,089.65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550,834,500.79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536,954,990.44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250,666,587.61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1,282,072,500.00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766,542,810.25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539,644,286.46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0.69%</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截至报告期末的资产权利受限情况" w:id="45"/>
      <w:bookmarkEnd w:id="4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31"/>
          <w:szCs w:val="31"/>
        </w:rPr>
      </w:pPr>
    </w:p>
    <w:p>
      <w:pPr>
        <w:pStyle w:val="BodyText"/>
        <w:spacing w:line="240" w:lineRule="auto"/>
        <w:ind w:left="1553" w:right="0"/>
        <w:jc w:val="left"/>
      </w:pPr>
      <w:r>
        <w:rPr/>
        <w:t>本企业截至报告期期末的资产权利受限情况详见附注七</w:t>
      </w:r>
      <w:r>
        <w:rPr>
          <w:spacing w:val="-22"/>
        </w:rPr>
        <w:t> </w:t>
      </w:r>
      <w:r>
        <w:rPr>
          <w:rFonts w:ascii="Times New Roman" w:hAnsi="Times New Roman" w:cs="Times New Roman" w:eastAsia="Times New Roman" w:hint="default"/>
        </w:rPr>
        <w:t>55</w:t>
      </w:r>
      <w:r>
        <w:rPr/>
        <w:t>、所有权或使用权受到限制的资产。</w:t>
      </w:r>
    </w:p>
    <w:p>
      <w:pPr>
        <w:spacing w:line="240" w:lineRule="auto" w:before="9"/>
        <w:rPr>
          <w:rFonts w:ascii="宋体" w:hAnsi="宋体" w:cs="宋体" w:eastAsia="宋体" w:hint="default"/>
          <w:sz w:val="22"/>
          <w:szCs w:val="22"/>
        </w:rPr>
      </w:pPr>
    </w:p>
    <w:p>
      <w:pPr>
        <w:pStyle w:val="Heading2"/>
        <w:spacing w:line="240" w:lineRule="auto"/>
        <w:ind w:left="1134" w:right="0"/>
        <w:jc w:val="left"/>
        <w:rPr>
          <w:b w:val="0"/>
          <w:bCs w:val="0"/>
        </w:rPr>
      </w:pPr>
      <w:bookmarkStart w:name="五、投资状况分析" w:id="46"/>
      <w:bookmarkEnd w:id="46"/>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1,682,000,000.00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844" w:type="dxa"/>
        <w:tblLayout w:type="fixed"/>
        <w:tblCellMar>
          <w:top w:w="0" w:type="dxa"/>
          <w:left w:w="0" w:type="dxa"/>
          <w:bottom w:w="0" w:type="dxa"/>
          <w:right w:w="0" w:type="dxa"/>
        </w:tblCellMar>
        <w:tblLook w:val="01E0"/>
      </w:tblPr>
      <w:tblGrid>
        <w:gridCol w:w="852"/>
        <w:gridCol w:w="851"/>
        <w:gridCol w:w="709"/>
        <w:gridCol w:w="850"/>
        <w:gridCol w:w="993"/>
        <w:gridCol w:w="992"/>
        <w:gridCol w:w="992"/>
        <w:gridCol w:w="1000"/>
        <w:gridCol w:w="984"/>
        <w:gridCol w:w="1560"/>
        <w:gridCol w:w="850"/>
      </w:tblGrid>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0"/>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3"/>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3" w:right="54" w:hanging="270"/>
              <w:jc w:val="left"/>
              <w:rPr>
                <w:rFonts w:ascii="宋体" w:hAnsi="宋体" w:cs="宋体" w:eastAsia="宋体" w:hint="default"/>
                <w:sz w:val="18"/>
                <w:szCs w:val="18"/>
              </w:rPr>
            </w:pPr>
            <w:r>
              <w:rPr>
                <w:rFonts w:ascii="宋体" w:hAnsi="宋体" w:cs="宋体" w:eastAsia="宋体" w:hint="default"/>
                <w:sz w:val="18"/>
                <w:szCs w:val="18"/>
              </w:rPr>
              <w:t>尚未使用募集资金 用途及去向</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39,200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39,336.42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center"/>
              <w:rPr>
                <w:rFonts w:ascii="Times New Roman" w:hAnsi="Times New Roman" w:cs="Times New Roman" w:eastAsia="Times New Roman" w:hint="default"/>
                <w:sz w:val="18"/>
                <w:szCs w:val="18"/>
              </w:rPr>
            </w:pPr>
            <w:r>
              <w:rPr>
                <w:rFonts w:ascii="Times New Roman"/>
                <w:sz w:val="18"/>
              </w:rPr>
              <w:t>13,000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13,017.15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37,178.97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88,632.28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蓝</w:t>
            </w:r>
            <w:r>
              <w:rPr>
                <w:rFonts w:ascii="宋体" w:hAnsi="宋体" w:cs="宋体" w:eastAsia="宋体" w:hint="default"/>
                <w:spacing w:val="-67"/>
                <w:sz w:val="18"/>
                <w:szCs w:val="18"/>
              </w:rPr>
              <w:t> </w:t>
            </w:r>
            <w:r>
              <w:rPr>
                <w:rFonts w:ascii="宋体" w:hAnsi="宋体" w:cs="宋体" w:eastAsia="宋体" w:hint="default"/>
                <w:sz w:val="18"/>
                <w:szCs w:val="18"/>
              </w:rPr>
              <w:t>盾</w:t>
            </w:r>
            <w:r>
              <w:rPr>
                <w:rFonts w:ascii="宋体" w:hAnsi="宋体" w:cs="宋体" w:eastAsia="宋体" w:hint="default"/>
                <w:spacing w:val="-67"/>
                <w:sz w:val="18"/>
                <w:szCs w:val="18"/>
              </w:rPr>
              <w:t> </w:t>
            </w:r>
            <w:r>
              <w:rPr>
                <w:rFonts w:ascii="宋体" w:hAnsi="宋体" w:cs="宋体" w:eastAsia="宋体" w:hint="default"/>
                <w:sz w:val="18"/>
                <w:szCs w:val="18"/>
              </w:rPr>
              <w:t>信</w:t>
            </w:r>
            <w:r>
              <w:rPr>
                <w:rFonts w:ascii="宋体" w:hAnsi="宋体" w:cs="宋体" w:eastAsia="宋体" w:hint="default"/>
                <w:spacing w:val="-68"/>
                <w:sz w:val="18"/>
                <w:szCs w:val="18"/>
              </w:rPr>
              <w:t> </w:t>
            </w:r>
            <w:r>
              <w:rPr>
                <w:rFonts w:ascii="宋体" w:hAnsi="宋体" w:cs="宋体" w:eastAsia="宋体" w:hint="default"/>
                <w:sz w:val="18"/>
                <w:szCs w:val="18"/>
              </w:rPr>
              <w:t>息</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8"/>
                <w:sz w:val="18"/>
                <w:szCs w:val="18"/>
              </w:rPr>
              <w:t> </w:t>
            </w:r>
            <w:r>
              <w:rPr>
                <w:rFonts w:ascii="宋体" w:hAnsi="宋体" w:cs="宋体" w:eastAsia="宋体" w:hint="default"/>
                <w:sz w:val="18"/>
                <w:szCs w:val="18"/>
              </w:rPr>
              <w:t>南</w:t>
            </w:r>
            <w:r>
              <w:rPr>
                <w:rFonts w:ascii="宋体" w:hAnsi="宋体" w:cs="宋体" w:eastAsia="宋体" w:hint="default"/>
                <w:spacing w:val="-67"/>
                <w:sz w:val="18"/>
                <w:szCs w:val="18"/>
              </w:rPr>
              <w:t> </w:t>
            </w:r>
            <w:r>
              <w:rPr>
                <w:rFonts w:ascii="宋体" w:hAnsi="宋体" w:cs="宋体" w:eastAsia="宋体" w:hint="default"/>
                <w:sz w:val="18"/>
                <w:szCs w:val="18"/>
              </w:rPr>
              <w:t>总</w:t>
            </w:r>
            <w:r>
              <w:rPr>
                <w:rFonts w:ascii="宋体" w:hAnsi="宋体" w:cs="宋体" w:eastAsia="宋体" w:hint="default"/>
                <w:sz w:val="18"/>
                <w:szCs w:val="18"/>
              </w:rPr>
              <w:t> 部</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研</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z w:val="18"/>
                <w:szCs w:val="18"/>
              </w:rPr>
              <w:t>基</w:t>
            </w:r>
            <w:r>
              <w:rPr>
                <w:rFonts w:ascii="宋体" w:hAnsi="宋体" w:cs="宋体" w:eastAsia="宋体" w:hint="default"/>
                <w:spacing w:val="-68"/>
                <w:sz w:val="18"/>
                <w:szCs w:val="18"/>
              </w:rPr>
              <w:t> </w:t>
            </w:r>
            <w:r>
              <w:rPr>
                <w:rFonts w:ascii="宋体" w:hAnsi="宋体" w:cs="宋体" w:eastAsia="宋体" w:hint="default"/>
                <w:sz w:val="18"/>
                <w:szCs w:val="18"/>
              </w:rPr>
              <w:t>地</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项 </w:t>
            </w:r>
            <w:r>
              <w:rPr>
                <w:rFonts w:ascii="宋体" w:hAnsi="宋体" w:cs="宋体" w:eastAsia="宋体" w:hint="default"/>
                <w:spacing w:val="-2"/>
                <w:sz w:val="18"/>
                <w:szCs w:val="18"/>
              </w:rPr>
              <w:t>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上市公司信息</w:t>
            </w:r>
            <w:r>
              <w:rPr>
                <w:rFonts w:ascii="宋体" w:hAnsi="宋体" w:cs="宋体" w:eastAsia="宋体" w:hint="default"/>
                <w:sz w:val="18"/>
                <w:szCs w:val="18"/>
              </w:rPr>
              <w:t> 安全产业园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 w:right="0"/>
              <w:jc w:val="center"/>
              <w:rPr>
                <w:rFonts w:ascii="Times New Roman" w:hAnsi="Times New Roman" w:cs="Times New Roman" w:eastAsia="Times New Roman" w:hint="default"/>
                <w:sz w:val="18"/>
                <w:szCs w:val="18"/>
              </w:rPr>
            </w:pPr>
            <w:r>
              <w:rPr>
                <w:rFonts w:ascii="Times New Roman"/>
                <w:sz w:val="18"/>
              </w:rPr>
              <w:t>162,200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37,178.97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140,985.85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24.66%</w:t>
            </w:r>
          </w:p>
        </w:tc>
        <w:tc>
          <w:tcPr>
            <w:tcW w:w="98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21,602.5</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63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227" w:hRule="exact"/>
        </w:trPr>
        <w:tc>
          <w:tcPr>
            <w:tcW w:w="1063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[2012]41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号文核准，并经深圳证券交易所同意，</w:t>
            </w:r>
            <w:r>
              <w:rPr>
                <w:rFonts w:ascii="宋体" w:hAnsi="宋体" w:cs="宋体" w:eastAsia="宋体" w:hint="default"/>
                <w:spacing w:val="-48"/>
                <w:sz w:val="18"/>
                <w:szCs w:val="18"/>
              </w:rPr>
              <w:t> </w:t>
            </w:r>
            <w:r>
              <w:rPr>
                <w:rFonts w:ascii="宋体" w:hAnsi="宋体" w:cs="宋体" w:eastAsia="宋体" w:hint="default"/>
                <w:sz w:val="18"/>
                <w:szCs w:val="18"/>
              </w:rPr>
              <w:t>公司由主承销商广发证券股份有限公司于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2012</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公司共募集资金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万元，扣除发行费用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3,924.33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35275.67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日，公司累计使用募集</w:t>
            </w:r>
          </w:p>
          <w:p>
            <w:pPr>
              <w:pStyle w:val="TableParagraph"/>
              <w:spacing w:line="319" w:lineRule="auto" w:before="64"/>
              <w:ind w:left="24" w:right="22"/>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35,412.09 </w:t>
            </w:r>
            <w:r>
              <w:rPr>
                <w:rFonts w:ascii="宋体" w:hAnsi="宋体" w:cs="宋体" w:eastAsia="宋体" w:hint="default"/>
                <w:sz w:val="18"/>
                <w:szCs w:val="18"/>
              </w:rPr>
              <w:t>万元，其中，募集资金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35,275.67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[2015]356</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号文核准，并经深圳证券交易所同意，</w:t>
            </w:r>
            <w:r>
              <w:rPr>
                <w:rFonts w:ascii="宋体" w:hAnsi="宋体" w:cs="宋体" w:eastAsia="宋体" w:hint="default"/>
                <w:spacing w:val="-46"/>
                <w:sz w:val="18"/>
                <w:szCs w:val="18"/>
              </w:rPr>
              <w:t> </w:t>
            </w:r>
            <w:r>
              <w:rPr>
                <w:rFonts w:ascii="宋体" w:hAnsi="宋体" w:cs="宋体" w:eastAsia="宋体" w:hint="default"/>
                <w:sz w:val="18"/>
                <w:szCs w:val="18"/>
              </w:rPr>
              <w:t>公司由主承销商广发证券股份有限公司于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日向特定投资者非公开发行普通股（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24,610,235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股，每股面值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用于购买资产和</w:t>
            </w:r>
          </w:p>
          <w:p>
            <w:pPr>
              <w:pStyle w:val="TableParagraph"/>
              <w:spacing w:line="246" w:lineRule="exact"/>
              <w:ind w:left="24" w:right="-13"/>
              <w:jc w:val="left"/>
              <w:rPr>
                <w:rFonts w:ascii="宋体" w:hAnsi="宋体" w:cs="宋体" w:eastAsia="宋体" w:hint="default"/>
                <w:sz w:val="18"/>
                <w:szCs w:val="18"/>
              </w:rPr>
            </w:pPr>
            <w:r>
              <w:rPr>
                <w:rFonts w:ascii="宋体" w:hAnsi="宋体" w:cs="宋体" w:eastAsia="宋体" w:hint="default"/>
                <w:sz w:val="18"/>
                <w:szCs w:val="18"/>
              </w:rPr>
              <w:t>募集配套资金。截止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日，公司共募集配套资金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11,206.67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13,017.15 </w:t>
            </w:r>
            <w:r>
              <w:rPr>
                <w:rFonts w:ascii="宋体" w:hAnsi="宋体" w:cs="宋体" w:eastAsia="宋体" w:hint="default"/>
                <w:sz w:val="18"/>
                <w:szCs w:val="18"/>
              </w:rPr>
              <w:t>万元，其中，募集资金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万元、银行利息收入</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[2016]616 </w:t>
            </w:r>
            <w:r>
              <w:rPr>
                <w:rFonts w:ascii="宋体" w:hAnsi="宋体" w:cs="宋体" w:eastAsia="宋体" w:hint="default"/>
                <w:spacing w:val="-4"/>
                <w:sz w:val="18"/>
                <w:szCs w:val="18"/>
              </w:rPr>
              <w:t>号文核准，并经深圳证券交易所同意， </w:t>
            </w:r>
            <w:r>
              <w:rPr>
                <w:rFonts w:ascii="宋体" w:hAnsi="宋体" w:cs="宋体" w:eastAsia="宋体" w:hint="default"/>
                <w:sz w:val="18"/>
                <w:szCs w:val="18"/>
              </w:rPr>
              <w:t>公司由主承销商广发证券股份有限公司于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日向特定投资者非公开发行普通股（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84,355,828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股，每股面值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用于购买资产</w:t>
            </w:r>
          </w:p>
          <w:p>
            <w:pPr>
              <w:pStyle w:val="TableParagraph"/>
              <w:spacing w:line="302" w:lineRule="auto" w:before="63"/>
              <w:ind w:left="24" w:right="29"/>
              <w:jc w:val="left"/>
              <w:rPr>
                <w:rFonts w:ascii="宋体" w:hAnsi="宋体" w:cs="宋体" w:eastAsia="宋体" w:hint="default"/>
                <w:sz w:val="18"/>
                <w:szCs w:val="18"/>
              </w:rPr>
            </w:pPr>
            <w:r>
              <w:rPr>
                <w:rFonts w:ascii="宋体" w:hAnsi="宋体" w:cs="宋体" w:eastAsia="宋体" w:hint="default"/>
                <w:sz w:val="18"/>
                <w:szCs w:val="18"/>
              </w:rPr>
              <w:t>和募集配套资金。截止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4,281.85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105,718.15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r>
    </w:tbl>
    <w:p>
      <w:pPr>
        <w:spacing w:after="0" w:line="302"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before="35"/>
        <w:ind w:left="1133"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844" w:type="dxa"/>
        <w:tblLayout w:type="fixed"/>
        <w:tblCellMar>
          <w:top w:w="0" w:type="dxa"/>
          <w:left w:w="0" w:type="dxa"/>
          <w:bottom w:w="0" w:type="dxa"/>
          <w:right w:w="0" w:type="dxa"/>
        </w:tblCellMar>
        <w:tblLook w:val="01E0"/>
      </w:tblPr>
      <w:tblGrid>
        <w:gridCol w:w="1986"/>
        <w:gridCol w:w="708"/>
        <w:gridCol w:w="992"/>
        <w:gridCol w:w="994"/>
        <w:gridCol w:w="850"/>
        <w:gridCol w:w="992"/>
        <w:gridCol w:w="708"/>
        <w:gridCol w:w="993"/>
        <w:gridCol w:w="851"/>
        <w:gridCol w:w="709"/>
        <w:gridCol w:w="850"/>
      </w:tblGrid>
      <w:tr>
        <w:trPr>
          <w:trHeight w:val="1338"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17" w:right="87" w:hanging="630"/>
              <w:jc w:val="left"/>
              <w:rPr>
                <w:rFonts w:ascii="宋体" w:hAnsi="宋体" w:cs="宋体" w:eastAsia="宋体" w:hint="default"/>
                <w:sz w:val="18"/>
                <w:szCs w:val="18"/>
              </w:rPr>
            </w:pPr>
            <w:r>
              <w:rPr>
                <w:rFonts w:ascii="宋体" w:hAnsi="宋体" w:cs="宋体" w:eastAsia="宋体" w:hint="default"/>
                <w:sz w:val="18"/>
                <w:szCs w:val="18"/>
              </w:rPr>
              <w:t>承诺投资项目和超募资 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9" w:right="47"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1" w:right="3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6" w:right="4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3" w:right="62"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 w:right="3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8"/>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1063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全网综合监控审计平台 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3,372.45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2,410.68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UltraUTM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统一安全网关</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2,340.43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5,667.18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服务器安全综合监测平 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1,842.65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51.18%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785.90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NxSOC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新一代安全综合 运维管理平台项目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2,251.73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1,735.59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研发及培训中心建设项 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92.21%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3,924.33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3,924.33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3,924.33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8,655.14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支付收购广州华炜科技 有限公司的现金对价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补充广州华炜科技有限 公司流动资金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1,793.33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1,793.33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节余募集配套资金永久 补充流动资金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both"/>
              <w:rPr>
                <w:rFonts w:ascii="宋体" w:hAnsi="宋体" w:cs="宋体" w:eastAsia="宋体" w:hint="default"/>
                <w:sz w:val="18"/>
                <w:szCs w:val="18"/>
              </w:rPr>
            </w:pPr>
            <w:r>
              <w:rPr>
                <w:rFonts w:ascii="宋体" w:hAnsi="宋体" w:cs="宋体" w:eastAsia="宋体" w:hint="default"/>
                <w:sz w:val="18"/>
                <w:szCs w:val="18"/>
              </w:rPr>
              <w:t>支付收购中经汇通电子 商务有限公司和汇通宝 支付有限责任公司的现 金对价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蓝盾信息西南总部及研 发基地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4,968.87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4,968.87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上市公司信息安全产业 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5,527.82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8,558.03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补充上市公司流动资金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补充蓝盾信息安全技术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20,013.91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20,013.91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42.240002pt;margin-top:71.999985pt;width:532.4pt;height:686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6"/>
                    <w:gridCol w:w="708"/>
                    <w:gridCol w:w="992"/>
                    <w:gridCol w:w="994"/>
                    <w:gridCol w:w="850"/>
                    <w:gridCol w:w="992"/>
                    <w:gridCol w:w="708"/>
                    <w:gridCol w:w="993"/>
                    <w:gridCol w:w="851"/>
                    <w:gridCol w:w="709"/>
                    <w:gridCol w:w="850"/>
                  </w:tblGrid>
                  <w:tr>
                    <w:trPr>
                      <w:trHeight w:val="36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有限公司流动资金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0"/>
                          <w:jc w:val="both"/>
                          <w:rPr>
                            <w:rFonts w:ascii="宋体" w:hAnsi="宋体" w:cs="宋体" w:eastAsia="宋体" w:hint="default"/>
                            <w:sz w:val="18"/>
                            <w:szCs w:val="18"/>
                          </w:rPr>
                        </w:pPr>
                        <w:r>
                          <w:rPr>
                            <w:rFonts w:ascii="宋体" w:hAnsi="宋体" w:cs="宋体" w:eastAsia="宋体" w:hint="default"/>
                            <w:sz w:val="18"/>
                            <w:szCs w:val="18"/>
                          </w:rPr>
                          <w:t>补充中经汇通电子商务 有限公司和汇通宝支付 有限责任公司的流动资 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偿还上市公司银行贷款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支付中介机构费用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节余募集配套资金永久 补充流动资金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147,956.33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147,956.33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37,178.97</w:t>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126,706.66</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10,599.35</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063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互联网舆情分析平台项 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2,163.35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1,832.67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蓝盾股份信息安全产业 基地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7,943.67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7,937.42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1,378.42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Times New Roman" w:hAnsi="Times New Roman" w:cs="Times New Roman" w:eastAsia="Times New Roman" w:hint="default"/>
                            <w:sz w:val="20"/>
                            <w:szCs w:val="20"/>
                          </w:rPr>
                        </w:pPr>
                        <w:r>
                          <w:rPr>
                            <w:rFonts w:ascii="Times New Roman"/>
                            <w:sz w:val="20"/>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351"/>
                          <w:jc w:val="right"/>
                          <w:rPr>
                            <w:rFonts w:ascii="Times New Roman" w:hAnsi="Times New Roman" w:cs="Times New Roman" w:eastAsia="Times New Roman" w:hint="default"/>
                            <w:sz w:val="20"/>
                            <w:szCs w:val="20"/>
                          </w:rPr>
                        </w:pPr>
                        <w:r>
                          <w:rPr>
                            <w:rFonts w:ascii="Times New Roman"/>
                            <w:sz w:val="20"/>
                          </w:rPr>
                          <w:t>--</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w:t>
                        </w:r>
                      </w:p>
                    </w:tc>
                    <w:tc>
                      <w:tcPr>
                        <w:tcW w:w="7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14,243.67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14,243.67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14,279.19</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1,832.67</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37,178.97</w:t>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140,985.85</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12,432.02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7" w:type="dxa"/>
                        <w:gridSpan w:val="10"/>
                        <w:vMerge w:val="restart"/>
                        <w:tcBorders>
                          <w:top w:val="single" w:sz="4" w:space="0" w:color="000000"/>
                          <w:left w:val="single" w:sz="9" w:space="0" w:color="D2D2D2"/>
                          <w:right w:val="single" w:sz="4" w:space="0" w:color="000000"/>
                        </w:tcBorders>
                      </w:tcPr>
                      <w:p>
                        <w:pPr>
                          <w:pStyle w:val="TableParagraph"/>
                          <w:spacing w:line="307" w:lineRule="auto" w:before="51"/>
                          <w:ind w:left="16" w:right="63"/>
                          <w:jc w:val="left"/>
                          <w:rPr>
                            <w:rFonts w:ascii="宋体" w:hAnsi="宋体" w:cs="宋体" w:eastAsia="宋体" w:hint="default"/>
                            <w:sz w:val="18"/>
                            <w:szCs w:val="18"/>
                          </w:rPr>
                        </w:pPr>
                        <w:r>
                          <w:rPr>
                            <w:rFonts w:ascii="宋体" w:hAnsi="宋体" w:cs="宋体" w:eastAsia="宋体" w:hint="default"/>
                            <w:sz w:val="18"/>
                            <w:szCs w:val="18"/>
                          </w:rPr>
                          <w:t>截至报告期首次公开发行募集资金的四个承诺募投项目及一个超募项目累计实现效益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29,195.24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万元，整体完 成计划的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137.61%</w:t>
                        </w:r>
                        <w:r>
                          <w:rPr>
                            <w:rFonts w:ascii="宋体" w:hAnsi="宋体" w:cs="宋体" w:eastAsia="宋体" w:hint="default"/>
                            <w:sz w:val="18"/>
                            <w:szCs w:val="18"/>
                          </w:rPr>
                          <w:t>，基本达到预计收益，未达预计收益的情况如下：服务器安全综合监测平台项目、</w:t>
                        </w:r>
                        <w:r>
                          <w:rPr>
                            <w:rFonts w:ascii="Times New Roman" w:hAnsi="Times New Roman" w:cs="Times New Roman" w:eastAsia="Times New Roman" w:hint="default"/>
                            <w:sz w:val="18"/>
                            <w:szCs w:val="18"/>
                          </w:rPr>
                          <w:t>NxSOC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新一代安全综合运维管理平台项目因以前年度市场反应相对滞后，导致截至报告期末累计实现效益略低于预 期。</w:t>
                        </w:r>
                      </w:p>
                    </w:tc>
                  </w:tr>
                  <w:tr>
                    <w:trPr>
                      <w:trHeight w:val="1016" w:hRule="exact"/>
                    </w:trPr>
                    <w:tc>
                      <w:tcPr>
                        <w:tcW w:w="19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未达到计划进度或预计 </w:t>
                        </w:r>
                        <w:r>
                          <w:rPr>
                            <w:rFonts w:ascii="宋体" w:hAnsi="宋体" w:cs="宋体" w:eastAsia="宋体" w:hint="default"/>
                            <w:spacing w:val="-5"/>
                            <w:sz w:val="18"/>
                            <w:szCs w:val="18"/>
                          </w:rPr>
                          <w:t>收益的情况和原因（分具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体项目）</w:t>
                        </w:r>
                      </w:p>
                    </w:tc>
                    <w:tc>
                      <w:tcPr>
                        <w:tcW w:w="8647" w:type="dxa"/>
                        <w:gridSpan w:val="10"/>
                        <w:vMerge/>
                        <w:tcBorders>
                          <w:left w:val="single" w:sz="9" w:space="0" w:color="D2D2D2"/>
                          <w:right w:val="single" w:sz="4" w:space="0" w:color="000000"/>
                        </w:tcBorders>
                      </w:tcPr>
                      <w:p>
                        <w:pPr/>
                      </w:p>
                    </w:tc>
                  </w:tr>
                  <w:tr>
                    <w:trPr>
                      <w:trHeight w:val="161" w:hRule="exact"/>
                    </w:trPr>
                    <w:tc>
                      <w:tcPr>
                        <w:tcW w:w="19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7" w:type="dxa"/>
                        <w:gridSpan w:val="10"/>
                        <w:vMerge/>
                        <w:tcBorders>
                          <w:left w:val="single" w:sz="9" w:space="0" w:color="D2D2D2"/>
                          <w:bottom w:val="single" w:sz="4" w:space="0" w:color="000000"/>
                          <w:right w:val="single" w:sz="4" w:space="0" w:color="000000"/>
                        </w:tcBorders>
                      </w:tcPr>
                      <w:p>
                        <w:pP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0"/>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8647"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986" w:type="dxa"/>
                        <w:vMerge w:val="restart"/>
                        <w:tcBorders>
                          <w:top w:val="single" w:sz="4" w:space="0" w:color="000000"/>
                          <w:left w:val="single" w:sz="4" w:space="0" w:color="000000"/>
                          <w:right w:val="single" w:sz="4" w:space="0" w:color="000000"/>
                        </w:tcBorders>
                        <w:shd w:val="clear" w:color="auto" w:fill="D2D2D2"/>
                      </w:tcPr>
                      <w:p>
                        <w:pPr/>
                      </w:p>
                    </w:tc>
                    <w:tc>
                      <w:tcPr>
                        <w:tcW w:w="864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4" w:hRule="exact"/>
                    </w:trPr>
                    <w:tc>
                      <w:tcPr>
                        <w:tcW w:w="1986" w:type="dxa"/>
                        <w:vMerge/>
                        <w:tcBorders>
                          <w:left w:val="single" w:sz="4" w:space="0" w:color="000000"/>
                          <w:bottom w:val="nil" w:sz="6" w:space="0" w:color="auto"/>
                          <w:right w:val="single" w:sz="4" w:space="0" w:color="000000"/>
                        </w:tcBorders>
                        <w:shd w:val="clear" w:color="auto" w:fill="D2D2D2"/>
                      </w:tcPr>
                      <w:p>
                        <w:pPr/>
                      </w:p>
                    </w:tc>
                    <w:tc>
                      <w:tcPr>
                        <w:tcW w:w="8647"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日公司第一届董事会第十八次会议审议通过了《关于使用部分超募资金永久性补充流动资</w:t>
                        </w:r>
                      </w:p>
                      <w:p>
                        <w:pPr>
                          <w:pStyle w:val="TableParagraph"/>
                          <w:spacing w:line="309" w:lineRule="auto" w:before="61"/>
                          <w:ind w:left="16" w:right="22"/>
                          <w:jc w:val="left"/>
                          <w:rPr>
                            <w:rFonts w:ascii="宋体" w:hAnsi="宋体" w:cs="宋体" w:eastAsia="宋体" w:hint="default"/>
                            <w:sz w:val="18"/>
                            <w:szCs w:val="18"/>
                          </w:rPr>
                        </w:pPr>
                        <w:r>
                          <w:rPr>
                            <w:rFonts w:ascii="宋体" w:hAnsi="宋体" w:cs="宋体" w:eastAsia="宋体" w:hint="default"/>
                            <w:spacing w:val="-7"/>
                            <w:sz w:val="18"/>
                            <w:szCs w:val="18"/>
                          </w:rPr>
                          <w:t>金的议案》。公司使用超募资金人民币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万元用于永久性补充流动资金。</w:t>
                        </w:r>
                        <w:r>
                          <w:rPr>
                            <w:rFonts w:ascii="宋体" w:hAnsi="宋体" w:cs="宋体" w:eastAsia="宋体" w:hint="default"/>
                            <w:spacing w:val="-29"/>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年年度股东大会审议通过了《关于使用部分超募资金对子公司广东蓝盾信息安全技术有限公司进行增资的议 </w:t>
                        </w:r>
                        <w:r>
                          <w:rPr>
                            <w:rFonts w:ascii="宋体" w:hAnsi="宋体" w:cs="宋体" w:eastAsia="宋体" w:hint="default"/>
                            <w:spacing w:val="-3"/>
                            <w:sz w:val="18"/>
                            <w:szCs w:val="18"/>
                          </w:rPr>
                          <w:t>案》，公司拟使用部分超募资金对子公司广东蓝盾信息安全技术有限公司进行增资，本次增资</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3,500.00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p>
                        <w:pPr>
                          <w:pStyle w:val="TableParagraph"/>
                          <w:spacing w:line="240" w:lineRule="auto" w:before="5"/>
                          <w:ind w:left="16" w:right="-39"/>
                          <w:jc w:val="left"/>
                          <w:rPr>
                            <w:rFonts w:ascii="宋体" w:hAnsi="宋体" w:cs="宋体" w:eastAsia="宋体" w:hint="default"/>
                            <w:sz w:val="18"/>
                            <w:szCs w:val="18"/>
                          </w:rPr>
                        </w:pPr>
                        <w:r>
                          <w:rPr>
                            <w:rFonts w:ascii="宋体" w:hAnsi="宋体" w:cs="宋体" w:eastAsia="宋体" w:hint="default"/>
                            <w:sz w:val="18"/>
                            <w:szCs w:val="18"/>
                          </w:rPr>
                          <w:t>增资完成后公司出资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 </w:t>
                        </w:r>
                        <w:r>
                          <w:rPr>
                            <w:rFonts w:ascii="宋体" w:hAnsi="宋体" w:cs="宋体" w:eastAsia="宋体" w:hint="default"/>
                            <w:sz w:val="18"/>
                            <w:szCs w:val="18"/>
                          </w:rPr>
                          <w:t>万元，占注册资本比例为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日办妥工商变更手续。</w:t>
                        </w:r>
                      </w:p>
                      <w:p>
                        <w:pPr>
                          <w:pStyle w:val="TableParagraph"/>
                          <w:spacing w:line="309" w:lineRule="auto" w:before="63"/>
                          <w:ind w:left="16" w:right="23"/>
                          <w:jc w:val="both"/>
                          <w:rPr>
                            <w:rFonts w:ascii="宋体" w:hAnsi="宋体" w:cs="宋体" w:eastAsia="宋体" w:hint="default"/>
                            <w:sz w:val="18"/>
                            <w:szCs w:val="18"/>
                          </w:rPr>
                        </w:pPr>
                        <w:r>
                          <w:rPr>
                            <w:rFonts w:ascii="宋体" w:hAnsi="宋体" w:cs="宋体" w:eastAsia="宋体" w:hint="default"/>
                            <w:sz w:val="18"/>
                            <w:szCs w:val="18"/>
                          </w:rPr>
                          <w:t>本次增资用途为：建设互联网舆情分析平台项目。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 </w:t>
                        </w:r>
                        <w:r>
                          <w:rPr>
                            <w:rFonts w:ascii="宋体" w:hAnsi="宋体" w:cs="宋体" w:eastAsia="宋体" w:hint="default"/>
                            <w:spacing w:val="-2"/>
                            <w:sz w:val="18"/>
                            <w:szCs w:val="18"/>
                          </w:rPr>
                          <w:t>了《关于使用部分超募资金建设蓝盾股份信息安全产业基地的议案》及相关的可行性研究报告，公司拟使用超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79,436,663.50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元建设蓝盾股份信息安全产业基地。公司独立董事、保荐机构和监事会分别对此事项发</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表了同意意见。</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日公司第二届董事会第九次（临时）会议审议通过了《关于对蓝盾股份信</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息安全产业基地追加投资的议案</w:t>
                        </w:r>
                        <w:r>
                          <w:rPr>
                            <w:rFonts w:ascii="宋体" w:hAnsi="宋体" w:cs="宋体" w:eastAsia="宋体" w:hint="default"/>
                            <w:spacing w:val="-90"/>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使用自有资金追加投资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0"/>
                            <w:sz w:val="18"/>
                            <w:szCs w:val="18"/>
                          </w:rPr>
                          <w:t>，</w:t>
                        </w:r>
                        <w:r>
                          <w:rPr>
                            <w:rFonts w:ascii="宋体" w:hAnsi="宋体" w:cs="宋体" w:eastAsia="宋体" w:hint="default"/>
                            <w:sz w:val="18"/>
                            <w:szCs w:val="18"/>
                          </w:rPr>
                          <w:t>追加后的总投资额为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17,698.77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21"/>
                            <w:sz w:val="18"/>
                            <w:szCs w:val="18"/>
                          </w:rPr>
                          <w:t>，</w:t>
                        </w:r>
                        <w:r>
                          <w:rPr>
                            <w:rFonts w:ascii="宋体" w:hAnsi="宋体" w:cs="宋体" w:eastAsia="宋体" w:hint="default"/>
                            <w:sz w:val="18"/>
                            <w:szCs w:val="18"/>
                          </w:rPr>
                          <w:t>公司取得了广州市规划局颁发</w:t>
                        </w:r>
                        <w:r>
                          <w:rPr>
                            <w:rFonts w:ascii="宋体" w:hAnsi="宋体" w:cs="宋体" w:eastAsia="宋体" w:hint="default"/>
                            <w:spacing w:val="-22"/>
                            <w:sz w:val="18"/>
                            <w:szCs w:val="18"/>
                          </w:rPr>
                          <w:t>的</w:t>
                        </w:r>
                        <w:r>
                          <w:rPr>
                            <w:rFonts w:ascii="宋体" w:hAnsi="宋体" w:cs="宋体" w:eastAsia="宋体" w:hint="default"/>
                            <w:sz w:val="18"/>
                            <w:szCs w:val="18"/>
                          </w:rPr>
                          <w:t>《建设工程规划验收合格证</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22"/>
                            <w:sz w:val="18"/>
                            <w:szCs w:val="18"/>
                          </w:rPr>
                          <w:t>、</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日 召开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年第五次临时股东大会</w:t>
                        </w:r>
                        <w:r>
                          <w:rPr>
                            <w:rFonts w:ascii="宋体" w:hAnsi="宋体" w:cs="宋体" w:eastAsia="宋体" w:hint="default"/>
                            <w:spacing w:val="-2"/>
                            <w:sz w:val="18"/>
                            <w:szCs w:val="18"/>
                          </w:rPr>
                          <w:t>，</w:t>
                        </w:r>
                        <w:r>
                          <w:rPr>
                            <w:rFonts w:ascii="宋体" w:hAnsi="宋体" w:cs="宋体" w:eastAsia="宋体" w:hint="default"/>
                            <w:sz w:val="18"/>
                            <w:szCs w:val="18"/>
                          </w:rPr>
                          <w:t>审议通过</w:t>
                        </w:r>
                        <w:r>
                          <w:rPr>
                            <w:rFonts w:ascii="宋体" w:hAnsi="宋体" w:cs="宋体" w:eastAsia="宋体" w:hint="default"/>
                            <w:spacing w:val="-2"/>
                            <w:sz w:val="18"/>
                            <w:szCs w:val="18"/>
                          </w:rPr>
                          <w:t>了</w:t>
                        </w:r>
                        <w:r>
                          <w:rPr>
                            <w:rFonts w:ascii="宋体" w:hAnsi="宋体" w:cs="宋体" w:eastAsia="宋体" w:hint="default"/>
                            <w:sz w:val="18"/>
                            <w:szCs w:val="18"/>
                          </w:rPr>
                          <w:t>《关于使用剩余超募资金永久补充流动资金的议案</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公司</w:t>
                        </w:r>
                      </w:p>
                    </w:tc>
                  </w:tr>
                  <w:tr>
                    <w:trPr>
                      <w:trHeight w:val="703" w:hRule="exact"/>
                    </w:trPr>
                    <w:tc>
                      <w:tcPr>
                        <w:tcW w:w="19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超募资金的金额、用途及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使用进展情况</w:t>
                        </w:r>
                      </w:p>
                    </w:tc>
                    <w:tc>
                      <w:tcPr>
                        <w:tcW w:w="8647" w:type="dxa"/>
                        <w:gridSpan w:val="10"/>
                        <w:vMerge/>
                        <w:tcBorders>
                          <w:left w:val="single" w:sz="9" w:space="0" w:color="D2D2D2"/>
                          <w:right w:val="single" w:sz="4" w:space="0" w:color="000000"/>
                        </w:tcBorders>
                      </w:tcPr>
                      <w:p>
                        <w:pPr/>
                      </w:p>
                    </w:tc>
                  </w:tr>
                  <w:tr>
                    <w:trPr>
                      <w:trHeight w:val="1748" w:hRule="exact"/>
                    </w:trPr>
                    <w:tc>
                      <w:tcPr>
                        <w:tcW w:w="19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7"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44"/>
        <w:ind w:left="0" w:right="3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42.27pt;margin-top:71.999985pt;width:532.4pt;height:682.0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8648"/>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已将剩余超募资金及专户利息收入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1,378.42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985" w:type="dxa"/>
                        <w:vMerge/>
                        <w:tcBorders>
                          <w:left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年第六次临时股东大会审议通过</w:t>
                        </w:r>
                        <w:r>
                          <w:rPr>
                            <w:rFonts w:ascii="宋体" w:hAnsi="宋体" w:cs="宋体" w:eastAsia="宋体" w:hint="default"/>
                            <w:spacing w:val="-24"/>
                            <w:sz w:val="18"/>
                            <w:szCs w:val="18"/>
                          </w:rPr>
                          <w:t>了</w:t>
                        </w:r>
                        <w:r>
                          <w:rPr>
                            <w:rFonts w:ascii="宋体" w:hAnsi="宋体" w:cs="宋体" w:eastAsia="宋体" w:hint="default"/>
                            <w:sz w:val="18"/>
                            <w:szCs w:val="18"/>
                          </w:rPr>
                          <w:t>《关于变更部分募集资金投资项目及其实施主体的议案</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同</w:t>
                        </w:r>
                      </w:p>
                      <w:p>
                        <w:pPr>
                          <w:pStyle w:val="TableParagraph"/>
                          <w:spacing w:line="300" w:lineRule="auto" w:before="61"/>
                          <w:ind w:left="23" w:right="20"/>
                          <w:jc w:val="both"/>
                          <w:rPr>
                            <w:rFonts w:ascii="宋体" w:hAnsi="宋体" w:cs="宋体" w:eastAsia="宋体" w:hint="default"/>
                            <w:sz w:val="18"/>
                            <w:szCs w:val="18"/>
                          </w:rPr>
                        </w:pPr>
                        <w:r>
                          <w:rPr>
                            <w:rFonts w:ascii="宋体" w:hAnsi="宋体" w:cs="宋体" w:eastAsia="宋体" w:hint="default"/>
                            <w:sz w:val="18"/>
                            <w:szCs w:val="18"/>
                          </w:rPr>
                          <w:t>意公司将原计划用于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上市公司区域运营中心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万元变更用途于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蓝盾信息西南总部及研 </w:t>
                        </w:r>
                        <w:r>
                          <w:rPr>
                            <w:rFonts w:ascii="宋体" w:hAnsi="宋体" w:cs="宋体" w:eastAsia="宋体" w:hint="default"/>
                            <w:spacing w:val="-1"/>
                            <w:sz w:val="18"/>
                            <w:szCs w:val="18"/>
                          </w:rPr>
                          <w:t>发基地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项目，该项目其余资金由公司自筹解决。鉴于项目变更后的实施地点及经营主体情况，</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蓝盾信息西南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总部及研发基地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项目的实施主体变更为公司的全资子公司成都蓝盾网信科技有限公司，项目的实施地点相应 变更。</w:t>
                        </w: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23" w:right="150"/>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985" w:type="dxa"/>
                        <w:vMerge/>
                        <w:tcBorders>
                          <w:left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1985" w:type="dxa"/>
                        <w:vMerge/>
                        <w:tcBorders>
                          <w:left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年第六次临时股东大会审议通过</w:t>
                        </w:r>
                        <w:r>
                          <w:rPr>
                            <w:rFonts w:ascii="宋体" w:hAnsi="宋体" w:cs="宋体" w:eastAsia="宋体" w:hint="default"/>
                            <w:spacing w:val="-24"/>
                            <w:sz w:val="18"/>
                            <w:szCs w:val="18"/>
                          </w:rPr>
                          <w:t>了</w:t>
                        </w:r>
                        <w:r>
                          <w:rPr>
                            <w:rFonts w:ascii="宋体" w:hAnsi="宋体" w:cs="宋体" w:eastAsia="宋体" w:hint="default"/>
                            <w:sz w:val="18"/>
                            <w:szCs w:val="18"/>
                          </w:rPr>
                          <w:t>《关于变更部分募集资金投资项目及其实施主体的议案</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同</w:t>
                        </w:r>
                      </w:p>
                      <w:p>
                        <w:pPr>
                          <w:pStyle w:val="TableParagraph"/>
                          <w:spacing w:line="302" w:lineRule="auto" w:before="61"/>
                          <w:ind w:left="23" w:right="110"/>
                          <w:jc w:val="left"/>
                          <w:rPr>
                            <w:rFonts w:ascii="宋体" w:hAnsi="宋体" w:cs="宋体" w:eastAsia="宋体" w:hint="default"/>
                            <w:sz w:val="18"/>
                            <w:szCs w:val="18"/>
                          </w:rPr>
                        </w:pPr>
                        <w:r>
                          <w:rPr>
                            <w:rFonts w:ascii="宋体" w:hAnsi="宋体" w:cs="宋体" w:eastAsia="宋体" w:hint="default"/>
                            <w:sz w:val="18"/>
                            <w:szCs w:val="18"/>
                          </w:rPr>
                          <w:t>意公司将原计划用于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上市公司区域运营中心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项目的募集资金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万元变更用途于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蓝盾信息西南总部及 </w:t>
                        </w:r>
                        <w:r>
                          <w:rPr>
                            <w:rFonts w:ascii="宋体" w:hAnsi="宋体" w:cs="宋体" w:eastAsia="宋体" w:hint="default"/>
                            <w:spacing w:val="-1"/>
                            <w:sz w:val="18"/>
                            <w:szCs w:val="18"/>
                          </w:rPr>
                          <w:t>研发基地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项目，该项目其余资金由公司自筹解决，实施主体为公司的全资子公司成都蓝盾网信科技有限公司</w:t>
                        </w:r>
                      </w:p>
                    </w:tc>
                  </w:tr>
                  <w:tr>
                    <w:trPr>
                      <w:trHeight w:val="402" w:hRule="exact"/>
                    </w:trPr>
                    <w:tc>
                      <w:tcPr>
                        <w:tcW w:w="1985" w:type="dxa"/>
                        <w:vMerge/>
                        <w:tcBorders>
                          <w:left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4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1"/>
                          <w:ind w:left="23" w:right="63"/>
                          <w:jc w:val="both"/>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年第一次临时股东大会审议通过了《关于变更募集资金用途暨使用募集资金向全资子公司增资 </w:t>
                        </w:r>
                        <w:r>
                          <w:rPr>
                            <w:rFonts w:ascii="宋体" w:hAnsi="宋体" w:cs="宋体" w:eastAsia="宋体" w:hint="default"/>
                            <w:spacing w:val="-2"/>
                            <w:sz w:val="18"/>
                            <w:szCs w:val="18"/>
                          </w:rPr>
                          <w:t>的议案》，同意公司根据募集资金使用计划及实际经营需要，使用募集资金向全资子公司蓝盾技术增资人民币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万元，用于补充蓝盾技术流动资金。</w:t>
                        </w: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46"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日公司第一届董事会第十七次会议审议通过了《关于使用募集资金置换预先投入募集资金</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投资项目的自筹资金的议案</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司以自筹资金预先投入募集资金投资项目的实际投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14,531,626.55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元，公司以募集资金置换预先投入募集资金投资项目的自筹资金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14,531,626.55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w:t>
                        </w:r>
                      </w:p>
                      <w:p>
                        <w:pPr>
                          <w:pStyle w:val="TableParagraph"/>
                          <w:spacing w:line="309"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投入及置换情况已经北京永拓会计师事务所有限责任公司审核，并由其出具京永专字〔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31059</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号《关</w:t>
                        </w:r>
                        <w:r>
                          <w:rPr>
                            <w:rFonts w:ascii="宋体" w:hAnsi="宋体" w:cs="宋体" w:eastAsia="宋体" w:hint="default"/>
                            <w:sz w:val="18"/>
                            <w:szCs w:val="18"/>
                          </w:rPr>
                          <w:t> </w:t>
                        </w:r>
                        <w:r>
                          <w:rPr>
                            <w:rFonts w:ascii="宋体" w:hAnsi="宋体" w:cs="宋体" w:eastAsia="宋体" w:hint="default"/>
                            <w:spacing w:val="-2"/>
                            <w:sz w:val="18"/>
                            <w:szCs w:val="18"/>
                          </w:rPr>
                          <w:t>于蓝盾信息安全技术股份有限公司以募集资金置换预先已投入募集资金项目的自筹资金的鉴证报告》。截至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日，公司置换了上述预先投入募投项目的自筹资金。</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日公司第三届董事会第 </w:t>
                        </w:r>
                        <w:r>
                          <w:rPr>
                            <w:rFonts w:ascii="宋体" w:hAnsi="宋体" w:cs="宋体" w:eastAsia="宋体" w:hint="default"/>
                            <w:spacing w:val="-2"/>
                            <w:sz w:val="18"/>
                            <w:szCs w:val="18"/>
                          </w:rPr>
                          <w:t>二十二次（临时）会议审议通过了《关于使用募集资金置换预先已投入部分募投项目自筹资金的议案》。截至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日，公司以自筹资金预先投入募集资金投资项目的实际投资额为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1,715.72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万元，公司以非公开</w:t>
                        </w:r>
                      </w:p>
                      <w:p>
                        <w:pPr>
                          <w:pStyle w:val="TableParagraph"/>
                          <w:spacing w:line="307" w:lineRule="auto" w:before="5"/>
                          <w:ind w:left="23" w:right="21"/>
                          <w:jc w:val="both"/>
                          <w:rPr>
                            <w:rFonts w:ascii="宋体" w:hAnsi="宋体" w:cs="宋体" w:eastAsia="宋体" w:hint="default"/>
                            <w:sz w:val="18"/>
                            <w:szCs w:val="18"/>
                          </w:rPr>
                        </w:pPr>
                        <w:r>
                          <w:rPr>
                            <w:rFonts w:ascii="宋体" w:hAnsi="宋体" w:cs="宋体" w:eastAsia="宋体" w:hint="default"/>
                            <w:sz w:val="18"/>
                            <w:szCs w:val="18"/>
                          </w:rPr>
                          <w:t>发行股票募集的部分配套资金置换预先投入募集资金投资项目的自筹资金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1,022.45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万元，上述投入及置换情况</w:t>
                        </w:r>
                        <w:r>
                          <w:rPr>
                            <w:rFonts w:ascii="宋体" w:hAnsi="宋体" w:cs="宋体" w:eastAsia="宋体" w:hint="default"/>
                            <w:sz w:val="18"/>
                            <w:szCs w:val="18"/>
                          </w:rPr>
                          <w:t> 已经大华会计师事务所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审核，并由其出具大华核字</w:t>
                        </w:r>
                        <w:r>
                          <w:rPr>
                            <w:rFonts w:ascii="Times New Roman" w:hAnsi="Times New Roman" w:cs="Times New Roman" w:eastAsia="Times New Roman" w:hint="default"/>
                            <w:sz w:val="18"/>
                            <w:szCs w:val="18"/>
                          </w:rPr>
                          <w:t>[2016]004051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号《蓝盾信息安全技术股份有 </w:t>
                        </w:r>
                        <w:r>
                          <w:rPr>
                            <w:rFonts w:ascii="宋体" w:hAnsi="宋体" w:cs="宋体" w:eastAsia="宋体" w:hint="default"/>
                            <w:spacing w:val="-2"/>
                            <w:sz w:val="18"/>
                            <w:szCs w:val="18"/>
                          </w:rPr>
                          <w:t>限公司以自筹资金预先投入募集资金投资项目的鉴证报告》。公司以非公开发行股票募集的部分配套资金在对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应项目使用计划的额度范围内置换预先投入募集资金投资项目的自筹资金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1,022.45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万元，其中，上市公司信息</w:t>
                        </w:r>
                      </w:p>
                      <w:p>
                        <w:pPr>
                          <w:pStyle w:val="TableParagraph"/>
                          <w:spacing w:line="240" w:lineRule="auto" w:before="8"/>
                          <w:ind w:left="23" w:right="-25"/>
                          <w:jc w:val="left"/>
                          <w:rPr>
                            <w:rFonts w:ascii="宋体" w:hAnsi="宋体" w:cs="宋体" w:eastAsia="宋体" w:hint="default"/>
                            <w:sz w:val="18"/>
                            <w:szCs w:val="18"/>
                          </w:rPr>
                        </w:pPr>
                        <w:r>
                          <w:rPr>
                            <w:rFonts w:ascii="宋体" w:hAnsi="宋体" w:cs="宋体" w:eastAsia="宋体" w:hint="default"/>
                            <w:sz w:val="18"/>
                            <w:szCs w:val="18"/>
                          </w:rPr>
                          <w:t>安全产业园项目，置换金额为 </w:t>
                        </w:r>
                        <w:r>
                          <w:rPr>
                            <w:rFonts w:ascii="Times New Roman" w:hAnsi="Times New Roman" w:cs="Times New Roman" w:eastAsia="Times New Roman" w:hint="default"/>
                            <w:sz w:val="18"/>
                            <w:szCs w:val="18"/>
                          </w:rPr>
                          <w:t>961.30  </w:t>
                        </w:r>
                        <w:r>
                          <w:rPr>
                            <w:rFonts w:ascii="宋体" w:hAnsi="宋体" w:cs="宋体" w:eastAsia="宋体" w:hint="default"/>
                            <w:sz w:val="18"/>
                            <w:szCs w:val="18"/>
                          </w:rPr>
                          <w:t>万元；用于支付本次交易的中介机构费用，置换的金额为 </w:t>
                        </w:r>
                        <w:r>
                          <w:rPr>
                            <w:rFonts w:ascii="Times New Roman" w:hAnsi="Times New Roman" w:cs="Times New Roman" w:eastAsia="Times New Roman" w:hint="default"/>
                            <w:sz w:val="18"/>
                            <w:szCs w:val="18"/>
                          </w:rPr>
                          <w:t>61.15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w:t>
                        </w: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年第二次临时股东大会审议通过了《关于使用部分闲置募集资金暂时性补充流动资金及归还银</w:t>
                        </w:r>
                      </w:p>
                      <w:p>
                        <w:pPr>
                          <w:pStyle w:val="TableParagraph"/>
                          <w:spacing w:line="300" w:lineRule="auto" w:before="61"/>
                          <w:ind w:left="23" w:right="108"/>
                          <w:jc w:val="both"/>
                          <w:rPr>
                            <w:rFonts w:ascii="宋体" w:hAnsi="宋体" w:cs="宋体" w:eastAsia="宋体" w:hint="default"/>
                            <w:sz w:val="18"/>
                            <w:szCs w:val="18"/>
                          </w:rPr>
                        </w:pPr>
                        <w:r>
                          <w:rPr>
                            <w:rFonts w:ascii="宋体" w:hAnsi="宋体" w:cs="宋体" w:eastAsia="宋体" w:hint="default"/>
                            <w:spacing w:val="-5"/>
                            <w:sz w:val="18"/>
                            <w:szCs w:val="18"/>
                          </w:rPr>
                          <w:t>行贷款的议案》，同意公司使用募集资金中的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万元闲置募集资金暂时性补充流动资金及归还银行贷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款，其中 </w:t>
                        </w:r>
                        <w:r>
                          <w:rPr>
                            <w:rFonts w:ascii="Times New Roman" w:hAnsi="Times New Roman" w:cs="Times New Roman" w:eastAsia="Times New Roman" w:hint="default"/>
                            <w:sz w:val="18"/>
                            <w:szCs w:val="18"/>
                          </w:rPr>
                          <w:t>2,626.00 </w:t>
                        </w:r>
                        <w:r>
                          <w:rPr>
                            <w:rFonts w:ascii="宋体" w:hAnsi="宋体" w:cs="宋体" w:eastAsia="宋体" w:hint="default"/>
                            <w:sz w:val="18"/>
                            <w:szCs w:val="18"/>
                          </w:rPr>
                          <w:t>万元用于补充流动资金，</w:t>
                        </w:r>
                        <w:r>
                          <w:rPr>
                            <w:rFonts w:ascii="Times New Roman" w:hAnsi="Times New Roman" w:cs="Times New Roman" w:eastAsia="Times New Roman" w:hint="default"/>
                            <w:sz w:val="18"/>
                            <w:szCs w:val="18"/>
                          </w:rPr>
                          <w:t>7,374.00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万元用于归还银行贷款，使用期限不超过股东大会批准 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个月，到期将归还至募集资金专户。公司独立董事、保荐机构和监事会分别对此事项发表了同意意见</w:t>
                        </w:r>
                      </w:p>
                      <w:p>
                        <w:pPr>
                          <w:pStyle w:val="TableParagraph"/>
                          <w:spacing w:line="240" w:lineRule="auto" w:before="1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该事项详见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日证监会指定创业板信息披露网站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。本次使用闲置募集资金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万元暂</w:t>
                        </w:r>
                      </w:p>
                      <w:p>
                        <w:pPr>
                          <w:pStyle w:val="TableParagraph"/>
                          <w:spacing w:line="309"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时性补充流动资金及归还银行贷款的到期日为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 </w:t>
                        </w:r>
                        <w:r>
                          <w:rPr>
                            <w:rFonts w:ascii="宋体" w:hAnsi="宋体" w:cs="宋体" w:eastAsia="宋体" w:hint="default"/>
                            <w:spacing w:val="-1"/>
                            <w:sz w:val="18"/>
                            <w:szCs w:val="18"/>
                          </w:rPr>
                          <w:t>元人民币归还至公司募集资金专用账户，并及时通知了公司保荐机构广发证券股份有限公司及保荐代表人。至</w:t>
                        </w:r>
                        <w:r>
                          <w:rPr>
                            <w:rFonts w:ascii="宋体" w:hAnsi="宋体" w:cs="宋体" w:eastAsia="宋体" w:hint="default"/>
                            <w:sz w:val="18"/>
                            <w:szCs w:val="18"/>
                          </w:rPr>
                          <w:t> 此，本次用于补充流动资金及归还银行贷款的闲置募集资金已归还完毕。</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3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44"/>
        <w:ind w:left="0" w:right="3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845" w:type="dxa"/>
        <w:tblLayout w:type="fixed"/>
        <w:tblCellMar>
          <w:top w:w="0" w:type="dxa"/>
          <w:left w:w="0" w:type="dxa"/>
          <w:bottom w:w="0" w:type="dxa"/>
          <w:right w:w="0" w:type="dxa"/>
        </w:tblCellMar>
        <w:tblLook w:val="01E0"/>
      </w:tblPr>
      <w:tblGrid>
        <w:gridCol w:w="1985"/>
        <w:gridCol w:w="8648"/>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0"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、首次公开发行募集资金：公司在项目实施进程中公司较好地利用了前期积累的研发资源，对募投项目的研 发和实施环节进行了优化，使得实际投入较计划有一定幅度的减少，从而降低了项目总支出。公司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309" w:lineRule="auto" w:before="13"/>
              <w:ind w:left="23" w:right="2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日召开的第二届董事会第十六次（临时）会议和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w:t>
            </w:r>
            <w:r>
              <w:rPr>
                <w:rFonts w:ascii="宋体" w:hAnsi="宋体" w:cs="宋体" w:eastAsia="宋体" w:hint="default"/>
                <w:spacing w:val="-2"/>
                <w:sz w:val="18"/>
                <w:szCs w:val="18"/>
              </w:rPr>
              <w:t>审议通过了《关于使用募投项目节余资金永久补充流动资金的议案》，截至报告期末，公司已将五个募集资金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投资项目的节余资金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8,655.14</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万元永久补充流动资金。</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、发行股份募集配套资金（广州华炜项目）：公司收购</w:t>
            </w:r>
          </w:p>
          <w:p>
            <w:pPr>
              <w:pStyle w:val="TableParagraph"/>
              <w:spacing w:line="240" w:lineRule="auto" w:before="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华炜科技</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股权事项中实际支付的中介费用低于原预算，因此该次配套募集资金有所节余。公司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日召开第三届董事会第二十一次会议审议通过了《关于使用节余配套募集资金永久性补充流动资金的议</w:t>
            </w:r>
          </w:p>
          <w:p>
            <w:pPr>
              <w:pStyle w:val="TableParagraph"/>
              <w:spacing w:line="309" w:lineRule="auto" w:before="63"/>
              <w:ind w:left="23" w:right="62"/>
              <w:jc w:val="both"/>
              <w:rPr>
                <w:rFonts w:ascii="宋体" w:hAnsi="宋体" w:cs="宋体" w:eastAsia="宋体" w:hint="default"/>
                <w:sz w:val="18"/>
                <w:szCs w:val="18"/>
              </w:rPr>
            </w:pPr>
            <w:r>
              <w:rPr>
                <w:rFonts w:ascii="宋体" w:hAnsi="宋体" w:cs="宋体" w:eastAsia="宋体" w:hint="default"/>
                <w:spacing w:val="-5"/>
                <w:sz w:val="18"/>
                <w:szCs w:val="18"/>
              </w:rPr>
              <w:t>案》，公司已将该次配套募集资金的节余资金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423.82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r>
              <w:rPr>
                <w:rFonts w:ascii="Times New Roman" w:hAnsi="Times New Roman" w:cs="Times New Roman" w:eastAsia="Times New Roman" w:hint="default"/>
                <w:sz w:val="18"/>
                <w:szCs w:val="18"/>
              </w:rPr>
              <w:t>3</w:t>
            </w:r>
            <w:r>
              <w:rPr>
                <w:rFonts w:ascii="宋体" w:hAnsi="宋体" w:cs="宋体" w:eastAsia="宋体" w:hint="default"/>
                <w:sz w:val="18"/>
                <w:szCs w:val="18"/>
              </w:rPr>
              <w:t>、发行股份募集配套资金（中</w:t>
            </w:r>
            <w:r>
              <w:rPr>
                <w:rFonts w:ascii="宋体" w:hAnsi="宋体" w:cs="宋体" w:eastAsia="宋体" w:hint="default"/>
                <w:spacing w:val="-86"/>
                <w:sz w:val="18"/>
                <w:szCs w:val="18"/>
              </w:rPr>
              <w:t> </w:t>
            </w:r>
            <w:r>
              <w:rPr>
                <w:rFonts w:ascii="宋体" w:hAnsi="宋体" w:cs="宋体" w:eastAsia="宋体" w:hint="default"/>
                <w:spacing w:val="-2"/>
                <w:sz w:val="18"/>
                <w:szCs w:val="18"/>
              </w:rPr>
              <w:t>经项目）：因部分募投项目的募集资金已使用完毕，截至报告期末，公司已将该等募集资金账户的结余利息合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915,685.63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元转至公司或相关子公司的基本户，用于永久补充流动资金。</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公司尚未使用的募集资金拟用于</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蓝盾信息西南总部及研发基地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上市公司信息安全产业园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8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蓝盾信息西 南总部及研 发基地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上市公司区 域运营中心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4,968.87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4,968.87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24.84%</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补充蓝盾信 息安全技术 有限公司流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补充上市公 司流动资金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20,013.91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20,013.91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24,982.78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24,982.78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171"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pacing w:val="-1"/>
                <w:sz w:val="18"/>
                <w:szCs w:val="18"/>
              </w:rPr>
              <w:t>蓝盾信息西南总部及研发基地：因国内的宏观经济、市场环境有所变化，尤其是全国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各地的房地产价格出现了较大波动，区域运营中心项目的投资建设成本明显增加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根据</w:t>
            </w:r>
            <w:r>
              <w:rPr>
                <w:rFonts w:ascii="宋体" w:hAnsi="宋体" w:cs="宋体" w:eastAsia="宋体" w:hint="default"/>
                <w:spacing w:val="-79"/>
                <w:sz w:val="18"/>
                <w:szCs w:val="18"/>
              </w:rPr>
              <w:t> </w:t>
            </w:r>
            <w:r>
              <w:rPr>
                <w:rFonts w:ascii="宋体" w:hAnsi="宋体" w:cs="宋体" w:eastAsia="宋体" w:hint="default"/>
                <w:sz w:val="18"/>
                <w:szCs w:val="18"/>
              </w:rPr>
              <w:t>公司的发展规划，公司将计划用于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上市公司区域运营中心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项目的全部募集资金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6"/>
                <w:sz w:val="18"/>
                <w:szCs w:val="18"/>
              </w:rPr>
              <w:t> </w:t>
            </w:r>
            <w:r>
              <w:rPr>
                <w:rFonts w:ascii="宋体" w:hAnsi="宋体" w:cs="宋体" w:eastAsia="宋体" w:hint="default"/>
                <w:spacing w:val="-4"/>
                <w:w w:val="100"/>
                <w:sz w:val="18"/>
                <w:szCs w:val="18"/>
              </w:rPr>
              <w:t>万元变更用于</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蓝盾信息西南总部及研发基地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项目。公司经过</w:t>
            </w:r>
            <w:r>
              <w:rPr>
                <w:rFonts w:ascii="宋体" w:hAnsi="宋体" w:cs="宋体" w:eastAsia="宋体" w:hint="default"/>
                <w:spacing w:val="-39"/>
                <w:w w:val="10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年第六次临</w:t>
            </w:r>
            <w:r>
              <w:rPr>
                <w:rFonts w:ascii="宋体" w:hAnsi="宋体" w:cs="宋体" w:eastAsia="宋体" w:hint="default"/>
                <w:spacing w:val="-88"/>
                <w:sz w:val="18"/>
                <w:szCs w:val="18"/>
              </w:rPr>
              <w:t> </w:t>
            </w:r>
            <w:r>
              <w:rPr>
                <w:rFonts w:ascii="宋体" w:hAnsi="宋体" w:cs="宋体" w:eastAsia="宋体" w:hint="default"/>
                <w:spacing w:val="-3"/>
                <w:sz w:val="18"/>
                <w:szCs w:val="18"/>
              </w:rPr>
              <w:t>时股东大会决议通过《关于变更部分募集资金投资项目及其实施主体的议案》。具体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内容详见公司于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日披露的《关于变更部分募集资金投资项目及其实</w:t>
            </w:r>
          </w:p>
          <w:p>
            <w:pPr>
              <w:pStyle w:val="TableParagraph"/>
              <w:spacing w:line="307" w:lineRule="auto" w:before="7"/>
              <w:ind w:left="23" w:right="22"/>
              <w:jc w:val="both"/>
              <w:rPr>
                <w:rFonts w:ascii="宋体" w:hAnsi="宋体" w:cs="宋体" w:eastAsia="宋体" w:hint="default"/>
                <w:sz w:val="18"/>
                <w:szCs w:val="18"/>
              </w:rPr>
            </w:pPr>
            <w:r>
              <w:rPr>
                <w:rFonts w:ascii="宋体" w:hAnsi="宋体" w:cs="宋体" w:eastAsia="宋体" w:hint="default"/>
                <w:sz w:val="18"/>
                <w:szCs w:val="18"/>
              </w:rPr>
              <w:t>施主体的公告》及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年第六次临时股东大会决议的公 </w:t>
            </w:r>
            <w:r>
              <w:rPr>
                <w:rFonts w:ascii="宋体" w:hAnsi="宋体" w:cs="宋体" w:eastAsia="宋体" w:hint="default"/>
                <w:spacing w:val="-3"/>
                <w:sz w:val="18"/>
                <w:szCs w:val="18"/>
              </w:rPr>
              <w:t>告》。补充蓝盾技术流动资金：为进一步增强蓝盾技术的业务拓展能力和资金实力，</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公司使用</w:t>
            </w:r>
            <w:r>
              <w:rPr>
                <w:rFonts w:ascii="Times New Roman" w:hAnsi="Times New Roman" w:cs="Times New Roman" w:eastAsia="Times New Roman" w:hint="default"/>
                <w:sz w:val="18"/>
                <w:szCs w:val="18"/>
              </w:rPr>
              <w:t>“</w:t>
            </w:r>
            <w:r>
              <w:rPr>
                <w:rFonts w:ascii="宋体" w:hAnsi="宋体" w:cs="宋体" w:eastAsia="宋体" w:hint="default"/>
                <w:sz w:val="18"/>
                <w:szCs w:val="18"/>
              </w:rPr>
              <w:t>补充上市公司流动资金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项目的募集资金向全资子公司蓝盾技术增资人民币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万元，本次增资完成后，蓝盾技术注册资本将由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bl>
    <w:p>
      <w:pPr>
        <w:spacing w:after="0" w:line="307"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872"/>
        <w:gridCol w:w="6699"/>
      </w:tblGrid>
      <w:tr>
        <w:trPr>
          <w:trHeight w:val="192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元，公司持有其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股权。公司经过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年第一次临时股东大会审议通过了《关于 </w:t>
            </w:r>
            <w:r>
              <w:rPr>
                <w:rFonts w:ascii="宋体" w:hAnsi="宋体" w:cs="宋体" w:eastAsia="宋体" w:hint="default"/>
                <w:spacing w:val="-3"/>
                <w:sz w:val="18"/>
                <w:szCs w:val="18"/>
              </w:rPr>
              <w:t>变更募集资金用途暨使用募集资金向全资子公司增资的议案》，同意公司根据募集资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金使用计划及实际经营需要，使用募集资金向全资子公司蓝盾信息安全技术有限公司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万元，用于补充蓝盾技术流动资金。具体内容详见公司于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日披露的《关于变更募集资金用途暨使用募集资金向全资子公司增资的补充公</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告》及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1"/>
                <w:sz w:val="18"/>
                <w:szCs w:val="18"/>
              </w:rPr>
              <w:t>的</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年第一次临时股东大会决议的公告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4"/>
          <w:szCs w:val="24"/>
        </w:rPr>
      </w:pPr>
    </w:p>
    <w:p>
      <w:pPr>
        <w:spacing w:line="314"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0"/>
          <w:szCs w:val="20"/>
        </w:rPr>
      </w:pPr>
    </w:p>
    <w:p>
      <w:pPr>
        <w:pStyle w:val="Heading3"/>
        <w:spacing w:line="240" w:lineRule="auto"/>
        <w:ind w:left="1133"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79" w:top="1100" w:bottom="1160" w:left="0" w:right="0"/>
        </w:sectPr>
      </w:pPr>
    </w:p>
    <w:p>
      <w:pPr>
        <w:spacing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8"/>
        <w:ind w:left="113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420" w:type="dxa"/>
        <w:tblLayout w:type="fixed"/>
        <w:tblCellMar>
          <w:top w:w="0" w:type="dxa"/>
          <w:left w:w="0" w:type="dxa"/>
          <w:bottom w:w="0" w:type="dxa"/>
          <w:right w:w="0" w:type="dxa"/>
        </w:tblCellMar>
        <w:tblLook w:val="01E0"/>
      </w:tblPr>
      <w:tblGrid>
        <w:gridCol w:w="1277"/>
        <w:gridCol w:w="851"/>
        <w:gridCol w:w="1134"/>
        <w:gridCol w:w="1276"/>
        <w:gridCol w:w="1417"/>
        <w:gridCol w:w="1186"/>
        <w:gridCol w:w="1367"/>
        <w:gridCol w:w="1274"/>
        <w:gridCol w:w="1276"/>
      </w:tblGrid>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蓝盾信息安全 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信息安全产 品、安全集 成、安全服务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1,869,588,796.91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734,628,993.83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1,171,636,930.51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156,469,497.66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136,302,134.37</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广州华炜科技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电磁安防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427,981,579.36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364,269,877.93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300,347,536.60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64,665,665.48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55,294,813.74</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中经汇通电子 商务有限公司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电子商务平 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353,562,617.00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2,252,735,249.76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829,997,600.73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492,239,532.70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231,787,484.54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195,897,875.36</w:t>
            </w:r>
          </w:p>
        </w:tc>
      </w:tr>
      <w:tr>
        <w:trPr>
          <w:trHeight w:val="10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深圳市蓝盾满 泰科技有限公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工控安全监 测和自动化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22,200,000.00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395,201,401.43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194,689,981.89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226,472,813.76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86,839,496.02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73,602,341.13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type w:val="continuous"/>
          <w:pgSz w:w="11910" w:h="16840"/>
          <w:pgMar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新疆蓝盾信息安全技术股份有限公司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广州蓝盾数据安全科技创新有限公司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4"/>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5"/>
        <w:rPr>
          <w:rFonts w:ascii="宋体" w:hAnsi="宋体" w:cs="宋体" w:eastAsia="宋体" w:hint="default"/>
          <w:b/>
          <w:bCs/>
          <w:sz w:val="31"/>
          <w:szCs w:val="31"/>
        </w:rPr>
      </w:pPr>
    </w:p>
    <w:p>
      <w:pPr>
        <w:pStyle w:val="Heading3"/>
        <w:spacing w:line="240" w:lineRule="auto"/>
        <w:ind w:left="1553" w:right="0"/>
        <w:jc w:val="left"/>
        <w:rPr>
          <w:b w:val="0"/>
          <w:bCs w:val="0"/>
        </w:rPr>
      </w:pPr>
      <w:r>
        <w:rPr/>
        <w:t>（一）行业发展趋势</w:t>
      </w:r>
      <w:r>
        <w:rPr>
          <w:b w:val="0"/>
          <w:bCs w:val="0"/>
        </w:rPr>
      </w:r>
    </w:p>
    <w:p>
      <w:pPr>
        <w:pStyle w:val="Heading3"/>
        <w:spacing w:line="240" w:lineRule="auto" w:before="165"/>
        <w:ind w:left="1556" w:right="0"/>
        <w:jc w:val="left"/>
        <w:rPr>
          <w:b w:val="0"/>
          <w:bCs w:val="0"/>
        </w:rPr>
      </w:pPr>
      <w:r>
        <w:rPr>
          <w:rFonts w:ascii="Times New Roman" w:hAnsi="Times New Roman" w:cs="Times New Roman" w:eastAsia="Times New Roman" w:hint="default"/>
        </w:rPr>
        <w:t>1</w:t>
      </w:r>
      <w:r>
        <w:rPr/>
        <w:t>、中央高度重视自主可控与网络安全，信息安全市场整体增速有望提振</w:t>
      </w:r>
      <w:r>
        <w:rPr>
          <w:b w:val="0"/>
          <w:bCs w:val="0"/>
        </w:rPr>
      </w:r>
    </w:p>
    <w:p>
      <w:pPr>
        <w:pStyle w:val="BodyText"/>
        <w:spacing w:line="338" w:lineRule="auto" w:before="149"/>
        <w:ind w:right="1126" w:firstLine="420"/>
        <w:jc w:val="both"/>
      </w:pPr>
      <w:r>
        <w:rPr>
          <w:spacing w:val="-1"/>
        </w:rPr>
        <w:t>《中华人民共和国网络安全法》从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日起正式施行，相关的网络安全配套法规、指引也在陆</w:t>
      </w:r>
      <w:r>
        <w:rPr/>
        <w:t> </w:t>
      </w:r>
      <w:r>
        <w:rPr>
          <w:spacing w:val="-1"/>
        </w:rPr>
        <w:t>续出台，意味着我国网络安全建设迈向了全新的高度；今年以来的中美贸易争端也有望对我国自主可控及</w:t>
      </w:r>
      <w:r>
        <w:rPr>
          <w:spacing w:val="-81"/>
        </w:rPr>
        <w:t> </w:t>
      </w:r>
      <w:r>
        <w:rPr>
          <w:spacing w:val="-81"/>
        </w:rPr>
      </w:r>
      <w:r>
        <w:rPr/>
        <w:t>网络安全领域带来新一轮催化；习近平总书记在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20-21</w:t>
      </w:r>
      <w:r>
        <w:rPr/>
        <w:t>日召开的全国网络安全和信息化工作会议</w:t>
      </w:r>
      <w:r>
        <w:rPr>
          <w:spacing w:val="-100"/>
        </w:rPr>
        <w:t> </w:t>
      </w:r>
      <w:r>
        <w:rPr>
          <w:spacing w:val="-100"/>
        </w:rPr>
      </w:r>
      <w:r>
        <w:rPr/>
        <w:t>上发表重要讲话，系统阐述了网络强国战略思想，再次指出</w:t>
      </w:r>
      <w:r>
        <w:rPr>
          <w:rFonts w:ascii="Times New Roman" w:hAnsi="Times New Roman" w:cs="Times New Roman" w:eastAsia="Times New Roman" w:hint="default"/>
        </w:rPr>
        <w:t>“</w:t>
      </w:r>
      <w:r>
        <w:rPr/>
        <w:t>没有网络安全就没有国家安全</w:t>
      </w:r>
      <w:r>
        <w:rPr>
          <w:rFonts w:ascii="Times New Roman" w:hAnsi="Times New Roman" w:cs="Times New Roman" w:eastAsia="Times New Roman" w:hint="default"/>
        </w:rPr>
        <w:t>”</w:t>
      </w:r>
      <w:r>
        <w:rPr/>
        <w:t>，要树立正确 </w:t>
      </w:r>
      <w:r>
        <w:rPr>
          <w:spacing w:val="-1"/>
        </w:rPr>
        <w:t>的网络安全观，加强信息基础设施网络安全防护，加强网络安全信息统筹机制、手段、平台建设，加强网</w:t>
      </w:r>
      <w:r>
        <w:rPr>
          <w:spacing w:val="-83"/>
        </w:rPr>
        <w:t> </w:t>
      </w:r>
      <w:r>
        <w:rPr>
          <w:spacing w:val="-83"/>
        </w:rPr>
      </w:r>
      <w:r>
        <w:rPr>
          <w:spacing w:val="-1"/>
        </w:rPr>
        <w:t>络安全事件应急指挥能力建设，积极发展网络安全产业。在上述多重因素的共振下，我国网络信息安全市</w:t>
      </w:r>
      <w:r>
        <w:rPr>
          <w:spacing w:val="-83"/>
        </w:rPr>
        <w:t> </w:t>
      </w:r>
      <w:r>
        <w:rPr>
          <w:spacing w:val="-83"/>
        </w:rPr>
      </w:r>
      <w:r>
        <w:rPr/>
        <w:t>场增速有望得到进一步提振。据赛迪顾问预测，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年我国网络安全市场复合增速将达到</w:t>
      </w:r>
      <w:r>
        <w:rPr>
          <w:rFonts w:ascii="Times New Roman" w:hAnsi="Times New Roman" w:cs="Times New Roman" w:eastAsia="Times New Roman" w:hint="default"/>
        </w:rPr>
        <w:t>21.7%</w:t>
      </w:r>
      <w:r>
        <w:rPr/>
        <w:t>， 到</w:t>
      </w:r>
      <w:r>
        <w:rPr>
          <w:rFonts w:ascii="Times New Roman" w:hAnsi="Times New Roman" w:cs="Times New Roman" w:eastAsia="Times New Roman" w:hint="default"/>
        </w:rPr>
        <w:t>2020</w:t>
      </w:r>
      <w:r>
        <w:rPr/>
        <w:t>年行业整体规模将达到</w:t>
      </w:r>
      <w:r>
        <w:rPr>
          <w:rFonts w:ascii="Times New Roman" w:hAnsi="Times New Roman" w:cs="Times New Roman" w:eastAsia="Times New Roman" w:hint="default"/>
        </w:rPr>
        <w:t>738.9</w:t>
      </w:r>
      <w:r>
        <w:rPr/>
        <w:t>亿元。</w:t>
      </w:r>
    </w:p>
    <w:p>
      <w:pPr>
        <w:pStyle w:val="Heading3"/>
        <w:spacing w:line="240" w:lineRule="auto" w:before="54"/>
        <w:ind w:left="1556" w:right="0"/>
        <w:jc w:val="left"/>
        <w:rPr>
          <w:b w:val="0"/>
          <w:bCs w:val="0"/>
        </w:rPr>
      </w:pPr>
      <w:r>
        <w:rPr>
          <w:rFonts w:ascii="Times New Roman" w:hAnsi="Times New Roman" w:cs="Times New Roman" w:eastAsia="Times New Roman" w:hint="default"/>
        </w:rPr>
        <w:t>2</w:t>
      </w:r>
      <w:r>
        <w:rPr/>
        <w:t>、云安全需求增速将高于行业整体增速，为网络安全市场提供持续的动能</w:t>
      </w:r>
      <w:r>
        <w:rPr>
          <w:b w:val="0"/>
          <w:bCs w:val="0"/>
        </w:rPr>
      </w:r>
    </w:p>
    <w:p>
      <w:pPr>
        <w:pStyle w:val="BodyText"/>
        <w:spacing w:line="338" w:lineRule="auto" w:before="148"/>
        <w:ind w:right="1130"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月，工信部发布《云计算发展三年行动计划（</w:t>
      </w:r>
      <w:r>
        <w:rPr>
          <w:rFonts w:ascii="Times New Roman" w:hAnsi="Times New Roman" w:cs="Times New Roman" w:eastAsia="Times New Roman" w:hint="default"/>
        </w:rPr>
        <w:t>2017-2019</w:t>
      </w:r>
      <w:r>
        <w:rPr/>
        <w:t>年）》，提出到</w:t>
      </w:r>
      <w:r>
        <w:rPr>
          <w:rFonts w:ascii="Times New Roman" w:hAnsi="Times New Roman" w:cs="Times New Roman" w:eastAsia="Times New Roman" w:hint="default"/>
        </w:rPr>
        <w:t>2019</w:t>
      </w:r>
      <w:r>
        <w:rPr/>
        <w:t>年，我国云计算 </w:t>
      </w:r>
      <w:r>
        <w:rPr>
          <w:spacing w:val="-2"/>
        </w:rPr>
        <w:t>产业规模达到</w:t>
      </w:r>
      <w:r>
        <w:rPr>
          <w:rFonts w:ascii="Times New Roman" w:hAnsi="Times New Roman" w:cs="Times New Roman" w:eastAsia="Times New Roman" w:hint="default"/>
          <w:spacing w:val="-2"/>
        </w:rPr>
        <w:t>4,300</w:t>
      </w:r>
      <w:r>
        <w:rPr>
          <w:spacing w:val="-2"/>
        </w:rPr>
        <w:t>亿元，加强云计算网络安全防护管理，落实公有云服务安全防护和信息安全管理系统建</w:t>
      </w:r>
      <w:r>
        <w:rPr>
          <w:spacing w:val="-85"/>
        </w:rPr>
        <w:t> </w:t>
      </w:r>
      <w:r>
        <w:rPr>
          <w:spacing w:val="-85"/>
        </w:rPr>
      </w:r>
      <w:r>
        <w:rPr>
          <w:spacing w:val="-1"/>
        </w:rPr>
        <w:t>设要求，完善云计算服务网络安全防护标准。国内云安全市场有望伴随云产业的爆发而迅猛增长，成为未</w:t>
      </w:r>
      <w:r>
        <w:rPr>
          <w:spacing w:val="-83"/>
        </w:rPr>
        <w:t> </w:t>
      </w:r>
      <w:r>
        <w:rPr>
          <w:spacing w:val="-83"/>
        </w:rPr>
      </w:r>
      <w:r>
        <w:rPr>
          <w:spacing w:val="-1"/>
        </w:rPr>
        <w:t>来几年信息安全行业增长的主要驱动因素之一，尤其是云安全运营模式的发展，使云安全企业获得持续的</w:t>
      </w:r>
      <w:r>
        <w:rPr>
          <w:spacing w:val="-81"/>
        </w:rPr>
        <w:t> </w:t>
      </w:r>
      <w:r>
        <w:rPr>
          <w:spacing w:val="-81"/>
        </w:rPr>
      </w:r>
      <w:r>
        <w:rPr>
          <w:spacing w:val="-2"/>
        </w:rPr>
        <w:t>增长动能。</w:t>
      </w:r>
      <w:r>
        <w:rPr>
          <w:rFonts w:ascii="Times New Roman" w:hAnsi="Times New Roman" w:cs="Times New Roman" w:eastAsia="Times New Roman" w:hint="default"/>
          <w:spacing w:val="-2"/>
        </w:rPr>
        <w:t>2017</w:t>
      </w:r>
      <w:r>
        <w:rPr>
          <w:spacing w:val="-2"/>
        </w:rPr>
        <w:t>年，我国云安全市场规模达到</w:t>
      </w:r>
      <w:r>
        <w:rPr>
          <w:rFonts w:ascii="Times New Roman" w:hAnsi="Times New Roman" w:cs="Times New Roman" w:eastAsia="Times New Roman" w:hint="default"/>
          <w:spacing w:val="-2"/>
        </w:rPr>
        <w:t>23.7</w:t>
      </w:r>
      <w:r>
        <w:rPr>
          <w:spacing w:val="-2"/>
        </w:rPr>
        <w:t>亿元，同比增速为</w:t>
      </w:r>
      <w:r>
        <w:rPr>
          <w:rFonts w:ascii="Times New Roman" w:hAnsi="Times New Roman" w:cs="Times New Roman" w:eastAsia="Times New Roman" w:hint="default"/>
          <w:spacing w:val="-2"/>
        </w:rPr>
        <w:t>30.2%</w:t>
      </w:r>
      <w:r>
        <w:rPr>
          <w:spacing w:val="-2"/>
        </w:rPr>
        <w:t>，据赛迪顾问预测，到</w:t>
      </w:r>
      <w:r>
        <w:rPr>
          <w:rFonts w:ascii="Times New Roman" w:hAnsi="Times New Roman" w:cs="Times New Roman" w:eastAsia="Times New Roman" w:hint="default"/>
          <w:spacing w:val="-2"/>
        </w:rPr>
        <w:t>2020</w:t>
      </w:r>
      <w:r>
        <w:rPr>
          <w:spacing w:val="-2"/>
        </w:rPr>
        <w:t>年我</w:t>
      </w:r>
      <w:r>
        <w:rPr>
          <w:spacing w:val="-93"/>
        </w:rPr>
        <w:t> </w:t>
      </w:r>
      <w:r>
        <w:rPr/>
        <w:t>国云安全市场将达到</w:t>
      </w:r>
      <w:r>
        <w:rPr>
          <w:rFonts w:ascii="Times New Roman" w:hAnsi="Times New Roman" w:cs="Times New Roman" w:eastAsia="Times New Roman" w:hint="default"/>
        </w:rPr>
        <w:t>123.6</w:t>
      </w:r>
      <w:r>
        <w:rPr/>
        <w:t>亿元，占整体安全市场的</w:t>
      </w:r>
      <w:r>
        <w:rPr>
          <w:rFonts w:ascii="Times New Roman" w:hAnsi="Times New Roman" w:cs="Times New Roman" w:eastAsia="Times New Roman" w:hint="default"/>
        </w:rPr>
        <w:t>16.7%</w:t>
      </w:r>
      <w:r>
        <w:rPr/>
        <w:t>。</w:t>
      </w:r>
    </w:p>
    <w:p>
      <w:pPr>
        <w:pStyle w:val="Heading3"/>
        <w:spacing w:line="240" w:lineRule="auto" w:before="54"/>
        <w:ind w:left="1556" w:right="0"/>
        <w:jc w:val="left"/>
        <w:rPr>
          <w:b w:val="0"/>
          <w:bCs w:val="0"/>
        </w:rPr>
      </w:pPr>
      <w:r>
        <w:rPr>
          <w:rFonts w:ascii="Times New Roman" w:hAnsi="Times New Roman" w:cs="Times New Roman" w:eastAsia="Times New Roman" w:hint="default"/>
        </w:rPr>
        <w:t>3</w:t>
      </w:r>
      <w:r>
        <w:rPr/>
        <w:t>、信息安全进入人工智能时代</w:t>
      </w:r>
      <w:r>
        <w:rPr>
          <w:b w:val="0"/>
          <w:bCs w:val="0"/>
        </w:rPr>
      </w:r>
    </w:p>
    <w:p>
      <w:pPr>
        <w:pStyle w:val="BodyText"/>
        <w:spacing w:line="331" w:lineRule="auto" w:before="148"/>
        <w:ind w:right="1026"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月，国务院印发了《新一代人工智能发展规划》，提出要推动人工智能与各行业融合创新，</w:t>
      </w:r>
      <w:r>
        <w:rPr>
          <w:spacing w:val="3"/>
        </w:rPr>
        <w:t> </w:t>
      </w:r>
      <w:r>
        <w:rPr/>
        <w:t>推动人工智能规模化应用，全面提升产业发展智能化水平；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月，工信部制定了《促进新一代人工 </w:t>
      </w:r>
      <w:r>
        <w:rPr>
          <w:spacing w:val="-3"/>
        </w:rPr>
        <w:t>智能产业发展三年行动计划</w:t>
      </w:r>
      <w:r>
        <w:rPr>
          <w:rFonts w:ascii="Times New Roman" w:hAnsi="Times New Roman" w:cs="Times New Roman" w:eastAsia="Times New Roman" w:hint="default"/>
          <w:spacing w:val="-3"/>
        </w:rPr>
        <w:t>(2018-2020)</w:t>
      </w:r>
      <w:r>
        <w:rPr>
          <w:spacing w:val="-3"/>
        </w:rPr>
        <w:t>》，提出要抓住历史机遇，突破重点领域，促进人工智能产业发展，</w:t>
      </w:r>
    </w:p>
    <w:p>
      <w:pPr>
        <w:spacing w:after="0" w:line="331"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0" w:lineRule="auto" w:before="35"/>
        <w:ind w:right="1130"/>
        <w:jc w:val="both"/>
      </w:pPr>
      <w:r>
        <w:rPr>
          <w:spacing w:val="-1"/>
        </w:rPr>
        <w:t>提升制造业智能化水平，推动人工智能和实体经济深度融合。随着网络安全技术和人工智能技术的不断发</w:t>
      </w:r>
      <w:r>
        <w:rPr>
          <w:spacing w:val="-81"/>
        </w:rPr>
        <w:t> </w:t>
      </w:r>
      <w:r>
        <w:rPr>
          <w:spacing w:val="-81"/>
        </w:rPr>
      </w:r>
      <w:r>
        <w:rPr>
          <w:spacing w:val="-1"/>
        </w:rPr>
        <w:t>展，越来越多的安全公司开始利用人工智能技术的优势来为新型网络威胁提供新的解决方案。未来，</w:t>
      </w:r>
      <w:r>
        <w:rPr>
          <w:rFonts w:ascii="Times New Roman" w:hAnsi="Times New Roman" w:cs="Times New Roman" w:eastAsia="Times New Roman" w:hint="default"/>
          <w:spacing w:val="-1"/>
        </w:rPr>
        <w:t>AI</w:t>
      </w:r>
      <w:r>
        <w:rPr>
          <w:spacing w:val="-1"/>
        </w:rPr>
        <w:t>将</w:t>
      </w:r>
      <w:r>
        <w:rPr>
          <w:spacing w:val="-93"/>
        </w:rPr>
        <w:t> </w:t>
      </w:r>
      <w:r>
        <w:rPr/>
        <w:t>推动信息安全迈向人工智能时代。</w:t>
      </w:r>
    </w:p>
    <w:p>
      <w:pPr>
        <w:spacing w:line="362" w:lineRule="auto" w:before="76"/>
        <w:ind w:left="1553" w:right="0" w:firstLine="2"/>
        <w:jc w:val="left"/>
        <w:rPr>
          <w:rFonts w:ascii="宋体" w:hAnsi="宋体" w:cs="宋体" w:eastAsia="宋体" w:hint="default"/>
          <w:sz w:val="21"/>
          <w:szCs w:val="21"/>
        </w:rPr>
      </w:pPr>
      <w:r>
        <w:rPr>
          <w:rFonts w:ascii="宋体" w:hAnsi="宋体" w:cs="宋体" w:eastAsia="宋体" w:hint="default"/>
          <w:b/>
          <w:bCs/>
          <w:sz w:val="21"/>
          <w:szCs w:val="21"/>
        </w:rPr>
        <w:t>（二）公司未来发展战略及</w:t>
      </w: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年经营计划</w:t>
      </w:r>
      <w:r>
        <w:rPr>
          <w:rFonts w:ascii="宋体" w:hAnsi="宋体" w:cs="宋体" w:eastAsia="宋体" w:hint="default"/>
          <w:b/>
          <w:bCs/>
          <w:w w:val="99"/>
          <w:sz w:val="21"/>
          <w:szCs w:val="21"/>
        </w:rPr>
        <w:t> </w:t>
      </w:r>
      <w:r>
        <w:rPr>
          <w:rFonts w:ascii="宋体" w:hAnsi="宋体" w:cs="宋体" w:eastAsia="宋体" w:hint="default"/>
          <w:spacing w:val="-3"/>
          <w:sz w:val="21"/>
          <w:szCs w:val="21"/>
        </w:rPr>
        <w:t>公司未来将继续秉承</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智慧安全领导者</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的理念与使命，长期专注于信息安全领域，深化安全技术内涵，</w:t>
      </w:r>
    </w:p>
    <w:p>
      <w:pPr>
        <w:pStyle w:val="BodyText"/>
        <w:spacing w:line="331" w:lineRule="auto"/>
        <w:ind w:right="1130"/>
        <w:jc w:val="both"/>
      </w:pPr>
      <w:r>
        <w:rPr/>
        <w:t>提升品牌影响力，力争成为国内龙头、国际一流的信息安全企业。未来，公司将继续以</w:t>
      </w:r>
      <w:r>
        <w:rPr>
          <w:rFonts w:ascii="Times New Roman" w:hAnsi="Times New Roman" w:cs="Times New Roman" w:eastAsia="Times New Roman" w:hint="default"/>
        </w:rPr>
        <w:t>“</w:t>
      </w:r>
      <w:r>
        <w:rPr/>
        <w:t>技术升级</w:t>
      </w:r>
      <w:r>
        <w:rPr>
          <w:rFonts w:ascii="Times New Roman" w:hAnsi="Times New Roman" w:cs="Times New Roman" w:eastAsia="Times New Roman" w:hint="default"/>
        </w:rPr>
        <w:t>”</w:t>
      </w:r>
      <w:r>
        <w:rPr/>
        <w:t>（全产 品线、智慧升级）、</w:t>
      </w:r>
      <w:r>
        <w:rPr>
          <w:rFonts w:ascii="Times New Roman" w:hAnsi="Times New Roman" w:cs="Times New Roman" w:eastAsia="Times New Roman" w:hint="default"/>
        </w:rPr>
        <w:t>“</w:t>
      </w:r>
      <w:r>
        <w:rPr/>
        <w:t>空间拓展</w:t>
      </w:r>
      <w:r>
        <w:rPr>
          <w:rFonts w:ascii="Times New Roman" w:hAnsi="Times New Roman" w:cs="Times New Roman" w:eastAsia="Times New Roman" w:hint="default"/>
        </w:rPr>
        <w:t>”</w:t>
      </w:r>
      <w:r>
        <w:rPr/>
        <w:t>（围绕安全、突破信息）、</w:t>
      </w:r>
      <w:r>
        <w:rPr>
          <w:rFonts w:ascii="Times New Roman" w:hAnsi="Times New Roman" w:cs="Times New Roman" w:eastAsia="Times New Roman" w:hint="default"/>
        </w:rPr>
        <w:t>“</w:t>
      </w:r>
      <w:r>
        <w:rPr>
          <w:rFonts w:ascii="Times New Roman" w:hAnsi="Times New Roman" w:cs="Times New Roman" w:eastAsia="Times New Roman" w:hint="default"/>
        </w:rPr>
        <w:t>IT</w:t>
      </w:r>
      <w:r>
        <w:rPr/>
        <w:t>层级突破</w:t>
      </w:r>
      <w:r>
        <w:rPr>
          <w:rFonts w:ascii="Times New Roman" w:hAnsi="Times New Roman" w:cs="Times New Roman" w:eastAsia="Times New Roman" w:hint="default"/>
        </w:rPr>
        <w:t>”</w:t>
      </w:r>
      <w:r>
        <w:rPr/>
        <w:t>（</w:t>
      </w:r>
      <w:r>
        <w:rPr>
          <w:rFonts w:ascii="Times New Roman" w:hAnsi="Times New Roman" w:cs="Times New Roman" w:eastAsia="Times New Roman" w:hint="default"/>
        </w:rPr>
        <w:t>IT</w:t>
      </w:r>
      <w:r>
        <w:rPr/>
        <w:t>安全、自主可控）三个维度</w:t>
      </w:r>
      <w:r>
        <w:rPr>
          <w:spacing w:val="-67"/>
        </w:rPr>
        <w:t> </w:t>
      </w:r>
      <w:r>
        <w:rPr>
          <w:spacing w:val="-67"/>
        </w:rPr>
      </w:r>
      <w:r>
        <w:rPr/>
        <w:t>为主线，持续完善</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产业发展战略。</w:t>
      </w:r>
    </w:p>
    <w:p>
      <w:pPr>
        <w:pStyle w:val="BodyText"/>
        <w:spacing w:line="240" w:lineRule="auto" w:before="61"/>
        <w:ind w:left="1554" w:right="0"/>
        <w:jc w:val="left"/>
      </w:pPr>
      <w:r>
        <w:rPr/>
        <w:t>公司</w:t>
      </w:r>
      <w:r>
        <w:rPr>
          <w:rFonts w:ascii="Times New Roman" w:hAnsi="Times New Roman" w:cs="Times New Roman" w:eastAsia="Times New Roman" w:hint="default"/>
        </w:rPr>
        <w:t>2018</w:t>
      </w:r>
      <w:r>
        <w:rPr/>
        <w:t>年的经营业绩目标是超过行业平均增速（行业平均增速约为</w:t>
      </w:r>
      <w:r>
        <w:rPr>
          <w:rFonts w:ascii="Times New Roman" w:hAnsi="Times New Roman" w:cs="Times New Roman" w:eastAsia="Times New Roman" w:hint="default"/>
        </w:rPr>
        <w:t>20%</w:t>
      </w:r>
      <w:r>
        <w:rPr/>
        <w:t>）。</w:t>
      </w:r>
    </w:p>
    <w:p>
      <w:pPr>
        <w:pStyle w:val="BodyText"/>
        <w:spacing w:line="240" w:lineRule="auto" w:before="148"/>
        <w:ind w:left="1553" w:right="0"/>
        <w:jc w:val="left"/>
      </w:pPr>
      <w:r>
        <w:rPr>
          <w:rFonts w:ascii="Times New Roman" w:hAnsi="Times New Roman" w:cs="Times New Roman" w:eastAsia="Times New Roman" w:hint="default"/>
        </w:rPr>
        <w:t>2018</w:t>
      </w:r>
      <w:r>
        <w:rPr/>
        <w:t>年度，公司的主要经营计划如下：</w:t>
      </w:r>
    </w:p>
    <w:p>
      <w:pPr>
        <w:pStyle w:val="BodyText"/>
        <w:spacing w:line="240" w:lineRule="auto" w:before="149"/>
        <w:ind w:left="1554"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、产业整合计划：公司将继续围绕</w:t>
      </w:r>
      <w:r>
        <w:rPr>
          <w:rFonts w:ascii="Times New Roman" w:hAnsi="Times New Roman" w:cs="Times New Roman" w:eastAsia="Times New Roman" w:hint="default"/>
          <w:spacing w:val="-3"/>
        </w:rPr>
        <w:t>“</w:t>
      </w:r>
      <w:r>
        <w:rPr>
          <w:spacing w:val="-3"/>
        </w:rPr>
        <w:t>大安全</w:t>
      </w:r>
      <w:r>
        <w:rPr>
          <w:rFonts w:ascii="Times New Roman" w:hAnsi="Times New Roman" w:cs="Times New Roman" w:eastAsia="Times New Roman" w:hint="default"/>
          <w:spacing w:val="-3"/>
        </w:rPr>
        <w:t>”</w:t>
      </w:r>
      <w:r>
        <w:rPr>
          <w:spacing w:val="-3"/>
        </w:rPr>
        <w:t>产业发展战略，以</w:t>
      </w:r>
      <w:r>
        <w:rPr>
          <w:rFonts w:ascii="Times New Roman" w:hAnsi="Times New Roman" w:cs="Times New Roman" w:eastAsia="Times New Roman" w:hint="default"/>
          <w:spacing w:val="-3"/>
        </w:rPr>
        <w:t>“</w:t>
      </w:r>
      <w:r>
        <w:rPr>
          <w:spacing w:val="-3"/>
        </w:rPr>
        <w:t>技术升级维度</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空间拓展维度</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IT</w:t>
      </w:r>
      <w:r>
        <w:rPr>
          <w:rFonts w:ascii="Times New Roman" w:hAnsi="Times New Roman" w:cs="Times New Roman" w:eastAsia="Times New Roman" w:hint="default"/>
        </w:rPr>
      </w:r>
    </w:p>
    <w:p>
      <w:pPr>
        <w:pStyle w:val="BodyText"/>
        <w:spacing w:line="240" w:lineRule="auto" w:before="109"/>
        <w:ind w:right="0"/>
        <w:jc w:val="both"/>
      </w:pPr>
      <w:r>
        <w:rPr/>
        <w:t>层级突破维</w:t>
      </w:r>
      <w:r>
        <w:rPr>
          <w:rFonts w:ascii="Times New Roman" w:hAnsi="Times New Roman" w:cs="Times New Roman" w:eastAsia="Times New Roman" w:hint="default"/>
        </w:rPr>
        <w:t>”</w:t>
      </w:r>
      <w:r>
        <w:rPr/>
        <w:t>三条主线进行产业整合扩张，不断拓宽目标市场规模，快速提升公司的综合竞争力。</w:t>
      </w:r>
    </w:p>
    <w:p>
      <w:pPr>
        <w:pStyle w:val="BodyText"/>
        <w:spacing w:line="331" w:lineRule="auto" w:before="149"/>
        <w:ind w:left="1134" w:right="1132" w:firstLine="420"/>
        <w:jc w:val="both"/>
      </w:pPr>
      <w:r>
        <w:rPr>
          <w:rFonts w:ascii="Times New Roman" w:hAnsi="Times New Roman" w:cs="Times New Roman" w:eastAsia="Times New Roman" w:hint="default"/>
        </w:rPr>
        <w:t>2</w:t>
      </w:r>
      <w:r>
        <w:rPr/>
        <w:t>、市场拓展计划：公司将重点抓新产品的推广落地，并将标杆项目在全国范围迅速复制，加快全国 各大区域运营中心的建设及全国扩张步伐；公司将重点推动</w:t>
      </w:r>
      <w:r>
        <w:rPr>
          <w:rFonts w:ascii="Times New Roman" w:hAnsi="Times New Roman" w:cs="Times New Roman" w:eastAsia="Times New Roman" w:hint="default"/>
        </w:rPr>
        <w:t>“</w:t>
      </w:r>
      <w:r>
        <w:rPr/>
        <w:t>数字福建</w:t>
      </w:r>
      <w:r>
        <w:rPr>
          <w:rFonts w:ascii="Times New Roman" w:hAnsi="Times New Roman" w:cs="Times New Roman" w:eastAsia="Times New Roman" w:hint="default"/>
        </w:rPr>
        <w:t>”</w:t>
      </w:r>
      <w:r>
        <w:rPr/>
        <w:t>安全专区合作模式的发展，促进公 司云安全运营服务收入的增长。</w:t>
      </w:r>
    </w:p>
    <w:p>
      <w:pPr>
        <w:pStyle w:val="BodyText"/>
        <w:spacing w:line="331" w:lineRule="auto" w:before="84"/>
        <w:ind w:left="1134" w:right="1132" w:firstLine="420"/>
        <w:jc w:val="both"/>
      </w:pPr>
      <w:r>
        <w:rPr>
          <w:rFonts w:ascii="Times New Roman" w:hAnsi="Times New Roman" w:cs="Times New Roman" w:eastAsia="Times New Roman" w:hint="default"/>
        </w:rPr>
        <w:t>3</w:t>
      </w:r>
      <w:r>
        <w:rPr/>
        <w:t>、技术研发计划：持续推进全线安全产品的人工智能化，并促进相关技术应用不断深化和成熟；进 一步完善蓝盾云平台的构建及应用，持续推进</w:t>
      </w:r>
      <w:r>
        <w:rPr>
          <w:rFonts w:ascii="Times New Roman" w:hAnsi="Times New Roman" w:cs="Times New Roman" w:eastAsia="Times New Roman" w:hint="default"/>
        </w:rPr>
        <w:t>“</w:t>
      </w:r>
      <w:r>
        <w:rPr/>
        <w:t>云战略</w:t>
      </w:r>
      <w:r>
        <w:rPr>
          <w:rFonts w:ascii="Times New Roman" w:hAnsi="Times New Roman" w:cs="Times New Roman" w:eastAsia="Times New Roman" w:hint="default"/>
        </w:rPr>
        <w:t>”</w:t>
      </w:r>
      <w:r>
        <w:rPr/>
        <w:t>；进一步探索云计算、大数据、工业互联网、车联 网、区块链等技术应用的安全需求及解决方案。</w:t>
      </w:r>
    </w:p>
    <w:p>
      <w:pPr>
        <w:pStyle w:val="BodyText"/>
        <w:spacing w:line="338" w:lineRule="auto" w:before="85"/>
        <w:ind w:left="1134" w:right="1131" w:firstLine="420"/>
        <w:jc w:val="both"/>
      </w:pPr>
      <w:r>
        <w:rPr>
          <w:rFonts w:ascii="Times New Roman" w:hAnsi="Times New Roman" w:cs="Times New Roman" w:eastAsia="Times New Roman" w:hint="default"/>
          <w:spacing w:val="-2"/>
        </w:rPr>
        <w:t>4</w:t>
      </w:r>
      <w:r>
        <w:rPr>
          <w:spacing w:val="-2"/>
        </w:rPr>
        <w:t>、集团管理计划：公司将以</w:t>
      </w:r>
      <w:r>
        <w:rPr>
          <w:rFonts w:ascii="Times New Roman" w:hAnsi="Times New Roman" w:cs="Times New Roman" w:eastAsia="Times New Roman" w:hint="default"/>
          <w:spacing w:val="-2"/>
        </w:rPr>
        <w:t>“</w:t>
      </w:r>
      <w:r>
        <w:rPr>
          <w:spacing w:val="-2"/>
        </w:rPr>
        <w:t>战略协同</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利润创造</w:t>
      </w:r>
      <w:r>
        <w:rPr>
          <w:rFonts w:ascii="Times New Roman" w:hAnsi="Times New Roman" w:cs="Times New Roman" w:eastAsia="Times New Roman" w:hint="default"/>
          <w:spacing w:val="-2"/>
        </w:rPr>
        <w:t>”</w:t>
      </w:r>
      <w:r>
        <w:rPr>
          <w:spacing w:val="-2"/>
        </w:rPr>
        <w:t>为出发点，对集团旗下三十多家子公司进行规划</w:t>
      </w:r>
      <w:r>
        <w:rPr/>
        <w:t> </w:t>
      </w:r>
      <w:r>
        <w:rPr>
          <w:spacing w:val="-1"/>
        </w:rPr>
        <w:t>和梳理，在产品线和解决方案不断丰富的同时，也将更加注重各业务板块的投入产出比的科学平衡以及风</w:t>
      </w:r>
      <w:r>
        <w:rPr>
          <w:spacing w:val="-81"/>
        </w:rPr>
        <w:t> </w:t>
      </w:r>
      <w:r>
        <w:rPr>
          <w:spacing w:val="-81"/>
        </w:rPr>
      </w:r>
      <w:r>
        <w:rPr/>
        <w:t>险管理，进一步发挥各业务板块的技术和业务协同效应。</w:t>
      </w:r>
    </w:p>
    <w:p>
      <w:pPr>
        <w:pStyle w:val="BodyText"/>
        <w:spacing w:line="343" w:lineRule="auto" w:before="79"/>
        <w:ind w:left="1134" w:right="1110" w:firstLine="420"/>
        <w:jc w:val="both"/>
      </w:pPr>
      <w:r>
        <w:rPr>
          <w:rFonts w:ascii="Times New Roman" w:hAnsi="Times New Roman" w:cs="Times New Roman" w:eastAsia="Times New Roman" w:hint="default"/>
        </w:rPr>
        <w:t>5</w:t>
      </w:r>
      <w:r>
        <w:rPr/>
        <w:t>、人力资源计划：随着公司新技术、新业务、新区域的不断拓展，对优秀的中高层次人才的需求不 断加大，公司将通过在西南、西北、华北等地区设立研发或运营中心，加强对当地高端人才的引进力度， </w:t>
      </w:r>
      <w:r>
        <w:rPr>
          <w:spacing w:val="-1"/>
        </w:rPr>
        <w:t>并通过实施多样化的奖励、激励机制，提升公司人才团队的稳定性及人才吸引力，构建多层次、多维度的</w:t>
      </w:r>
      <w:r>
        <w:rPr>
          <w:spacing w:val="-85"/>
        </w:rPr>
        <w:t> </w:t>
      </w:r>
      <w:r>
        <w:rPr>
          <w:spacing w:val="-85"/>
        </w:rPr>
      </w:r>
      <w:r>
        <w:rPr/>
        <w:t>人才团队体系。</w:t>
      </w:r>
    </w:p>
    <w:p>
      <w:pPr>
        <w:pStyle w:val="BodyText"/>
        <w:spacing w:line="328" w:lineRule="auto" w:before="75"/>
        <w:ind w:left="1134" w:right="0" w:firstLine="420"/>
        <w:jc w:val="left"/>
      </w:pPr>
      <w:r>
        <w:rPr>
          <w:rFonts w:ascii="Times New Roman" w:hAnsi="Times New Roman" w:cs="Times New Roman" w:eastAsia="Times New Roman" w:hint="default"/>
          <w:spacing w:val="-1"/>
        </w:rPr>
        <w:t>6</w:t>
      </w:r>
      <w:r>
        <w:rPr>
          <w:spacing w:val="-1"/>
        </w:rPr>
        <w:t>、品牌宣传计划：公司将进一步加强品牌宣传以及技术能力和解决方案输出，并通过参与行业论坛、</w:t>
      </w:r>
      <w:r>
        <w:rPr/>
        <w:t> 产业联盟、行业标准制定等方式，不断加强品牌影响力，为业务拓展提供更强大的品牌助力。</w:t>
      </w:r>
    </w:p>
    <w:p>
      <w:pPr>
        <w:pStyle w:val="BodyText"/>
        <w:spacing w:line="328" w:lineRule="auto" w:before="88"/>
        <w:ind w:right="1110" w:firstLine="420"/>
        <w:jc w:val="both"/>
      </w:pPr>
      <w:r>
        <w:rPr>
          <w:spacing w:val="-1"/>
        </w:rPr>
        <w:t>上述经营计划、经营目标并不代表本公司对</w:t>
      </w:r>
      <w:r>
        <w:rPr>
          <w:rFonts w:ascii="Times New Roman" w:hAnsi="Times New Roman" w:cs="Times New Roman" w:eastAsia="Times New Roman" w:hint="default"/>
          <w:spacing w:val="-1"/>
        </w:rPr>
        <w:t>2018</w:t>
      </w:r>
      <w:r>
        <w:rPr>
          <w:spacing w:val="-1"/>
        </w:rPr>
        <w:t>年度的盈利做出了预测，其是否可实现将取决于企业</w:t>
      </w:r>
      <w:r>
        <w:rPr/>
        <w:t> 外部环境的影响和企业自身的经营状况等诸多因素，存在较大的不确定性，特提请投资者注意投资风险。</w:t>
      </w:r>
    </w:p>
    <w:p>
      <w:pPr>
        <w:pStyle w:val="Heading3"/>
        <w:spacing w:line="240" w:lineRule="auto" w:before="88"/>
        <w:ind w:left="1556" w:right="0"/>
        <w:jc w:val="left"/>
        <w:rPr>
          <w:b w:val="0"/>
          <w:bCs w:val="0"/>
        </w:rPr>
      </w:pPr>
      <w:r>
        <w:rPr/>
        <w:t>（三）影响公司发展的主要风险及对策</w:t>
      </w:r>
      <w:r>
        <w:rPr>
          <w:b w:val="0"/>
          <w:bCs w:val="0"/>
        </w:rPr>
      </w:r>
    </w:p>
    <w:p>
      <w:pPr>
        <w:spacing w:line="362" w:lineRule="auto" w:before="164"/>
        <w:ind w:left="1554" w:right="10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、投资并购及管理风险</w:t>
      </w:r>
      <w:r>
        <w:rPr>
          <w:rFonts w:ascii="宋体" w:hAnsi="宋体" w:cs="宋体" w:eastAsia="宋体" w:hint="default"/>
          <w:b/>
          <w:bCs/>
          <w:w w:val="99"/>
          <w:sz w:val="21"/>
          <w:szCs w:val="21"/>
        </w:rPr>
        <w:t> </w:t>
      </w:r>
      <w:r>
        <w:rPr>
          <w:rFonts w:ascii="宋体" w:hAnsi="宋体" w:cs="宋体" w:eastAsia="宋体" w:hint="default"/>
          <w:spacing w:val="-3"/>
          <w:sz w:val="21"/>
          <w:szCs w:val="21"/>
        </w:rPr>
        <w:t>虽然公司近年的收购方案已实施完成，但后续仍可能存在整合效果不达预期风险、盈利预测实现风险、</w:t>
      </w:r>
    </w:p>
    <w:p>
      <w:pPr>
        <w:pStyle w:val="BodyText"/>
        <w:spacing w:line="240" w:lineRule="auto" w:before="17"/>
        <w:ind w:left="1134" w:right="0"/>
        <w:jc w:val="both"/>
      </w:pPr>
      <w:r>
        <w:rPr/>
        <w:t>商誉减值风险、标的资产经营风险等多项风险因素。同时随着投资并购项目的增加，公司的子公司、孙公</w:t>
      </w:r>
    </w:p>
    <w:p>
      <w:pPr>
        <w:spacing w:after="0" w:line="240"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84" w:lineRule="auto" w:before="35"/>
        <w:ind w:left="1553" w:right="1018" w:hanging="420"/>
        <w:jc w:val="left"/>
      </w:pPr>
      <w:r>
        <w:rPr>
          <w:spacing w:val="-3"/>
        </w:rPr>
        <w:t>司逐渐增多，管理体系更加复杂，团队的稳定性、新业务领域的开拓风险等都将给公司管理带来新的挑战。</w:t>
      </w:r>
      <w:r>
        <w:rPr>
          <w:spacing w:val="-90"/>
        </w:rPr>
        <w:t> </w:t>
      </w:r>
      <w:r>
        <w:rPr>
          <w:spacing w:val="-90"/>
        </w:rPr>
      </w:r>
      <w:r>
        <w:rPr>
          <w:spacing w:val="-3"/>
        </w:rPr>
        <w:t>对此，公司采取了集团化管理模式，逐渐形成了一整套规避主要经营风险的整合策略和措施，从研发、</w:t>
      </w:r>
    </w:p>
    <w:p>
      <w:pPr>
        <w:pStyle w:val="BodyText"/>
        <w:spacing w:line="350" w:lineRule="auto"/>
        <w:ind w:right="1133"/>
        <w:jc w:val="both"/>
      </w:pPr>
      <w:r>
        <w:rPr>
          <w:spacing w:val="-1"/>
        </w:rPr>
        <w:t>销售、财务、采购、人事、行政、市场资料、企业文化等各个方面进行协同管理，严格规范子公司运作和</w:t>
      </w:r>
      <w:r>
        <w:rPr>
          <w:spacing w:val="-85"/>
        </w:rPr>
        <w:t> </w:t>
      </w:r>
      <w:r>
        <w:rPr>
          <w:spacing w:val="-85"/>
        </w:rPr>
      </w:r>
      <w:r>
        <w:rPr/>
        <w:t>管理，充分调动子公司的积极性，加快并购协同效应的发挥。</w:t>
      </w:r>
    </w:p>
    <w:p>
      <w:pPr>
        <w:spacing w:line="362" w:lineRule="auto" w:before="69"/>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、固定资产折旧、无形资产摊销、限制性股票费用摊销给公司经营业绩造成的风险</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公司已建成的募投项目，每年将新增一定的固定资产折旧及无形资产摊销，虽然公司在对项目进行可</w:t>
      </w:r>
    </w:p>
    <w:p>
      <w:pPr>
        <w:pStyle w:val="BodyText"/>
        <w:spacing w:line="350" w:lineRule="auto" w:before="17"/>
        <w:ind w:right="1131"/>
        <w:jc w:val="both"/>
      </w:pPr>
      <w:r>
        <w:rPr>
          <w:spacing w:val="-1"/>
        </w:rPr>
        <w:t>行性研究时，已经充分考虑了折旧、摊销费用等因素，同时这些费用也可通过提升经营业绩和项目利润予</w:t>
      </w:r>
      <w:r>
        <w:rPr>
          <w:spacing w:val="-83"/>
        </w:rPr>
        <w:t> </w:t>
      </w:r>
      <w:r>
        <w:rPr>
          <w:spacing w:val="-83"/>
        </w:rPr>
      </w:r>
      <w:r>
        <w:rPr>
          <w:spacing w:val="-1"/>
        </w:rPr>
        <w:t>以消化，但若因国家产业政策调整、市场需求变化等各种因素导致市场发生重大变化，使公司募投项目不</w:t>
      </w:r>
      <w:r>
        <w:rPr>
          <w:spacing w:val="-83"/>
        </w:rPr>
        <w:t> </w:t>
      </w:r>
      <w:r>
        <w:rPr>
          <w:spacing w:val="-83"/>
        </w:rPr>
      </w:r>
      <w:r>
        <w:rPr>
          <w:spacing w:val="-1"/>
        </w:rPr>
        <w:t>能如期产生效益或实际收益低于盈亏平衡点的收益，则新增的折旧、摊销费用将对公司的经营业绩造成不</w:t>
      </w:r>
      <w:r>
        <w:rPr>
          <w:spacing w:val="-81"/>
        </w:rPr>
        <w:t> </w:t>
      </w:r>
      <w:r>
        <w:rPr>
          <w:spacing w:val="-81"/>
        </w:rPr>
      </w:r>
      <w:r>
        <w:rPr>
          <w:spacing w:val="-1"/>
        </w:rPr>
        <w:t>利影响。另外，由于公司实施了限制性股票激励计划，若激励对象符合激励计划规定的解锁条件，则该等</w:t>
      </w:r>
      <w:r>
        <w:rPr>
          <w:spacing w:val="-86"/>
        </w:rPr>
        <w:t> </w:t>
      </w:r>
      <w:r>
        <w:rPr>
          <w:spacing w:val="-86"/>
        </w:rPr>
      </w:r>
      <w:r>
        <w:rPr>
          <w:spacing w:val="-1"/>
        </w:rPr>
        <w:t>公允价值总额作为公司本次激励计划的总成本将在股权激励计划的实施过程中按照解锁比例分期确认，也</w:t>
      </w:r>
      <w:r>
        <w:rPr>
          <w:spacing w:val="-81"/>
        </w:rPr>
        <w:t> </w:t>
      </w:r>
      <w:r>
        <w:rPr>
          <w:spacing w:val="-81"/>
        </w:rPr>
      </w:r>
      <w:r>
        <w:rPr/>
        <w:t>将对公司的经营业绩造成一定影响。</w:t>
      </w:r>
    </w:p>
    <w:p>
      <w:pPr>
        <w:pStyle w:val="BodyText"/>
        <w:spacing w:line="350" w:lineRule="auto" w:before="67"/>
        <w:ind w:right="1131" w:firstLine="420"/>
        <w:jc w:val="both"/>
      </w:pPr>
      <w:r>
        <w:rPr>
          <w:spacing w:val="-1"/>
        </w:rPr>
        <w:t>对此，公司将加大对募投项目的推广和市场开拓工作，积极推进产品的销售，坚持以国家政策与市场</w:t>
      </w:r>
      <w:r>
        <w:rPr/>
        <w:t> 需求为导向，不断调整策略，努力使募投项目产生预期收益。</w:t>
      </w:r>
    </w:p>
    <w:p>
      <w:pPr>
        <w:spacing w:line="362" w:lineRule="auto" w:before="67"/>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、技术失密和核心技术人员流失的风险</w:t>
      </w:r>
      <w:r>
        <w:rPr>
          <w:rFonts w:ascii="宋体" w:hAnsi="宋体" w:cs="宋体" w:eastAsia="宋体" w:hint="default"/>
          <w:b/>
          <w:bCs/>
          <w:w w:val="99"/>
          <w:sz w:val="21"/>
          <w:szCs w:val="21"/>
        </w:rPr>
        <w:t> </w:t>
      </w:r>
      <w:r>
        <w:rPr>
          <w:rFonts w:ascii="宋体" w:hAnsi="宋体" w:cs="宋体" w:eastAsia="宋体" w:hint="default"/>
          <w:spacing w:val="-1"/>
          <w:sz w:val="21"/>
          <w:szCs w:val="21"/>
        </w:rPr>
        <w:t>信息安全行业属知识密集型行业，行业内的市场竞争主要体现为产品科技含量和研发技术人员技术水</w:t>
      </w:r>
    </w:p>
    <w:p>
      <w:pPr>
        <w:pStyle w:val="BodyText"/>
        <w:spacing w:line="350" w:lineRule="auto" w:before="17"/>
        <w:ind w:left="1134" w:right="1131"/>
        <w:jc w:val="both"/>
      </w:pPr>
      <w:r>
        <w:rPr>
          <w:spacing w:val="-1"/>
        </w:rPr>
        <w:t>平的竞争。由于公司的技术水平处于行业领先地位，不排除出现竞争对手通过各种不正当手段窃取公司技</w:t>
      </w:r>
      <w:r>
        <w:rPr>
          <w:spacing w:val="-81"/>
        </w:rPr>
        <w:t> </w:t>
      </w:r>
      <w:r>
        <w:rPr>
          <w:spacing w:val="-81"/>
        </w:rPr>
      </w:r>
      <w:r>
        <w:rPr/>
        <w:t>术机密或争夺公司核心技术人员的情形。</w:t>
      </w:r>
    </w:p>
    <w:p>
      <w:pPr>
        <w:pStyle w:val="BodyText"/>
        <w:spacing w:line="350" w:lineRule="auto" w:before="67"/>
        <w:ind w:left="1134" w:right="1130" w:firstLine="420"/>
        <w:jc w:val="both"/>
      </w:pPr>
      <w:r>
        <w:rPr>
          <w:spacing w:val="-1"/>
        </w:rPr>
        <w:t>对此，公司将持续努力创建良好的工作环境和工作氛围，防止人才流失，同时公司已推出第一期员工</w:t>
      </w:r>
      <w:r>
        <w:rPr/>
        <w:t> </w:t>
      </w:r>
      <w:r>
        <w:rPr>
          <w:spacing w:val="-1"/>
        </w:rPr>
        <w:t>持股计划及第一期股权激励计划，对公司核心技术人员和管理团队的稳定将起到一定作用。目前，公司通</w:t>
      </w:r>
      <w:r>
        <w:rPr>
          <w:spacing w:val="-83"/>
        </w:rPr>
        <w:t> </w:t>
      </w:r>
      <w:r>
        <w:rPr>
          <w:spacing w:val="-83"/>
        </w:rPr>
      </w:r>
      <w:r>
        <w:rPr/>
        <w:t>过内部培养和外部聘请，努力打造一批高端的管理、研发及营销人才，以适应公司快速发展需要。</w:t>
      </w:r>
    </w:p>
    <w:p>
      <w:pPr>
        <w:spacing w:line="362" w:lineRule="auto" w:before="69"/>
        <w:ind w:left="1553" w:right="109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、技术开发和升级滞后的风险</w:t>
      </w:r>
      <w:r>
        <w:rPr>
          <w:rFonts w:ascii="宋体" w:hAnsi="宋体" w:cs="宋体" w:eastAsia="宋体" w:hint="default"/>
          <w:b/>
          <w:bCs/>
          <w:w w:val="99"/>
          <w:sz w:val="21"/>
          <w:szCs w:val="21"/>
        </w:rPr>
        <w:t> </w:t>
      </w:r>
      <w:r>
        <w:rPr>
          <w:rFonts w:ascii="宋体" w:hAnsi="宋体" w:cs="宋体" w:eastAsia="宋体" w:hint="default"/>
          <w:sz w:val="21"/>
          <w:szCs w:val="21"/>
        </w:rPr>
        <w:t>信息安全领域涉及的专业技术门类较多、技术更新速度快、生命周期短，云计算、虚拟化、大数据、</w:t>
      </w:r>
    </w:p>
    <w:p>
      <w:pPr>
        <w:pStyle w:val="BodyText"/>
        <w:spacing w:line="350" w:lineRule="auto" w:before="19"/>
        <w:ind w:right="1130"/>
        <w:jc w:val="both"/>
      </w:pPr>
      <w:r>
        <w:rPr>
          <w:spacing w:val="-1"/>
        </w:rPr>
        <w:t>物联网、移动互联网等新技术不断涌现，为了保持竞争优势，公司必须准确预测业内技术发展趋势，及时</w:t>
      </w:r>
      <w:r>
        <w:rPr>
          <w:spacing w:val="-86"/>
        </w:rPr>
        <w:t> </w:t>
      </w:r>
      <w:r>
        <w:rPr>
          <w:spacing w:val="-86"/>
        </w:rPr>
      </w:r>
      <w:r>
        <w:rPr>
          <w:spacing w:val="-1"/>
        </w:rPr>
        <w:t>将成熟、实用、先进的技术用于自身产品的设计开发和技术升级。如果不能准确地把握行业技术的发展趋</w:t>
      </w:r>
      <w:r>
        <w:rPr>
          <w:spacing w:val="-82"/>
        </w:rPr>
        <w:t> </w:t>
      </w:r>
      <w:r>
        <w:rPr>
          <w:spacing w:val="-82"/>
        </w:rPr>
      </w:r>
      <w:r>
        <w:rPr>
          <w:spacing w:val="-1"/>
        </w:rPr>
        <w:t>势，在技术开发方向的决策上发生失误，或不能及时将新技术运用于业务的开发和升级，公司将可能丧失</w:t>
      </w:r>
      <w:r>
        <w:rPr>
          <w:spacing w:val="-83"/>
        </w:rPr>
        <w:t> </w:t>
      </w:r>
      <w:r>
        <w:rPr>
          <w:spacing w:val="-83"/>
        </w:rPr>
      </w:r>
      <w:r>
        <w:rPr/>
        <w:t>在技术研发和市场的领先地位。</w:t>
      </w:r>
    </w:p>
    <w:p>
      <w:pPr>
        <w:pStyle w:val="BodyText"/>
        <w:spacing w:line="350" w:lineRule="auto" w:before="67"/>
        <w:ind w:right="1110" w:firstLine="420"/>
        <w:jc w:val="both"/>
      </w:pPr>
      <w:r>
        <w:rPr/>
        <w:t>对此，公司将持续加大技术研发投入，进一步完善研发激励机制。同时，公司已成立前沿技术部门， </w:t>
      </w:r>
      <w:r>
        <w:rPr>
          <w:spacing w:val="-1"/>
        </w:rPr>
        <w:t>持续关注国内外相关技术的最新发展动态，积极参与行业技术研讨会议，探索适合公司战略规划的技术发</w:t>
      </w:r>
      <w:r>
        <w:rPr>
          <w:spacing w:val="-81"/>
        </w:rPr>
        <w:t> </w:t>
      </w:r>
      <w:r>
        <w:rPr>
          <w:spacing w:val="-81"/>
        </w:rPr>
      </w:r>
      <w:r>
        <w:rPr/>
        <w:t>展方向。</w:t>
      </w:r>
    </w:p>
    <w:p>
      <w:pPr>
        <w:pStyle w:val="BodyText"/>
        <w:spacing w:line="362" w:lineRule="auto" w:before="69"/>
        <w:ind w:left="1553" w:right="0" w:firstLine="2"/>
        <w:jc w:val="left"/>
      </w:pPr>
      <w:r>
        <w:rPr>
          <w:rFonts w:ascii="Times New Roman" w:hAnsi="Times New Roman" w:cs="Times New Roman" w:eastAsia="Times New Roman" w:hint="default"/>
          <w:b/>
          <w:bCs/>
        </w:rPr>
        <w:t>5</w:t>
      </w:r>
      <w:r>
        <w:rPr>
          <w:rFonts w:ascii="宋体" w:hAnsi="宋体" w:cs="宋体" w:eastAsia="宋体" w:hint="default"/>
          <w:b/>
          <w:bCs/>
        </w:rPr>
        <w:t>、应收账款风险</w:t>
      </w:r>
      <w:r>
        <w:rPr>
          <w:rFonts w:ascii="宋体" w:hAnsi="宋体" w:cs="宋体" w:eastAsia="宋体" w:hint="default"/>
          <w:b/>
          <w:bCs/>
          <w:w w:val="99"/>
        </w:rPr>
        <w:t> </w:t>
      </w:r>
      <w:r>
        <w:rPr>
          <w:spacing w:val="-1"/>
        </w:rPr>
        <w:t>随着公司业务规模的快速扩大，且公司部分合同执行期及结算周期较长，应收账款数额增加，同时根</w:t>
      </w:r>
    </w:p>
    <w:p>
      <w:pPr>
        <w:pStyle w:val="BodyText"/>
        <w:spacing w:line="240" w:lineRule="auto" w:before="19"/>
        <w:ind w:right="0"/>
        <w:jc w:val="both"/>
      </w:pPr>
      <w:r>
        <w:rPr/>
        <w:t>据子公司中经电商的业务模式，也给予其客户一定的信用政策，致使公司整体应收账款金额较大，虽然公</w:t>
      </w:r>
    </w:p>
    <w:p>
      <w:pPr>
        <w:spacing w:after="0" w:line="240"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84" w:lineRule="auto" w:before="35"/>
        <w:ind w:left="1553" w:right="0" w:hanging="420"/>
        <w:jc w:val="left"/>
      </w:pPr>
      <w:r>
        <w:rPr/>
        <w:t>司客户质地较好，但仍有可能存在坏账的风险。 </w:t>
      </w:r>
      <w:r>
        <w:rPr>
          <w:spacing w:val="-1"/>
        </w:rPr>
        <w:t>对此，公司将不断完善应收账款管理，进一步加强应收账款事前审核、事中控制和事后监管，加大应</w:t>
      </w:r>
    </w:p>
    <w:p>
      <w:pPr>
        <w:pStyle w:val="BodyText"/>
        <w:spacing w:line="350" w:lineRule="auto"/>
        <w:ind w:right="0"/>
        <w:jc w:val="left"/>
      </w:pPr>
      <w:r>
        <w:rPr>
          <w:spacing w:val="-1"/>
        </w:rPr>
        <w:t>收账款责任制实施力度，优化业务人员在收款工作方面的考评，促进应收账款的回款，并根据客户性质的</w:t>
      </w:r>
      <w:r>
        <w:rPr>
          <w:spacing w:val="-83"/>
        </w:rPr>
        <w:t> </w:t>
      </w:r>
      <w:r>
        <w:rPr>
          <w:spacing w:val="-83"/>
        </w:rPr>
      </w:r>
      <w:r>
        <w:rPr/>
        <w:t>不同，规定不同的信用期限，将应收账款风险控制在合理的水平。</w:t>
      </w:r>
    </w:p>
    <w:p>
      <w:pPr>
        <w:spacing w:line="362" w:lineRule="auto" w:before="69"/>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、人力成本上升的风险</w:t>
      </w:r>
      <w:r>
        <w:rPr>
          <w:rFonts w:ascii="宋体" w:hAnsi="宋体" w:cs="宋体" w:eastAsia="宋体" w:hint="default"/>
          <w:b/>
          <w:bCs/>
          <w:w w:val="99"/>
          <w:sz w:val="21"/>
          <w:szCs w:val="21"/>
        </w:rPr>
        <w:t> </w:t>
      </w:r>
      <w:r>
        <w:rPr>
          <w:rFonts w:ascii="宋体" w:hAnsi="宋体" w:cs="宋体" w:eastAsia="宋体" w:hint="default"/>
          <w:spacing w:val="-1"/>
          <w:sz w:val="21"/>
          <w:szCs w:val="21"/>
        </w:rPr>
        <w:t>随着公司业务规模的不断扩大及并购项目的增加，所需人员团队不断扩张，整体工资费用也在不断上</w:t>
      </w:r>
    </w:p>
    <w:p>
      <w:pPr>
        <w:pStyle w:val="BodyText"/>
        <w:spacing w:line="384" w:lineRule="auto" w:before="17"/>
        <w:ind w:left="1553" w:right="0" w:hanging="420"/>
        <w:jc w:val="left"/>
      </w:pPr>
      <w:r>
        <w:rPr/>
        <w:t>升，如公司员工总成本增幅与营业收入增幅不匹配，将可能对公司经营业绩产生一定影响。 </w:t>
      </w:r>
      <w:r>
        <w:rPr>
          <w:spacing w:val="-1"/>
        </w:rPr>
        <w:t>对此，公司将加强成本控制、改善经营管理，提高员工工作效率，通过产品创新及市场拓展促使公司</w:t>
      </w:r>
    </w:p>
    <w:p>
      <w:pPr>
        <w:spacing w:line="499" w:lineRule="auto" w:before="0"/>
        <w:ind w:left="1133" w:right="6221" w:firstLine="0"/>
        <w:jc w:val="left"/>
        <w:rPr>
          <w:rFonts w:ascii="宋体" w:hAnsi="宋体" w:cs="宋体" w:eastAsia="宋体" w:hint="default"/>
          <w:sz w:val="21"/>
          <w:szCs w:val="21"/>
        </w:rPr>
      </w:pPr>
      <w:r>
        <w:rPr>
          <w:rFonts w:ascii="宋体" w:hAnsi="宋体" w:cs="宋体" w:eastAsia="宋体" w:hint="default"/>
          <w:sz w:val="21"/>
          <w:szCs w:val="21"/>
        </w:rPr>
        <w:t>营业收入持续增长。 </w:t>
      </w:r>
      <w:bookmarkStart w:name="十、接待调研、沟通、采访等活动登记表" w:id="61"/>
      <w:bookmarkEnd w:id="61"/>
      <w:r>
        <w:rPr>
          <w:rFonts w:ascii="宋体" w:hAnsi="宋体" w:cs="宋体" w:eastAsia="宋体" w:hint="default"/>
          <w:sz w:val="21"/>
          <w:szCs w:val="21"/>
        </w:rPr>
      </w:r>
      <w:r>
        <w:rPr>
          <w:rFonts w:ascii="宋体" w:hAnsi="宋体" w:cs="宋体" w:eastAsia="宋体" w:hint="default"/>
          <w:b/>
          <w:bCs/>
          <w:sz w:val="24"/>
          <w:szCs w:val="24"/>
        </w:rPr>
        <w:t>十、接待调研、沟通、采访等活动登记表</w:t>
      </w:r>
      <w:r>
        <w:rPr>
          <w:rFonts w:ascii="宋体" w:hAnsi="宋体" w:cs="宋体" w:eastAsia="宋体" w:hint="default"/>
          <w:b/>
          <w:bCs/>
          <w:w w:val="99"/>
          <w:sz w:val="24"/>
          <w:szCs w:val="24"/>
        </w:rPr>
        <w:t> </w:t>
      </w:r>
      <w:bookmarkStart w:name="1、报告期内接待调研、沟通、采访等活动登记表" w:id="62"/>
      <w:bookmarkEnd w:id="6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before="6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1277"/>
        <w:gridCol w:w="5883"/>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日投资者关系活动记录表）</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hyperlink r:id="rId14">
              <w:r>
                <w:rPr>
                  <w:rFonts w:ascii="Times New Roman" w:hAnsi="Times New Roman" w:cs="Times New Roman" w:eastAsia="Times New Roman" w:hint="default"/>
                  <w:sz w:val="18"/>
                  <w:szCs w:val="18"/>
                </w:rPr>
                <w:t>http://irm.cninfo.com.cn/ssessgs/S300297/index.html</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35"/>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31" w:lineRule="auto"/>
        <w:ind w:right="1130" w:firstLine="420"/>
        <w:jc w:val="both"/>
      </w:pPr>
      <w:r>
        <w:rPr>
          <w:rFonts w:ascii="Times New Roman" w:hAnsi="Times New Roman" w:cs="Times New Roman" w:eastAsia="Times New Roman" w:hint="default"/>
        </w:rPr>
        <w:t>1</w:t>
      </w:r>
      <w:r>
        <w:rPr/>
        <w:t>、经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日召开的第三届董事会第三十六次会议、第三届监事会第二十五次会议及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 </w:t>
      </w:r>
      <w:r>
        <w:rPr>
          <w:spacing w:val="-2"/>
        </w:rPr>
        <w:t>月</w:t>
      </w:r>
      <w:r>
        <w:rPr>
          <w:rFonts w:ascii="Times New Roman" w:hAnsi="Times New Roman" w:cs="Times New Roman" w:eastAsia="Times New Roman" w:hint="default"/>
          <w:spacing w:val="-2"/>
        </w:rPr>
        <w:t>31</w:t>
      </w:r>
      <w:r>
        <w:rPr>
          <w:spacing w:val="-2"/>
        </w:rPr>
        <w:t>日召开的</w:t>
      </w:r>
      <w:r>
        <w:rPr>
          <w:rFonts w:ascii="Times New Roman" w:hAnsi="Times New Roman" w:cs="Times New Roman" w:eastAsia="Times New Roman" w:hint="default"/>
          <w:spacing w:val="-2"/>
        </w:rPr>
        <w:t>2017</w:t>
      </w:r>
      <w:r>
        <w:rPr>
          <w:spacing w:val="-2"/>
        </w:rPr>
        <w:t>年第五次临时股东大会，审议通过了公司制定的《未来三年（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-2019</w:t>
      </w:r>
      <w:r>
        <w:rPr>
          <w:spacing w:val="-2"/>
        </w:rPr>
        <w:t>年）股东回报</w:t>
      </w:r>
      <w:r>
        <w:rPr>
          <w:spacing w:val="-93"/>
        </w:rPr>
        <w:t> </w:t>
      </w:r>
      <w:r>
        <w:rPr>
          <w:spacing w:val="-93"/>
        </w:rPr>
      </w:r>
      <w:r>
        <w:rPr/>
        <w:t>规划》，具体内容请参阅中国证监会指定信息披露网站巨潮资讯网。</w:t>
      </w:r>
    </w:p>
    <w:p>
      <w:pPr>
        <w:pStyle w:val="BodyText"/>
        <w:spacing w:line="331" w:lineRule="auto" w:before="84"/>
        <w:ind w:right="1130" w:firstLine="42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日召开</w:t>
      </w:r>
      <w:r>
        <w:rPr>
          <w:rFonts w:ascii="Times New Roman" w:hAnsi="Times New Roman" w:cs="Times New Roman" w:eastAsia="Times New Roman" w:hint="default"/>
          <w:spacing w:val="-2"/>
        </w:rPr>
        <w:t>2016</w:t>
      </w:r>
      <w:r>
        <w:rPr>
          <w:spacing w:val="-2"/>
        </w:rPr>
        <w:t>年度股东大会，审议通过了《关于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2016</w:t>
      </w:r>
      <w:r>
        <w:rPr>
          <w:spacing w:val="-2"/>
        </w:rPr>
        <w:t>年年度利润分配预案</w:t>
      </w:r>
      <w:r>
        <w:rPr>
          <w:rFonts w:ascii="Times New Roman" w:hAnsi="Times New Roman" w:cs="Times New Roman" w:eastAsia="Times New Roman" w:hint="default"/>
          <w:spacing w:val="-2"/>
        </w:rPr>
        <w:t>&gt;</w:t>
      </w:r>
      <w:r>
        <w:rPr>
          <w:rFonts w:ascii="Times New Roman" w:hAnsi="Times New Roman" w:cs="Times New Roman" w:eastAsia="Times New Roman" w:hint="default"/>
        </w:rPr>
        <w:t> </w:t>
      </w:r>
      <w:r>
        <w:rPr>
          <w:spacing w:val="-1"/>
        </w:rPr>
        <w:t>的议案》，以截至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1,175,455,904</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0.3</w:t>
      </w:r>
      <w:r>
        <w:rPr>
          <w:rFonts w:ascii="Times New Roman" w:hAnsi="Times New Roman" w:cs="Times New Roman" w:eastAsia="Times New Roman" w:hint="default"/>
          <w:spacing w:val="-24"/>
        </w:rPr>
        <w:t> </w:t>
      </w:r>
      <w:r>
        <w:rPr>
          <w:spacing w:val="-2"/>
        </w:rPr>
        <w:t>元人民币（含税），合计派发现金股利</w:t>
      </w:r>
      <w:r>
        <w:rPr>
          <w:rFonts w:ascii="Times New Roman" w:hAnsi="Times New Roman" w:cs="Times New Roman" w:eastAsia="Times New Roman" w:hint="default"/>
          <w:spacing w:val="-2"/>
        </w:rPr>
        <w:t>35,263,381.70</w:t>
      </w:r>
      <w:r>
        <w:rPr>
          <w:spacing w:val="-2"/>
        </w:rPr>
        <w:t>元（含税）。股权登记日为：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日，除权除</w:t>
      </w:r>
      <w:r>
        <w:rPr>
          <w:spacing w:val="-73"/>
        </w:rPr>
        <w:t> </w:t>
      </w:r>
      <w:r>
        <w:rPr>
          <w:spacing w:val="-73"/>
        </w:rPr>
      </w:r>
      <w:r>
        <w:rPr/>
        <w:t>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日。截止本报告期末，该利润分配方案已实施完毕。</w:t>
      </w:r>
    </w:p>
    <w:tbl>
      <w:tblPr>
        <w:tblW w:w="0" w:type="auto"/>
        <w:jc w:val="left"/>
        <w:tblInd w:w="1140" w:type="dxa"/>
        <w:tblLayout w:type="fixed"/>
        <w:tblCellMar>
          <w:top w:w="0" w:type="dxa"/>
          <w:left w:w="0" w:type="dxa"/>
          <w:bottom w:w="0" w:type="dxa"/>
          <w:right w:w="0" w:type="dxa"/>
        </w:tblCellMar>
        <w:tblLook w:val="01E0"/>
      </w:tblPr>
      <w:tblGrid>
        <w:gridCol w:w="4940"/>
        <w:gridCol w:w="4617"/>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7"/>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 得到了充分保护：</w:t>
            </w:r>
          </w:p>
        </w:tc>
        <w:tc>
          <w:tcPr>
            <w:tcW w:w="46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94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37"/>
              <w:ind w:left="11" w:right="-51"/>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现金分红政策进行调整或变更的，条件及程序是否合规、透明：</w:t>
            </w:r>
            <w:r>
              <w:rPr>
                <w:rFonts w:ascii="宋体" w:hAnsi="宋体" w:cs="宋体" w:eastAsia="宋体" w:hint="default"/>
                <w:sz w:val="18"/>
                <w:szCs w:val="18"/>
              </w:rPr>
            </w:r>
          </w:p>
        </w:tc>
        <w:tc>
          <w:tcPr>
            <w:tcW w:w="4617"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37"/>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37"/>
        <w:ind w:left="1134" w:right="0" w:firstLine="0"/>
        <w:jc w:val="left"/>
        <w:rPr>
          <w:rFonts w:ascii="宋体" w:hAnsi="宋体" w:cs="宋体" w:eastAsia="宋体" w:hint="default"/>
          <w:sz w:val="18"/>
          <w:szCs w:val="18"/>
        </w:rPr>
      </w:pPr>
      <w:r>
        <w:rPr/>
        <w:pict>
          <v:group style="position:absolute;margin-left:306.220001pt;margin-top:-20.818295pt;width:227.55pt;height:19.650pt;mso-position-horizontal-relative:page;mso-position-vertical-relative:paragraph;z-index:-1149328" coordorigin="6124,-416" coordsize="4551,393">
            <v:shape style="position:absolute;left:6124;top:-416;width:4551;height:393" coordorigin="6124,-416" coordsize="4551,393" path="m6124,-24l10675,-24,10675,-416,6124,-416,6124,-24xe" filled="true" fillcolor="#ffffff" stroked="false">
              <v:path arrowok="t"/>
              <v:fill type="solid"/>
            </v:shape>
            <w10:wrap type="none"/>
          </v:group>
        </w:pict>
      </w: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1,175,365,904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42,313,172.54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927,544,179.89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根据当期经营情况和后期发展过程中的资金需求计划，公司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年年度利润分配预案为：以截至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1,175,3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5,904  </w:t>
            </w:r>
            <w:r>
              <w:rPr>
                <w:rFonts w:ascii="宋体" w:hAnsi="宋体" w:cs="宋体" w:eastAsia="宋体" w:hint="default"/>
                <w:sz w:val="18"/>
                <w:szCs w:val="18"/>
              </w:rPr>
              <w:t>股为基</w:t>
            </w:r>
            <w:r>
              <w:rPr>
                <w:rFonts w:ascii="宋体" w:hAnsi="宋体" w:cs="宋体" w:eastAsia="宋体" w:hint="default"/>
                <w:spacing w:val="-2"/>
                <w:sz w:val="18"/>
                <w:szCs w:val="18"/>
              </w:rPr>
              <w:t>数</w:t>
            </w:r>
            <w:r>
              <w:rPr>
                <w:rFonts w:ascii="宋体" w:hAnsi="宋体" w:cs="宋体" w:eastAsia="宋体" w:hint="default"/>
                <w:spacing w:val="-54"/>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54"/>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54"/>
                <w:sz w:val="18"/>
                <w:szCs w:val="18"/>
              </w:rPr>
              <w:t>，</w:t>
            </w:r>
            <w:r>
              <w:rPr>
                <w:rFonts w:ascii="宋体" w:hAnsi="宋体" w:cs="宋体" w:eastAsia="宋体" w:hint="default"/>
                <w:sz w:val="18"/>
                <w:szCs w:val="18"/>
              </w:rPr>
              <w:t>合计派发现金红利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42,313,17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10"/>
        <w:rPr>
          <w:rFonts w:ascii="宋体" w:hAnsi="宋体" w:cs="宋体" w:eastAsia="宋体" w:hint="default"/>
          <w:sz w:val="12"/>
          <w:szCs w:val="12"/>
        </w:rPr>
      </w:pPr>
    </w:p>
    <w:p>
      <w:pPr>
        <w:pStyle w:val="BodyText"/>
        <w:spacing w:line="240" w:lineRule="auto"/>
        <w:ind w:left="155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年年度利润分配预案</w:t>
      </w:r>
    </w:p>
    <w:p>
      <w:pPr>
        <w:pStyle w:val="BodyText"/>
        <w:spacing w:line="240" w:lineRule="auto" w:before="148"/>
        <w:ind w:left="1554" w:right="0"/>
        <w:jc w:val="left"/>
        <w:rPr>
          <w:rFonts w:ascii="Times New Roman" w:hAnsi="Times New Roman" w:cs="Times New Roman" w:eastAsia="Times New Roman" w:hint="default"/>
        </w:rPr>
      </w:pPr>
      <w:r>
        <w:rPr/>
        <w:t>以截至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日公司总股本</w:t>
      </w:r>
      <w:r>
        <w:rPr>
          <w:spacing w:val="-53"/>
        </w:rPr>
        <w:t> </w:t>
      </w:r>
      <w:r>
        <w:rPr>
          <w:rFonts w:ascii="Times New Roman" w:hAnsi="Times New Roman" w:cs="Times New Roman" w:eastAsia="Times New Roman" w:hint="default"/>
        </w:rPr>
        <w:t>1,175,365,904</w:t>
      </w:r>
      <w:r>
        <w:rPr>
          <w:rFonts w:ascii="Times New Roman" w:hAnsi="Times New Roman" w:cs="Times New Roman" w:eastAsia="Times New Roman" w:hint="default"/>
          <w:spacing w:val="-1"/>
        </w:rPr>
        <w:t> </w:t>
      </w:r>
      <w:r>
        <w:rPr>
          <w:spacing w:val="-7"/>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54"/>
        </w:rPr>
        <w:t> </w:t>
      </w:r>
      <w:r>
        <w:rPr>
          <w:rFonts w:ascii="Times New Roman" w:hAnsi="Times New Roman" w:cs="Times New Roman" w:eastAsia="Times New Roman" w:hint="default"/>
        </w:rPr>
        <w:t>0.36</w:t>
      </w:r>
    </w:p>
    <w:p>
      <w:pPr>
        <w:pStyle w:val="BodyText"/>
        <w:spacing w:line="240" w:lineRule="auto" w:before="110"/>
        <w:ind w:right="0"/>
        <w:jc w:val="left"/>
      </w:pPr>
      <w:r>
        <w:rPr/>
        <w:t>元人民币（含税）。</w:t>
      </w:r>
    </w:p>
    <w:p>
      <w:pPr>
        <w:pStyle w:val="BodyText"/>
        <w:spacing w:line="240" w:lineRule="auto" w:before="164"/>
        <w:ind w:left="155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年年度利润分配方案</w:t>
      </w:r>
    </w:p>
    <w:p>
      <w:pPr>
        <w:pStyle w:val="BodyText"/>
        <w:spacing w:line="240" w:lineRule="auto" w:before="149"/>
        <w:ind w:left="1554" w:right="0"/>
        <w:jc w:val="left"/>
        <w:rPr>
          <w:rFonts w:ascii="Times New Roman" w:hAnsi="Times New Roman" w:cs="Times New Roman" w:eastAsia="Times New Roman" w:hint="default"/>
        </w:rPr>
      </w:pPr>
      <w:r>
        <w:rPr/>
        <w:t>以截至</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日公司总股本</w:t>
      </w:r>
      <w:r>
        <w:rPr>
          <w:spacing w:val="-53"/>
        </w:rPr>
        <w:t> </w:t>
      </w:r>
      <w:r>
        <w:rPr>
          <w:rFonts w:ascii="Times New Roman" w:hAnsi="Times New Roman" w:cs="Times New Roman" w:eastAsia="Times New Roman" w:hint="default"/>
        </w:rPr>
        <w:t>1,175,455,904</w:t>
      </w:r>
      <w:r>
        <w:rPr>
          <w:rFonts w:ascii="Times New Roman" w:hAnsi="Times New Roman" w:cs="Times New Roman" w:eastAsia="Times New Roman" w:hint="default"/>
          <w:spacing w:val="-1"/>
        </w:rPr>
        <w:t> </w:t>
      </w:r>
      <w:r>
        <w:rPr>
          <w:spacing w:val="-7"/>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54"/>
        </w:rPr>
        <w:t> </w:t>
      </w:r>
      <w:r>
        <w:rPr>
          <w:rFonts w:ascii="Times New Roman" w:hAnsi="Times New Roman" w:cs="Times New Roman" w:eastAsia="Times New Roman" w:hint="default"/>
        </w:rPr>
        <w:t>0.30</w:t>
      </w:r>
    </w:p>
    <w:p>
      <w:pPr>
        <w:pStyle w:val="BodyText"/>
        <w:spacing w:line="240" w:lineRule="auto" w:before="109"/>
        <w:ind w:right="0"/>
        <w:jc w:val="left"/>
      </w:pPr>
      <w:r>
        <w:rPr/>
        <w:t>元人民币（含税）。</w:t>
      </w:r>
    </w:p>
    <w:p>
      <w:pPr>
        <w:pStyle w:val="BodyText"/>
        <w:spacing w:line="240" w:lineRule="auto" w:before="165"/>
        <w:ind w:left="155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年年度利润分配方案</w:t>
      </w:r>
    </w:p>
    <w:p>
      <w:pPr>
        <w:pStyle w:val="BodyText"/>
        <w:spacing w:line="240" w:lineRule="auto" w:before="149"/>
        <w:ind w:left="1554" w:right="0"/>
        <w:jc w:val="left"/>
        <w:rPr>
          <w:rFonts w:ascii="Times New Roman" w:hAnsi="Times New Roman" w:cs="Times New Roman" w:eastAsia="Times New Roman" w:hint="default"/>
        </w:rPr>
      </w:pPr>
      <w:r>
        <w:rPr/>
        <w:t>以截至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日公司总股本</w:t>
      </w:r>
      <w:r>
        <w:rPr>
          <w:spacing w:val="-53"/>
        </w:rPr>
        <w:t> </w:t>
      </w:r>
      <w:r>
        <w:rPr>
          <w:rFonts w:ascii="Times New Roman" w:hAnsi="Times New Roman" w:cs="Times New Roman" w:eastAsia="Times New Roman" w:hint="default"/>
        </w:rPr>
        <w:t>970,685,034</w:t>
      </w:r>
      <w:r>
        <w:rPr>
          <w:rFonts w:ascii="Times New Roman" w:hAnsi="Times New Roman" w:cs="Times New Roman" w:eastAsia="Times New Roman" w:hint="default"/>
          <w:spacing w:val="-1"/>
        </w:rPr>
        <w:t> </w:t>
      </w:r>
      <w:r>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54"/>
        </w:rPr>
        <w:t> </w:t>
      </w:r>
      <w:r>
        <w:rPr>
          <w:rFonts w:ascii="Times New Roman" w:hAnsi="Times New Roman" w:cs="Times New Roman" w:eastAsia="Times New Roman" w:hint="default"/>
        </w:rPr>
        <w:t>0.03</w:t>
      </w:r>
    </w:p>
    <w:p>
      <w:pPr>
        <w:pStyle w:val="BodyText"/>
        <w:spacing w:line="240" w:lineRule="auto" w:before="109"/>
        <w:ind w:right="0"/>
        <w:jc w:val="left"/>
      </w:pPr>
      <w:r>
        <w:rPr/>
        <w:t>元人民币（含税）。</w:t>
      </w:r>
    </w:p>
    <w:p>
      <w:pPr>
        <w:pStyle w:val="BodyText"/>
        <w:spacing w:line="240" w:lineRule="auto" w:before="165"/>
        <w:ind w:left="155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年半年度利润分配方案</w:t>
      </w:r>
    </w:p>
    <w:p>
      <w:pPr>
        <w:pStyle w:val="BodyText"/>
        <w:spacing w:line="240" w:lineRule="auto" w:before="148"/>
        <w:ind w:left="1554" w:right="0"/>
        <w:jc w:val="left"/>
      </w:pPr>
      <w:r>
        <w:rPr/>
        <w:t>以截至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日公司总股本</w:t>
      </w:r>
      <w:r>
        <w:rPr>
          <w:spacing w:val="-53"/>
        </w:rPr>
        <w:t> </w:t>
      </w:r>
      <w:r>
        <w:rPr>
          <w:rFonts w:ascii="Times New Roman" w:hAnsi="Times New Roman" w:cs="Times New Roman" w:eastAsia="Times New Roman" w:hint="default"/>
        </w:rPr>
        <w:t>485,342,517</w:t>
      </w:r>
      <w:r>
        <w:rPr>
          <w:rFonts w:ascii="Times New Roman" w:hAnsi="Times New Roman" w:cs="Times New Roman" w:eastAsia="Times New Roman" w:hint="default"/>
          <w:spacing w:val="-1"/>
        </w:rPr>
        <w:t> </w:t>
      </w:r>
      <w:r>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股送红股</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股，派发现金</w:t>
      </w:r>
    </w:p>
    <w:p>
      <w:pPr>
        <w:pStyle w:val="BodyText"/>
        <w:spacing w:line="240" w:lineRule="auto" w:before="110"/>
        <w:ind w:right="0"/>
        <w:jc w:val="left"/>
      </w:pPr>
      <w:r>
        <w:rPr/>
        <w:t>红利</w:t>
      </w:r>
      <w:r>
        <w:rPr>
          <w:spacing w:val="-55"/>
        </w:rPr>
        <w:t> </w:t>
      </w:r>
      <w:r>
        <w:rPr>
          <w:rFonts w:ascii="Times New Roman" w:hAnsi="Times New Roman" w:cs="Times New Roman" w:eastAsia="Times New Roman" w:hint="default"/>
        </w:rPr>
        <w:t>0.25</w:t>
      </w:r>
      <w:r>
        <w:rPr>
          <w:rFonts w:ascii="Times New Roman" w:hAnsi="Times New Roman" w:cs="Times New Roman" w:eastAsia="Times New Roman" w:hint="default"/>
          <w:spacing w:val="-1"/>
        </w:rPr>
        <w:t> </w:t>
      </w:r>
      <w:r>
        <w:rPr/>
        <w:t>元人民币（含税），同时以资本公积向股东每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股。</w:t>
      </w:r>
    </w:p>
    <w:p>
      <w:pPr>
        <w:spacing w:before="85"/>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19"/>
        <w:gridCol w:w="1843"/>
        <w:gridCol w:w="1842"/>
        <w:gridCol w:w="1700"/>
        <w:gridCol w:w="1419"/>
        <w:gridCol w:w="1344"/>
      </w:tblGrid>
      <w:tr>
        <w:trPr>
          <w:trHeight w:val="161"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5" w:right="10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3" w:right="75" w:hanging="181"/>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6" w:right="36"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842"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156"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34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42,313,172.54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413,809,537.85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35,263,381.70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322,894,873.34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15,045,599.99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119,452,531.65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48,534,251.70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149256"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二、承诺事项履行情况" w:id="66"/>
      <w:bookmarkEnd w:id="66"/>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pict>
          <v:shape style="position:absolute;margin-left:570.159973pt;margin-top:73.331711pt;width:118.3pt;height:46.8pt;mso-position-horizontal-relative:page;mso-position-vertical-relative:paragraph;z-index:-1149280"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本次重组完成后，</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985"/>
        <w:gridCol w:w="2126"/>
        <w:gridCol w:w="1418"/>
        <w:gridCol w:w="5811"/>
        <w:gridCol w:w="994"/>
        <w:gridCol w:w="992"/>
        <w:gridCol w:w="113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2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86"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r>
              <w:rPr>
                <w:rFonts w:ascii="Times New Roman" w:hAnsi="Times New Roman" w:cs="Times New Roman" w:eastAsia="Times New Roman" w:hint="default"/>
                <w:sz w:val="18"/>
                <w:szCs w:val="18"/>
              </w:rPr>
              <w:t>;</w:t>
            </w:r>
            <w:r>
              <w:rPr>
                <w:rFonts w:ascii="宋体" w:hAnsi="宋体" w:cs="宋体" w:eastAsia="宋体" w:hint="default"/>
                <w:sz w:val="18"/>
                <w:szCs w:val="18"/>
              </w:rPr>
              <w:t>柯宗贵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公司通过发行股份及支付现金的方式购买华炜科技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股份并以非公 </w:t>
            </w:r>
            <w:r>
              <w:rPr>
                <w:rFonts w:ascii="宋体" w:hAnsi="宋体" w:cs="宋体" w:eastAsia="宋体" w:hint="default"/>
                <w:spacing w:val="-7"/>
                <w:w w:val="99"/>
                <w:sz w:val="18"/>
                <w:szCs w:val="18"/>
              </w:rPr>
              <w:t>开发行股票的方式募集配套资金（以下简称</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本次重组</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w:t>
            </w:r>
            <w:r>
              <w:rPr>
                <w:rFonts w:ascii="宋体" w:hAnsi="宋体" w:cs="宋体" w:eastAsia="宋体" w:hint="default"/>
                <w:spacing w:val="-69"/>
                <w:w w:val="99"/>
                <w:sz w:val="18"/>
                <w:szCs w:val="18"/>
              </w:rPr>
              <w:t> </w:t>
            </w:r>
            <w:r>
              <w:rPr>
                <w:rFonts w:ascii="宋体" w:hAnsi="宋体" w:cs="宋体" w:eastAsia="宋体" w:hint="default"/>
                <w:spacing w:val="-69"/>
                <w:w w:val="99"/>
                <w:sz w:val="18"/>
                <w:szCs w:val="18"/>
              </w:rPr>
            </w:r>
            <w:r>
              <w:rPr>
                <w:rFonts w:ascii="宋体" w:hAnsi="宋体" w:cs="宋体" w:eastAsia="宋体" w:hint="default"/>
                <w:sz w:val="18"/>
                <w:szCs w:val="18"/>
              </w:rPr>
              <w:t>华炜科技成为蓝盾股份全资子公司，本人持有的蓝盾股份股票将增加 </w:t>
            </w:r>
            <w:r>
              <w:rPr>
                <w:rFonts w:ascii="Times New Roman" w:hAnsi="Times New Roman" w:cs="Times New Roman" w:eastAsia="Times New Roman" w:hint="default"/>
                <w:sz w:val="18"/>
                <w:szCs w:val="18"/>
              </w:rPr>
              <w:t>3,062,360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股（送转后为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13,474,384</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股）。本人就本次重组中本人所认购的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蓝盾股份的股票，本人特此承诺如下：本人在本次重组中认购的蓝盾股份</w:t>
            </w:r>
            <w:r>
              <w:rPr>
                <w:rFonts w:ascii="宋体" w:hAnsi="宋体" w:cs="宋体" w:eastAsia="宋体" w:hint="default"/>
                <w:sz w:val="18"/>
                <w:szCs w:val="18"/>
              </w:rPr>
              <w:t> 股票自上市之日起三十六个月内不进行转让，之后按《蓝盾信息安全技术 股份有限公司非公开发行股票之股份认购协议》及中国证券监督管理委员 会及深圳证券交易所的有关规定执行。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49"/>
              <w:jc w:val="left"/>
              <w:rPr>
                <w:rFonts w:ascii="宋体" w:hAnsi="宋体" w:cs="宋体" w:eastAsia="宋体" w:hint="default"/>
                <w:sz w:val="20"/>
                <w:szCs w:val="20"/>
              </w:rPr>
            </w:pPr>
            <w:r>
              <w:rPr>
                <w:rFonts w:ascii="宋体" w:hAnsi="宋体" w:cs="宋体" w:eastAsia="宋体" w:hint="default"/>
                <w:position w:val="-18"/>
                <w:sz w:val="20"/>
                <w:szCs w:val="20"/>
              </w:rPr>
              <w:pict>
                <v:group style="width:49.15pt;height:46.8pt;mso-position-horizontal-relative:char;mso-position-vertical-relative:line" coordorigin="0,0" coordsize="983,936">
                  <v:group style="position:absolute;left:0;top:0;width:983;height:936" coordorigin="0,0" coordsize="983,936">
                    <v:shape style="position:absolute;left:0;top:0;width:983;height:936" coordorigin="0,0" coordsize="983,936" path="m0,936l983,936,983,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10"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16" w:right="53"/>
              <w:jc w:val="both"/>
              <w:rPr>
                <w:rFonts w:ascii="宋体" w:hAnsi="宋体" w:cs="宋体" w:eastAsia="宋体" w:hint="default"/>
                <w:sz w:val="18"/>
                <w:szCs w:val="18"/>
              </w:rPr>
            </w:pPr>
            <w:r>
              <w:rPr>
                <w:rFonts w:ascii="宋体" w:hAnsi="宋体" w:cs="宋体" w:eastAsia="宋体" w:hint="default"/>
                <w:sz w:val="18"/>
                <w:szCs w:val="18"/>
              </w:rPr>
              <w:t>蓝盾信息安全技术股份有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第一期员工持股计 划</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811"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本次重组完成后，华炜科技将成为蓝盾股份全资子公司，蓝盾信息安全技 </w:t>
            </w:r>
            <w:r>
              <w:rPr>
                <w:rFonts w:ascii="宋体" w:hAnsi="宋体" w:cs="宋体" w:eastAsia="宋体" w:hint="default"/>
                <w:spacing w:val="-1"/>
                <w:sz w:val="18"/>
                <w:szCs w:val="18"/>
              </w:rPr>
              <w:t>术股份有限公司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第一期员工持股计划（以下称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本计划</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）将成为蓝盾股份</w:t>
            </w:r>
            <w:r>
              <w:rPr>
                <w:rFonts w:ascii="宋体" w:hAnsi="宋体" w:cs="宋体" w:eastAsia="宋体" w:hint="default"/>
                <w:sz w:val="18"/>
                <w:szCs w:val="18"/>
              </w:rPr>
              <w:t> 的股东。本计划就本次重组中本计划所认购的蓝盾股份的股票，本计划特 此承诺如下：本计划在本次重组中认购的蓝盾股份股票自上市之日起三十 六个月内不进行转让，之后按《蓝盾信息安全技术股份有限公司非公开发 行股票之股份认购协议》及中国证券监督管理委员会及深圳证券交易所的 有关规定执行。</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2"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126" w:type="dxa"/>
            <w:vMerge/>
            <w:tcBorders>
              <w:left w:val="single" w:sz="9"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581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272"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81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192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0" w:lineRule="auto"/>
              <w:ind w:left="22" w:right="91"/>
              <w:jc w:val="both"/>
              <w:rPr>
                <w:rFonts w:ascii="宋体" w:hAnsi="宋体" w:cs="宋体" w:eastAsia="宋体" w:hint="default"/>
                <w:sz w:val="18"/>
                <w:szCs w:val="18"/>
              </w:rPr>
            </w:pPr>
            <w:r>
              <w:rPr>
                <w:rFonts w:ascii="宋体" w:hAnsi="宋体" w:cs="宋体" w:eastAsia="宋体" w:hint="default"/>
                <w:sz w:val="18"/>
                <w:szCs w:val="18"/>
              </w:rPr>
              <w:t>张远鹏</w:t>
            </w:r>
            <w:r>
              <w:rPr>
                <w:rFonts w:ascii="Times New Roman" w:hAnsi="Times New Roman" w:cs="Times New Roman" w:eastAsia="Times New Roman" w:hint="default"/>
                <w:sz w:val="18"/>
                <w:szCs w:val="18"/>
              </w:rPr>
              <w:t>;</w:t>
            </w:r>
            <w:r>
              <w:rPr>
                <w:rFonts w:ascii="宋体" w:hAnsi="宋体" w:cs="宋体" w:eastAsia="宋体" w:hint="default"/>
                <w:sz w:val="18"/>
                <w:szCs w:val="18"/>
              </w:rPr>
              <w:t>史利民</w:t>
            </w:r>
            <w:r>
              <w:rPr>
                <w:rFonts w:ascii="Times New Roman" w:hAnsi="Times New Roman" w:cs="Times New Roman" w:eastAsia="Times New Roman" w:hint="default"/>
                <w:sz w:val="18"/>
                <w:szCs w:val="18"/>
              </w:rPr>
              <w:t>;</w:t>
            </w:r>
            <w:r>
              <w:rPr>
                <w:rFonts w:ascii="宋体" w:hAnsi="宋体" w:cs="宋体" w:eastAsia="宋体" w:hint="default"/>
                <w:sz w:val="18"/>
                <w:szCs w:val="18"/>
              </w:rPr>
              <w:t>梁发柱</w:t>
            </w:r>
            <w:r>
              <w:rPr>
                <w:rFonts w:ascii="Times New Roman" w:hAnsi="Times New Roman" w:cs="Times New Roman" w:eastAsia="Times New Roman" w:hint="default"/>
                <w:sz w:val="18"/>
                <w:szCs w:val="18"/>
              </w:rPr>
              <w:t>;</w:t>
            </w:r>
            <w:r>
              <w:rPr>
                <w:rFonts w:ascii="宋体" w:hAnsi="宋体" w:cs="宋体" w:eastAsia="宋体" w:hint="default"/>
                <w:sz w:val="18"/>
                <w:szCs w:val="18"/>
              </w:rPr>
              <w:t>张 宇弋</w:t>
            </w:r>
            <w:r>
              <w:rPr>
                <w:rFonts w:ascii="Times New Roman" w:hAnsi="Times New Roman" w:cs="Times New Roman" w:eastAsia="Times New Roman" w:hint="default"/>
                <w:sz w:val="18"/>
                <w:szCs w:val="18"/>
              </w:rPr>
              <w:t>;</w:t>
            </w:r>
            <w:r>
              <w:rPr>
                <w:rFonts w:ascii="宋体" w:hAnsi="宋体" w:cs="宋体" w:eastAsia="宋体" w:hint="default"/>
                <w:sz w:val="18"/>
                <w:szCs w:val="18"/>
              </w:rPr>
              <w:t>程庆国</w:t>
            </w:r>
            <w:r>
              <w:rPr>
                <w:rFonts w:ascii="Times New Roman" w:hAnsi="Times New Roman" w:cs="Times New Roman" w:eastAsia="Times New Roman" w:hint="default"/>
                <w:sz w:val="18"/>
                <w:szCs w:val="18"/>
              </w:rPr>
              <w:t>;</w:t>
            </w:r>
            <w:r>
              <w:rPr>
                <w:rFonts w:ascii="宋体" w:hAnsi="宋体" w:cs="宋体" w:eastAsia="宋体" w:hint="default"/>
                <w:sz w:val="18"/>
                <w:szCs w:val="18"/>
              </w:rPr>
              <w:t>王兵</w:t>
            </w:r>
            <w:r>
              <w:rPr>
                <w:rFonts w:ascii="Times New Roman" w:hAnsi="Times New Roman" w:cs="Times New Roman" w:eastAsia="Times New Roman" w:hint="default"/>
                <w:sz w:val="18"/>
                <w:szCs w:val="18"/>
              </w:rPr>
              <w:t>;</w:t>
            </w:r>
            <w:r>
              <w:rPr>
                <w:rFonts w:ascii="宋体" w:hAnsi="宋体" w:cs="宋体" w:eastAsia="宋体" w:hint="default"/>
                <w:sz w:val="18"/>
                <w:szCs w:val="18"/>
              </w:rPr>
              <w:t>黎讴</w:t>
            </w:r>
            <w:r>
              <w:rPr>
                <w:rFonts w:ascii="Times New Roman" w:hAnsi="Times New Roman" w:cs="Times New Roman" w:eastAsia="Times New Roman" w:hint="default"/>
                <w:sz w:val="18"/>
                <w:szCs w:val="18"/>
              </w:rPr>
              <w:t>;</w:t>
            </w:r>
            <w:r>
              <w:rPr>
                <w:rFonts w:ascii="宋体" w:hAnsi="宋体" w:cs="宋体" w:eastAsia="宋体" w:hint="default"/>
                <w:sz w:val="18"/>
                <w:szCs w:val="18"/>
              </w:rPr>
              <w:t>曹 冬平</w:t>
            </w:r>
            <w:r>
              <w:rPr>
                <w:rFonts w:ascii="Times New Roman" w:hAnsi="Times New Roman" w:cs="Times New Roman" w:eastAsia="Times New Roman" w:hint="default"/>
                <w:sz w:val="18"/>
                <w:szCs w:val="18"/>
              </w:rPr>
              <w:t>;</w:t>
            </w:r>
            <w:r>
              <w:rPr>
                <w:rFonts w:ascii="宋体" w:hAnsi="宋体" w:cs="宋体" w:eastAsia="宋体" w:hint="default"/>
                <w:sz w:val="18"/>
                <w:szCs w:val="18"/>
              </w:rPr>
              <w:t>张萍</w:t>
            </w:r>
            <w:r>
              <w:rPr>
                <w:rFonts w:ascii="Times New Roman" w:hAnsi="Times New Roman" w:cs="Times New Roman" w:eastAsia="Times New Roman" w:hint="default"/>
                <w:sz w:val="18"/>
                <w:szCs w:val="18"/>
              </w:rPr>
              <w:t>;</w:t>
            </w:r>
            <w:r>
              <w:rPr>
                <w:rFonts w:ascii="宋体" w:hAnsi="宋体" w:cs="宋体" w:eastAsia="宋体" w:hint="default"/>
                <w:sz w:val="18"/>
                <w:szCs w:val="18"/>
              </w:rPr>
              <w:t>赵隽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根据上市公司与利润补偿方签署的《盈利预测补偿协议》，利润补偿方对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华炜科技在利润补偿期实现的净利润数进行下述承诺：华炜科技在利润补</w:t>
            </w:r>
            <w:r>
              <w:rPr>
                <w:rFonts w:ascii="宋体" w:hAnsi="宋体" w:cs="宋体" w:eastAsia="宋体" w:hint="default"/>
                <w:sz w:val="18"/>
                <w:szCs w:val="18"/>
              </w:rPr>
              <w:t> 偿期（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年）实现的净利润总额不低于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p>
          <w:p>
            <w:pPr>
              <w:pStyle w:val="TableParagraph"/>
              <w:spacing w:line="300" w:lineRule="auto" w:before="63"/>
              <w:ind w:left="22" w:right="62"/>
              <w:jc w:val="left"/>
              <w:rPr>
                <w:rFonts w:ascii="宋体" w:hAnsi="宋体" w:cs="宋体" w:eastAsia="宋体" w:hint="default"/>
                <w:sz w:val="18"/>
                <w:szCs w:val="18"/>
              </w:rPr>
            </w:pPr>
            <w:r>
              <w:rPr>
                <w:rFonts w:ascii="宋体" w:hAnsi="宋体" w:cs="宋体" w:eastAsia="宋体" w:hint="default"/>
                <w:sz w:val="18"/>
                <w:szCs w:val="18"/>
              </w:rPr>
              <w:t>年度净利润不低于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 净利润是指华炜科技合并报表中扣除非经常性损益前后归属于母公司股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至利润补偿 义务履行完 毕之日止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6840" w:h="11910" w:orient="landscape"/>
          <w:pgMar w:header="867" w:footer="979" w:top="1060" w:bottom="1160" w:left="1300" w:right="0"/>
          <w:pgNumType w:start="4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2126"/>
        <w:gridCol w:w="1418"/>
        <w:gridCol w:w="5811"/>
        <w:gridCol w:w="994"/>
        <w:gridCol w:w="992"/>
        <w:gridCol w:w="1136"/>
      </w:tblGrid>
      <w:tr>
        <w:trPr>
          <w:trHeight w:val="377" w:hRule="exact"/>
        </w:trPr>
        <w:tc>
          <w:tcPr>
            <w:tcW w:w="1985" w:type="dxa"/>
            <w:vMerge w:val="restart"/>
            <w:tcBorders>
              <w:top w:val="single" w:sz="15" w:space="0" w:color="000000"/>
              <w:left w:val="single" w:sz="4" w:space="0" w:color="000000"/>
              <w:right w:val="single" w:sz="4" w:space="0" w:color="000000"/>
            </w:tcBorders>
            <w:shd w:val="clear" w:color="auto" w:fill="D2D2D2"/>
          </w:tcPr>
          <w:p>
            <w:pPr/>
          </w:p>
        </w:tc>
        <w:tc>
          <w:tcPr>
            <w:tcW w:w="212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8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东净利润的孰低值。</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r>
      <w:tr>
        <w:trPr>
          <w:trHeight w:val="6019" w:hRule="exact"/>
        </w:trPr>
        <w:tc>
          <w:tcPr>
            <w:tcW w:w="1985" w:type="dxa"/>
            <w:vMerge/>
            <w:tcBorders>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00" w:lineRule="auto"/>
              <w:ind w:left="22" w:right="91"/>
              <w:jc w:val="both"/>
              <w:rPr>
                <w:rFonts w:ascii="宋体" w:hAnsi="宋体" w:cs="宋体" w:eastAsia="宋体" w:hint="default"/>
                <w:sz w:val="18"/>
                <w:szCs w:val="18"/>
              </w:rPr>
            </w:pPr>
            <w:r>
              <w:rPr>
                <w:rFonts w:ascii="宋体" w:hAnsi="宋体" w:cs="宋体" w:eastAsia="宋体" w:hint="default"/>
                <w:sz w:val="18"/>
                <w:szCs w:val="18"/>
              </w:rPr>
              <w:t>张远鹏</w:t>
            </w:r>
            <w:r>
              <w:rPr>
                <w:rFonts w:ascii="Times New Roman" w:hAnsi="Times New Roman" w:cs="Times New Roman" w:eastAsia="Times New Roman" w:hint="default"/>
                <w:sz w:val="18"/>
                <w:szCs w:val="18"/>
              </w:rPr>
              <w:t>;</w:t>
            </w:r>
            <w:r>
              <w:rPr>
                <w:rFonts w:ascii="宋体" w:hAnsi="宋体" w:cs="宋体" w:eastAsia="宋体" w:hint="default"/>
                <w:sz w:val="18"/>
                <w:szCs w:val="18"/>
              </w:rPr>
              <w:t>史利民</w:t>
            </w:r>
            <w:r>
              <w:rPr>
                <w:rFonts w:ascii="Times New Roman" w:hAnsi="Times New Roman" w:cs="Times New Roman" w:eastAsia="Times New Roman" w:hint="default"/>
                <w:sz w:val="18"/>
                <w:szCs w:val="18"/>
              </w:rPr>
              <w:t>;</w:t>
            </w:r>
            <w:r>
              <w:rPr>
                <w:rFonts w:ascii="宋体" w:hAnsi="宋体" w:cs="宋体" w:eastAsia="宋体" w:hint="default"/>
                <w:sz w:val="18"/>
                <w:szCs w:val="18"/>
              </w:rPr>
              <w:t>梁发柱</w:t>
            </w:r>
            <w:r>
              <w:rPr>
                <w:rFonts w:ascii="Times New Roman" w:hAnsi="Times New Roman" w:cs="Times New Roman" w:eastAsia="Times New Roman" w:hint="default"/>
                <w:sz w:val="18"/>
                <w:szCs w:val="18"/>
              </w:rPr>
              <w:t>;</w:t>
            </w:r>
            <w:r>
              <w:rPr>
                <w:rFonts w:ascii="宋体" w:hAnsi="宋体" w:cs="宋体" w:eastAsia="宋体" w:hint="default"/>
                <w:sz w:val="18"/>
                <w:szCs w:val="18"/>
              </w:rPr>
              <w:t>张 宇弋</w:t>
            </w:r>
            <w:r>
              <w:rPr>
                <w:rFonts w:ascii="Times New Roman" w:hAnsi="Times New Roman" w:cs="Times New Roman" w:eastAsia="Times New Roman" w:hint="default"/>
                <w:sz w:val="18"/>
                <w:szCs w:val="18"/>
              </w:rPr>
              <w:t>;</w:t>
            </w:r>
            <w:r>
              <w:rPr>
                <w:rFonts w:ascii="宋体" w:hAnsi="宋体" w:cs="宋体" w:eastAsia="宋体" w:hint="default"/>
                <w:sz w:val="18"/>
                <w:szCs w:val="18"/>
              </w:rPr>
              <w:t>程庆国</w:t>
            </w:r>
            <w:r>
              <w:rPr>
                <w:rFonts w:ascii="Times New Roman" w:hAnsi="Times New Roman" w:cs="Times New Roman" w:eastAsia="Times New Roman" w:hint="default"/>
                <w:sz w:val="18"/>
                <w:szCs w:val="18"/>
              </w:rPr>
              <w:t>;</w:t>
            </w:r>
            <w:r>
              <w:rPr>
                <w:rFonts w:ascii="宋体" w:hAnsi="宋体" w:cs="宋体" w:eastAsia="宋体" w:hint="default"/>
                <w:sz w:val="18"/>
                <w:szCs w:val="18"/>
              </w:rPr>
              <w:t>王兵</w:t>
            </w:r>
            <w:r>
              <w:rPr>
                <w:rFonts w:ascii="Times New Roman" w:hAnsi="Times New Roman" w:cs="Times New Roman" w:eastAsia="Times New Roman" w:hint="default"/>
                <w:sz w:val="18"/>
                <w:szCs w:val="18"/>
              </w:rPr>
              <w:t>;</w:t>
            </w:r>
            <w:r>
              <w:rPr>
                <w:rFonts w:ascii="宋体" w:hAnsi="宋体" w:cs="宋体" w:eastAsia="宋体" w:hint="default"/>
                <w:sz w:val="18"/>
                <w:szCs w:val="18"/>
              </w:rPr>
              <w:t>黎讴</w:t>
            </w:r>
            <w:r>
              <w:rPr>
                <w:rFonts w:ascii="Times New Roman" w:hAnsi="Times New Roman" w:cs="Times New Roman" w:eastAsia="Times New Roman" w:hint="default"/>
                <w:sz w:val="18"/>
                <w:szCs w:val="18"/>
              </w:rPr>
              <w:t>;</w:t>
            </w:r>
            <w:r>
              <w:rPr>
                <w:rFonts w:ascii="宋体" w:hAnsi="宋体" w:cs="宋体" w:eastAsia="宋体" w:hint="default"/>
                <w:sz w:val="18"/>
                <w:szCs w:val="18"/>
              </w:rPr>
              <w:t>曹 冬平</w:t>
            </w:r>
            <w:r>
              <w:rPr>
                <w:rFonts w:ascii="Times New Roman" w:hAnsi="Times New Roman" w:cs="Times New Roman" w:eastAsia="Times New Roman" w:hint="default"/>
                <w:sz w:val="18"/>
                <w:szCs w:val="18"/>
              </w:rPr>
              <w:t>;</w:t>
            </w:r>
            <w:r>
              <w:rPr>
                <w:rFonts w:ascii="宋体" w:hAnsi="宋体" w:cs="宋体" w:eastAsia="宋体" w:hint="default"/>
                <w:sz w:val="18"/>
                <w:szCs w:val="18"/>
              </w:rPr>
              <w:t>张萍</w:t>
            </w:r>
            <w:r>
              <w:rPr>
                <w:rFonts w:ascii="Times New Roman" w:hAnsi="Times New Roman" w:cs="Times New Roman" w:eastAsia="Times New Roman" w:hint="default"/>
                <w:sz w:val="18"/>
                <w:szCs w:val="18"/>
              </w:rPr>
              <w:t>;</w:t>
            </w:r>
            <w:r>
              <w:rPr>
                <w:rFonts w:ascii="宋体" w:hAnsi="宋体" w:cs="宋体" w:eastAsia="宋体" w:hint="default"/>
                <w:sz w:val="18"/>
                <w:szCs w:val="18"/>
              </w:rPr>
              <w:t>赵隽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华炜科技原自然人股东承诺如下：除非本人不再持有蓝盾股份的股份，否 则本人及本人的全部关联方不得以任何形式从事、参与或协助他人从事任 何与蓝盾股份及其子公司（包括华炜科技）届时正在从事的业务有直接或 间接竞争关系的经营活动，也不直接或间接投资任何与蓝盾股份及其子公 司（包括华炜科技）届时正在从事的业务有直接或间接竞争关系的经济实 体。若本人违反上述约定的，则本人应将通过本次交易取得之上市公司股 份无偿返还予蓝盾股份，蓝盾股份将依据内部决策程序注销本人返还之股 </w:t>
            </w:r>
            <w:r>
              <w:rPr>
                <w:rFonts w:ascii="宋体" w:hAnsi="宋体" w:cs="宋体" w:eastAsia="宋体" w:hint="default"/>
                <w:spacing w:val="-3"/>
                <w:sz w:val="18"/>
                <w:szCs w:val="18"/>
              </w:rPr>
              <w:t>份（有关股份已转让的，应将转让所得价款返还）；若本人因违反上述约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定给蓝盾股份或华炜科技造成损失，则除上述股份返还义务外，本人还将</w:t>
            </w:r>
            <w:r>
              <w:rPr>
                <w:rFonts w:ascii="宋体" w:hAnsi="宋体" w:cs="宋体" w:eastAsia="宋体" w:hint="default"/>
                <w:sz w:val="18"/>
                <w:szCs w:val="18"/>
              </w:rPr>
              <w:t> 根据蓝盾股份或华炜科技届时实际遭受的损失承担赔偿责任。在本次重组 完成后，本人及本人拥有实际控制权或重大影响的企业及其他关联方将尽 量避免与蓝盾股份及其控股子公司之间发生关联交易；对于确有必要且无 法回避的关联交易，均按照公平、公允和等价有偿的原则进行，交易价格 按市场公认的合理价格确定，并按相关法律、法规以及规范性文件的规定 履行交易审批程序及信息披露义务，切实保护蓝盾股份及其中小股东利 益。本人保证严格按照有关法律法规、中国证券监督管理委员会颁布的规 章和规范性文件、深交所颁布的业务规则及蓝盾股份《公司章程》等制度 的规定，依法行使股东权利、履行股东义务，不利用股东的地位谋取不当 的利益，不损害蓝盾股份及其中小股东的合法权益。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74" w:hRule="exact"/>
        </w:trPr>
        <w:tc>
          <w:tcPr>
            <w:tcW w:w="1985" w:type="dxa"/>
            <w:vMerge/>
            <w:tcBorders>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承诺人承诺其在本次重组中认购的蓝盾股份股票自发行结束之日起三十 </w:t>
            </w:r>
            <w:r>
              <w:rPr>
                <w:rFonts w:ascii="宋体" w:hAnsi="宋体" w:cs="宋体" w:eastAsia="宋体" w:hint="default"/>
                <w:spacing w:val="-3"/>
                <w:sz w:val="18"/>
                <w:szCs w:val="18"/>
              </w:rPr>
              <w:t>六个月内不进行转让；本次重组完成后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个月内如蓝盾股份的股票连续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309" w:lineRule="auto"/>
              <w:ind w:left="22" w:right="20"/>
              <w:jc w:val="both"/>
              <w:rPr>
                <w:rFonts w:ascii="宋体" w:hAnsi="宋体" w:cs="宋体" w:eastAsia="宋体" w:hint="default"/>
                <w:sz w:val="18"/>
                <w:szCs w:val="18"/>
              </w:rPr>
            </w:pPr>
            <w:r>
              <w:rPr>
                <w:rFonts w:ascii="宋体" w:hAnsi="宋体" w:cs="宋体" w:eastAsia="宋体" w:hint="default"/>
                <w:sz w:val="18"/>
                <w:szCs w:val="18"/>
              </w:rPr>
              <w:t>个交易日的收盘价低于本次重组之发行价格，或者交易完成后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 收盘价低于本次重组之发行价格，其所持有的蓝盾股份股票的锁定期自动 延长至少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个月；之后按《蓝盾信息安全技术股份有限公司与资产出让方 之发行股份及支付现金购买资产协议》及中国证券监督管理委员会、深圳 证券交易所的有关规定执行。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根据上市公司与中经汇通、李碧如签署的《发行股份及支付现金购买资产 </w:t>
            </w:r>
            <w:r>
              <w:rPr>
                <w:rFonts w:ascii="宋体" w:hAnsi="宋体" w:cs="宋体" w:eastAsia="宋体" w:hint="default"/>
                <w:spacing w:val="-3"/>
                <w:sz w:val="18"/>
                <w:szCs w:val="18"/>
              </w:rPr>
              <w:t>协议》，交易各方一致同意由交易对方之一中经汇通承担对上市公司的全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7"/>
              <w:jc w:val="left"/>
              <w:rPr>
                <w:rFonts w:ascii="宋体" w:hAnsi="宋体" w:cs="宋体" w:eastAsia="宋体" w:hint="default"/>
                <w:sz w:val="18"/>
                <w:szCs w:val="18"/>
              </w:rPr>
            </w:pPr>
            <w:r>
              <w:rPr>
                <w:rFonts w:ascii="宋体" w:hAnsi="宋体" w:cs="宋体" w:eastAsia="宋体" w:hint="default"/>
                <w:sz w:val="18"/>
                <w:szCs w:val="18"/>
              </w:rPr>
              <w:t>至利润补偿 义务履行完</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2126"/>
        <w:gridCol w:w="1418"/>
        <w:gridCol w:w="5811"/>
        <w:gridCol w:w="994"/>
        <w:gridCol w:w="992"/>
        <w:gridCol w:w="1134"/>
      </w:tblGrid>
      <w:tr>
        <w:trPr>
          <w:trHeight w:val="1313" w:hRule="exact"/>
        </w:trPr>
        <w:tc>
          <w:tcPr>
            <w:tcW w:w="1985" w:type="dxa"/>
            <w:vMerge w:val="restart"/>
            <w:tcBorders>
              <w:top w:val="single" w:sz="15" w:space="0" w:color="000000"/>
              <w:left w:val="single" w:sz="4" w:space="0" w:color="000000"/>
              <w:right w:val="single" w:sz="4" w:space="0" w:color="000000"/>
            </w:tcBorders>
            <w:shd w:val="clear" w:color="auto" w:fill="D2D2D2"/>
          </w:tcPr>
          <w:p>
            <w:pPr/>
          </w:p>
        </w:tc>
        <w:tc>
          <w:tcPr>
            <w:tcW w:w="212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8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部利润补偿义务。中经汇通承诺标的公司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年度合计净利润不低于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年度合计净利润不低于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计净利润不低于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16,900.00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年度合计净利润不低于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20,400.00 </w:t>
            </w:r>
            <w:r>
              <w:rPr>
                <w:rFonts w:ascii="宋体" w:hAnsi="宋体" w:cs="宋体" w:eastAsia="宋体" w:hint="default"/>
                <w:sz w:val="18"/>
                <w:szCs w:val="18"/>
              </w:rPr>
              <w:t>万 元。</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毕之日止</w:t>
            </w:r>
          </w:p>
        </w:tc>
        <w:tc>
          <w:tcPr>
            <w:tcW w:w="1134" w:type="dxa"/>
            <w:tcBorders>
              <w:top w:val="single" w:sz="15" w:space="0" w:color="000000"/>
              <w:left w:val="single" w:sz="4" w:space="0" w:color="000000"/>
              <w:bottom w:val="single" w:sz="4" w:space="0" w:color="000000"/>
              <w:right w:val="single" w:sz="4" w:space="0" w:color="000000"/>
            </w:tcBorders>
          </w:tcPr>
          <w:p>
            <w:pPr/>
          </w:p>
        </w:tc>
      </w:tr>
      <w:tr>
        <w:trPr>
          <w:trHeight w:val="1650" w:hRule="exact"/>
        </w:trPr>
        <w:tc>
          <w:tcPr>
            <w:tcW w:w="1985" w:type="dxa"/>
            <w:vMerge/>
            <w:tcBorders>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4"/>
              <w:jc w:val="left"/>
              <w:rPr>
                <w:rFonts w:ascii="宋体" w:hAnsi="宋体" w:cs="宋体" w:eastAsia="宋体" w:hint="default"/>
                <w:sz w:val="18"/>
                <w:szCs w:val="18"/>
              </w:rPr>
            </w:pPr>
            <w:r>
              <w:rPr>
                <w:rFonts w:ascii="宋体" w:hAnsi="宋体" w:cs="宋体" w:eastAsia="宋体" w:hint="default"/>
                <w:sz w:val="18"/>
                <w:szCs w:val="18"/>
              </w:rPr>
              <w:t>中经汇通有限责任公司及 </w:t>
            </w:r>
            <w:r>
              <w:rPr>
                <w:rFonts w:ascii="宋体" w:hAnsi="宋体" w:cs="宋体" w:eastAsia="宋体" w:hint="default"/>
                <w:spacing w:val="-3"/>
                <w:sz w:val="18"/>
                <w:szCs w:val="18"/>
              </w:rPr>
              <w:t>其股东、公司实际控制人、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董事、监事、高级管理人员</w:t>
            </w:r>
          </w:p>
        </w:tc>
        <w:tc>
          <w:tcPr>
            <w:tcW w:w="141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1" w:right="21"/>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联交易、资金占用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8.1pt;height:15.6pt;mso-position-horizontal-relative:char;mso-position-vertical-relative:line" coordorigin="0,0" coordsize="1362,312">
                  <v:group style="position:absolute;left:0;top:0;width:1362;height:312" coordorigin="0,0" coordsize="1362,312">
                    <v:shape style="position:absolute;left:0;top:0;width:1362;height:312" coordorigin="0,0" coordsize="1362,312" path="m0,312l1362,312,1362,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承诺人承诺其及其拥有实际控制权或重大影响的企业不得以任何形式（包 括但不限于在中国境内或境外自行或与他人合资、合作）从事、参与或协 助他人从事任何与蓝盾股份及其子公司届时正在从事的业务有直接或间 接竞争关系的经营活动，也不直接或间接投资任何与蓝盾股份及其子公司 届时正在从事的业务有直接或间接竞争关系的经济实体。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985" w:type="dxa"/>
            <w:vMerge/>
            <w:tcBorders>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柯宗庆</w:t>
            </w:r>
            <w:r>
              <w:rPr>
                <w:rFonts w:ascii="Times New Roman" w:hAnsi="Times New Roman" w:cs="Times New Roman" w:eastAsia="Times New Roman" w:hint="default"/>
                <w:sz w:val="18"/>
                <w:szCs w:val="18"/>
              </w:rPr>
              <w:t>;</w:t>
            </w:r>
            <w:r>
              <w:rPr>
                <w:rFonts w:ascii="宋体" w:hAnsi="宋体" w:cs="宋体" w:eastAsia="宋体" w:hint="default"/>
                <w:sz w:val="18"/>
                <w:szCs w:val="18"/>
              </w:rPr>
              <w:t>柯宗贵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6"/>
              <w:jc w:val="both"/>
              <w:rPr>
                <w:rFonts w:ascii="宋体" w:hAnsi="宋体" w:cs="宋体" w:eastAsia="宋体" w:hint="default"/>
                <w:sz w:val="18"/>
                <w:szCs w:val="18"/>
              </w:rPr>
            </w:pPr>
            <w:r>
              <w:rPr>
                <w:rFonts w:ascii="宋体" w:hAnsi="宋体" w:cs="宋体" w:eastAsia="宋体" w:hint="default"/>
                <w:sz w:val="18"/>
                <w:szCs w:val="18"/>
              </w:rPr>
              <w:t>承诺人承诺在本次重组前所持有的公司股份自本次发行股份购买资产所 发行之新股登记至中经汇通有限责任公司名下之日起十二个月内不进行 转让。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338" w:hRule="exact"/>
        </w:trPr>
        <w:tc>
          <w:tcPr>
            <w:tcW w:w="1985" w:type="dxa"/>
            <w:vMerge/>
            <w:tcBorders>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承诺人承诺在本次重组中所认购之蓝盾股份的股票自结算公司登记至其 名下之日起至其按《盈利预测补偿协议》约定的利润补偿义务履行完毕之 日止的期间内不进行质押及其他影响其对该等所获得之股份行使权利的 其他行为。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至利润补偿 义务履行完 毕之日止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0" w:hRule="exact"/>
        </w:trPr>
        <w:tc>
          <w:tcPr>
            <w:tcW w:w="1985" w:type="dxa"/>
            <w:vMerge/>
            <w:tcBorders>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61"/>
              <w:jc w:val="both"/>
              <w:rPr>
                <w:rFonts w:ascii="Times New Roman" w:hAnsi="Times New Roman" w:cs="Times New Roman" w:eastAsia="Times New Roman" w:hint="default"/>
                <w:sz w:val="18"/>
                <w:szCs w:val="18"/>
              </w:rPr>
            </w:pPr>
            <w:r>
              <w:rPr>
                <w:rFonts w:ascii="宋体" w:hAnsi="宋体" w:cs="宋体" w:eastAsia="宋体" w:hint="default"/>
                <w:sz w:val="18"/>
                <w:szCs w:val="18"/>
              </w:rPr>
              <w:t>西部利得基金管理有限公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鹏华资产管理（深圳）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汇添富基金管理 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财通基金管 理有限公司</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本次认购的股票自本次新增股份上市首日起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个月内不得上市交易。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26" w:hRule="exact"/>
        </w:trPr>
        <w:tc>
          <w:tcPr>
            <w:tcW w:w="1985" w:type="dxa"/>
            <w:vMerge/>
            <w:tcBorders>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13"/>
              <w:jc w:val="left"/>
              <w:rPr>
                <w:rFonts w:ascii="宋体" w:hAnsi="宋体" w:cs="宋体" w:eastAsia="宋体" w:hint="default"/>
                <w:sz w:val="18"/>
                <w:szCs w:val="18"/>
              </w:rPr>
            </w:pPr>
            <w:r>
              <w:rPr>
                <w:rFonts w:ascii="宋体" w:hAnsi="宋体" w:cs="宋体" w:eastAsia="宋体" w:hint="default"/>
                <w:sz w:val="18"/>
                <w:szCs w:val="18"/>
              </w:rPr>
              <w:t>萍乡市瑞兴达投资管理合 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年每年度实现的合并报</w:t>
            </w:r>
          </w:p>
          <w:p>
            <w:pPr>
              <w:pStyle w:val="TableParagraph"/>
              <w:spacing w:line="302" w:lineRule="auto" w:before="61"/>
              <w:ind w:left="22" w:right="151"/>
              <w:jc w:val="left"/>
              <w:rPr>
                <w:rFonts w:ascii="宋体" w:hAnsi="宋体" w:cs="宋体" w:eastAsia="宋体" w:hint="default"/>
                <w:sz w:val="18"/>
                <w:szCs w:val="18"/>
              </w:rPr>
            </w:pPr>
            <w:r>
              <w:rPr>
                <w:rFonts w:ascii="宋体" w:hAnsi="宋体" w:cs="宋体" w:eastAsia="宋体" w:hint="default"/>
                <w:sz w:val="18"/>
                <w:szCs w:val="18"/>
              </w:rPr>
              <w:t>表扣除非经常性损益后归属于母公司净利润分别不低于人民币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7,100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9,100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11,600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both"/>
              <w:rPr>
                <w:rFonts w:ascii="宋体" w:hAnsi="宋体" w:cs="宋体" w:eastAsia="宋体" w:hint="default"/>
                <w:sz w:val="18"/>
                <w:szCs w:val="18"/>
              </w:rPr>
            </w:pPr>
            <w:r>
              <w:rPr>
                <w:rFonts w:ascii="宋体" w:hAnsi="宋体" w:cs="宋体" w:eastAsia="宋体" w:hint="default"/>
                <w:sz w:val="18"/>
                <w:szCs w:val="18"/>
              </w:rPr>
              <w:t>至利润补偿 义务履行完 毕之日止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29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13"/>
              <w:jc w:val="left"/>
              <w:rPr>
                <w:rFonts w:ascii="宋体" w:hAnsi="宋体" w:cs="宋体" w:eastAsia="宋体" w:hint="default"/>
                <w:sz w:val="18"/>
                <w:szCs w:val="18"/>
              </w:rPr>
            </w:pPr>
            <w:r>
              <w:rPr>
                <w:rFonts w:ascii="宋体" w:hAnsi="宋体" w:cs="宋体" w:eastAsia="宋体" w:hint="default"/>
                <w:sz w:val="18"/>
                <w:szCs w:val="18"/>
              </w:rPr>
              <w:t>萍乡市瑞兴达投资管理合 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811" w:type="dxa"/>
            <w:tcBorders>
              <w:top w:val="single" w:sz="4" w:space="0" w:color="000000"/>
              <w:left w:val="single" w:sz="4" w:space="0" w:color="000000"/>
              <w:bottom w:val="single" w:sz="4" w:space="0" w:color="000000"/>
              <w:right w:val="single" w:sz="13" w:space="0" w:color="FFFFFF"/>
            </w:tcBorders>
          </w:tcPr>
          <w:p>
            <w:pPr>
              <w:pStyle w:val="TableParagraph"/>
              <w:spacing w:line="304" w:lineRule="auto" w:before="51"/>
              <w:ind w:left="22" w:right="-44"/>
              <w:jc w:val="left"/>
              <w:rPr>
                <w:rFonts w:ascii="宋体" w:hAnsi="宋体" w:cs="宋体" w:eastAsia="宋体" w:hint="default"/>
                <w:sz w:val="18"/>
                <w:szCs w:val="18"/>
              </w:rPr>
            </w:pPr>
            <w:r>
              <w:rPr>
                <w:rFonts w:ascii="宋体" w:hAnsi="宋体" w:cs="宋体" w:eastAsia="宋体" w:hint="default"/>
                <w:spacing w:val="-3"/>
                <w:sz w:val="18"/>
                <w:szCs w:val="18"/>
              </w:rPr>
              <w:t>根据《支付现金购买资产及盈利预测补偿协议》，瑞兴达投资承诺对其根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据前述协议取得的公司股份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17,234,924</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股进行锁定，承诺的主要内容如下：</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、瑞兴达投资在本次交易中购买的蓝盾股份股票不超过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的部分自购 买完成之日起十二个月内不进行转让；满泰科技实现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5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6.9pt;height:17.650pt;mso-position-horizontal-relative:char;mso-position-vertical-relative:line" coordorigin="0,0" coordsize="938,353">
                  <v:group style="position:absolute;left:0;top:0;width:938;height:353" coordorigin="0,0" coordsize="938,353">
                    <v:shape style="position:absolute;left:0;top:0;width:938;height:353" coordorigin="0,0" coordsize="938,353" path="m0,353l937,353,937,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57"/>
              <w:jc w:val="both"/>
              <w:rPr>
                <w:rFonts w:ascii="宋体" w:hAnsi="宋体" w:cs="宋体" w:eastAsia="宋体" w:hint="default"/>
                <w:sz w:val="18"/>
                <w:szCs w:val="18"/>
              </w:rPr>
            </w:pPr>
            <w:r>
              <w:rPr>
                <w:rFonts w:ascii="宋体" w:hAnsi="宋体" w:cs="宋体" w:eastAsia="宋体" w:hint="default"/>
                <w:sz w:val="18"/>
                <w:szCs w:val="18"/>
              </w:rPr>
              <w:t>至利润补偿 义务履行完 毕之日止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r>
        <w:rPr/>
        <w:pict>
          <v:shape style="position:absolute;margin-left:615.039978pt;margin-top:57.180008pt;width:73.4pt;height:251.7pt;mso-position-horizontal-relative:page;mso-position-vertical-relative:page;z-index:-1149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日后，</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361"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639.280029pt;margin-top:397.119995pt;width:49.15pt;height:87.9pt;mso-position-horizontal-relative:page;mso-position-vertical-relative:page;z-index:-1149136" coordorigin="12786,7942" coordsize="983,1758">
            <v:group style="position:absolute;left:12786;top:8296;width:983;height:1404" coordorigin="12786,8296" coordsize="983,1404">
              <v:shape style="position:absolute;left:12786;top:8296;width:983;height:1404" coordorigin="12786,8296" coordsize="983,1404" path="m12786,9700l13768,9700,13768,8296,12786,8296,12786,9700xe" filled="true" fillcolor="#ffffff" stroked="false">
                <v:path arrowok="t"/>
                <v:fill type="solid"/>
              </v:shape>
            </v:group>
            <v:group style="position:absolute;left:12808;top:7942;width:938;height:354" coordorigin="12808,7942" coordsize="938,354">
              <v:shape style="position:absolute;left:12808;top:7942;width:938;height:354" coordorigin="12808,7942" coordsize="938,354" path="m12808,8296l13746,8296,13746,7942,12808,7942,12808,8296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985"/>
        <w:gridCol w:w="2126"/>
        <w:gridCol w:w="1418"/>
        <w:gridCol w:w="5811"/>
        <w:gridCol w:w="994"/>
        <w:gridCol w:w="992"/>
        <w:gridCol w:w="1134"/>
      </w:tblGrid>
      <w:tr>
        <w:trPr>
          <w:trHeight w:val="336" w:hRule="exact"/>
        </w:trPr>
        <w:tc>
          <w:tcPr>
            <w:tcW w:w="1985" w:type="dxa"/>
            <w:vMerge w:val="restart"/>
            <w:tcBorders>
              <w:top w:val="single" w:sz="15" w:space="0" w:color="000000"/>
              <w:left w:val="single" w:sz="4" w:space="0" w:color="000000"/>
              <w:right w:val="single" w:sz="4" w:space="0" w:color="000000"/>
            </w:tcBorders>
            <w:shd w:val="clear" w:color="auto" w:fill="D2D2D2"/>
          </w:tcPr>
          <w:p>
            <w:pPr/>
          </w:p>
        </w:tc>
        <w:tc>
          <w:tcPr>
            <w:tcW w:w="2126"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5811"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或者满泰科技未实现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年承诺净利润但瑞兴达投资已完成业绩补偿且</w:t>
            </w:r>
          </w:p>
        </w:tc>
        <w:tc>
          <w:tcPr>
            <w:tcW w:w="994" w:type="dxa"/>
            <w:vMerge w:val="restart"/>
            <w:tcBorders>
              <w:top w:val="single" w:sz="15" w:space="0" w:color="000000"/>
              <w:left w:val="single" w:sz="4" w:space="0" w:color="000000"/>
              <w:right w:val="single" w:sz="4" w:space="0" w:color="000000"/>
            </w:tcBorders>
          </w:tcPr>
          <w:p>
            <w:pPr>
              <w:pStyle w:val="TableParagraph"/>
              <w:spacing w:line="5033"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49.15pt;height:251.7pt;mso-position-horizontal-relative:char;mso-position-vertical-relative:line" coordorigin="0,0" coordsize="983,5034">
                  <v:group style="position:absolute;left:0;top:0;width:983;height:5034" coordorigin="0,0" coordsize="983,5034">
                    <v:shape style="position:absolute;left:0;top:0;width:983;height:5034" coordorigin="0,0" coordsize="983,5034" path="m0,5034l983,5034,983,0,0,0,0,5034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992"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满泰科技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年《专项审核报告》出具之日起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日后，瑞兴达投资可解</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禁不超过股票购买总数的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；具体解禁时间以上述可解禁条件同时满足</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为准。</w:t>
            </w:r>
            <w:r>
              <w:rPr>
                <w:rFonts w:ascii="Times New Roman" w:hAnsi="Times New Roman" w:cs="Times New Roman" w:eastAsia="Times New Roman" w:hint="default"/>
                <w:sz w:val="18"/>
                <w:szCs w:val="18"/>
              </w:rPr>
              <w:t>2</w:t>
            </w:r>
            <w:r>
              <w:rPr>
                <w:rFonts w:ascii="宋体" w:hAnsi="宋体" w:cs="宋体" w:eastAsia="宋体" w:hint="default"/>
                <w:sz w:val="18"/>
                <w:szCs w:val="18"/>
              </w:rPr>
              <w:t>、瑞兴达投资在本次交易中购买的蓝盾股份股票超过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但不超</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的部分自购买完成之日起二十四个月内不进行转让；满泰科技实现</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年承诺净利润或者满泰科技未实现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年承诺净利润但瑞兴达投资</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已完成业绩补偿且满泰科技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年《专项审核报告》出具之日起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瑞兴达投资可解禁不超过股票购买总数的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；具体解禁时间以上述可解</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禁条件同时满足为准。</w:t>
            </w:r>
            <w:r>
              <w:rPr>
                <w:rFonts w:ascii="Times New Roman" w:hAnsi="Times New Roman" w:cs="Times New Roman" w:eastAsia="Times New Roman" w:hint="default"/>
                <w:sz w:val="18"/>
                <w:szCs w:val="18"/>
              </w:rPr>
              <w:t>3</w:t>
            </w:r>
            <w:r>
              <w:rPr>
                <w:rFonts w:ascii="宋体" w:hAnsi="宋体" w:cs="宋体" w:eastAsia="宋体" w:hint="default"/>
                <w:sz w:val="18"/>
                <w:szCs w:val="18"/>
              </w:rPr>
              <w:t>、瑞兴达投资在本次交易中购买的蓝盾股份股票</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的部分自购买完成之日起三十六个月内不进行转让；满泰科技实</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年承诺净利润或者满泰科技未实现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年承诺净利润但瑞兴达投</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资已完成业绩补偿且满泰科技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年《专项审核报告》及《减值测试报</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告》出具之日起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日后，瑞兴达投资可解禁不超过股票购买总数的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具体解禁时间以上述可解禁条件同时满足为准。瑞兴达投资同意，锁定期</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212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内因公司分配股票股利、资本公积转增股本等方式取得的股份，一并按前</w:t>
            </w: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212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述期限进行锁定。</w:t>
            </w: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362"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、分红承诺：公司股东大会根据章程的规定通过利润分配具体方案或修</w:t>
            </w:r>
          </w:p>
        </w:tc>
        <w:tc>
          <w:tcPr>
            <w:tcW w:w="99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
        </w:tc>
        <w:tc>
          <w:tcPr>
            <w:tcW w:w="212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改《公司章程》中相关利润分配条款时，公司控股股东、实际控制人柯宗</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
        </w:tc>
        <w:tc>
          <w:tcPr>
            <w:tcW w:w="212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庆、柯宗贵承诺将表示同意并投赞成票。</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、关于同业竞争、关联交易、</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10"/>
                <w:sz w:val="18"/>
                <w:szCs w:val="18"/>
              </w:rPr>
              <w:t>分红承诺；关于同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业竞争、关联交 </w:t>
            </w:r>
            <w:r>
              <w:rPr>
                <w:rFonts w:ascii="宋体" w:hAnsi="宋体" w:cs="宋体" w:eastAsia="宋体" w:hint="default"/>
                <w:spacing w:val="-10"/>
                <w:sz w:val="18"/>
                <w:szCs w:val="18"/>
              </w:rPr>
              <w:t>易、资金占用方面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的承诺；其他承诺</w:t>
            </w:r>
          </w:p>
        </w:tc>
        <w:tc>
          <w:tcPr>
            <w:tcW w:w="5811" w:type="dxa"/>
            <w:tcBorders>
              <w:top w:val="nil" w:sz="6" w:space="0" w:color="auto"/>
              <w:left w:val="single" w:sz="4" w:space="0" w:color="000000"/>
              <w:bottom w:val="nil" w:sz="6" w:space="0" w:color="auto"/>
              <w:right w:val="single" w:sz="13" w:space="0" w:color="FFFFFF"/>
            </w:tcBorders>
          </w:tcPr>
          <w:p>
            <w:pPr>
              <w:pStyle w:val="TableParagraph"/>
              <w:spacing w:line="314" w:lineRule="auto" w:before="5"/>
              <w:ind w:left="22" w:right="9"/>
              <w:jc w:val="left"/>
              <w:rPr>
                <w:rFonts w:ascii="宋体" w:hAnsi="宋体" w:cs="宋体" w:eastAsia="宋体" w:hint="default"/>
                <w:sz w:val="18"/>
                <w:szCs w:val="18"/>
              </w:rPr>
            </w:pPr>
            <w:r>
              <w:rPr>
                <w:rFonts w:ascii="宋体" w:hAnsi="宋体" w:cs="宋体" w:eastAsia="宋体" w:hint="default"/>
                <w:sz w:val="18"/>
                <w:szCs w:val="18"/>
              </w:rPr>
              <w:t>资金占用方面的承诺：为避免未来可能发生的同业竞争，更好地维护中小 股东的利益，公司控股股东、实际控制人柯宗庆、柯宗贵二人出具了《避 </w:t>
            </w:r>
            <w:r>
              <w:rPr>
                <w:rFonts w:ascii="宋体" w:hAnsi="宋体" w:cs="宋体" w:eastAsia="宋体" w:hint="default"/>
                <w:spacing w:val="-3"/>
                <w:sz w:val="18"/>
                <w:szCs w:val="18"/>
              </w:rPr>
              <w:t>免同业竞争承诺函》。为减少和规范关联交易，公司控股股东、实际控制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人柯宗庆、柯宗贵出具了《减少和规范关联交易的承诺函》。</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、其他承诺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若应广州市有权部门要求或决定，公司需为员工补缴社会保险和住房公积</w:t>
            </w:r>
          </w:p>
        </w:tc>
        <w:tc>
          <w:tcPr>
            <w:tcW w:w="994"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02" w:lineRule="exact"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8"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
        </w:tc>
        <w:tc>
          <w:tcPr>
            <w:tcW w:w="212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金，或公司因未为员工缴纳社会保险和住房公积金而承担任何罚款或损</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
        </w:tc>
        <w:tc>
          <w:tcPr>
            <w:tcW w:w="2126"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失，公司控股股东、实际控制人柯宗庆、柯宗贵承诺愿在无需公司支付对</w:t>
            </w:r>
          </w:p>
        </w:tc>
        <w:tc>
          <w:tcPr>
            <w:tcW w:w="99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价的情况下连带承担所有经济支出。</w:t>
            </w:r>
          </w:p>
        </w:tc>
        <w:tc>
          <w:tcPr>
            <w:tcW w:w="99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柯宗庆；柯宗贵；黄泽华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在任职期间内每年转让的公司股份不超过其所直接和间接持有公司股份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；离职后半年内，不转让其所直接和间接持有的公司股份。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任职期间及 离职后半年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85"/>
        <w:gridCol w:w="2126"/>
        <w:gridCol w:w="1418"/>
        <w:gridCol w:w="5811"/>
        <w:gridCol w:w="994"/>
        <w:gridCol w:w="992"/>
        <w:gridCol w:w="1134"/>
      </w:tblGrid>
      <w:tr>
        <w:trPr>
          <w:trHeight w:val="416" w:hRule="exact"/>
        </w:trPr>
        <w:tc>
          <w:tcPr>
            <w:tcW w:w="19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8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4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履行的具体原因及下一 步的工作计划</w:t>
            </w:r>
          </w:p>
        </w:tc>
        <w:tc>
          <w:tcPr>
            <w:tcW w:w="124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20"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8"/>
        <w:rPr>
          <w:rFonts w:ascii="宋体" w:hAnsi="宋体" w:cs="宋体" w:eastAsia="宋体" w:hint="default"/>
          <w:b/>
          <w:bCs/>
          <w:sz w:val="26"/>
          <w:szCs w:val="26"/>
        </w:rPr>
      </w:pPr>
    </w:p>
    <w:p>
      <w:pPr>
        <w:spacing w:before="0"/>
        <w:ind w:left="1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410"/>
        <w:gridCol w:w="1560"/>
        <w:gridCol w:w="1560"/>
        <w:gridCol w:w="1134"/>
        <w:gridCol w:w="1134"/>
        <w:gridCol w:w="1559"/>
        <w:gridCol w:w="4536"/>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8"/>
              <w:jc w:val="right"/>
              <w:rPr>
                <w:rFonts w:ascii="宋体" w:hAnsi="宋体" w:cs="宋体" w:eastAsia="宋体" w:hint="default"/>
                <w:sz w:val="18"/>
                <w:szCs w:val="18"/>
              </w:rPr>
            </w:pPr>
            <w:r>
              <w:rPr>
                <w:rFonts w:ascii="宋体" w:hAnsi="宋体" w:cs="宋体" w:eastAsia="宋体" w:hint="default"/>
                <w:sz w:val="18"/>
                <w:szCs w:val="18"/>
              </w:rPr>
              <w:t>盈利预测资产或项目名称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原预测披露日期</w:t>
            </w:r>
          </w:p>
        </w:tc>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并购广州华炜科技有限公司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0"/>
              <w:jc w:val="left"/>
              <w:rPr>
                <w:rFonts w:ascii="Times New Roman" w:hAnsi="Times New Roman" w:cs="Times New Roman" w:eastAsia="Times New Roman" w:hint="default"/>
                <w:sz w:val="18"/>
                <w:szCs w:val="18"/>
              </w:rPr>
            </w:pPr>
            <w:hyperlink r:id="rId17">
              <w:r>
                <w:rPr>
                  <w:rFonts w:ascii="Times New Roman"/>
                  <w:spacing w:val="-1"/>
                  <w:sz w:val="18"/>
                </w:rPr>
                <w:t>http://www.cninfo.com.cn/cninfo-new/disclosure/szse_gem/b</w:t>
              </w:r>
            </w:hyperlink>
            <w:r>
              <w:rPr>
                <w:rFonts w:ascii="Times New Roman"/>
                <w:spacing w:val="-10"/>
                <w:sz w:val="18"/>
              </w:rPr>
              <w:t> </w:t>
            </w:r>
            <w:r>
              <w:rPr>
                <w:rFonts w:ascii="Times New Roman"/>
                <w:spacing w:val="-10"/>
                <w:sz w:val="18"/>
              </w:rPr>
            </w:r>
            <w:r>
              <w:rPr>
                <w:rFonts w:ascii="Times New Roman"/>
                <w:sz w:val="18"/>
              </w:rPr>
              <w:t>ulletin_detail/true/1200691479?announceTime=2015-03-11</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购买中经汇通电子商务有限公 司及汇通宝支付有限责任公司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18,446.25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0"/>
              <w:jc w:val="left"/>
              <w:rPr>
                <w:rFonts w:ascii="Times New Roman" w:hAnsi="Times New Roman" w:cs="Times New Roman" w:eastAsia="Times New Roman" w:hint="default"/>
                <w:sz w:val="18"/>
                <w:szCs w:val="18"/>
              </w:rPr>
            </w:pPr>
            <w:hyperlink r:id="rId17">
              <w:r>
                <w:rPr>
                  <w:rFonts w:ascii="Times New Roman"/>
                  <w:spacing w:val="-1"/>
                  <w:sz w:val="18"/>
                </w:rPr>
                <w:t>http://www.cninfo.com.cn/cninfo-new/disclosure/szse_gem/b</w:t>
              </w:r>
            </w:hyperlink>
            <w:r>
              <w:rPr>
                <w:rFonts w:ascii="Times New Roman"/>
                <w:spacing w:val="-10"/>
                <w:sz w:val="18"/>
              </w:rPr>
              <w:t> </w:t>
            </w:r>
            <w:r>
              <w:rPr>
                <w:rFonts w:ascii="Times New Roman"/>
                <w:spacing w:val="-10"/>
                <w:sz w:val="18"/>
              </w:rPr>
            </w:r>
            <w:r>
              <w:rPr>
                <w:rFonts w:ascii="Times New Roman"/>
                <w:sz w:val="18"/>
              </w:rPr>
              <w:t>ulletin_detail/true/1202161009?announceTime=2016-04-11</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5"/>
              <w:jc w:val="left"/>
              <w:rPr>
                <w:rFonts w:ascii="宋体" w:hAnsi="宋体" w:cs="宋体" w:eastAsia="宋体" w:hint="default"/>
                <w:sz w:val="18"/>
                <w:szCs w:val="18"/>
              </w:rPr>
            </w:pPr>
            <w:r>
              <w:rPr>
                <w:rFonts w:ascii="宋体" w:hAnsi="宋体" w:cs="宋体" w:eastAsia="宋体" w:hint="default"/>
                <w:sz w:val="18"/>
                <w:szCs w:val="18"/>
              </w:rPr>
              <w:t>购买深圳市蓝盾满泰科技发展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7,357.57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80"/>
              <w:jc w:val="left"/>
              <w:rPr>
                <w:rFonts w:ascii="Times New Roman" w:hAnsi="Times New Roman" w:cs="Times New Roman" w:eastAsia="Times New Roman" w:hint="default"/>
                <w:sz w:val="18"/>
                <w:szCs w:val="18"/>
              </w:rPr>
            </w:pPr>
            <w:hyperlink r:id="rId17">
              <w:r>
                <w:rPr>
                  <w:rFonts w:ascii="Times New Roman"/>
                  <w:spacing w:val="-1"/>
                  <w:sz w:val="18"/>
                </w:rPr>
                <w:t>http://www.cninfo.com.cn/cninfo-new/disclosure/szse_gem/b</w:t>
              </w:r>
            </w:hyperlink>
            <w:r>
              <w:rPr>
                <w:rFonts w:ascii="Times New Roman"/>
                <w:spacing w:val="-10"/>
                <w:sz w:val="18"/>
              </w:rPr>
              <w:t> </w:t>
            </w:r>
            <w:r>
              <w:rPr>
                <w:rFonts w:ascii="Times New Roman"/>
                <w:spacing w:val="-10"/>
                <w:sz w:val="18"/>
              </w:rPr>
            </w:r>
            <w:r>
              <w:rPr>
                <w:rFonts w:ascii="Times New Roman"/>
                <w:sz w:val="18"/>
              </w:rPr>
              <w:t>ulletin_detail/true/1202845774?announceTime=2016-11-28</w:t>
            </w:r>
          </w:p>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2016-149</w:t>
            </w:r>
            <w:r>
              <w:rPr>
                <w:rFonts w:ascii="宋体" w:hAnsi="宋体" w:cs="宋体" w:eastAsia="宋体" w:hint="default"/>
                <w:sz w:val="18"/>
                <w:szCs w:val="18"/>
              </w:rPr>
              <w:t>）</w:t>
            </w:r>
          </w:p>
        </w:tc>
      </w:tr>
    </w:tbl>
    <w:p>
      <w:pPr>
        <w:spacing w:after="0" w:line="216" w:lineRule="exact"/>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13"/>
        <w:rPr>
          <w:rFonts w:ascii="宋体" w:hAnsi="宋体" w:cs="宋体" w:eastAsia="宋体" w:hint="default"/>
          <w:sz w:val="21"/>
          <w:szCs w:val="21"/>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31" w:lineRule="auto"/>
        <w:ind w:right="1057" w:firstLine="420"/>
        <w:jc w:val="left"/>
      </w:pPr>
      <w:r>
        <w:rPr>
          <w:rFonts w:ascii="Times New Roman" w:hAnsi="Times New Roman" w:cs="Times New Roman" w:eastAsia="Times New Roman" w:hint="default"/>
        </w:rPr>
        <w:t>1</w:t>
      </w:r>
      <w:r>
        <w:rPr/>
        <w:t>、华炜科技项目：根据上市公司与利润补偿方签署的《盈利预测补偿协议》，利润补偿方张远鹏等 </w:t>
      </w:r>
      <w:r>
        <w:rPr>
          <w:spacing w:val="-2"/>
        </w:rPr>
        <w:t>人对华炜科技在利润补偿期实现的净利润数进行下述承诺：华炜科技在利润补偿期（</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-2017</w:t>
      </w:r>
      <w:r>
        <w:rPr>
          <w:spacing w:val="-2"/>
        </w:rPr>
        <w:t>年）实现</w:t>
      </w:r>
      <w:r>
        <w:rPr>
          <w:spacing w:val="-99"/>
        </w:rPr>
        <w:t> </w:t>
      </w:r>
      <w:r>
        <w:rPr>
          <w:spacing w:val="-99"/>
        </w:rPr>
      </w:r>
      <w:r>
        <w:rPr/>
        <w:t>的净利润总额不低于</w:t>
      </w:r>
      <w:r>
        <w:rPr>
          <w:rFonts w:ascii="Times New Roman" w:hAnsi="Times New Roman" w:cs="Times New Roman" w:eastAsia="Times New Roman" w:hint="default"/>
        </w:rPr>
        <w:t>16,200</w:t>
      </w:r>
      <w:r>
        <w:rPr/>
        <w:t>万元，且</w:t>
      </w:r>
      <w:r>
        <w:rPr>
          <w:rFonts w:ascii="Times New Roman" w:hAnsi="Times New Roman" w:cs="Times New Roman" w:eastAsia="Times New Roman" w:hint="default"/>
        </w:rPr>
        <w:t>2014</w:t>
      </w:r>
      <w:r>
        <w:rPr/>
        <w:t>年度净利润不低于</w:t>
      </w:r>
      <w:r>
        <w:rPr>
          <w:rFonts w:ascii="Times New Roman" w:hAnsi="Times New Roman" w:cs="Times New Roman" w:eastAsia="Times New Roman" w:hint="default"/>
        </w:rPr>
        <w:t>2,800</w:t>
      </w:r>
      <w:r>
        <w:rPr/>
        <w:t>万元，</w:t>
      </w:r>
      <w:r>
        <w:rPr>
          <w:rFonts w:ascii="Times New Roman" w:hAnsi="Times New Roman" w:cs="Times New Roman" w:eastAsia="Times New Roman" w:hint="default"/>
        </w:rPr>
        <w:t>2015</w:t>
      </w:r>
      <w:r>
        <w:rPr/>
        <w:t>年度净利润不低于</w:t>
      </w:r>
      <w:r>
        <w:rPr>
          <w:rFonts w:ascii="Times New Roman" w:hAnsi="Times New Roman" w:cs="Times New Roman" w:eastAsia="Times New Roman" w:hint="default"/>
        </w:rPr>
        <w:t>3,600</w:t>
      </w:r>
      <w:r>
        <w:rPr/>
        <w:t>万元， </w:t>
      </w:r>
      <w:r>
        <w:rPr>
          <w:rFonts w:ascii="Times New Roman" w:hAnsi="Times New Roman" w:cs="Times New Roman" w:eastAsia="Times New Roman" w:hint="default"/>
        </w:rPr>
        <w:t>2016</w:t>
      </w:r>
      <w:r>
        <w:rPr/>
        <w:t>年度净利润不低于</w:t>
      </w:r>
      <w:r>
        <w:rPr>
          <w:rFonts w:ascii="Times New Roman" w:hAnsi="Times New Roman" w:cs="Times New Roman" w:eastAsia="Times New Roman" w:hint="default"/>
        </w:rPr>
        <w:t>4,500</w:t>
      </w:r>
      <w:r>
        <w:rPr/>
        <w:t>万元，</w:t>
      </w:r>
      <w:r>
        <w:rPr>
          <w:rFonts w:ascii="Times New Roman" w:hAnsi="Times New Roman" w:cs="Times New Roman" w:eastAsia="Times New Roman" w:hint="default"/>
        </w:rPr>
        <w:t>2017</w:t>
      </w:r>
      <w:r>
        <w:rPr/>
        <w:t>年度净利润不低于</w:t>
      </w:r>
      <w:r>
        <w:rPr>
          <w:rFonts w:ascii="Times New Roman" w:hAnsi="Times New Roman" w:cs="Times New Roman" w:eastAsia="Times New Roman" w:hint="default"/>
        </w:rPr>
        <w:t>5,300</w:t>
      </w:r>
      <w:r>
        <w:rPr/>
        <w:t>万元。上述净利润是指华炜科技合并报表</w:t>
      </w:r>
      <w:r>
        <w:rPr>
          <w:spacing w:val="-34"/>
        </w:rPr>
        <w:t> </w:t>
      </w:r>
      <w:r>
        <w:rPr>
          <w:spacing w:val="-34"/>
        </w:rPr>
      </w:r>
      <w:r>
        <w:rPr/>
        <w:t>中扣除非经常性损益前后归属于母公司股东净利润的孰低值。华炜科技</w:t>
      </w:r>
      <w:r>
        <w:rPr>
          <w:rFonts w:ascii="Times New Roman" w:hAnsi="Times New Roman" w:cs="Times New Roman" w:eastAsia="Times New Roman" w:hint="default"/>
        </w:rPr>
        <w:t>2017</w:t>
      </w:r>
      <w:r>
        <w:rPr/>
        <w:t>年度业绩承诺已达成。</w:t>
      </w:r>
    </w:p>
    <w:p>
      <w:pPr>
        <w:pStyle w:val="BodyText"/>
        <w:spacing w:line="336" w:lineRule="auto" w:before="20"/>
        <w:ind w:right="1110" w:firstLine="420"/>
        <w:jc w:val="both"/>
      </w:pPr>
      <w:r>
        <w:rPr>
          <w:rFonts w:ascii="Times New Roman" w:hAnsi="Times New Roman" w:cs="Times New Roman" w:eastAsia="Times New Roman" w:hint="default"/>
        </w:rPr>
        <w:t>2</w:t>
      </w:r>
      <w:r>
        <w:rPr/>
        <w:t>、中经电商及汇通宝项目：根据上市公司与中经汇通</w:t>
      </w:r>
      <w:r>
        <w:rPr>
          <w:spacing w:val="-39"/>
        </w:rPr>
        <w:t> </w:t>
      </w:r>
      <w:r>
        <w:rPr>
          <w:spacing w:val="-4"/>
        </w:rPr>
        <w:t>、李碧如签署的</w:t>
      </w:r>
      <w:r>
        <w:rPr>
          <w:spacing w:val="-56"/>
        </w:rPr>
        <w:t> </w:t>
      </w:r>
      <w:r>
        <w:rPr/>
        <w:t>《发行股份及支付现金购买资</w:t>
      </w:r>
      <w:r>
        <w:rPr/>
        <w:t> </w:t>
      </w:r>
      <w:r>
        <w:rPr>
          <w:spacing w:val="-1"/>
        </w:rPr>
        <w:t>产协议》、《盈利预测补偿协议》及其相关补充协议，交易各方一致同意由中经汇通承担对上市公司的全</w:t>
      </w:r>
      <w:r>
        <w:rPr>
          <w:spacing w:val="-83"/>
        </w:rPr>
        <w:t> </w:t>
      </w:r>
      <w:r>
        <w:rPr>
          <w:spacing w:val="-83"/>
        </w:rPr>
      </w:r>
      <w:r>
        <w:rPr/>
        <w:t>部利润补偿义务。中经汇通承诺标的公司</w:t>
      </w:r>
      <w:r>
        <w:rPr>
          <w:rFonts w:ascii="Times New Roman" w:hAnsi="Times New Roman" w:cs="Times New Roman" w:eastAsia="Times New Roman" w:hint="default"/>
        </w:rPr>
        <w:t>2015</w:t>
      </w:r>
      <w:r>
        <w:rPr/>
        <w:t>年度合计净利润不低于</w:t>
      </w:r>
      <w:r>
        <w:rPr>
          <w:rFonts w:ascii="Times New Roman" w:hAnsi="Times New Roman" w:cs="Times New Roman" w:eastAsia="Times New Roman" w:hint="default"/>
        </w:rPr>
        <w:t>10,000</w:t>
      </w:r>
      <w:r>
        <w:rPr/>
        <w:t>万元，</w:t>
      </w:r>
      <w:r>
        <w:rPr>
          <w:rFonts w:ascii="Times New Roman" w:hAnsi="Times New Roman" w:cs="Times New Roman" w:eastAsia="Times New Roman" w:hint="default"/>
        </w:rPr>
        <w:t>2016</w:t>
      </w:r>
      <w:r>
        <w:rPr/>
        <w:t>年度合计净利润不</w:t>
      </w:r>
      <w:r>
        <w:rPr>
          <w:spacing w:val="-77"/>
        </w:rPr>
        <w:t> </w:t>
      </w:r>
      <w:r>
        <w:rPr>
          <w:spacing w:val="-77"/>
        </w:rPr>
      </w:r>
      <w:r>
        <w:rPr/>
        <w:t>低于 </w:t>
      </w:r>
      <w:r>
        <w:rPr>
          <w:rFonts w:ascii="Times New Roman" w:hAnsi="Times New Roman" w:cs="Times New Roman" w:eastAsia="Times New Roman" w:hint="default"/>
        </w:rPr>
        <w:t>13,000</w:t>
      </w:r>
      <w:r>
        <w:rPr/>
        <w:t>万元，</w:t>
      </w:r>
      <w:r>
        <w:rPr>
          <w:spacing w:val="-76"/>
        </w:rPr>
        <w:t> </w:t>
      </w:r>
      <w:r>
        <w:rPr>
          <w:rFonts w:ascii="Times New Roman" w:hAnsi="Times New Roman" w:cs="Times New Roman" w:eastAsia="Times New Roman" w:hint="default"/>
        </w:rPr>
        <w:t>2017</w:t>
      </w:r>
      <w:r>
        <w:rPr/>
        <w:t>年度合计净利润不低于</w:t>
      </w:r>
      <w:r>
        <w:rPr>
          <w:rFonts w:ascii="Times New Roman" w:hAnsi="Times New Roman" w:cs="Times New Roman" w:eastAsia="Times New Roman" w:hint="default"/>
        </w:rPr>
        <w:t>16,900</w:t>
      </w:r>
      <w:r>
        <w:rPr/>
        <w:t>万元，</w:t>
      </w:r>
      <w:r>
        <w:rPr>
          <w:rFonts w:ascii="Times New Roman" w:hAnsi="Times New Roman" w:cs="Times New Roman" w:eastAsia="Times New Roman" w:hint="default"/>
        </w:rPr>
        <w:t>2018</w:t>
      </w:r>
      <w:r>
        <w:rPr/>
        <w:t>年度合计净利润不低于</w:t>
      </w:r>
      <w:r>
        <w:rPr>
          <w:rFonts w:ascii="Times New Roman" w:hAnsi="Times New Roman" w:cs="Times New Roman" w:eastAsia="Times New Roman" w:hint="default"/>
        </w:rPr>
        <w:t>20,400</w:t>
      </w:r>
      <w:r>
        <w:rPr/>
        <w:t>万元。上述 净利润指标为的公司实现模拟合并口径下归属于母股东净利润数（扣除非经常性损益前后孰低）。同时， 因公司将募集配套资金中的</w:t>
      </w:r>
      <w:r>
        <w:rPr>
          <w:rFonts w:ascii="Times New Roman" w:hAnsi="Times New Roman" w:cs="Times New Roman" w:eastAsia="Times New Roman" w:hint="default"/>
        </w:rPr>
        <w:t>15,000</w:t>
      </w:r>
      <w:r>
        <w:rPr/>
        <w:t>万元提供给目标公司用于补充其流动资金，各方确认目标公司在《盈利</w:t>
      </w:r>
      <w:r>
        <w:rPr>
          <w:spacing w:val="-79"/>
        </w:rPr>
        <w:t> </w:t>
      </w:r>
      <w:r>
        <w:rPr>
          <w:spacing w:val="-79"/>
        </w:rPr>
      </w:r>
      <w:r>
        <w:rPr/>
        <w:t>预测补偿协议》中承诺的利润补偿期内每一年度所实现的净利润均应扣除上述</w:t>
      </w:r>
      <w:r>
        <w:rPr>
          <w:rFonts w:ascii="Times New Roman" w:hAnsi="Times New Roman" w:cs="Times New Roman" w:eastAsia="Times New Roman" w:hint="default"/>
        </w:rPr>
        <w:t>15,000</w:t>
      </w:r>
      <w:r>
        <w:rPr/>
        <w:t>万元的资金使用成本</w:t>
      </w:r>
    </w:p>
    <w:p>
      <w:pPr>
        <w:pStyle w:val="BodyText"/>
        <w:spacing w:line="240" w:lineRule="auto" w:before="17"/>
        <w:ind w:right="0"/>
        <w:jc w:val="left"/>
      </w:pPr>
      <w:r>
        <w:rPr/>
        <w:t>（资本使用成本按银行同期一年期贷款基准利率为率）。中经电商及汇通宝</w:t>
      </w:r>
      <w:r>
        <w:rPr>
          <w:rFonts w:ascii="Times New Roman" w:hAnsi="Times New Roman" w:cs="Times New Roman" w:eastAsia="Times New Roman" w:hint="default"/>
        </w:rPr>
        <w:t>2017</w:t>
      </w:r>
      <w:r>
        <w:rPr/>
        <w:t>年度业绩承诺已达成。</w:t>
      </w:r>
    </w:p>
    <w:p>
      <w:pPr>
        <w:pStyle w:val="BodyText"/>
        <w:spacing w:line="336" w:lineRule="auto" w:before="109"/>
        <w:ind w:right="1128" w:firstLine="420"/>
        <w:jc w:val="both"/>
      </w:pPr>
      <w:r>
        <w:rPr>
          <w:rFonts w:ascii="Times New Roman" w:hAnsi="Times New Roman" w:cs="Times New Roman" w:eastAsia="Times New Roman" w:hint="default"/>
          <w:spacing w:val="-3"/>
        </w:rPr>
        <w:t>3</w:t>
      </w:r>
      <w:r>
        <w:rPr>
          <w:spacing w:val="-3"/>
        </w:rPr>
        <w:t>、满泰科技项目：根据上市公司与萍乡市瑞兴达投资、国珩投资、维宇投资、鸿华康投资签署的《支</w:t>
      </w:r>
      <w:r>
        <w:rPr/>
        <w:t> </w:t>
      </w:r>
      <w:r>
        <w:rPr>
          <w:spacing w:val="-1"/>
        </w:rPr>
        <w:t>付现金购买资产及盈利预测补偿协议》，瑞兴达投资承诺满泰科技</w:t>
      </w:r>
      <w:r>
        <w:rPr>
          <w:rFonts w:ascii="Times New Roman" w:hAnsi="Times New Roman" w:cs="Times New Roman" w:eastAsia="Times New Roman" w:hint="default"/>
          <w:spacing w:val="-1"/>
        </w:rPr>
        <w:t>2016</w:t>
      </w:r>
      <w:r>
        <w:rPr>
          <w:spacing w:val="-1"/>
        </w:rPr>
        <w:t>年至</w:t>
      </w:r>
      <w:r>
        <w:rPr>
          <w:rFonts w:ascii="Times New Roman" w:hAnsi="Times New Roman" w:cs="Times New Roman" w:eastAsia="Times New Roman" w:hint="default"/>
          <w:spacing w:val="-1"/>
        </w:rPr>
        <w:t>2019</w:t>
      </w:r>
      <w:r>
        <w:rPr>
          <w:spacing w:val="-1"/>
        </w:rPr>
        <w:t>年每年度实现的合并报表</w:t>
      </w:r>
      <w:r>
        <w:rPr>
          <w:spacing w:val="-79"/>
        </w:rPr>
        <w:t> </w:t>
      </w:r>
      <w:r>
        <w:rPr>
          <w:spacing w:val="-79"/>
        </w:rPr>
      </w:r>
      <w:r>
        <w:rPr/>
        <w:t>扣除非经常性损益后归属于母公司净利润分别不低于人民币</w:t>
      </w:r>
      <w:r>
        <w:rPr>
          <w:rFonts w:ascii="Times New Roman" w:hAnsi="Times New Roman" w:cs="Times New Roman" w:eastAsia="Times New Roman" w:hint="default"/>
        </w:rPr>
        <w:t>5,500</w:t>
      </w:r>
      <w:r>
        <w:rPr/>
        <w:t>万元、</w:t>
      </w:r>
      <w:r>
        <w:rPr>
          <w:rFonts w:ascii="Times New Roman" w:hAnsi="Times New Roman" w:cs="Times New Roman" w:eastAsia="Times New Roman" w:hint="default"/>
        </w:rPr>
        <w:t>7,100</w:t>
      </w:r>
      <w:r>
        <w:rPr/>
        <w:t>万元、</w:t>
      </w:r>
      <w:r>
        <w:rPr>
          <w:rFonts w:ascii="Times New Roman" w:hAnsi="Times New Roman" w:cs="Times New Roman" w:eastAsia="Times New Roman" w:hint="default"/>
        </w:rPr>
        <w:t>9,100</w:t>
      </w:r>
      <w:r>
        <w:rPr/>
        <w:t>万元和</w:t>
      </w:r>
      <w:r>
        <w:rPr>
          <w:rFonts w:ascii="Times New Roman" w:hAnsi="Times New Roman" w:cs="Times New Roman" w:eastAsia="Times New Roman" w:hint="default"/>
        </w:rPr>
        <w:t>11,600</w:t>
      </w:r>
      <w:r>
        <w:rPr/>
        <w:t>万</w:t>
      </w:r>
      <w:r>
        <w:rPr>
          <w:spacing w:val="-31"/>
        </w:rPr>
        <w:t> </w:t>
      </w:r>
      <w:r>
        <w:rPr>
          <w:spacing w:val="3"/>
        </w:rPr>
        <w:t>元。上述净利润是指满泰科技合并报表中扣除非经常性损益后归属于母公司股东的净利润数。满泰科技</w:t>
      </w:r>
      <w:r>
        <w:rPr>
          <w:spacing w:val="-78"/>
        </w:rPr>
        <w:t> </w:t>
      </w:r>
      <w:r>
        <w:rPr>
          <w:spacing w:val="-78"/>
        </w:rPr>
      </w:r>
      <w:r>
        <w:rPr>
          <w:rFonts w:ascii="Times New Roman" w:hAnsi="Times New Roman" w:cs="Times New Roman" w:eastAsia="Times New Roman" w:hint="default"/>
        </w:rPr>
        <w:t>2017</w:t>
      </w:r>
      <w:r>
        <w:rPr/>
        <w:t>年度业绩承诺已达成。</w:t>
      </w:r>
    </w:p>
    <w:p>
      <w:pPr>
        <w:spacing w:line="240" w:lineRule="auto" w:before="9"/>
        <w:rPr>
          <w:rFonts w:ascii="宋体" w:hAnsi="宋体" w:cs="宋体" w:eastAsia="宋体" w:hint="default"/>
          <w:sz w:val="15"/>
          <w:szCs w:val="15"/>
        </w:rPr>
      </w:pPr>
    </w:p>
    <w:p>
      <w:pPr>
        <w:pStyle w:val="Heading2"/>
        <w:spacing w:line="240" w:lineRule="auto"/>
        <w:ind w:right="0"/>
        <w:jc w:val="left"/>
        <w:rPr>
          <w:b w:val="0"/>
          <w:bCs w:val="0"/>
        </w:rPr>
      </w:pPr>
      <w:bookmarkStart w:name="三、控股股东及其关联方对上市公司的非经营性占用资金情况" w:id="69"/>
      <w:bookmarkEnd w:id="69"/>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70"/>
      <w:bookmarkEnd w:id="70"/>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18"/>
          <w:footerReference w:type="default" r:id="rId19"/>
          <w:pgSz w:w="11910" w:h="16840"/>
          <w:pgMar w:header="877" w:footer="979" w:top="1100" w:bottom="1160" w:left="0" w:right="0"/>
          <w:pgNumType w:start="45"/>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六、董事会关于报告期会计政策、会计估计变更或重大会计差错更正的说明" w:id="72"/>
      <w:bookmarkEnd w:id="72"/>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Heading3"/>
        <w:spacing w:line="240" w:lineRule="auto"/>
        <w:ind w:left="1133" w:right="0"/>
        <w:jc w:val="left"/>
        <w:rPr>
          <w:b w:val="0"/>
          <w:bCs w:val="0"/>
        </w:rPr>
      </w:pPr>
      <w:r>
        <w:rPr>
          <w:rFonts w:ascii="Times New Roman" w:hAnsi="Times New Roman" w:cs="Times New Roman" w:eastAsia="Times New Roman" w:hint="default"/>
        </w:rPr>
        <w:t>1</w:t>
      </w:r>
      <w:r>
        <w:rPr/>
        <w:t>、会计政策变更</w:t>
      </w:r>
      <w:r>
        <w:rPr>
          <w:b w:val="0"/>
          <w:bCs w:val="0"/>
        </w:rPr>
      </w:r>
    </w:p>
    <w:p>
      <w:pPr>
        <w:pStyle w:val="BodyText"/>
        <w:spacing w:line="328" w:lineRule="auto" w:before="110"/>
        <w:ind w:right="1214"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日，财政部公布了修订后的《企业会计准则第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政府补助》，该准则修订自</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日起施行，同时要求企业对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 至该准则施行日之间新增的政府补助根据修订后的准则进行调整。</w:t>
      </w:r>
    </w:p>
    <w:p>
      <w:pPr>
        <w:pStyle w:val="BodyText"/>
        <w:spacing w:line="331" w:lineRule="auto" w:before="48"/>
        <w:ind w:right="0" w:firstLine="420"/>
        <w:jc w:val="left"/>
      </w:pPr>
      <w:r>
        <w:rPr>
          <w:spacing w:val="-1"/>
        </w:rPr>
        <w:t>公司在编制财务报表时已采用修订后的准则。公司已根据新修订的《企业会计准则第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w:t>
      </w:r>
      <w:r>
        <w:rPr/>
        <w:t> </w:t>
      </w:r>
      <w:r>
        <w:rPr>
          <w:spacing w:val="-1"/>
        </w:rPr>
        <w:t>助》，对于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日之间发生的与企业日常活动相关的政府补助在财务报表列报时</w:t>
      </w:r>
      <w:r>
        <w:rPr>
          <w:spacing w:val="-81"/>
        </w:rPr>
        <w:t> </w:t>
      </w:r>
      <w:r>
        <w:rPr>
          <w:spacing w:val="-81"/>
        </w:rPr>
      </w:r>
      <w:r>
        <w:rPr/>
        <w:t>进行了调整，从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重分类至</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rFonts w:ascii="Times New Roman" w:hAnsi="Times New Roman" w:cs="Times New Roman" w:eastAsia="Times New Roman" w:hint="default"/>
        </w:rPr>
        <w:t>86,905,605.50</w:t>
      </w:r>
      <w:r>
        <w:rPr/>
        <w:t>元，对于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日前财务报表中可比 期间的财务报表不予追溯调整。</w:t>
      </w:r>
    </w:p>
    <w:p>
      <w:pPr>
        <w:pStyle w:val="BodyText"/>
        <w:spacing w:line="331" w:lineRule="auto" w:before="165"/>
        <w:ind w:right="1131"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 营》，该准则自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日起施行。公司根据该准则及财政部《关于修订印发一般企业财务报表格式 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号的规定，在利润表中新增了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 </w:t>
      </w:r>
      <w:r>
        <w:rPr>
          <w:spacing w:val="-1"/>
        </w:rPr>
        <w:t>进行分类列报。此项会计政策变更采用追溯调整法，</w:t>
      </w:r>
      <w:r>
        <w:rPr>
          <w:rFonts w:ascii="Times New Roman" w:hAnsi="Times New Roman" w:cs="Times New Roman" w:eastAsia="Times New Roman" w:hint="default"/>
          <w:spacing w:val="-1"/>
        </w:rPr>
        <w:t>2016</w:t>
      </w:r>
      <w:r>
        <w:rPr>
          <w:spacing w:val="-1"/>
        </w:rPr>
        <w:t>年无需要调整至资产处置收益的营业外收入和支</w:t>
      </w:r>
      <w:r>
        <w:rPr>
          <w:spacing w:val="-79"/>
        </w:rPr>
        <w:t> </w:t>
      </w:r>
      <w:r>
        <w:rPr/>
        <w:t>出。</w:t>
      </w:r>
      <w:r>
        <w:rPr>
          <w:rFonts w:ascii="Times New Roman" w:hAnsi="Times New Roman" w:cs="Times New Roman" w:eastAsia="Times New Roman" w:hint="default"/>
        </w:rPr>
        <w:t>2017</w:t>
      </w:r>
      <w:r>
        <w:rPr/>
        <w:t>年从营业外支出调整计入资产处置收益的金额为</w:t>
      </w:r>
      <w:r>
        <w:rPr>
          <w:rFonts w:ascii="Times New Roman" w:hAnsi="Times New Roman" w:cs="Times New Roman" w:eastAsia="Times New Roman" w:hint="default"/>
        </w:rPr>
        <w:t>-464.00</w:t>
      </w:r>
      <w:r>
        <w:rPr/>
        <w:t>元。</w:t>
      </w:r>
    </w:p>
    <w:p>
      <w:pPr>
        <w:pStyle w:val="BodyText"/>
        <w:spacing w:line="331" w:lineRule="auto" w:before="141"/>
        <w:ind w:left="1554" w:right="1118" w:hanging="420"/>
        <w:jc w:val="left"/>
      </w:pPr>
      <w:r>
        <w:rPr>
          <w:rFonts w:ascii="Times New Roman" w:hAnsi="Times New Roman" w:cs="Times New Roman" w:eastAsia="Times New Roman" w:hint="default"/>
          <w:b/>
          <w:bCs/>
        </w:rPr>
        <w:t>2</w:t>
      </w:r>
      <w:r>
        <w:rPr>
          <w:rFonts w:ascii="宋体" w:hAnsi="宋体" w:cs="宋体" w:eastAsia="宋体" w:hint="default"/>
          <w:b/>
          <w:bCs/>
        </w:rPr>
        <w:t>、会计估计变更</w:t>
      </w:r>
      <w:r>
        <w:rPr>
          <w:rFonts w:ascii="宋体" w:hAnsi="宋体" w:cs="宋体" w:eastAsia="宋体" w:hint="default"/>
          <w:b/>
          <w:bCs/>
          <w:w w:val="99"/>
        </w:rPr>
        <w:t> </w:t>
      </w:r>
      <w:r>
        <w:rPr>
          <w:spacing w:val="-1"/>
        </w:rPr>
        <w:t>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日召开第三届董事会第二十六次（临时）会议，审议通过了《关于会计估计变更</w:t>
      </w:r>
    </w:p>
    <w:p>
      <w:pPr>
        <w:pStyle w:val="BodyText"/>
        <w:spacing w:line="350" w:lineRule="auto" w:before="20"/>
        <w:ind w:left="1134" w:right="0"/>
        <w:jc w:val="left"/>
      </w:pPr>
      <w:r>
        <w:rPr>
          <w:spacing w:val="-1"/>
        </w:rPr>
        <w:t>的议案》，对合并报表范围内关联方之间形成的应收款项，单独进行减值测试，除非有确凿证据表明发生</w:t>
      </w:r>
      <w:r>
        <w:rPr>
          <w:spacing w:val="-85"/>
        </w:rPr>
        <w:t> </w:t>
      </w:r>
      <w:r>
        <w:rPr>
          <w:spacing w:val="-85"/>
        </w:rPr>
      </w:r>
      <w:r>
        <w:rPr/>
        <w:t>减值，不计提坏账准备，自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日起开始执行。</w:t>
      </w:r>
    </w:p>
    <w:p>
      <w:pPr>
        <w:pStyle w:val="BodyText"/>
        <w:spacing w:line="240" w:lineRule="auto" w:before="2"/>
        <w:ind w:left="1554" w:right="0"/>
        <w:jc w:val="left"/>
      </w:pPr>
      <w:r>
        <w:rPr/>
        <w:t>本次会计估计变更采用未来适用法，对前期财务报表不产生影响。</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73"/>
      <w:bookmarkEnd w:id="73"/>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0"/>
          <w:szCs w:val="10"/>
        </w:rPr>
      </w:pPr>
    </w:p>
    <w:p>
      <w:pPr>
        <w:pStyle w:val="BodyText"/>
        <w:spacing w:line="240" w:lineRule="auto" w:before="35"/>
        <w:ind w:left="1553" w:right="0"/>
        <w:jc w:val="left"/>
      </w:pPr>
      <w:r>
        <w:rPr/>
        <w:t>本期纳入合并财务报表范围的主体较上期相比，增加</w:t>
      </w:r>
      <w:r>
        <w:rPr>
          <w:rFonts w:ascii="Times New Roman" w:hAnsi="Times New Roman" w:cs="Times New Roman" w:eastAsia="Times New Roman" w:hint="default"/>
        </w:rPr>
        <w:t>9</w:t>
      </w:r>
      <w:r>
        <w:rPr/>
        <w:t>户，减少</w:t>
      </w:r>
      <w:r>
        <w:rPr>
          <w:rFonts w:ascii="Times New Roman" w:hAnsi="Times New Roman" w:cs="Times New Roman" w:eastAsia="Times New Roman" w:hint="default"/>
        </w:rPr>
        <w:t>2</w:t>
      </w:r>
      <w:r>
        <w:rPr/>
        <w:t>户，其中：</w:t>
      </w:r>
    </w:p>
    <w:p>
      <w:pPr>
        <w:pStyle w:val="BodyText"/>
        <w:spacing w:line="240" w:lineRule="auto" w:before="109"/>
        <w:ind w:left="1553" w:right="0"/>
        <w:jc w:val="left"/>
      </w:pPr>
      <w:r>
        <w:rPr>
          <w:rFonts w:ascii="Times New Roman" w:hAnsi="Times New Roman" w:cs="Times New Roman" w:eastAsia="Times New Roman" w:hint="default"/>
        </w:rPr>
        <w:t>1</w:t>
      </w:r>
      <w:r>
        <w:rPr/>
        <w:t>、本期新纳入合并范围的子公司、特殊目的主体、通过受托经营或承租等方式形成控制权的经营实</w:t>
      </w:r>
    </w:p>
    <w:p>
      <w:pPr>
        <w:pStyle w:val="BodyText"/>
        <w:spacing w:line="240" w:lineRule="auto" w:before="109"/>
        <w:ind w:right="0"/>
        <w:jc w:val="left"/>
      </w:pPr>
      <w:r>
        <w:rPr/>
        <w:t>体</w:t>
      </w:r>
    </w:p>
    <w:p>
      <w:pPr>
        <w:spacing w:line="240" w:lineRule="auto" w:before="12"/>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4821"/>
        <w:gridCol w:w="4820"/>
      </w:tblGrid>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广州蓝盾数据安全科技创新有限公司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4821"/>
        <w:gridCol w:w="4820"/>
      </w:tblGrid>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新投资设立</w:t>
            </w:r>
          </w:p>
        </w:tc>
      </w:tr>
    </w:tbl>
    <w:p>
      <w:pPr>
        <w:pStyle w:val="BodyText"/>
        <w:spacing w:line="331" w:lineRule="auto" w:before="75"/>
        <w:ind w:left="1134" w:right="1118" w:firstLine="420"/>
        <w:jc w:val="left"/>
      </w:pPr>
      <w:r>
        <w:rPr/>
        <w:pict>
          <v:shape style="position:absolute;margin-left:56.34pt;margin-top:39.973675pt;width:483.15pt;height:52.8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1"/>
                    <w:gridCol w:w="4820"/>
                  </w:tblGrid>
                  <w:tr>
                    <w:trPr>
                      <w:trHeight w:val="34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新疆丝路蓝盾教育科技有限公司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西安市中盾信息安全技术有限公司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r>
                </w:tbl>
                <w:p>
                  <w:pPr/>
                </w:p>
              </w:txbxContent>
            </v:textbox>
            <w10:wrap type="none"/>
          </v:shape>
        </w:pict>
      </w:r>
      <w:r>
        <w:rPr>
          <w:rFonts w:ascii="Times New Roman" w:hAnsi="Times New Roman" w:cs="Times New Roman" w:eastAsia="Times New Roman" w:hint="default"/>
        </w:rPr>
        <w:t>2</w:t>
      </w:r>
      <w:r>
        <w:rPr/>
        <w:t>、本期减少的合并范围内的子公司、特殊目的主体、通过受托经营或承租等方式形成控制权的经营 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35"/>
        <w:ind w:left="1554" w:right="0"/>
        <w:jc w:val="left"/>
      </w:pPr>
      <w:r>
        <w:rPr/>
        <w:t>合并范围变更主体的具体信息详见第十一节</w:t>
      </w:r>
      <w:r>
        <w:rPr>
          <w:spacing w:val="-21"/>
        </w:rPr>
        <w:t> </w:t>
      </w:r>
      <w:r>
        <w:rPr/>
        <w:t>八、合并范围的变更。</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八、聘任、解聘会计师事务所情况" w:id="74"/>
      <w:bookmarkEnd w:id="74"/>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6"/>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9" w:lineRule="auto" w:before="75"/>
        <w:ind w:right="0" w:firstLine="420"/>
        <w:jc w:val="left"/>
      </w:pPr>
      <w:r>
        <w:rPr>
          <w:rFonts w:ascii="Times New Roman" w:hAnsi="Times New Roman" w:cs="Times New Roman" w:eastAsia="Times New Roman" w:hint="default"/>
          <w:spacing w:val="-1"/>
        </w:rPr>
        <w:t>2015</w:t>
      </w:r>
      <w:r>
        <w:rPr>
          <w:spacing w:val="-1"/>
        </w:rPr>
        <w:t>年度，公司因重大资产重组事项，聘请广发证券股份有限公司为独立财务顾问。财务顾问督导期</w:t>
      </w:r>
      <w:r>
        <w:rPr/>
        <w:t> 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九、年度报告披露后面临暂停上市和终止上市情况" w:id="75"/>
      <w:bookmarkEnd w:id="75"/>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6"/>
      <w:bookmarkEnd w:id="76"/>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重大诉讼、仲裁事项" w:id="77"/>
      <w:bookmarkEnd w:id="77"/>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二、处罚及整改情况" w:id="78"/>
      <w:bookmarkEnd w:id="78"/>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after="0" w:line="338"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三、公司及其控股股东、实际控制人的诚信状况" w:id="79"/>
      <w:bookmarkEnd w:id="79"/>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80"/>
      <w:bookmarkEnd w:id="80"/>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0"/>
        <w:ind w:left="1553" w:right="0"/>
        <w:jc w:val="left"/>
      </w:pPr>
      <w:r>
        <w:rPr/>
        <w:t>（一）员工持股计划</w:t>
      </w:r>
    </w:p>
    <w:p>
      <w:pPr>
        <w:pStyle w:val="BodyText"/>
        <w:spacing w:line="314" w:lineRule="auto" w:before="144"/>
        <w:ind w:right="0" w:firstLine="420"/>
        <w:jc w:val="left"/>
      </w:pPr>
      <w:r>
        <w:rPr>
          <w:rFonts w:ascii="Times New Roman" w:hAnsi="Times New Roman" w:cs="Times New Roman" w:eastAsia="Times New Roman" w:hint="default"/>
        </w:rPr>
        <w:t>2015</w:t>
      </w:r>
      <w:r>
        <w:rPr/>
        <w:t>年度，公司实施了第一期员工持股计划。本期员工持股计划的参加对象为公司董事、监事、高级 </w:t>
      </w:r>
      <w:r>
        <w:rPr>
          <w:spacing w:val="-2"/>
        </w:rPr>
        <w:t>管理人员以及其他员工，合计</w:t>
      </w:r>
      <w:r>
        <w:rPr>
          <w:rFonts w:ascii="Times New Roman" w:hAnsi="Times New Roman" w:cs="Times New Roman" w:eastAsia="Times New Roman" w:hint="default"/>
          <w:spacing w:val="-2"/>
        </w:rPr>
        <w:t>26</w:t>
      </w:r>
      <w:r>
        <w:rPr>
          <w:spacing w:val="-2"/>
        </w:rPr>
        <w:t>人，认购本公司非公开发行股票数量为</w:t>
      </w:r>
      <w:r>
        <w:rPr>
          <w:rFonts w:ascii="Times New Roman" w:hAnsi="Times New Roman" w:cs="Times New Roman" w:eastAsia="Times New Roman" w:hint="default"/>
          <w:spacing w:val="-2"/>
        </w:rPr>
        <w:t>1,113,585</w:t>
      </w:r>
      <w:r>
        <w:rPr>
          <w:spacing w:val="-2"/>
        </w:rPr>
        <w:t>股</w:t>
      </w:r>
      <w:r>
        <w:rPr>
          <w:rFonts w:ascii="Times New Roman" w:hAnsi="Times New Roman" w:cs="Times New Roman" w:eastAsia="Times New Roman" w:hint="default"/>
          <w:spacing w:val="-2"/>
        </w:rPr>
        <w:t>(</w:t>
      </w:r>
      <w:r>
        <w:rPr>
          <w:spacing w:val="-2"/>
        </w:rPr>
        <w:t>送转后为</w:t>
      </w:r>
      <w:r>
        <w:rPr>
          <w:rFonts w:ascii="Times New Roman" w:hAnsi="Times New Roman" w:cs="Times New Roman" w:eastAsia="Times New Roman" w:hint="default"/>
          <w:spacing w:val="-2"/>
        </w:rPr>
        <w:t>4,899,774</w:t>
      </w:r>
      <w:r>
        <w:rPr>
          <w:spacing w:val="-2"/>
        </w:rPr>
        <w:t>股</w:t>
      </w:r>
      <w:r>
        <w:rPr>
          <w:rFonts w:ascii="Times New Roman" w:hAnsi="Times New Roman" w:cs="Times New Roman" w:eastAsia="Times New Roman" w:hint="default"/>
          <w:spacing w:val="-2"/>
        </w:rPr>
        <w:t>)</w:t>
      </w:r>
      <w:r>
        <w:rPr>
          <w:spacing w:val="-2"/>
        </w:rPr>
        <w:t>，</w:t>
      </w:r>
      <w:r>
        <w:rPr>
          <w:spacing w:val="-50"/>
        </w:rPr>
        <w:t> </w:t>
      </w:r>
      <w:r>
        <w:rPr/>
        <w:t>锁定期为</w:t>
      </w:r>
      <w:r>
        <w:rPr>
          <w:rFonts w:ascii="Times New Roman" w:hAnsi="Times New Roman" w:cs="Times New Roman" w:eastAsia="Times New Roman" w:hint="default"/>
        </w:rPr>
        <w:t>36</w:t>
      </w:r>
      <w:r>
        <w:rPr/>
        <w:t>个月。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日，第一期员工持股计划认购的股份正式上市。详见公司于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 刊登于巨潮资讯网（</w:t>
      </w:r>
      <w:hyperlink r:id="rId12">
        <w:r>
          <w:rPr>
            <w:rFonts w:ascii="Times New Roman" w:hAnsi="Times New Roman" w:cs="Times New Roman" w:eastAsia="Times New Roman" w:hint="default"/>
          </w:rPr>
          <w:t>http://www.cninfo.com.cn</w:t>
        </w:r>
      </w:hyperlink>
      <w:r>
        <w:rPr/>
        <w:t>）的《蓝盾信息安全技术股份有限公司发行股份及支付现金</w:t>
      </w:r>
      <w:r>
        <w:rPr>
          <w:w w:val="99"/>
        </w:rPr>
        <w:t> </w:t>
      </w:r>
      <w:r>
        <w:rPr/>
        <w:t>购买资产并募集配套资金实施情况暨新增股份上市公告书》等相关公告。</w:t>
      </w:r>
    </w:p>
    <w:p>
      <w:pPr>
        <w:pStyle w:val="BodyText"/>
        <w:spacing w:line="240" w:lineRule="auto" w:before="80"/>
        <w:ind w:left="1553" w:right="0"/>
        <w:jc w:val="left"/>
      </w:pPr>
      <w:r>
        <w:rPr/>
        <w:t>（二）股权激励计划</w:t>
      </w:r>
    </w:p>
    <w:p>
      <w:pPr>
        <w:pStyle w:val="BodyText"/>
        <w:spacing w:line="319" w:lineRule="auto" w:before="144"/>
        <w:ind w:right="1128" w:firstLine="42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日召开</w:t>
      </w:r>
      <w:r>
        <w:rPr>
          <w:rFonts w:ascii="Times New Roman" w:hAnsi="Times New Roman" w:cs="Times New Roman" w:eastAsia="Times New Roman" w:hint="default"/>
        </w:rPr>
        <w:t>2016</w:t>
      </w:r>
      <w:r>
        <w:rPr/>
        <w:t>年第三次临时股东大会并审议通过了《关于</w:t>
      </w:r>
      <w:r>
        <w:rPr>
          <w:rFonts w:ascii="Times New Roman" w:hAnsi="Times New Roman" w:cs="Times New Roman" w:eastAsia="Times New Roman" w:hint="default"/>
        </w:rPr>
        <w:t>&lt;</w:t>
      </w:r>
      <w:r>
        <w:rPr/>
        <w:t>蓝盾信息安全技术股 </w:t>
      </w:r>
      <w:r>
        <w:rPr>
          <w:spacing w:val="-1"/>
        </w:rPr>
        <w:t>份有限公司限制性股票激励计划（草案）</w:t>
      </w:r>
      <w:r>
        <w:rPr>
          <w:rFonts w:ascii="Times New Roman" w:hAnsi="Times New Roman" w:cs="Times New Roman" w:eastAsia="Times New Roman" w:hint="default"/>
          <w:spacing w:val="-1"/>
        </w:rPr>
        <w:t>&gt;</w:t>
      </w:r>
      <w:r>
        <w:rPr>
          <w:spacing w:val="-1"/>
        </w:rPr>
        <w:t>及其摘要的议案》等相关议案，于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日召开第三届董</w:t>
      </w:r>
      <w:r>
        <w:rPr>
          <w:spacing w:val="-95"/>
        </w:rPr>
        <w:t> </w:t>
      </w:r>
      <w:r>
        <w:rPr>
          <w:spacing w:val="-95"/>
        </w:rPr>
      </w:r>
      <w:r>
        <w:rPr>
          <w:spacing w:val="-1"/>
        </w:rPr>
        <w:t>事会第十三次（临时）会议和第三届监事会第七次（临时）会议审议通过了《关于向激励对象授予限制性</w:t>
      </w:r>
      <w:r>
        <w:rPr>
          <w:spacing w:val="-83"/>
        </w:rPr>
        <w:t> </w:t>
      </w:r>
      <w:r>
        <w:rPr>
          <w:spacing w:val="-83"/>
        </w:rPr>
      </w:r>
      <w:r>
        <w:rPr/>
        <w:t>股票的议案》，并于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日完成了限制性股票的授予登记，公司共向</w:t>
      </w:r>
      <w:r>
        <w:rPr>
          <w:rFonts w:ascii="Times New Roman" w:hAnsi="Times New Roman" w:cs="Times New Roman" w:eastAsia="Times New Roman" w:hint="default"/>
        </w:rPr>
        <w:t>214</w:t>
      </w:r>
      <w:r>
        <w:rPr/>
        <w:t>名激励对象授予</w:t>
      </w:r>
      <w:r>
        <w:rPr>
          <w:rFonts w:ascii="Times New Roman" w:hAnsi="Times New Roman" w:cs="Times New Roman" w:eastAsia="Times New Roman" w:hint="default"/>
        </w:rPr>
        <w:t>790</w:t>
      </w:r>
      <w:r>
        <w:rPr/>
        <w:t>万股</w:t>
      </w:r>
      <w:r>
        <w:rPr>
          <w:spacing w:val="-28"/>
        </w:rPr>
        <w:t> </w:t>
      </w:r>
      <w:r>
        <w:rPr/>
        <w:t>限</w:t>
      </w:r>
      <w:r>
        <w:rPr>
          <w:spacing w:val="-42"/>
        </w:rPr>
        <w:t> </w:t>
      </w:r>
      <w:r>
        <w:rPr/>
        <w:t>制</w:t>
      </w:r>
      <w:r>
        <w:rPr>
          <w:spacing w:val="-42"/>
        </w:rPr>
        <w:t> </w:t>
      </w:r>
      <w:r>
        <w:rPr/>
        <w:t>性</w:t>
      </w:r>
      <w:r>
        <w:rPr>
          <w:spacing w:val="-42"/>
        </w:rPr>
        <w:t> </w:t>
      </w:r>
      <w:r>
        <w:rPr/>
        <w:t>股</w:t>
      </w:r>
      <w:r>
        <w:rPr>
          <w:spacing w:val="-41"/>
        </w:rPr>
        <w:t> </w:t>
      </w:r>
      <w:r>
        <w:rPr/>
        <w:t>票</w:t>
      </w:r>
      <w:r>
        <w:rPr>
          <w:spacing w:val="-42"/>
        </w:rPr>
        <w:t> </w:t>
      </w:r>
      <w:r>
        <w:rPr/>
        <w:t>，</w:t>
      </w:r>
      <w:r>
        <w:rPr>
          <w:spacing w:val="-42"/>
        </w:rPr>
        <w:t> </w:t>
      </w:r>
      <w:r>
        <w:rPr/>
        <w:t>授</w:t>
      </w:r>
      <w:r>
        <w:rPr>
          <w:spacing w:val="-42"/>
        </w:rPr>
        <w:t> </w:t>
      </w:r>
      <w:r>
        <w:rPr/>
        <w:t>予</w:t>
      </w:r>
      <w:r>
        <w:rPr>
          <w:spacing w:val="-41"/>
        </w:rPr>
        <w:t> </w:t>
      </w:r>
      <w:r>
        <w:rPr/>
        <w:t>价</w:t>
      </w:r>
      <w:r>
        <w:rPr>
          <w:spacing w:val="-42"/>
        </w:rPr>
        <w:t> </w:t>
      </w:r>
      <w:r>
        <w:rPr/>
        <w:t>格</w:t>
      </w:r>
      <w:r>
        <w:rPr>
          <w:spacing w:val="-42"/>
        </w:rPr>
        <w:t> </w:t>
      </w:r>
      <w:r>
        <w:rPr/>
        <w:t>为</w:t>
      </w:r>
      <w:r>
        <w:rPr>
          <w:spacing w:val="-40"/>
        </w:rPr>
        <w:t> </w:t>
      </w:r>
      <w:r>
        <w:rPr>
          <w:rFonts w:ascii="Times New Roman" w:hAnsi="Times New Roman" w:cs="Times New Roman" w:eastAsia="Times New Roman" w:hint="default"/>
        </w:rPr>
        <w:t>7.89</w:t>
      </w:r>
      <w:r>
        <w:rPr>
          <w:rFonts w:ascii="Times New Roman" w:hAnsi="Times New Roman" w:cs="Times New Roman" w:eastAsia="Times New Roman" w:hint="default"/>
          <w:spacing w:val="12"/>
        </w:rPr>
        <w:t> </w:t>
      </w:r>
      <w:r>
        <w:rPr/>
        <w:t>元</w:t>
      </w:r>
      <w:r>
        <w:rPr>
          <w:spacing w:val="-42"/>
        </w:rPr>
        <w:t>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股</w:t>
      </w:r>
      <w:r>
        <w:rPr>
          <w:spacing w:val="-42"/>
        </w:rPr>
        <w:t> </w:t>
      </w:r>
      <w:r>
        <w:rPr/>
        <w:t>。</w:t>
      </w:r>
      <w:r>
        <w:rPr>
          <w:spacing w:val="-41"/>
        </w:rPr>
        <w:t> </w:t>
      </w:r>
      <w:r>
        <w:rPr/>
        <w:t>详</w:t>
      </w:r>
      <w:r>
        <w:rPr>
          <w:spacing w:val="-42"/>
        </w:rPr>
        <w:t> </w:t>
      </w:r>
      <w:r>
        <w:rPr/>
        <w:t>见</w:t>
      </w:r>
      <w:r>
        <w:rPr>
          <w:spacing w:val="-42"/>
        </w:rPr>
        <w:t> </w:t>
      </w:r>
      <w:r>
        <w:rPr/>
        <w:t>公</w:t>
      </w:r>
      <w:r>
        <w:rPr>
          <w:spacing w:val="-42"/>
        </w:rPr>
        <w:t> </w:t>
      </w:r>
      <w:r>
        <w:rPr/>
        <w:t>司</w:t>
      </w:r>
      <w:r>
        <w:rPr>
          <w:spacing w:val="-41"/>
        </w:rPr>
        <w:t> </w:t>
      </w:r>
      <w:r>
        <w:rPr/>
        <w:t>于</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日</w:t>
      </w:r>
      <w:r>
        <w:rPr>
          <w:spacing w:val="-42"/>
        </w:rPr>
        <w:t> </w:t>
      </w:r>
      <w:r>
        <w:rPr/>
        <w:t>刊</w:t>
      </w:r>
      <w:r>
        <w:rPr>
          <w:spacing w:val="-42"/>
        </w:rPr>
        <w:t> </w:t>
      </w:r>
      <w:r>
        <w:rPr/>
        <w:t>登</w:t>
      </w:r>
      <w:r>
        <w:rPr>
          <w:spacing w:val="-42"/>
        </w:rPr>
        <w:t> </w:t>
      </w:r>
      <w:r>
        <w:rPr/>
        <w:t>于</w:t>
      </w:r>
      <w:r>
        <w:rPr>
          <w:spacing w:val="-42"/>
        </w:rPr>
        <w:t> </w:t>
      </w:r>
      <w:r>
        <w:rPr/>
        <w:t>巨</w:t>
      </w:r>
      <w:r>
        <w:rPr>
          <w:spacing w:val="-42"/>
        </w:rPr>
        <w:t> </w:t>
      </w:r>
      <w:r>
        <w:rPr/>
        <w:t>潮</w:t>
      </w:r>
      <w:r>
        <w:rPr>
          <w:spacing w:val="-41"/>
        </w:rPr>
        <w:t> </w:t>
      </w:r>
      <w:r>
        <w:rPr/>
        <w:t>资</w:t>
      </w:r>
      <w:r>
        <w:rPr>
          <w:spacing w:val="-42"/>
        </w:rPr>
        <w:t> </w:t>
      </w:r>
      <w:r>
        <w:rPr/>
        <w:t>讯</w:t>
      </w:r>
      <w:r>
        <w:rPr>
          <w:spacing w:val="-41"/>
        </w:rPr>
        <w:t> </w:t>
      </w:r>
      <w:r>
        <w:rPr/>
        <w:t>网</w:t>
      </w:r>
    </w:p>
    <w:p>
      <w:pPr>
        <w:pStyle w:val="BodyText"/>
        <w:spacing w:line="240" w:lineRule="auto" w:before="13"/>
        <w:ind w:left="1134" w:right="0"/>
        <w:jc w:val="left"/>
      </w:pPr>
      <w:r>
        <w:rPr/>
        <w:t>（</w:t>
      </w:r>
      <w:hyperlink r:id="rId12">
        <w:r>
          <w:rPr>
            <w:rFonts w:ascii="Times New Roman" w:hAnsi="Times New Roman" w:cs="Times New Roman" w:eastAsia="Times New Roman" w:hint="default"/>
          </w:rPr>
          <w:t>http://www.cninfo.com.cn</w:t>
        </w:r>
      </w:hyperlink>
      <w:r>
        <w:rPr/>
        <w:t>）的《关于限制性股票授予完成的公告》。</w:t>
      </w:r>
    </w:p>
    <w:p>
      <w:pPr>
        <w:pStyle w:val="BodyText"/>
        <w:spacing w:line="319" w:lineRule="auto" w:before="128"/>
        <w:ind w:right="1128" w:firstLine="420"/>
        <w:jc w:val="both"/>
      </w:pP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日召开了第三届董事会第三十一次会议和第三届监事会第二十一次会议并审议</w:t>
      </w:r>
      <w:r>
        <w:rPr/>
        <w:t> </w:t>
      </w:r>
      <w:r>
        <w:rPr>
          <w:spacing w:val="-1"/>
        </w:rPr>
        <w:t>通过了《关于公司限制性股票激励计划第一个解锁期解锁条件成就的议案》、《关于回购注销部分限制性</w:t>
      </w:r>
      <w:r>
        <w:rPr>
          <w:spacing w:val="-84"/>
        </w:rPr>
        <w:t> </w:t>
      </w:r>
      <w:r>
        <w:rPr>
          <w:spacing w:val="-84"/>
        </w:rPr>
      </w:r>
      <w:r>
        <w:rPr/>
        <w:t>股票的议案》。其中，符合解锁条件的激励对象共计</w:t>
      </w:r>
      <w:r>
        <w:rPr>
          <w:rFonts w:ascii="Times New Roman" w:hAnsi="Times New Roman" w:cs="Times New Roman" w:eastAsia="Times New Roman" w:hint="default"/>
        </w:rPr>
        <w:t>206</w:t>
      </w:r>
      <w:r>
        <w:rPr/>
        <w:t>人，可申请解锁的限制性股票数量为</w:t>
      </w:r>
      <w:r>
        <w:rPr>
          <w:rFonts w:ascii="Times New Roman" w:hAnsi="Times New Roman" w:cs="Times New Roman" w:eastAsia="Times New Roman" w:hint="default"/>
        </w:rPr>
        <w:t>156.2</w:t>
      </w:r>
      <w:r>
        <w:rPr/>
        <w:t>万股，</w:t>
      </w:r>
      <w:r>
        <w:rPr>
          <w:spacing w:val="-77"/>
        </w:rPr>
        <w:t> </w:t>
      </w:r>
      <w:r>
        <w:rPr/>
        <w:t>该等股份已于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日上市流通；因离职不予解锁的激励对象</w:t>
      </w:r>
      <w:r>
        <w:rPr>
          <w:rFonts w:ascii="Times New Roman" w:hAnsi="Times New Roman" w:cs="Times New Roman" w:eastAsia="Times New Roman" w:hint="default"/>
        </w:rPr>
        <w:t>8</w:t>
      </w:r>
      <w:r>
        <w:rPr/>
        <w:t>人，未解锁的限制性股票共</w:t>
      </w:r>
      <w:r>
        <w:rPr>
          <w:rFonts w:ascii="Times New Roman" w:hAnsi="Times New Roman" w:cs="Times New Roman" w:eastAsia="Times New Roman" w:hint="default"/>
        </w:rPr>
        <w:t>9</w:t>
      </w:r>
      <w:r>
        <w:rPr/>
        <w:t>万股根</w:t>
      </w:r>
      <w:r>
        <w:rPr>
          <w:spacing w:val="-27"/>
        </w:rPr>
        <w:t> </w:t>
      </w:r>
      <w:r>
        <w:rPr>
          <w:spacing w:val="-27"/>
        </w:rPr>
      </w:r>
      <w:r>
        <w:rPr>
          <w:spacing w:val="-1"/>
        </w:rPr>
        <w:t>据规定实施回购注销，回购价格为</w:t>
      </w:r>
      <w:r>
        <w:rPr>
          <w:rFonts w:ascii="Times New Roman" w:hAnsi="Times New Roman" w:cs="Times New Roman" w:eastAsia="Times New Roman" w:hint="default"/>
          <w:spacing w:val="-1"/>
        </w:rPr>
        <w:t>7.89</w:t>
      </w:r>
      <w:r>
        <w:rPr>
          <w:spacing w:val="-1"/>
        </w:rPr>
        <w:t>元</w:t>
      </w:r>
      <w:r>
        <w:rPr>
          <w:rFonts w:ascii="Times New Roman" w:hAnsi="Times New Roman" w:cs="Times New Roman" w:eastAsia="Times New Roman" w:hint="default"/>
          <w:spacing w:val="-1"/>
        </w:rPr>
        <w:t>/</w:t>
      </w:r>
      <w:r>
        <w:rPr>
          <w:spacing w:val="-1"/>
        </w:rPr>
        <w:t>股，该等股份已于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日完成回购注销登记手续。本次限</w:t>
      </w:r>
      <w:r>
        <w:rPr>
          <w:spacing w:val="-88"/>
        </w:rPr>
        <w:t> </w:t>
      </w:r>
      <w:r>
        <w:rPr>
          <w:spacing w:val="-88"/>
        </w:rPr>
      </w:r>
      <w:r>
        <w:rPr/>
        <w:t>制性股票回购注销完成后，公司股权激励对象人数由</w:t>
      </w:r>
      <w:r>
        <w:rPr>
          <w:rFonts w:ascii="Times New Roman" w:hAnsi="Times New Roman" w:cs="Times New Roman" w:eastAsia="Times New Roman" w:hint="default"/>
        </w:rPr>
        <w:t>214</w:t>
      </w:r>
      <w:r>
        <w:rPr/>
        <w:t>人变为</w:t>
      </w:r>
      <w:r>
        <w:rPr>
          <w:rFonts w:ascii="Times New Roman" w:hAnsi="Times New Roman" w:cs="Times New Roman" w:eastAsia="Times New Roman" w:hint="default"/>
        </w:rPr>
        <w:t>206</w:t>
      </w:r>
      <w:r>
        <w:rPr/>
        <w:t>人，公司总股本由</w:t>
      </w:r>
      <w:r>
        <w:rPr>
          <w:rFonts w:ascii="Times New Roman" w:hAnsi="Times New Roman" w:cs="Times New Roman" w:eastAsia="Times New Roman" w:hint="default"/>
        </w:rPr>
        <w:t>1,175,455,904</w:t>
      </w:r>
      <w:r>
        <w:rPr/>
        <w:t>股变更</w:t>
      </w:r>
      <w:r>
        <w:rPr>
          <w:spacing w:val="-79"/>
        </w:rPr>
        <w:t> </w:t>
      </w:r>
      <w:r>
        <w:rPr>
          <w:spacing w:val="-2"/>
        </w:rPr>
        <w:t>为</w:t>
      </w:r>
      <w:r>
        <w:rPr>
          <w:rFonts w:ascii="Times New Roman" w:hAnsi="Times New Roman" w:cs="Times New Roman" w:eastAsia="Times New Roman" w:hint="default"/>
          <w:spacing w:val="-2"/>
        </w:rPr>
        <w:t>1,175,365,904</w:t>
      </w:r>
      <w:r>
        <w:rPr>
          <w:spacing w:val="-2"/>
        </w:rPr>
        <w:t>股。详见公司刊登于巨潮资讯网（</w:t>
      </w:r>
      <w:hyperlink r:id="rId12">
        <w:r>
          <w:rPr>
            <w:rFonts w:ascii="Times New Roman" w:hAnsi="Times New Roman" w:cs="Times New Roman" w:eastAsia="Times New Roman" w:hint="default"/>
            <w:spacing w:val="-2"/>
          </w:rPr>
          <w:t>http://www.cninfo.com.cn</w:t>
        </w:r>
      </w:hyperlink>
      <w:r>
        <w:rPr>
          <w:spacing w:val="-2"/>
        </w:rPr>
        <w:t>）的《关于限制性股票激励计划</w:t>
      </w:r>
      <w:r>
        <w:rPr>
          <w:spacing w:val="-62"/>
        </w:rPr>
        <w:t> </w:t>
      </w:r>
      <w:r>
        <w:rPr>
          <w:spacing w:val="-62"/>
        </w:rPr>
      </w:r>
      <w:r>
        <w:rPr>
          <w:spacing w:val="-1"/>
        </w:rPr>
        <w:t>第一个解锁期解锁条件成就的公告》、《关于回购注销部分限制性股票的公告》以及《关于部分限制性股</w:t>
      </w:r>
      <w:r>
        <w:rPr>
          <w:spacing w:val="-83"/>
        </w:rPr>
        <w:t> </w:t>
      </w:r>
      <w:r>
        <w:rPr>
          <w:spacing w:val="-83"/>
        </w:rPr>
      </w:r>
      <w:r>
        <w:rPr/>
        <w:t>票回购注销完成的公告》等相关公告。</w:t>
      </w:r>
    </w:p>
    <w:p>
      <w:pPr>
        <w:pStyle w:val="BodyText"/>
        <w:spacing w:line="240" w:lineRule="auto" w:before="76"/>
        <w:ind w:left="1553" w:right="0"/>
        <w:jc w:val="left"/>
      </w:pPr>
      <w:r>
        <w:rPr>
          <w:rFonts w:ascii="Times New Roman" w:hAnsi="Times New Roman" w:cs="Times New Roman" w:eastAsia="Times New Roman" w:hint="default"/>
        </w:rPr>
        <w:t>3</w:t>
      </w:r>
      <w:r>
        <w:rPr/>
        <w:t>、实施股权激励计划对公司本报告期及以后各年度财务状况和经营成果的影响</w:t>
      </w:r>
    </w:p>
    <w:p>
      <w:pPr>
        <w:pStyle w:val="BodyText"/>
        <w:spacing w:line="314" w:lineRule="auto" w:before="128"/>
        <w:ind w:left="1134" w:right="1143" w:firstLine="420"/>
        <w:jc w:val="both"/>
      </w:pPr>
      <w:r>
        <w:rPr/>
        <w:t>公司在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年将按照各期限制性股票的解锁比例和授予日限制性股票的公允价值总额分期确 认限制性股票激励成本。</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-2019</w:t>
      </w:r>
      <w:r>
        <w:rPr/>
        <w:t>年限制性股票成本摊销情况见下表：</w:t>
      </w:r>
    </w:p>
    <w:p>
      <w:pPr>
        <w:spacing w:before="9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1560"/>
        <w:gridCol w:w="1616"/>
        <w:gridCol w:w="1642"/>
        <w:gridCol w:w="1642"/>
        <w:gridCol w:w="1620"/>
        <w:gridCol w:w="1560"/>
      </w:tblGrid>
      <w:tr>
        <w:trPr>
          <w:trHeight w:val="42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年度</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摊销金额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84" w:right="0"/>
              <w:jc w:val="left"/>
              <w:rPr>
                <w:rFonts w:ascii="Times New Roman" w:hAnsi="Times New Roman" w:cs="Times New Roman" w:eastAsia="Times New Roman" w:hint="default"/>
                <w:sz w:val="18"/>
                <w:szCs w:val="18"/>
              </w:rPr>
            </w:pPr>
            <w:r>
              <w:rPr>
                <w:rFonts w:ascii="Times New Roman"/>
                <w:sz w:val="18"/>
              </w:rPr>
              <w:t>1,199.56</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673.76</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194.90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26.71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2,094.93</w:t>
            </w:r>
          </w:p>
        </w:tc>
      </w:tr>
    </w:tbl>
    <w:p>
      <w:pPr>
        <w:spacing w:line="240" w:lineRule="auto" w:before="1"/>
        <w:rPr>
          <w:rFonts w:ascii="宋体" w:hAnsi="宋体" w:cs="宋体" w:eastAsia="宋体" w:hint="default"/>
          <w:sz w:val="6"/>
          <w:szCs w:val="6"/>
        </w:rPr>
      </w:pPr>
    </w:p>
    <w:p>
      <w:pPr>
        <w:pStyle w:val="BodyText"/>
        <w:spacing w:line="240" w:lineRule="auto" w:before="35"/>
        <w:ind w:left="1554" w:right="0"/>
        <w:jc w:val="left"/>
      </w:pPr>
      <w:r>
        <w:rPr/>
        <w:t>限制性股票激励计划激励成本将在经常性损益中列支。上述对公司财务状况和经营成果的影响仅为测</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84" w:lineRule="auto" w:before="35"/>
        <w:ind w:left="1553" w:right="5345" w:hanging="420"/>
        <w:jc w:val="left"/>
      </w:pPr>
      <w:r>
        <w:rPr/>
        <w:t>算数据，应以会计师事务所出具的年度审计报告为准。 其中，本报告期摊销的限制性股票成本为</w:t>
      </w:r>
      <w:r>
        <w:rPr>
          <w:rFonts w:ascii="Times New Roman" w:hAnsi="Times New Roman" w:cs="Times New Roman" w:eastAsia="Times New Roman" w:hint="default"/>
        </w:rPr>
        <w:t>673.76</w:t>
      </w:r>
      <w:r>
        <w:rPr/>
        <w:t>万元。</w:t>
      </w:r>
    </w:p>
    <w:p>
      <w:pPr>
        <w:pStyle w:val="Heading2"/>
        <w:spacing w:line="240" w:lineRule="auto" w:before="156"/>
        <w:ind w:left="1134" w:right="0"/>
        <w:jc w:val="both"/>
        <w:rPr>
          <w:b w:val="0"/>
          <w:bCs w:val="0"/>
        </w:rPr>
      </w:pPr>
      <w:bookmarkStart w:name="十五、重大关联交易" w:id="81"/>
      <w:bookmarkEnd w:id="81"/>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133" w:right="0"/>
        <w:jc w:val="both"/>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left="1133" w:right="0"/>
        <w:jc w:val="both"/>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left="1133" w:right="0"/>
        <w:jc w:val="both"/>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31" w:lineRule="auto"/>
        <w:ind w:right="1132"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10</w:t>
      </w:r>
      <w:r>
        <w:rPr>
          <w:spacing w:val="-1"/>
        </w:rPr>
        <w:t>日，公司发布《关于对外投资设立合资公司暨关联交易的公告》，公司的全资子公司</w:t>
      </w:r>
      <w:r>
        <w:rPr/>
        <w:t> 华炜科技拟与珠海华威达投资企业（有限合伙）共同出资设立合资公司</w:t>
      </w:r>
      <w:r>
        <w:rPr>
          <w:rFonts w:ascii="Times New Roman" w:hAnsi="Times New Roman" w:cs="Times New Roman" w:eastAsia="Times New Roman" w:hint="default"/>
        </w:rPr>
        <w:t>“</w:t>
      </w:r>
      <w:r>
        <w:rPr/>
        <w:t>北京华炜思创科技有限公司</w:t>
      </w:r>
      <w:r>
        <w:rPr>
          <w:rFonts w:ascii="Times New Roman" w:hAnsi="Times New Roman" w:cs="Times New Roman" w:eastAsia="Times New Roman" w:hint="default"/>
        </w:rPr>
        <w:t>”</w:t>
      </w:r>
      <w:r>
        <w:rPr/>
        <w:t>，具 体内容详见中国证监会指定的创业板信息披露网站巨潮资讯网（</w:t>
      </w:r>
      <w:hyperlink r:id="rId12">
        <w:r>
          <w:rPr>
            <w:rFonts w:ascii="Times New Roman" w:hAnsi="Times New Roman" w:cs="Times New Roman" w:eastAsia="Times New Roman" w:hint="default"/>
          </w:rPr>
          <w:t>http://www.cninfo.com.cn</w:t>
        </w:r>
      </w:hyperlink>
      <w:r>
        <w:rPr/>
        <w:t>）。该合资公司</w:t>
      </w:r>
      <w:r>
        <w:rPr>
          <w:spacing w:val="-38"/>
        </w:rPr>
        <w:t> </w:t>
      </w:r>
      <w:r>
        <w:rPr>
          <w:spacing w:val="-38"/>
        </w:rPr>
      </w:r>
      <w:r>
        <w:rPr/>
        <w:t>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日完成工商注册登记手续。</w:t>
      </w:r>
    </w:p>
    <w:p>
      <w:pPr>
        <w:pStyle w:val="BodyText"/>
        <w:spacing w:line="336" w:lineRule="auto" w:before="61"/>
        <w:ind w:left="1134" w:right="1131"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日，公司发布《关于全资子公司发起设立广州市蓝盾睿科信息技术产业基金（有限 </w:t>
      </w:r>
      <w:r>
        <w:rPr>
          <w:spacing w:val="-1"/>
        </w:rPr>
        <w:t>合伙）暨关联交易的公告》，公司的全资子公司蓝盾投资拟与广州市新兴产业发展基金管理有限公司、广</w:t>
      </w:r>
      <w:r>
        <w:rPr>
          <w:spacing w:val="-86"/>
        </w:rPr>
        <w:t> </w:t>
      </w:r>
      <w:r>
        <w:rPr>
          <w:spacing w:val="-86"/>
        </w:rPr>
      </w:r>
      <w:r>
        <w:rPr/>
        <w:t>东蓝盾赢融资产管理有限公司共同发起设立</w:t>
      </w:r>
      <w:r>
        <w:rPr>
          <w:rFonts w:ascii="Times New Roman" w:hAnsi="Times New Roman" w:cs="Times New Roman" w:eastAsia="Times New Roman" w:hint="default"/>
        </w:rPr>
        <w:t>“</w:t>
      </w:r>
      <w:r>
        <w:rPr/>
        <w:t>广州市蓝盾睿科信息技术产业基金（有限合伙）</w:t>
      </w:r>
      <w:r>
        <w:rPr>
          <w:rFonts w:ascii="Times New Roman" w:hAnsi="Times New Roman" w:cs="Times New Roman" w:eastAsia="Times New Roman" w:hint="default"/>
        </w:rPr>
        <w:t>”</w:t>
      </w:r>
      <w:r>
        <w:rPr/>
        <w:t>。该产业基 </w:t>
      </w:r>
      <w:r>
        <w:rPr>
          <w:spacing w:val="-1"/>
        </w:rPr>
        <w:t>金已于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日完成工商注册登记手续，正式名称为广州蓝盾睿科信息产业股权投资基金合伙企业</w:t>
      </w:r>
    </w:p>
    <w:p>
      <w:pPr>
        <w:pStyle w:val="BodyText"/>
        <w:spacing w:line="340" w:lineRule="auto" w:before="16"/>
        <w:ind w:right="1131"/>
        <w:jc w:val="both"/>
      </w:pPr>
      <w:r>
        <w:rPr/>
        <w:t>（有限合伙），执行事务合伙人为广东蓝盾赢融资产管理有限公司。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日，公司发布《关于全</w:t>
      </w:r>
      <w:r>
        <w:rPr>
          <w:spacing w:val="-30"/>
        </w:rPr>
        <w:t> </w:t>
      </w:r>
      <w:r>
        <w:rPr>
          <w:spacing w:val="-30"/>
        </w:rPr>
      </w:r>
      <w:r>
        <w:rPr>
          <w:spacing w:val="-1"/>
        </w:rPr>
        <w:t>资子公司终止投资产业基金暨关联交易的公告》，决定终止投资该产业基金，具体内容详见中国证监会指</w:t>
      </w:r>
      <w:r>
        <w:rPr>
          <w:spacing w:val="-83"/>
        </w:rPr>
        <w:t> </w:t>
      </w:r>
      <w:r>
        <w:rPr>
          <w:spacing w:val="-83"/>
        </w:rPr>
      </w:r>
      <w:r>
        <w:rPr/>
        <w:t>定的创业板信息披露网站巨潮资讯网（</w:t>
      </w:r>
      <w:hyperlink r:id="rId12">
        <w:r>
          <w:rPr>
            <w:rFonts w:ascii="Times New Roman" w:hAnsi="Times New Roman" w:cs="Times New Roman" w:eastAsia="Times New Roman" w:hint="default"/>
          </w:rPr>
          <w:t>http://www.cninfo.com.cn</w:t>
        </w:r>
      </w:hyperlink>
      <w:r>
        <w:rPr/>
        <w:t>）。</w:t>
      </w:r>
    </w:p>
    <w:p>
      <w:pPr>
        <w:spacing w:after="0" w:line="340" w:lineRule="auto"/>
        <w:jc w:val="both"/>
        <w:sectPr>
          <w:pgSz w:w="11910" w:h="16840"/>
          <w:pgMar w:header="877" w:footer="979" w:top="1100" w:bottom="1160" w:left="0" w:right="0"/>
        </w:sectPr>
      </w:pPr>
    </w:p>
    <w:p>
      <w:pPr>
        <w:spacing w:line="240" w:lineRule="auto" w:before="7"/>
        <w:rPr>
          <w:rFonts w:ascii="宋体" w:hAnsi="宋体" w:cs="宋体" w:eastAsia="宋体" w:hint="default"/>
          <w:sz w:val="29"/>
          <w:szCs w:val="29"/>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396"/>
        <w:gridCol w:w="2550"/>
        <w:gridCol w:w="2622"/>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关于对外投资设立合资公司暨关联交易的公告</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关于合资公司完成工商登记的公告</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关于全资子公司发起设立广州市蓝盾睿科信息技术产业 基金（有限合伙）暨关联交易的公告</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关于全资子公司发起设立产业基金的进展公告</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关于全资子公司终止投资产业基金暨关联交易的公告</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重大合同及其履行情况" w:id="87"/>
      <w:bookmarkEnd w:id="87"/>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after="0" w:line="3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68"/>
        <w:gridCol w:w="845"/>
        <w:gridCol w:w="857"/>
        <w:gridCol w:w="998"/>
        <w:gridCol w:w="987"/>
        <w:gridCol w:w="1128"/>
        <w:gridCol w:w="997"/>
        <w:gridCol w:w="714"/>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5"/>
              <w:jc w:val="center"/>
              <w:rPr>
                <w:rFonts w:ascii="宋体" w:hAnsi="宋体" w:cs="宋体" w:eastAsia="宋体" w:hint="default"/>
                <w:sz w:val="18"/>
                <w:szCs w:val="18"/>
              </w:rPr>
            </w:pPr>
            <w:r>
              <w:rPr>
                <w:rFonts w:ascii="宋体" w:hAnsi="宋体" w:cs="宋体" w:eastAsia="宋体" w:hint="default"/>
                <w:sz w:val="18"/>
                <w:szCs w:val="18"/>
              </w:rPr>
              <w:t>实际发生日 期（协议签 署日）</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95" w:right="4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2" w:right="7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27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蓝盾信息安全技术有限公 司、广东蓝盾乐庚信息技术 有限公司、中经汇通电子商 务有限公司、汇通宝支付有 限责任公司、西咸新区蓝盾 信息安全技术、成都蓝盾网 信科技有限公司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998"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155,921.33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998"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4,882.46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both"/>
              <w:rPr>
                <w:rFonts w:ascii="宋体" w:hAnsi="宋体" w:cs="宋体" w:eastAsia="宋体" w:hint="default"/>
                <w:sz w:val="18"/>
                <w:szCs w:val="18"/>
              </w:rPr>
            </w:pPr>
            <w:r>
              <w:rPr>
                <w:rFonts w:ascii="宋体" w:hAnsi="宋体" w:cs="宋体" w:eastAsia="宋体" w:hint="default"/>
                <w:sz w:val="18"/>
                <w:szCs w:val="18"/>
              </w:rPr>
              <w:t>以相关业务</w:t>
            </w:r>
          </w:p>
          <w:p>
            <w:pPr>
              <w:pStyle w:val="TableParagraph"/>
              <w:spacing w:line="319" w:lineRule="auto" w:before="75"/>
              <w:ind w:left="28" w:right="56"/>
              <w:jc w:val="both"/>
              <w:rPr>
                <w:rFonts w:ascii="宋体" w:hAnsi="宋体" w:cs="宋体" w:eastAsia="宋体" w:hint="default"/>
                <w:sz w:val="18"/>
                <w:szCs w:val="18"/>
              </w:rPr>
            </w:pPr>
            <w:r>
              <w:rPr>
                <w:rFonts w:ascii="宋体" w:hAnsi="宋体" w:cs="宋体" w:eastAsia="宋体" w:hint="default"/>
                <w:sz w:val="18"/>
                <w:szCs w:val="18"/>
              </w:rPr>
              <w:t>（话费宝、 宽带宝）的 合同履行期 限为准</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5"/>
              <w:jc w:val="left"/>
              <w:rPr>
                <w:rFonts w:ascii="宋体" w:hAnsi="宋体" w:cs="宋体" w:eastAsia="宋体" w:hint="default"/>
                <w:sz w:val="18"/>
                <w:szCs w:val="18"/>
              </w:rPr>
            </w:pPr>
            <w:r>
              <w:rPr>
                <w:rFonts w:ascii="宋体" w:hAnsi="宋体" w:cs="宋体" w:eastAsia="宋体" w:hint="default"/>
                <w:sz w:val="18"/>
                <w:szCs w:val="18"/>
              </w:rPr>
              <w:t>深圳市蓝盾满泰科技发展有 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998"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855"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106"/>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9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93,303.79</w:t>
            </w:r>
          </w:p>
        </w:tc>
      </w:tr>
      <w:tr>
        <w:trPr>
          <w:trHeight w:val="719" w:hRule="exact"/>
        </w:trPr>
        <w:tc>
          <w:tcPr>
            <w:tcW w:w="3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855"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106"/>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9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0" w:right="0"/>
              <w:jc w:val="left"/>
              <w:rPr>
                <w:rFonts w:ascii="Times New Roman" w:hAnsi="Times New Roman" w:cs="Times New Roman" w:eastAsia="Times New Roman" w:hint="default"/>
                <w:sz w:val="18"/>
                <w:szCs w:val="18"/>
              </w:rPr>
            </w:pPr>
            <w:r>
              <w:rPr>
                <w:rFonts w:ascii="Times New Roman"/>
                <w:sz w:val="18"/>
              </w:rPr>
              <w:t>174,303.79</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3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1855"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106"/>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49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93,303.79</w:t>
            </w:r>
          </w:p>
        </w:tc>
      </w:tr>
      <w:tr>
        <w:trPr>
          <w:trHeight w:val="714" w:hRule="exact"/>
        </w:trPr>
        <w:tc>
          <w:tcPr>
            <w:tcW w:w="3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1855"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106"/>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49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0" w:right="0"/>
              <w:jc w:val="left"/>
              <w:rPr>
                <w:rFonts w:ascii="Times New Roman" w:hAnsi="Times New Roman" w:cs="Times New Roman" w:eastAsia="Times New Roman" w:hint="default"/>
                <w:sz w:val="18"/>
                <w:szCs w:val="18"/>
              </w:rPr>
            </w:pPr>
            <w:r>
              <w:rPr>
                <w:rFonts w:ascii="Times New Roman"/>
                <w:sz w:val="18"/>
              </w:rPr>
              <w:t>174,303.79</w:t>
            </w:r>
          </w:p>
        </w:tc>
      </w:tr>
      <w:tr>
        <w:trPr>
          <w:trHeight w:val="403" w:hRule="exact"/>
        </w:trPr>
        <w:tc>
          <w:tcPr>
            <w:tcW w:w="49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60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after="0" w:line="338"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spacing w:line="33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2935" w:space="5805"/>
            <w:col w:w="317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39,500.03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39,500.03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38" w:lineRule="auto" w:before="117"/>
        <w:ind w:left="113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left="1133"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9"/>
      <w:bookmarkEnd w:id="99"/>
      <w:r>
        <w:rPr>
          <w:b w:val="0"/>
          <w:bCs w:val="0"/>
        </w:rPr>
      </w:r>
      <w:r>
        <w:rPr/>
        <w:t>十七、社会责任情况</w:t>
      </w:r>
      <w:r>
        <w:rPr>
          <w:b w:val="0"/>
          <w:bCs w:val="0"/>
        </w:rPr>
      </w:r>
    </w:p>
    <w:p>
      <w:pPr>
        <w:pStyle w:val="BodyText"/>
        <w:spacing w:line="702" w:lineRule="exact" w:before="7"/>
        <w:ind w:left="1553" w:right="0" w:hanging="420"/>
        <w:jc w:val="left"/>
      </w:pPr>
      <w:bookmarkStart w:name="1、履行社会责任情况" w:id="100"/>
      <w:bookmarkEnd w:id="100"/>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2"/>
        </w:rPr>
        <w:t>公司本年度共参与社会公益捐赠</w:t>
      </w:r>
      <w:r>
        <w:rPr>
          <w:rFonts w:ascii="Times New Roman" w:hAnsi="Times New Roman" w:cs="Times New Roman" w:eastAsia="Times New Roman" w:hint="default"/>
          <w:spacing w:val="-2"/>
        </w:rPr>
        <w:t>293.52</w:t>
      </w:r>
      <w:r>
        <w:rPr>
          <w:spacing w:val="-2"/>
        </w:rPr>
        <w:t>万元，其中向广东省华南师范大学捐赠助学</w:t>
      </w:r>
      <w:r>
        <w:rPr>
          <w:rFonts w:ascii="Times New Roman" w:hAnsi="Times New Roman" w:cs="Times New Roman" w:eastAsia="Times New Roman" w:hint="default"/>
          <w:spacing w:val="-2"/>
        </w:rPr>
        <w:t>150</w:t>
      </w:r>
      <w:r>
        <w:rPr>
          <w:spacing w:val="-2"/>
        </w:rPr>
        <w:t>万元，向深圳市</w:t>
      </w:r>
    </w:p>
    <w:p>
      <w:pPr>
        <w:pStyle w:val="BodyText"/>
        <w:spacing w:line="240" w:lineRule="auto" w:before="14"/>
        <w:ind w:left="1134" w:right="0"/>
        <w:jc w:val="left"/>
      </w:pPr>
      <w:r>
        <w:rPr/>
        <w:t>荔园朝阳公益助学促进会捐赠</w:t>
      </w:r>
      <w:r>
        <w:rPr>
          <w:rFonts w:ascii="Times New Roman" w:hAnsi="Times New Roman" w:cs="Times New Roman" w:eastAsia="Times New Roman" w:hint="default"/>
        </w:rPr>
        <w:t>100</w:t>
      </w:r>
      <w:r>
        <w:rPr/>
        <w:t>万元，向广州市慈善会捐款</w:t>
      </w:r>
      <w:r>
        <w:rPr>
          <w:rFonts w:ascii="Times New Roman" w:hAnsi="Times New Roman" w:cs="Times New Roman" w:eastAsia="Times New Roman" w:hint="default"/>
        </w:rPr>
        <w:t>14.52</w:t>
      </w:r>
      <w:r>
        <w:rPr/>
        <w:t>万元，向广东省柯宗耀公益基金会捐款</w:t>
      </w:r>
    </w:p>
    <w:p>
      <w:pPr>
        <w:pStyle w:val="BodyText"/>
        <w:spacing w:line="240" w:lineRule="auto" w:before="109"/>
        <w:ind w:left="1134" w:right="0"/>
        <w:jc w:val="left"/>
      </w:pPr>
      <w:r>
        <w:rPr>
          <w:rFonts w:ascii="Times New Roman" w:hAnsi="Times New Roman" w:cs="Times New Roman" w:eastAsia="Times New Roman" w:hint="default"/>
        </w:rPr>
        <w:t>10</w:t>
      </w:r>
      <w:r>
        <w:rPr/>
        <w:t>万元，向深圳大学捐赠助学</w:t>
      </w:r>
      <w:r>
        <w:rPr>
          <w:rFonts w:ascii="Times New Roman" w:hAnsi="Times New Roman" w:cs="Times New Roman" w:eastAsia="Times New Roman" w:hint="default"/>
        </w:rPr>
        <w:t>16</w:t>
      </w:r>
      <w:r>
        <w:rPr/>
        <w:t>万元，向广东工贸职业技术学院捐赠</w:t>
      </w:r>
      <w:r>
        <w:rPr>
          <w:rFonts w:ascii="Times New Roman" w:hAnsi="Times New Roman" w:cs="Times New Roman" w:eastAsia="Times New Roman" w:hint="default"/>
        </w:rPr>
        <w:t>3</w:t>
      </w:r>
      <w:r>
        <w:rPr/>
        <w:t>万元。</w:t>
      </w:r>
    </w:p>
    <w:p>
      <w:pPr>
        <w:spacing w:line="240" w:lineRule="auto" w:before="7"/>
        <w:rPr>
          <w:rFonts w:ascii="宋体" w:hAnsi="宋体" w:cs="宋体" w:eastAsia="宋体" w:hint="default"/>
          <w:sz w:val="24"/>
          <w:szCs w:val="24"/>
        </w:rPr>
      </w:pPr>
    </w:p>
    <w:p>
      <w:pPr>
        <w:spacing w:line="578" w:lineRule="auto" w:before="0"/>
        <w:ind w:left="1554" w:right="4272" w:hanging="420"/>
        <w:jc w:val="left"/>
        <w:rPr>
          <w:rFonts w:ascii="宋体" w:hAnsi="宋体" w:cs="宋体" w:eastAsia="宋体" w:hint="default"/>
          <w:sz w:val="18"/>
          <w:szCs w:val="18"/>
        </w:rPr>
      </w:pPr>
      <w:bookmarkStart w:name="2、履行精准扶贫社会责任情况" w:id="101"/>
      <w:bookmarkEnd w:id="1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21"/>
          <w:szCs w:val="21"/>
        </w:rPr>
        <w:t>公司报告年度暂未开展精准扶贫工作，也暂无后续精准扶贫计划</w:t>
      </w:r>
      <w:r>
        <w:rPr>
          <w:rFonts w:ascii="宋体" w:hAnsi="宋体" w:cs="宋体" w:eastAsia="宋体" w:hint="default"/>
          <w:sz w:val="18"/>
          <w:szCs w:val="18"/>
        </w:rPr>
        <w:t>。</w:t>
      </w:r>
    </w:p>
    <w:p>
      <w:pPr>
        <w:pStyle w:val="Heading3"/>
        <w:spacing w:line="240" w:lineRule="auto" w:before="40"/>
        <w:ind w:left="1133"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after="0" w:line="360" w:lineRule="auto"/>
        <w:jc w:val="left"/>
        <w:rPr>
          <w:rFonts w:ascii="宋体" w:hAnsi="宋体" w:cs="宋体" w:eastAsia="宋体" w:hint="default"/>
          <w:sz w:val="18"/>
          <w:szCs w:val="18"/>
        </w:rPr>
        <w:sectPr>
          <w:type w:val="continuous"/>
          <w:pgSz w:w="11910" w:h="16840"/>
          <w:pgMar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36" w:lineRule="auto"/>
        <w:ind w:right="1037" w:firstLine="420"/>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日召开第三届董事会第三十五次（临时）会议，审议通过了《关于会计政策变更的 议案》，基于财政部对会计准则的部分修订，公司对原会计政策进行相应变更。 根据财政部关于印发修</w:t>
      </w:r>
      <w:r>
        <w:rPr>
          <w:spacing w:val="-37"/>
        </w:rPr>
        <w:t> </w:t>
      </w:r>
      <w:r>
        <w:rPr>
          <w:spacing w:val="-37"/>
        </w:rPr>
      </w:r>
      <w:r>
        <w:rPr/>
        <w:t>订《企业会计准则第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政府补助》的通知（财会</w:t>
      </w:r>
      <w:r>
        <w:rPr>
          <w:rFonts w:ascii="Times New Roman" w:hAnsi="Times New Roman" w:cs="Times New Roman" w:eastAsia="Times New Roman" w:hint="default"/>
        </w:rPr>
        <w:t>[2017]15</w:t>
      </w:r>
      <w:r>
        <w:rPr/>
        <w:t>号）的要求，公司将修改财务报表列报，与</w:t>
      </w:r>
      <w:r>
        <w:rPr>
          <w:spacing w:val="-67"/>
        </w:rPr>
        <w:t> </w:t>
      </w:r>
      <w:r>
        <w:rPr>
          <w:spacing w:val="-67"/>
        </w:rPr>
      </w:r>
      <w:r>
        <w:rPr/>
        <w:t>日常活动有关且与收益有关的政府补助，从利润表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项目调整为利润表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项目列报，</w:t>
      </w:r>
      <w:r>
        <w:rPr>
          <w:spacing w:val="-84"/>
        </w:rPr>
        <w:t> </w:t>
      </w:r>
      <w:r>
        <w:rPr>
          <w:spacing w:val="-84"/>
        </w:rPr>
      </w:r>
      <w:r>
        <w:rPr/>
        <w:t>公司对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日前存在的政府补助采用未来适用法处理，对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日至本准则施行日之间新增的 政府补助根据本准则进行调整。该变更对公司的财务状况、经营成果和现金流量无重大影响，也无需进行 </w:t>
      </w:r>
      <w:r>
        <w:rPr>
          <w:spacing w:val="-1"/>
        </w:rPr>
        <w:t>追溯调整，具体内容详见中国证监会指定的创业板信息披露网站巨潮资讯网（</w:t>
      </w:r>
      <w:hyperlink r:id="rId12">
        <w:r>
          <w:rPr>
            <w:rFonts w:ascii="Times New Roman" w:hAnsi="Times New Roman" w:cs="Times New Roman" w:eastAsia="Times New Roman" w:hint="default"/>
            <w:spacing w:val="-1"/>
          </w:rPr>
          <w:t>http://www.cninfo.com.cn</w:t>
        </w:r>
      </w:hyperlink>
      <w:r>
        <w:rPr>
          <w:spacing w:val="-1"/>
        </w:rPr>
        <w:t>）。</w:t>
      </w:r>
      <w:r>
        <w:rPr/>
      </w:r>
    </w:p>
    <w:p>
      <w:pPr>
        <w:spacing w:line="240" w:lineRule="auto" w:before="8"/>
        <w:rPr>
          <w:rFonts w:ascii="宋体" w:hAnsi="宋体" w:cs="宋体" w:eastAsia="宋体" w:hint="default"/>
          <w:sz w:val="15"/>
          <w:szCs w:val="15"/>
        </w:rPr>
      </w:pPr>
    </w:p>
    <w:p>
      <w:pPr>
        <w:pStyle w:val="Heading2"/>
        <w:spacing w:line="240" w:lineRule="auto"/>
        <w:ind w:left="1134" w:right="0"/>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28" w:lineRule="auto"/>
        <w:ind w:right="1141" w:firstLine="420"/>
        <w:jc w:val="both"/>
      </w:pPr>
      <w:r>
        <w:rPr>
          <w:rFonts w:ascii="Times New Roman" w:hAnsi="Times New Roman" w:cs="Times New Roman" w:eastAsia="Times New Roman" w:hint="default"/>
        </w:rPr>
        <w:t>1</w:t>
      </w:r>
      <w:r>
        <w:rPr/>
        <w:t>、控股子公司满泰科技为进一步拓展业务，设立全资子公司广州市满泰信息科技有限公司，成立日 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日，注册资本为</w:t>
      </w:r>
      <w:r>
        <w:rPr>
          <w:rFonts w:ascii="Times New Roman" w:hAnsi="Times New Roman" w:cs="Times New Roman" w:eastAsia="Times New Roman" w:hint="default"/>
        </w:rPr>
        <w:t>10,000</w:t>
      </w:r>
      <w:r>
        <w:rPr/>
        <w:t>万元人民币，经营范围为软件和信息技术服务业。</w:t>
      </w:r>
    </w:p>
    <w:p>
      <w:pPr>
        <w:pStyle w:val="BodyText"/>
        <w:spacing w:line="328" w:lineRule="auto" w:before="63"/>
        <w:ind w:right="1134" w:firstLine="420"/>
        <w:jc w:val="both"/>
      </w:pPr>
      <w:r>
        <w:rPr>
          <w:rFonts w:ascii="Times New Roman" w:hAnsi="Times New Roman" w:cs="Times New Roman" w:eastAsia="Times New Roman" w:hint="default"/>
        </w:rPr>
        <w:t>2</w:t>
      </w:r>
      <w:r>
        <w:rPr/>
        <w:t>、全资子公司蓝盾投资以自有资金</w:t>
      </w:r>
      <w:r>
        <w:rPr>
          <w:rFonts w:ascii="Times New Roman" w:hAnsi="Times New Roman" w:cs="Times New Roman" w:eastAsia="Times New Roman" w:hint="default"/>
        </w:rPr>
        <w:t>1,000</w:t>
      </w:r>
      <w:r>
        <w:rPr/>
        <w:t>万元增资深圳市云海麒麟计算机系统有限公司，获取云海麒 麟</w:t>
      </w:r>
      <w:r>
        <w:rPr>
          <w:rFonts w:ascii="Times New Roman" w:hAnsi="Times New Roman" w:cs="Times New Roman" w:eastAsia="Times New Roman" w:hint="default"/>
        </w:rPr>
        <w:t>15%</w:t>
      </w:r>
      <w:r>
        <w:rPr/>
        <w:t>股权。详见公司于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日披露于巨潮资讯网（</w:t>
      </w:r>
      <w:hyperlink r:id="rId12">
        <w:r>
          <w:rPr>
            <w:rFonts w:ascii="Times New Roman" w:hAnsi="Times New Roman" w:cs="Times New Roman" w:eastAsia="Times New Roman" w:hint="default"/>
          </w:rPr>
          <w:t>http://www.cninfo.com.cn</w:t>
        </w:r>
      </w:hyperlink>
      <w:r>
        <w:rPr/>
        <w:t>）的相关公告。</w:t>
      </w:r>
    </w:p>
    <w:p>
      <w:pPr>
        <w:pStyle w:val="BodyText"/>
        <w:spacing w:line="336" w:lineRule="auto" w:before="64"/>
        <w:ind w:right="1130" w:firstLine="420"/>
        <w:jc w:val="both"/>
      </w:pPr>
      <w:r>
        <w:rPr>
          <w:rFonts w:ascii="Times New Roman" w:hAnsi="Times New Roman" w:cs="Times New Roman" w:eastAsia="Times New Roman" w:hint="default"/>
          <w:spacing w:val="-1"/>
        </w:rPr>
        <w:t>3</w:t>
      </w:r>
      <w:r>
        <w:rPr>
          <w:spacing w:val="-1"/>
        </w:rPr>
        <w:t>、全资子公司华炜科技与珠海华威达投资企业（有限合伙）共同出资设立合资公司</w:t>
      </w:r>
      <w:r>
        <w:rPr>
          <w:rFonts w:ascii="Times New Roman" w:hAnsi="Times New Roman" w:cs="Times New Roman" w:eastAsia="Times New Roman" w:hint="default"/>
          <w:spacing w:val="-1"/>
        </w:rPr>
        <w:t>“</w:t>
      </w:r>
      <w:r>
        <w:rPr>
          <w:spacing w:val="-1"/>
        </w:rPr>
        <w:t>北京华炜思创科</w:t>
      </w:r>
      <w:r>
        <w:rPr/>
        <w:t> 技有限公司</w:t>
      </w:r>
      <w:r>
        <w:rPr>
          <w:rFonts w:ascii="Times New Roman" w:hAnsi="Times New Roman" w:cs="Times New Roman" w:eastAsia="Times New Roman" w:hint="default"/>
        </w:rPr>
        <w:t>”</w:t>
      </w:r>
      <w:r>
        <w:rPr/>
        <w:t>，华炜思创注册资本为</w:t>
      </w:r>
      <w:r>
        <w:rPr>
          <w:rFonts w:ascii="Times New Roman" w:hAnsi="Times New Roman" w:cs="Times New Roman" w:eastAsia="Times New Roman" w:hint="default"/>
        </w:rPr>
        <w:t>2,000</w:t>
      </w:r>
      <w:r>
        <w:rPr/>
        <w:t>万元人民币，其中华炜科技、华威达分别以货币资金的形式出资</w:t>
      </w:r>
      <w:r>
        <w:rPr>
          <w:spacing w:val="-70"/>
        </w:rPr>
        <w:t> </w:t>
      </w:r>
      <w:r>
        <w:rPr>
          <w:spacing w:val="-70"/>
        </w:rPr>
      </w:r>
      <w:r>
        <w:rPr/>
        <w:t>人民币</w:t>
      </w:r>
      <w:r>
        <w:rPr>
          <w:rFonts w:ascii="Times New Roman" w:hAnsi="Times New Roman" w:cs="Times New Roman" w:eastAsia="Times New Roman" w:hint="default"/>
        </w:rPr>
        <w:t>1,200</w:t>
      </w:r>
      <w:r>
        <w:rPr/>
        <w:t>万元、</w:t>
      </w:r>
      <w:r>
        <w:rPr>
          <w:rFonts w:ascii="Times New Roman" w:hAnsi="Times New Roman" w:cs="Times New Roman" w:eastAsia="Times New Roman" w:hint="default"/>
        </w:rPr>
        <w:t>800</w:t>
      </w:r>
      <w:r>
        <w:rPr/>
        <w:t>万元，分别占合资公司注册资本的</w:t>
      </w:r>
      <w:r>
        <w:rPr>
          <w:rFonts w:ascii="Times New Roman" w:hAnsi="Times New Roman" w:cs="Times New Roman" w:eastAsia="Times New Roman" w:hint="default"/>
        </w:rPr>
        <w:t>60%</w:t>
      </w:r>
      <w:r>
        <w:rPr/>
        <w:t>、</w:t>
      </w:r>
      <w:r>
        <w:rPr>
          <w:rFonts w:ascii="Times New Roman" w:hAnsi="Times New Roman" w:cs="Times New Roman" w:eastAsia="Times New Roman" w:hint="default"/>
        </w:rPr>
        <w:t>40%</w:t>
      </w:r>
      <w:r>
        <w:rPr/>
        <w:t>。由于本次投资事项的合作投资方华</w:t>
      </w:r>
      <w:r>
        <w:rPr>
          <w:spacing w:val="-21"/>
        </w:rPr>
        <w:t> </w:t>
      </w:r>
      <w:r>
        <w:rPr>
          <w:spacing w:val="-21"/>
        </w:rPr>
      </w:r>
      <w:r>
        <w:rPr>
          <w:spacing w:val="-1"/>
        </w:rPr>
        <w:t>威达的普通合伙人及执行事务合伙人为本公司董事张远鹏先生，故本次投资事项构成关联交易。详见公司</w:t>
      </w:r>
      <w:r>
        <w:rPr>
          <w:spacing w:val="-81"/>
        </w:rPr>
        <w:t> </w:t>
      </w:r>
      <w:r>
        <w:rPr>
          <w:spacing w:val="-81"/>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日披露于巨潮资讯网（</w:t>
      </w:r>
      <w:hyperlink r:id="rId12">
        <w:r>
          <w:rPr>
            <w:rFonts w:ascii="Times New Roman" w:hAnsi="Times New Roman" w:cs="Times New Roman" w:eastAsia="Times New Roman" w:hint="default"/>
          </w:rPr>
          <w:t>http://www.cninfo.com.cn</w:t>
        </w:r>
      </w:hyperlink>
      <w:r>
        <w:rPr/>
        <w:t>）的相关公告。</w:t>
      </w:r>
    </w:p>
    <w:p>
      <w:pPr>
        <w:pStyle w:val="BodyText"/>
        <w:spacing w:line="328" w:lineRule="auto" w:before="56"/>
        <w:ind w:right="0" w:firstLine="420"/>
        <w:jc w:val="left"/>
      </w:pPr>
      <w:r>
        <w:rPr>
          <w:rFonts w:ascii="Times New Roman" w:hAnsi="Times New Roman" w:cs="Times New Roman" w:eastAsia="Times New Roman" w:hint="default"/>
        </w:rPr>
        <w:t>4</w:t>
      </w:r>
      <w:r>
        <w:rPr/>
        <w:t>、全资子公司蓝盾技术出资人民币</w:t>
      </w:r>
      <w:r>
        <w:rPr>
          <w:rFonts w:ascii="Times New Roman" w:hAnsi="Times New Roman" w:cs="Times New Roman" w:eastAsia="Times New Roman" w:hint="default"/>
        </w:rPr>
        <w:t>1,000</w:t>
      </w:r>
      <w:r>
        <w:rPr/>
        <w:t>万元发起设立国保联盟信息安全技术有限公司，占国保联盟 </w:t>
      </w:r>
      <w:r>
        <w:rPr>
          <w:spacing w:val="-3"/>
        </w:rPr>
        <w:t>注册资本的</w:t>
      </w:r>
      <w:r>
        <w:rPr>
          <w:rFonts w:ascii="Times New Roman" w:hAnsi="Times New Roman" w:cs="Times New Roman" w:eastAsia="Times New Roman" w:hint="default"/>
          <w:spacing w:val="-3"/>
        </w:rPr>
        <w:t>18.18%</w:t>
      </w:r>
      <w:r>
        <w:rPr>
          <w:spacing w:val="-3"/>
        </w:rPr>
        <w:t>。详见公司于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18</w:t>
      </w:r>
      <w:r>
        <w:rPr>
          <w:spacing w:val="-3"/>
        </w:rPr>
        <w:t>日披露于巨潮资讯网（</w:t>
      </w:r>
      <w:hyperlink r:id="rId12">
        <w:r>
          <w:rPr>
            <w:rFonts w:ascii="Times New Roman" w:hAnsi="Times New Roman" w:cs="Times New Roman" w:eastAsia="Times New Roman" w:hint="default"/>
            <w:spacing w:val="-3"/>
          </w:rPr>
          <w:t>http://www.cninfo.com.cn</w:t>
        </w:r>
      </w:hyperlink>
      <w:r>
        <w:rPr>
          <w:spacing w:val="-3"/>
        </w:rPr>
        <w:t>）的相关公告。</w:t>
      </w:r>
    </w:p>
    <w:p>
      <w:pPr>
        <w:pStyle w:val="BodyText"/>
        <w:spacing w:line="328" w:lineRule="auto" w:before="63"/>
        <w:ind w:left="1134" w:right="1131" w:firstLine="420"/>
        <w:jc w:val="both"/>
      </w:pPr>
      <w:r>
        <w:rPr>
          <w:rFonts w:ascii="Times New Roman" w:hAnsi="Times New Roman" w:cs="Times New Roman" w:eastAsia="Times New Roman" w:hint="default"/>
        </w:rPr>
        <w:t>5</w:t>
      </w:r>
      <w:r>
        <w:rPr/>
        <w:t>、全资子公司蓝盾投资向上海戎磐网络科技有限公司增资</w:t>
      </w:r>
      <w:r>
        <w:rPr>
          <w:rFonts w:ascii="Times New Roman" w:hAnsi="Times New Roman" w:cs="Times New Roman" w:eastAsia="Times New Roman" w:hint="default"/>
        </w:rPr>
        <w:t>1,000</w:t>
      </w:r>
      <w:r>
        <w:rPr/>
        <w:t>万元，获取戎磐网络</w:t>
      </w:r>
      <w:r>
        <w:rPr>
          <w:rFonts w:ascii="Times New Roman" w:hAnsi="Times New Roman" w:cs="Times New Roman" w:eastAsia="Times New Roman" w:hint="default"/>
        </w:rPr>
        <w:t>20%</w:t>
      </w:r>
      <w:r>
        <w:rPr/>
        <w:t>的股权。详 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日披露于巨潮资讯网（</w:t>
      </w:r>
      <w:hyperlink r:id="rId12">
        <w:r>
          <w:rPr>
            <w:rFonts w:ascii="Times New Roman" w:hAnsi="Times New Roman" w:cs="Times New Roman" w:eastAsia="Times New Roman" w:hint="default"/>
          </w:rPr>
          <w:t>http://www.cninfo.com.cn</w:t>
        </w:r>
      </w:hyperlink>
      <w:r>
        <w:rPr/>
        <w:t>）的相关公告。</w:t>
      </w:r>
    </w:p>
    <w:p>
      <w:pPr>
        <w:spacing w:after="0" w:line="328" w:lineRule="auto"/>
        <w:jc w:val="both"/>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945" w:right="0"/>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999" w:type="dxa"/>
        <w:tblLayout w:type="fixed"/>
        <w:tblCellMar>
          <w:top w:w="0" w:type="dxa"/>
          <w:left w:w="0" w:type="dxa"/>
          <w:bottom w:w="0" w:type="dxa"/>
          <w:right w:w="0" w:type="dxa"/>
        </w:tblCellMar>
        <w:tblLook w:val="01E0"/>
      </w:tblPr>
      <w:tblGrid>
        <w:gridCol w:w="1962"/>
        <w:gridCol w:w="1146"/>
        <w:gridCol w:w="709"/>
        <w:gridCol w:w="850"/>
        <w:gridCol w:w="568"/>
        <w:gridCol w:w="992"/>
        <w:gridCol w:w="993"/>
        <w:gridCol w:w="991"/>
        <w:gridCol w:w="1134"/>
        <w:gridCol w:w="709"/>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0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394" w:type="dxa"/>
            <w:gridSpan w:val="5"/>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530,232,935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45.11%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-95,575,266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-95,575,266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434,657,669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529,428,935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-95,414,466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-95,414,466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434,014,469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215,179,744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-80,530,004</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-80,530,004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134,649,740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314,249,191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-14,884,462</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-14,884,462</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299,364,729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645,222,969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95,485,266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95,485,266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740,708,235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645,222,969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95,485,266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95,485,266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740,708,235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1,175,455,904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1,175,365,904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31" w:lineRule="auto"/>
        <w:ind w:right="1129"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日，公司与交易对方瑞兴达投资、国珩投资、维宇投资、鸿华康投资签订了《支付 </w:t>
      </w:r>
      <w:r>
        <w:rPr>
          <w:spacing w:val="-3"/>
        </w:rPr>
        <w:t>现金购买资产及盈利预测补偿协议》，公司以人民币</w:t>
      </w:r>
      <w:r>
        <w:rPr>
          <w:rFonts w:ascii="Times New Roman" w:hAnsi="Times New Roman" w:cs="Times New Roman" w:eastAsia="Times New Roman" w:hint="default"/>
          <w:spacing w:val="-3"/>
        </w:rPr>
        <w:t>58,200</w:t>
      </w:r>
      <w:r>
        <w:rPr>
          <w:spacing w:val="-3"/>
        </w:rPr>
        <w:t>万元收购上述交易对方合计持有的满泰科技</w:t>
      </w:r>
      <w:r>
        <w:rPr>
          <w:rFonts w:ascii="Times New Roman" w:hAnsi="Times New Roman" w:cs="Times New Roman" w:eastAsia="Times New Roman" w:hint="default"/>
          <w:spacing w:val="-3"/>
        </w:rPr>
        <w:t>60%</w:t>
      </w:r>
      <w:r>
        <w:rPr>
          <w:rFonts w:ascii="Times New Roman" w:hAnsi="Times New Roman" w:cs="Times New Roman" w:eastAsia="Times New Roman" w:hint="default"/>
          <w:spacing w:val="-48"/>
        </w:rPr>
        <w:t> </w:t>
      </w:r>
      <w:r>
        <w:rPr>
          <w:spacing w:val="-2"/>
        </w:rPr>
        <w:t>的股权。根据协议约定，瑞兴达投资作为利润补偿方应于收到第三期现金对价</w:t>
      </w:r>
      <w:r>
        <w:rPr>
          <w:rFonts w:ascii="Times New Roman" w:hAnsi="Times New Roman" w:cs="Times New Roman" w:eastAsia="Times New Roman" w:hint="default"/>
          <w:spacing w:val="-2"/>
        </w:rPr>
        <w:t>21,825</w:t>
      </w:r>
      <w:r>
        <w:rPr>
          <w:spacing w:val="-2"/>
        </w:rPr>
        <w:t>万元之日起</w:t>
      </w:r>
      <w:r>
        <w:rPr>
          <w:rFonts w:ascii="Times New Roman" w:hAnsi="Times New Roman" w:cs="Times New Roman" w:eastAsia="Times New Roman" w:hint="default"/>
          <w:spacing w:val="-2"/>
        </w:rPr>
        <w:t>180</w:t>
      </w:r>
      <w:r>
        <w:rPr>
          <w:spacing w:val="-2"/>
        </w:rPr>
        <w:t>日内在</w:t>
      </w:r>
      <w:r>
        <w:rPr>
          <w:spacing w:val="-81"/>
        </w:rPr>
        <w:t> </w:t>
      </w:r>
      <w:r>
        <w:rPr/>
        <w:t>二级市场购买公司的股票。截至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日，瑞兴达投资上述股票购买事宜已完成，并向公司出具了</w:t>
      </w:r>
    </w:p>
    <w:p>
      <w:pPr>
        <w:pStyle w:val="BodyText"/>
        <w:spacing w:line="331" w:lineRule="auto" w:before="20"/>
        <w:ind w:right="1132"/>
        <w:jc w:val="both"/>
      </w:pPr>
      <w:r>
        <w:rPr/>
        <w:t>《关于股份锁定的承诺函》，瑞兴达投资承诺对其通过前述方式取得的公司股份</w:t>
      </w:r>
      <w:r>
        <w:rPr>
          <w:rFonts w:ascii="Times New Roman" w:hAnsi="Times New Roman" w:cs="Times New Roman" w:eastAsia="Times New Roman" w:hint="default"/>
        </w:rPr>
        <w:t>17,234,924</w:t>
      </w:r>
      <w:r>
        <w:rPr/>
        <w:t>股进行锁定，</w:t>
      </w:r>
      <w:r>
        <w:rPr>
          <w:spacing w:val="-28"/>
        </w:rPr>
        <w:t> </w:t>
      </w:r>
      <w:r>
        <w:rPr>
          <w:spacing w:val="-28"/>
        </w:rPr>
      </w:r>
      <w:r>
        <w:rPr/>
        <w:t>锁定期为三十六个月。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日，前述股份已完成股份锁定登记，股份性质由无限售条件股份变更</w:t>
      </w:r>
      <w:r>
        <w:rPr>
          <w:spacing w:val="-35"/>
        </w:rPr>
        <w:t> </w:t>
      </w:r>
      <w:r>
        <w:rPr>
          <w:spacing w:val="-35"/>
        </w:rPr>
      </w:r>
      <w:r>
        <w:rPr/>
        <w:t>为有限售条件股份。</w:t>
      </w:r>
    </w:p>
    <w:p>
      <w:pPr>
        <w:pStyle w:val="BodyText"/>
        <w:spacing w:line="240" w:lineRule="auto" w:before="85"/>
        <w:ind w:left="155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日，公司召开的第三届董事会第三十一次会议、第三届监事会第二十一次会议审议通</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33" w:lineRule="auto" w:before="35"/>
        <w:ind w:right="0"/>
        <w:jc w:val="left"/>
      </w:pPr>
      <w:r>
        <w:rPr/>
        <w:t>过了《关于公司限制性股票激励计划第一个解锁期解锁条件成就的议案》，公司限制性股票激励计划授予 的限制性股票第一个解锁期解锁条件已经成就。本次解锁的激励对象人数为</w:t>
      </w:r>
      <w:r>
        <w:rPr>
          <w:rFonts w:ascii="Times New Roman" w:hAnsi="Times New Roman" w:cs="Times New Roman" w:eastAsia="Times New Roman" w:hint="default"/>
        </w:rPr>
        <w:t>206</w:t>
      </w:r>
      <w:r>
        <w:rPr/>
        <w:t>名，解锁的限制性股票数</w:t>
      </w:r>
      <w:r>
        <w:rPr>
          <w:spacing w:val="-27"/>
        </w:rPr>
        <w:t> </w:t>
      </w:r>
      <w:r>
        <w:rPr>
          <w:spacing w:val="-27"/>
        </w:rPr>
      </w:r>
      <w:r>
        <w:rPr>
          <w:spacing w:val="2"/>
        </w:rPr>
        <w:t>量为</w:t>
      </w:r>
      <w:r>
        <w:rPr>
          <w:rFonts w:ascii="Times New Roman" w:hAnsi="Times New Roman" w:cs="Times New Roman" w:eastAsia="Times New Roman" w:hint="default"/>
          <w:spacing w:val="2"/>
        </w:rPr>
        <w:t>156.2</w:t>
      </w:r>
      <w:r>
        <w:rPr>
          <w:spacing w:val="2"/>
        </w:rPr>
        <w:t>万股，本次解锁的限制性股票已于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日上市流通。本期因离职不予解锁的激励对象</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33"/>
        </w:rPr>
        <w:t> </w:t>
      </w:r>
      <w:r>
        <w:rPr/>
        <w:t>人，未解锁的限制性股票共</w:t>
      </w:r>
      <w:r>
        <w:rPr>
          <w:rFonts w:ascii="Times New Roman" w:hAnsi="Times New Roman" w:cs="Times New Roman" w:eastAsia="Times New Roman" w:hint="default"/>
        </w:rPr>
        <w:t>9</w:t>
      </w:r>
      <w:r>
        <w:rPr/>
        <w:t>万股根据规定实施回购注销，回购价格为</w:t>
      </w:r>
      <w:r>
        <w:rPr>
          <w:rFonts w:ascii="Times New Roman" w:hAnsi="Times New Roman" w:cs="Times New Roman" w:eastAsia="Times New Roman" w:hint="default"/>
        </w:rPr>
        <w:t>7.89</w:t>
      </w:r>
      <w:r>
        <w:rPr/>
        <w:t>元</w:t>
      </w:r>
      <w:r>
        <w:rPr>
          <w:rFonts w:ascii="Times New Roman" w:hAnsi="Times New Roman" w:cs="Times New Roman" w:eastAsia="Times New Roman" w:hint="default"/>
        </w:rPr>
        <w:t>/</w:t>
      </w:r>
      <w:r>
        <w:rPr/>
        <w:t>股，该等股份已于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 </w:t>
      </w:r>
      <w:r>
        <w:rPr>
          <w:rFonts w:ascii="Times New Roman" w:hAnsi="Times New Roman" w:cs="Times New Roman" w:eastAsia="Times New Roman" w:hint="default"/>
          <w:spacing w:val="-1"/>
        </w:rPr>
        <w:t>3</w:t>
      </w:r>
      <w:r>
        <w:rPr>
          <w:spacing w:val="-1"/>
        </w:rPr>
        <w:t>日完成回购注销登记手续。本次限制性股票回购注销完成后，公司股权激励对象人数由</w:t>
      </w:r>
      <w:r>
        <w:rPr>
          <w:rFonts w:ascii="Times New Roman" w:hAnsi="Times New Roman" w:cs="Times New Roman" w:eastAsia="Times New Roman" w:hint="default"/>
          <w:spacing w:val="-1"/>
        </w:rPr>
        <w:t>214</w:t>
      </w:r>
      <w:r>
        <w:rPr>
          <w:spacing w:val="-1"/>
        </w:rPr>
        <w:t>人变为</w:t>
      </w:r>
      <w:r>
        <w:rPr>
          <w:rFonts w:ascii="Times New Roman" w:hAnsi="Times New Roman" w:cs="Times New Roman" w:eastAsia="Times New Roman" w:hint="default"/>
          <w:spacing w:val="-1"/>
        </w:rPr>
        <w:t>206</w:t>
      </w:r>
      <w:r>
        <w:rPr>
          <w:spacing w:val="-1"/>
        </w:rPr>
        <w:t>人，</w:t>
      </w:r>
      <w:r>
        <w:rPr>
          <w:spacing w:val="-81"/>
        </w:rPr>
        <w:t> </w:t>
      </w:r>
      <w:r>
        <w:rPr/>
        <w:t>公司总股本由</w:t>
      </w:r>
      <w:r>
        <w:rPr>
          <w:rFonts w:ascii="Times New Roman" w:hAnsi="Times New Roman" w:cs="Times New Roman" w:eastAsia="Times New Roman" w:hint="default"/>
        </w:rPr>
        <w:t>1,175,455,904</w:t>
      </w:r>
      <w:r>
        <w:rPr/>
        <w:t>股变更为</w:t>
      </w:r>
      <w:r>
        <w:rPr>
          <w:rFonts w:ascii="Times New Roman" w:hAnsi="Times New Roman" w:cs="Times New Roman" w:eastAsia="Times New Roman" w:hint="default"/>
        </w:rPr>
        <w:t>1,175,365,904</w:t>
      </w:r>
      <w:r>
        <w:rPr/>
        <w:t>股。</w:t>
      </w:r>
    </w:p>
    <w:p>
      <w:pPr>
        <w:pStyle w:val="BodyText"/>
        <w:spacing w:line="331" w:lineRule="auto" w:before="58"/>
        <w:ind w:right="1128" w:firstLine="420"/>
        <w:jc w:val="both"/>
      </w:pPr>
      <w:r>
        <w:rPr>
          <w:rFonts w:ascii="Times New Roman" w:hAnsi="Times New Roman" w:cs="Times New Roman" w:eastAsia="Times New Roman" w:hint="default"/>
          <w:spacing w:val="-2"/>
        </w:rPr>
        <w:t>3</w:t>
      </w:r>
      <w:r>
        <w:rPr>
          <w:spacing w:val="-2"/>
        </w:rPr>
        <w:t>、根据大华会计师出具的审核报告（大华核字</w:t>
      </w:r>
      <w:r>
        <w:rPr>
          <w:rFonts w:ascii="Times New Roman" w:hAnsi="Times New Roman" w:cs="Times New Roman" w:eastAsia="Times New Roman" w:hint="default"/>
          <w:spacing w:val="-2"/>
        </w:rPr>
        <w:t>[2017]002124</w:t>
      </w:r>
      <w:r>
        <w:rPr>
          <w:spacing w:val="-2"/>
        </w:rPr>
        <w:t>号），公司收购的标的华炜科技</w:t>
      </w:r>
      <w:r>
        <w:rPr>
          <w:rFonts w:ascii="Times New Roman" w:hAnsi="Times New Roman" w:cs="Times New Roman" w:eastAsia="Times New Roman" w:hint="default"/>
          <w:spacing w:val="-2"/>
        </w:rPr>
        <w:t>2016</w:t>
      </w:r>
      <w:r>
        <w:rPr>
          <w:spacing w:val="-2"/>
        </w:rPr>
        <w:t>年度</w:t>
      </w:r>
      <w:r>
        <w:rPr/>
        <w:t> </w:t>
      </w:r>
      <w:r>
        <w:rPr>
          <w:spacing w:val="-1"/>
        </w:rPr>
        <w:t>的业绩承诺已实现，张远鹏等</w:t>
      </w:r>
      <w:r>
        <w:rPr>
          <w:rFonts w:ascii="Times New Roman" w:hAnsi="Times New Roman" w:cs="Times New Roman" w:eastAsia="Times New Roman" w:hint="default"/>
          <w:spacing w:val="-1"/>
        </w:rPr>
        <w:t>17</w:t>
      </w:r>
      <w:r>
        <w:rPr>
          <w:spacing w:val="-1"/>
        </w:rPr>
        <w:t>名交易对方所持部分限售股份可按约定解除限售，本次合计可解除限售的</w:t>
      </w:r>
      <w:r>
        <w:rPr>
          <w:spacing w:val="-82"/>
        </w:rPr>
        <w:t> </w:t>
      </w:r>
      <w:r>
        <w:rPr>
          <w:spacing w:val="-82"/>
        </w:rPr>
      </w:r>
      <w:r>
        <w:rPr/>
        <w:t>股份数量为</w:t>
      </w:r>
      <w:r>
        <w:rPr>
          <w:rFonts w:ascii="Times New Roman" w:hAnsi="Times New Roman" w:cs="Times New Roman" w:eastAsia="Times New Roman" w:hint="default"/>
        </w:rPr>
        <w:t>29,635,496</w:t>
      </w:r>
      <w:r>
        <w:rPr/>
        <w:t>股，实际可上市流通的股份数量为</w:t>
      </w:r>
      <w:r>
        <w:rPr>
          <w:rFonts w:ascii="Times New Roman" w:hAnsi="Times New Roman" w:cs="Times New Roman" w:eastAsia="Times New Roman" w:hint="default"/>
        </w:rPr>
        <w:t>26,586,415</w:t>
      </w:r>
      <w:r>
        <w:rPr/>
        <w:t>股，上述股份已于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日上市</w:t>
      </w:r>
      <w:r>
        <w:rPr>
          <w:spacing w:val="-30"/>
        </w:rPr>
        <w:t> </w:t>
      </w:r>
      <w:r>
        <w:rPr/>
        <w:t>流通。</w:t>
      </w:r>
    </w:p>
    <w:p>
      <w:pPr>
        <w:pStyle w:val="BodyText"/>
        <w:spacing w:line="336" w:lineRule="auto" w:before="85"/>
        <w:ind w:left="1134" w:right="1110" w:firstLine="420"/>
        <w:jc w:val="both"/>
      </w:pPr>
      <w:r>
        <w:rPr>
          <w:rFonts w:ascii="Times New Roman" w:hAnsi="Times New Roman" w:cs="Times New Roman" w:eastAsia="Times New Roman" w:hint="default"/>
          <w:spacing w:val="-1"/>
        </w:rPr>
        <w:t>4</w:t>
      </w:r>
      <w:r>
        <w:rPr>
          <w:spacing w:val="-1"/>
        </w:rPr>
        <w:t>、公司于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日披露了《发行股份及支付现金购买资产并募集配套资金暨关联交易实施情况</w:t>
      </w:r>
      <w:r>
        <w:rPr/>
        <w:t> </w:t>
      </w:r>
      <w:r>
        <w:rPr>
          <w:spacing w:val="-1"/>
        </w:rPr>
        <w:t>暨新增股份上市公告书》，本次向配套资金认购对象西部利得基金、鹏华资产、汇添富基金、财通基金共</w:t>
      </w:r>
      <w:r>
        <w:rPr>
          <w:spacing w:val="-83"/>
        </w:rPr>
        <w:t> </w:t>
      </w:r>
      <w:r>
        <w:rPr>
          <w:spacing w:val="-83"/>
        </w:rPr>
      </w:r>
      <w:r>
        <w:rPr/>
        <w:t>发行新增股份</w:t>
      </w:r>
      <w:r>
        <w:rPr>
          <w:rFonts w:ascii="Times New Roman" w:hAnsi="Times New Roman" w:cs="Times New Roman" w:eastAsia="Times New Roman" w:hint="default"/>
        </w:rPr>
        <w:t>84,355,828</w:t>
      </w:r>
      <w:r>
        <w:rPr/>
        <w:t>股，于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日上市，股份性质为有限售条件流通股，锁定期为十二个月。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日，该部分股份锁定期届满解除限售，</w:t>
      </w:r>
      <w:r>
        <w:rPr>
          <w:rFonts w:ascii="Times New Roman" w:hAnsi="Times New Roman" w:cs="Times New Roman" w:eastAsia="Times New Roman" w:hint="default"/>
        </w:rPr>
        <w:t>84,355,828</w:t>
      </w:r>
      <w:r>
        <w:rPr/>
        <w:t>股全部转为无限售流通股。</w:t>
      </w:r>
    </w:p>
    <w:p>
      <w:pPr>
        <w:pStyle w:val="BodyText"/>
        <w:spacing w:line="338" w:lineRule="auto" w:before="56"/>
        <w:ind w:left="1134" w:right="1023" w:firstLine="42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日，公司收到原董事张远鹏先生的书面辞职报告，张远鹏先生因个人原因申请辞去 </w:t>
      </w:r>
      <w:r>
        <w:rPr>
          <w:spacing w:val="-3"/>
        </w:rPr>
        <w:t>公司董事职务。根据相关规定，张远鹏先生离职后半年内不得转让其所持有的本公司股份。截至报告期末，</w:t>
      </w:r>
      <w:r>
        <w:rPr>
          <w:spacing w:val="-90"/>
        </w:rPr>
        <w:t> </w:t>
      </w:r>
      <w:r>
        <w:rPr>
          <w:spacing w:val="-90"/>
        </w:rPr>
      </w:r>
      <w:r>
        <w:rPr/>
        <w:t>张远鹏先生所持有的本公司股份</w:t>
      </w:r>
      <w:r>
        <w:rPr>
          <w:rFonts w:ascii="Times New Roman" w:hAnsi="Times New Roman" w:cs="Times New Roman" w:eastAsia="Times New Roman" w:hint="default"/>
        </w:rPr>
        <w:t>10,682,781</w:t>
      </w:r>
      <w:r>
        <w:rPr/>
        <w:t>股均处于离职锁定状况。</w:t>
      </w:r>
    </w:p>
    <w:p>
      <w:pPr>
        <w:spacing w:line="240" w:lineRule="auto" w:before="3"/>
        <w:rPr>
          <w:rFonts w:ascii="宋体" w:hAnsi="宋体" w:cs="宋体" w:eastAsia="宋体" w:hint="default"/>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336" w:lineRule="auto"/>
        <w:ind w:right="1126" w:firstLine="420"/>
        <w:jc w:val="both"/>
      </w:pPr>
      <w:r>
        <w:rPr>
          <w:rFonts w:ascii="Times New Roman" w:hAnsi="Times New Roman" w:cs="Times New Roman" w:eastAsia="Times New Roman" w:hint="default"/>
          <w:spacing w:val="-1"/>
        </w:rPr>
        <w:t>1</w:t>
      </w:r>
      <w:r>
        <w:rPr>
          <w:spacing w:val="-1"/>
        </w:rPr>
        <w:t>、限制性股票激励计划第一期解锁及股份回购注销。公司于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日召开第三届董事会第三十</w:t>
      </w:r>
      <w:r>
        <w:rPr/>
        <w:t> </w:t>
      </w:r>
      <w:r>
        <w:rPr>
          <w:spacing w:val="-1"/>
        </w:rPr>
        <w:t>一次会议、第三届监事会第二第一十一次会议审议通过了《关于公司限制性股票激励计划第一个解锁期解</w:t>
      </w:r>
      <w:r>
        <w:rPr>
          <w:spacing w:val="-81"/>
        </w:rPr>
        <w:t> </w:t>
      </w:r>
      <w:r>
        <w:rPr>
          <w:spacing w:val="-81"/>
        </w:rPr>
      </w:r>
      <w:r>
        <w:rPr/>
        <w:t>锁条件成就的议案》、《关于回购注销部分限制性股票的的议案》，本次解锁的激励对象人数为</w:t>
      </w:r>
      <w:r>
        <w:rPr>
          <w:rFonts w:ascii="Times New Roman" w:hAnsi="Times New Roman" w:cs="Times New Roman" w:eastAsia="Times New Roman" w:hint="default"/>
        </w:rPr>
        <w:t>206</w:t>
      </w:r>
      <w:r>
        <w:rPr/>
        <w:t>名，</w:t>
      </w:r>
      <w:r>
        <w:rPr>
          <w:spacing w:val="-22"/>
        </w:rPr>
        <w:t> </w:t>
      </w:r>
      <w:r>
        <w:rPr>
          <w:spacing w:val="-2"/>
        </w:rPr>
        <w:t>解锁的限制性股票数量为</w:t>
      </w:r>
      <w:r>
        <w:rPr>
          <w:rFonts w:ascii="Times New Roman" w:hAnsi="Times New Roman" w:cs="Times New Roman" w:eastAsia="Times New Roman" w:hint="default"/>
          <w:spacing w:val="-2"/>
        </w:rPr>
        <w:t>156.2</w:t>
      </w:r>
      <w:r>
        <w:rPr>
          <w:spacing w:val="-2"/>
        </w:rPr>
        <w:t>万股。本期因离职不予解锁的激励对象</w:t>
      </w:r>
      <w:r>
        <w:rPr>
          <w:rFonts w:ascii="Times New Roman" w:hAnsi="Times New Roman" w:cs="Times New Roman" w:eastAsia="Times New Roman" w:hint="default"/>
          <w:spacing w:val="-2"/>
        </w:rPr>
        <w:t>8</w:t>
      </w:r>
      <w:r>
        <w:rPr>
          <w:spacing w:val="-2"/>
        </w:rPr>
        <w:t>人，未解锁的限制性股票共</w:t>
      </w:r>
      <w:r>
        <w:rPr>
          <w:rFonts w:ascii="Times New Roman" w:hAnsi="Times New Roman" w:cs="Times New Roman" w:eastAsia="Times New Roman" w:hint="default"/>
          <w:spacing w:val="-2"/>
        </w:rPr>
        <w:t>9</w:t>
      </w:r>
      <w:r>
        <w:rPr>
          <w:spacing w:val="-2"/>
        </w:rPr>
        <w:t>万股根</w:t>
      </w:r>
      <w:r>
        <w:rPr>
          <w:spacing w:val="-86"/>
        </w:rPr>
        <w:t> </w:t>
      </w:r>
      <w:r>
        <w:rPr>
          <w:spacing w:val="-1"/>
        </w:rPr>
        <w:t>据规定实施回购注销，回购价格为</w:t>
      </w:r>
      <w:r>
        <w:rPr>
          <w:rFonts w:ascii="Times New Roman" w:hAnsi="Times New Roman" w:cs="Times New Roman" w:eastAsia="Times New Roman" w:hint="default"/>
          <w:spacing w:val="-1"/>
        </w:rPr>
        <w:t>7.89</w:t>
      </w:r>
      <w:r>
        <w:rPr>
          <w:spacing w:val="-1"/>
        </w:rPr>
        <w:t>元</w:t>
      </w:r>
      <w:r>
        <w:rPr>
          <w:rFonts w:ascii="Times New Roman" w:hAnsi="Times New Roman" w:cs="Times New Roman" w:eastAsia="Times New Roman" w:hint="default"/>
          <w:spacing w:val="-1"/>
        </w:rPr>
        <w:t>/</w:t>
      </w:r>
      <w:r>
        <w:rPr>
          <w:spacing w:val="-1"/>
        </w:rPr>
        <w:t>股，该等股份已于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日完成回购注销登记手续。监事会</w:t>
      </w:r>
      <w:r>
        <w:rPr>
          <w:spacing w:val="-88"/>
        </w:rPr>
        <w:t> </w:t>
      </w:r>
      <w:r>
        <w:rPr>
          <w:spacing w:val="-88"/>
        </w:rPr>
      </w:r>
      <w:r>
        <w:rPr>
          <w:spacing w:val="-1"/>
        </w:rPr>
        <w:t>对公司本次拟解锁的激励对象名单和数量分别进行核查，公司独立董事发表了同意的独立意见，北京国枫</w:t>
      </w:r>
      <w:r>
        <w:rPr>
          <w:spacing w:val="-81"/>
        </w:rPr>
        <w:t> </w:t>
      </w:r>
      <w:r>
        <w:rPr>
          <w:spacing w:val="-81"/>
        </w:rPr>
      </w:r>
      <w:r>
        <w:rPr/>
        <w:t>律师事务所出具了法律意见书，确定本次解锁的事项均符合相关法律、法规的规定。</w:t>
      </w:r>
    </w:p>
    <w:p>
      <w:pPr>
        <w:pStyle w:val="BodyText"/>
        <w:spacing w:line="331" w:lineRule="auto" w:before="81"/>
        <w:ind w:right="1130" w:firstLine="420"/>
        <w:jc w:val="both"/>
      </w:pPr>
      <w:r>
        <w:rPr>
          <w:rFonts w:ascii="Times New Roman" w:hAnsi="Times New Roman" w:cs="Times New Roman" w:eastAsia="Times New Roman" w:hint="default"/>
          <w:spacing w:val="-1"/>
        </w:rPr>
        <w:t>2</w:t>
      </w:r>
      <w:r>
        <w:rPr>
          <w:spacing w:val="-1"/>
        </w:rPr>
        <w:t>、张远鹏等</w:t>
      </w:r>
      <w:r>
        <w:rPr>
          <w:rFonts w:ascii="Times New Roman" w:hAnsi="Times New Roman" w:cs="Times New Roman" w:eastAsia="Times New Roman" w:hint="default"/>
          <w:spacing w:val="-1"/>
        </w:rPr>
        <w:t>17</w:t>
      </w:r>
      <w:r>
        <w:rPr>
          <w:spacing w:val="-1"/>
        </w:rPr>
        <w:t>名交易对方所持部分限售股份解除限售。公司于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日召开第三届董事会第三</w:t>
      </w:r>
      <w:r>
        <w:rPr/>
        <w:t> </w:t>
      </w:r>
      <w:r>
        <w:rPr>
          <w:spacing w:val="-1"/>
        </w:rPr>
        <w:t>十一次会议审议通过了《关于广州华炜科技有限公司</w:t>
      </w:r>
      <w:r>
        <w:rPr>
          <w:rFonts w:ascii="Times New Roman" w:hAnsi="Times New Roman" w:cs="Times New Roman" w:eastAsia="Times New Roman" w:hint="default"/>
          <w:spacing w:val="-1"/>
        </w:rPr>
        <w:t>2016</w:t>
      </w:r>
      <w:r>
        <w:rPr>
          <w:spacing w:val="-1"/>
        </w:rPr>
        <w:t>年度业绩承诺实现情况的议案》，根据大华会计</w:t>
      </w:r>
      <w:r>
        <w:rPr>
          <w:spacing w:val="-81"/>
        </w:rPr>
        <w:t> </w:t>
      </w:r>
      <w:r>
        <w:rPr>
          <w:spacing w:val="-81"/>
        </w:rPr>
      </w:r>
      <w:r>
        <w:rPr/>
        <w:t>师出具的审核报告（大华核字</w:t>
      </w:r>
      <w:r>
        <w:rPr>
          <w:rFonts w:ascii="Times New Roman" w:hAnsi="Times New Roman" w:cs="Times New Roman" w:eastAsia="Times New Roman" w:hint="default"/>
        </w:rPr>
        <w:t>[2017]002124</w:t>
      </w:r>
      <w:r>
        <w:rPr/>
        <w:t>号），华炜科技已完成了</w:t>
      </w:r>
      <w:r>
        <w:rPr>
          <w:rFonts w:ascii="Times New Roman" w:hAnsi="Times New Roman" w:cs="Times New Roman" w:eastAsia="Times New Roman" w:hint="default"/>
        </w:rPr>
        <w:t>2016</w:t>
      </w:r>
      <w:r>
        <w:rPr/>
        <w:t>年度的业绩承诺，本次张远鹏等</w:t>
      </w:r>
      <w:r>
        <w:rPr>
          <w:spacing w:val="-64"/>
        </w:rPr>
        <w:t> </w:t>
      </w:r>
      <w:r>
        <w:rPr>
          <w:rFonts w:ascii="Times New Roman" w:hAnsi="Times New Roman" w:cs="Times New Roman" w:eastAsia="Times New Roman" w:hint="default"/>
        </w:rPr>
        <w:t>17</w:t>
      </w:r>
      <w:r>
        <w:rPr/>
        <w:t>名交易对方所持有的合计</w:t>
      </w:r>
      <w:r>
        <w:rPr>
          <w:rFonts w:ascii="Times New Roman" w:hAnsi="Times New Roman" w:cs="Times New Roman" w:eastAsia="Times New Roman" w:hint="default"/>
        </w:rPr>
        <w:t>29,635,496</w:t>
      </w:r>
      <w:r>
        <w:rPr/>
        <w:t>股限售股份可按约定解除限售。</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6"/>
        <w:ind w:left="113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after="0" w:line="338"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line="338" w:lineRule="auto" w:before="44"/>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44"/>
        <w:ind w:left="0" w:right="1138" w:firstLine="0"/>
        <w:jc w:val="right"/>
        <w:rPr>
          <w:rFonts w:ascii="宋体" w:hAnsi="宋体" w:cs="宋体" w:eastAsia="宋体" w:hint="default"/>
          <w:sz w:val="18"/>
          <w:szCs w:val="18"/>
        </w:rPr>
      </w:pPr>
      <w:r>
        <w:rPr/>
        <w:pict>
          <v:shape style="position:absolute;margin-left:56.459999pt;margin-top:-547.158264pt;width:479.25pt;height:564.95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992"/>
                    <w:gridCol w:w="993"/>
                    <w:gridCol w:w="992"/>
                    <w:gridCol w:w="992"/>
                    <w:gridCol w:w="991"/>
                    <w:gridCol w:w="2624"/>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134,256,678</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134,256,678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r>
                          <w:rPr>
                            <w:rFonts w:ascii="Times New Roman" w:hAnsi="Times New Roman" w:cs="Times New Roman" w:eastAsia="Times New Roman" w:hint="default"/>
                            <w:sz w:val="18"/>
                            <w:szCs w:val="18"/>
                          </w:rPr>
                          <w:t>/</w:t>
                        </w:r>
                        <w:r>
                          <w:rPr>
                            <w:rFonts w:ascii="宋体" w:hAnsi="宋体" w:cs="宋体" w:eastAsia="宋体" w:hint="default"/>
                            <w:sz w:val="18"/>
                            <w:szCs w:val="18"/>
                          </w:rPr>
                          <w:t>高 管锁定</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302" w:lineRule="auto" w:before="6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日解除限售；高管锁定股每年按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133,464,408</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655,600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134,120,008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r>
                          <w:rPr>
                            <w:rFonts w:ascii="Times New Roman" w:hAnsi="Times New Roman" w:cs="Times New Roman" w:eastAsia="Times New Roman" w:hint="default"/>
                            <w:sz w:val="18"/>
                            <w:szCs w:val="18"/>
                          </w:rPr>
                          <w:t>/</w:t>
                        </w:r>
                        <w:r>
                          <w:rPr>
                            <w:rFonts w:ascii="宋体" w:hAnsi="宋体" w:cs="宋体" w:eastAsia="宋体" w:hint="default"/>
                            <w:sz w:val="18"/>
                            <w:szCs w:val="18"/>
                          </w:rPr>
                          <w:t>高 管锁定</w:t>
                        </w:r>
                        <w:r>
                          <w:rPr>
                            <w:rFonts w:ascii="Times New Roman" w:hAnsi="Times New Roman" w:cs="Times New Roman" w:eastAsia="Times New Roman" w:hint="default"/>
                            <w:sz w:val="18"/>
                            <w:szCs w:val="18"/>
                          </w:rPr>
                          <w:t>/</w:t>
                        </w:r>
                        <w:r>
                          <w:rPr>
                            <w:rFonts w:ascii="宋体" w:hAnsi="宋体" w:cs="宋体" w:eastAsia="宋体" w:hint="default"/>
                            <w:sz w:val="18"/>
                            <w:szCs w:val="18"/>
                          </w:rPr>
                          <w:t>可 转让额度账 户间调整</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302" w:lineRule="auto" w:before="6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日解除限售；高管锁定股每年按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112,515,042</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112,515,042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首发后机构 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年财务报表和中经 电商及汇通宝相关专项审核报告 后的二十个工作日之后解锁</w:t>
                        </w:r>
                      </w:p>
                    </w:tc>
                  </w:tr>
                  <w:tr>
                    <w:trPr>
                      <w:trHeight w:val="16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萍乡市瑞兴达投资管理 合伙企业（有限合伙）</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17,234,924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17,234,924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首发后机构 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67"/>
                          <w:jc w:val="left"/>
                          <w:rPr>
                            <w:rFonts w:ascii="宋体" w:hAnsi="宋体" w:cs="宋体" w:eastAsia="宋体" w:hint="default"/>
                            <w:sz w:val="18"/>
                            <w:szCs w:val="18"/>
                          </w:rPr>
                        </w:pPr>
                        <w:r>
                          <w:rPr>
                            <w:rFonts w:ascii="宋体" w:hAnsi="宋体" w:cs="宋体" w:eastAsia="宋体" w:hint="default"/>
                            <w:sz w:val="18"/>
                            <w:szCs w:val="18"/>
                          </w:rPr>
                          <w:t>在满泰科技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年度相关 专项审核报告出具后的十日之后 分别解锁不超过股份总数的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（如满足解锁 条件）</w:t>
                        </w:r>
                      </w:p>
                    </w:tc>
                  </w:tr>
                  <w:tr>
                    <w:trPr>
                      <w:trHeight w:val="258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14,133,745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3,450,964</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10,682,781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r>
                          <w:rPr>
                            <w:rFonts w:ascii="Times New Roman" w:hAnsi="Times New Roman" w:cs="Times New Roman" w:eastAsia="Times New Roman" w:hint="default"/>
                            <w:sz w:val="18"/>
                            <w:szCs w:val="18"/>
                          </w:rPr>
                          <w:t>/</w:t>
                        </w:r>
                        <w:r>
                          <w:rPr>
                            <w:rFonts w:ascii="宋体" w:hAnsi="宋体" w:cs="宋体" w:eastAsia="宋体" w:hint="default"/>
                            <w:sz w:val="18"/>
                            <w:szCs w:val="18"/>
                          </w:rPr>
                          <w:t>离 职锁定</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首发后个人类限售股在公司披露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年度财务报表和华炜科技相 关专项审核报告后的二十个工作 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；离职锁定股自 其辞任董事后半年内不得转让； 股权激励限售股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按</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的比例</w:t>
                        </w:r>
                        <w:r>
                          <w:rPr>
                            <w:rFonts w:ascii="宋体" w:hAnsi="宋体" w:cs="宋体" w:eastAsia="宋体" w:hint="default"/>
                            <w:spacing w:val="-87"/>
                            <w:sz w:val="18"/>
                            <w:szCs w:val="18"/>
                          </w:rPr>
                          <w:t> </w:t>
                        </w:r>
                        <w:r>
                          <w:rPr>
                            <w:rFonts w:ascii="宋体" w:hAnsi="宋体" w:cs="宋体" w:eastAsia="宋体" w:hint="default"/>
                            <w:sz w:val="18"/>
                            <w:szCs w:val="18"/>
                          </w:rPr>
                          <w:t>分批解锁（如满足解锁条件）</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both"/>
                          <w:rPr>
                            <w:rFonts w:ascii="宋体" w:hAnsi="宋体" w:cs="宋体" w:eastAsia="宋体" w:hint="default"/>
                            <w:sz w:val="18"/>
                            <w:szCs w:val="18"/>
                          </w:rPr>
                        </w:pPr>
                        <w:r>
                          <w:rPr>
                            <w:rFonts w:ascii="宋体" w:hAnsi="宋体" w:cs="宋体" w:eastAsia="宋体" w:hint="default"/>
                            <w:sz w:val="18"/>
                            <w:szCs w:val="18"/>
                          </w:rPr>
                          <w:t>蓝盾信息安全技术股份 有限公司－第一期员工 持股计划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4,899,774</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5" w:right="0"/>
                          <w:jc w:val="center"/>
                          <w:rPr>
                            <w:rFonts w:ascii="Times New Roman" w:hAnsi="Times New Roman" w:cs="Times New Roman" w:eastAsia="Times New Roman" w:hint="default"/>
                            <w:sz w:val="18"/>
                            <w:szCs w:val="18"/>
                          </w:rPr>
                        </w:pPr>
                        <w:r>
                          <w:rPr>
                            <w:rFonts w:ascii="Times New Roman"/>
                            <w:sz w:val="18"/>
                          </w:rPr>
                          <w:t>4,899,774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61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史利民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7,877,034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3,353,014</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15" w:right="0"/>
                          <w:jc w:val="center"/>
                          <w:rPr>
                            <w:rFonts w:ascii="Times New Roman" w:hAnsi="Times New Roman" w:cs="Times New Roman" w:eastAsia="Times New Roman" w:hint="default"/>
                            <w:sz w:val="18"/>
                            <w:szCs w:val="18"/>
                          </w:rPr>
                        </w:pPr>
                        <w:r>
                          <w:rPr>
                            <w:rFonts w:ascii="Times New Roman"/>
                            <w:sz w:val="18"/>
                          </w:rPr>
                          <w:t>4,524,020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09"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首发后个人类限售股在公司披露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年度财务报表和华炜科技相 关专项审核报告后的二十个工作 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；股权激励限售 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年按</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94.3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992"/>
                    <w:gridCol w:w="993"/>
                    <w:gridCol w:w="992"/>
                    <w:gridCol w:w="992"/>
                    <w:gridCol w:w="991"/>
                    <w:gridCol w:w="2624"/>
                  </w:tblGrid>
                  <w:tr>
                    <w:trPr>
                      <w:trHeight w:val="674"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的比例分批解锁（如满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足解锁条件）</w:t>
                        </w:r>
                      </w:p>
                    </w:tc>
                  </w:tr>
                  <w:tr>
                    <w:trPr>
                      <w:trHeight w:val="227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张宇弋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3,120,147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1,325,777</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1,794,370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首发后个人类限售股在公司披露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年度财务报表和华炜科技相 关专项审核报告后的二十个工作 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；股权激励限售 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年按</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w:t>
                        </w:r>
                      </w:p>
                      <w:p>
                        <w:pPr>
                          <w:pStyle w:val="TableParagraph"/>
                          <w:spacing w:line="302" w:lineRule="auto" w:before="5"/>
                          <w:ind w:left="23"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的比例分批解锁（如满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足解锁条件）</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梁发柱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3,070,147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1,315,777</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1,754,370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公司披露</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年度财务报表和华 炜科技相关专项审核报告后的二 十个工作日之后解锁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r>
                    <w:trPr>
                      <w:trHeight w:val="227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程庆国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2,915,224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1,237,952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1,677,272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首发后个人类限售股在公司披露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年度财务报表和华炜科技相 关专项审核报告后的二十个工作 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；股权激励限售 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年按</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w:t>
                        </w:r>
                      </w:p>
                      <w:p>
                        <w:pPr>
                          <w:pStyle w:val="TableParagraph"/>
                          <w:spacing w:line="302" w:lineRule="auto" w:before="5"/>
                          <w:ind w:left="23"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的比例分批解锁（如满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足解锁条件）</w:t>
                        </w:r>
                      </w:p>
                    </w:tc>
                  </w:tr>
                  <w:tr>
                    <w:trPr>
                      <w:trHeight w:val="227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2,096,586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887,108</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1,209,478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首发后个人类限售股在公司披露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年度财务报表和华炜科技相 关专项审核报告后的二十个工作 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；股权激励限售 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年按</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w:t>
                        </w:r>
                      </w:p>
                      <w:p>
                        <w:pPr>
                          <w:pStyle w:val="TableParagraph"/>
                          <w:spacing w:line="302" w:lineRule="auto" w:before="5"/>
                          <w:ind w:left="23"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的比例分批解锁（如满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足解锁条件）</w:t>
                        </w:r>
                      </w:p>
                    </w:tc>
                  </w:tr>
                  <w:tr>
                    <w:trPr>
                      <w:trHeight w:val="227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曹冬平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1,891,661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799,283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1,092,378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首发后个人类限售股在公司披露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年度财务报表和华炜科技相 关专项审核报告后的二十个工作 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；股权激励限售 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年按</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w:t>
                        </w:r>
                      </w:p>
                      <w:p>
                        <w:pPr>
                          <w:pStyle w:val="TableParagraph"/>
                          <w:spacing w:line="302" w:lineRule="auto" w:before="5"/>
                          <w:ind w:left="23"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的比例分批解锁（如满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足解锁条件）</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1,841,663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789,283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1,052,380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公司披露</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年度财务报表和华 炜科技相关专项审核报告后的二 十个工作日之后解锁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黎讴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1,841,661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789,283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公司披露</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年度财务报表和华 炜科技相关专项审核报告后的二 十个工作日之后解锁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734,920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709,920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高管锁定</w:t>
                        </w:r>
                        <w:r>
                          <w:rPr>
                            <w:rFonts w:ascii="Times New Roman" w:hAnsi="Times New Roman" w:cs="Times New Roman" w:eastAsia="Times New Roman" w:hint="default"/>
                            <w:sz w:val="18"/>
                            <w:szCs w:val="18"/>
                          </w:rPr>
                          <w:t>/ </w:t>
                        </w:r>
                        <w:r>
                          <w:rPr>
                            <w:rFonts w:ascii="宋体" w:hAnsi="宋体" w:cs="宋体" w:eastAsia="宋体" w:hint="default"/>
                            <w:sz w:val="18"/>
                            <w:szCs w:val="18"/>
                          </w:rPr>
                          <w:t>股权激励限 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3" w:right="7"/>
                          <w:jc w:val="left"/>
                          <w:rPr>
                            <w:rFonts w:ascii="宋体" w:hAnsi="宋体" w:cs="宋体" w:eastAsia="宋体" w:hint="default"/>
                            <w:sz w:val="18"/>
                            <w:szCs w:val="18"/>
                          </w:rPr>
                        </w:pPr>
                        <w:r>
                          <w:rPr>
                            <w:rFonts w:ascii="宋体" w:hAnsi="宋体" w:cs="宋体" w:eastAsia="宋体" w:hint="default"/>
                            <w:sz w:val="18"/>
                            <w:szCs w:val="18"/>
                          </w:rPr>
                          <w:t>高管锁定股每年按持股总数的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锁定；股权激励限售股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85"/>
        <w:gridCol w:w="992"/>
        <w:gridCol w:w="993"/>
        <w:gridCol w:w="992"/>
        <w:gridCol w:w="992"/>
        <w:gridCol w:w="991"/>
        <w:gridCol w:w="2624"/>
      </w:tblGrid>
      <w:tr>
        <w:trPr>
          <w:trHeight w:val="674"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的比例分批解锁（如满足解</w:t>
            </w:r>
            <w:r>
              <w:rPr>
                <w:rFonts w:ascii="宋体" w:hAnsi="宋体" w:cs="宋体" w:eastAsia="宋体" w:hint="default"/>
                <w:w w:val="99"/>
                <w:sz w:val="18"/>
                <w:szCs w:val="18"/>
              </w:rPr>
              <w:t> </w:t>
            </w:r>
            <w:r>
              <w:rPr>
                <w:rFonts w:ascii="宋体" w:hAnsi="宋体" w:cs="宋体" w:eastAsia="宋体" w:hint="default"/>
                <w:sz w:val="18"/>
                <w:szCs w:val="18"/>
              </w:rPr>
              <w:t>锁条件）</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409,317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175,421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233,896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6"/>
              <w:jc w:val="left"/>
              <w:rPr>
                <w:rFonts w:ascii="宋体" w:hAnsi="宋体" w:cs="宋体" w:eastAsia="宋体" w:hint="default"/>
                <w:sz w:val="18"/>
                <w:szCs w:val="18"/>
              </w:rPr>
            </w:pPr>
            <w:r>
              <w:rPr>
                <w:rFonts w:ascii="宋体" w:hAnsi="宋体" w:cs="宋体" w:eastAsia="宋体" w:hint="default"/>
                <w:sz w:val="18"/>
                <w:szCs w:val="18"/>
              </w:rPr>
              <w:t>首发后个人 类限售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公司披露</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年度财务报表和华 炜科技相关专项审核报告后的二 十个工作日之后解锁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其他股权激励对象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1,552,000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5,848,000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股权激励限售股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按</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的比例</w:t>
            </w:r>
            <w:r>
              <w:rPr>
                <w:rFonts w:ascii="宋体" w:hAnsi="宋体" w:cs="宋体" w:eastAsia="宋体" w:hint="default"/>
                <w:spacing w:val="-87"/>
                <w:sz w:val="18"/>
                <w:szCs w:val="18"/>
              </w:rPr>
              <w:t> </w:t>
            </w:r>
            <w:r>
              <w:rPr>
                <w:rFonts w:ascii="宋体" w:hAnsi="宋体" w:cs="宋体" w:eastAsia="宋体" w:hint="default"/>
                <w:sz w:val="18"/>
                <w:szCs w:val="18"/>
              </w:rPr>
              <w:t>分批解锁（如满足解锁条件）</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西部利得基金－浦发银 行－西部利得－蓝盾股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期定增资产管理计 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33,742,331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33,742,331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鹏华资产－浦发银行－ 华宝信托－华宝－银河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号集合资金信托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16,871,165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16,871,165</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汇添富基金管理股份有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17,254,601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17,254,601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16,487,731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16,487,731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新疆阳信盈昇股权投资 合伙企业（有限合伙）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2,631,555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2,631,555</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中山中科创业投资有限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2,293,094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2,293,094</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中山中科阜鑫投资管理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2,293,094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2,293,094</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上海祥禾泓安股权投资 合伙企业（有限合伙）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2,063,786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2,063,786</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广州至善创业投资合伙 企业（有限合伙）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2,063,787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2,063,787</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中山中科恒业投资管理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1,031,892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1,031,892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梅州中科客家创业投资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1,031,892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1,031,892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530,232,935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113,465,790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17,890,524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434,657,669</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2"/>
          <w:szCs w:val="12"/>
        </w:rPr>
      </w:pPr>
    </w:p>
    <w:p>
      <w:pPr>
        <w:pStyle w:val="BodyText"/>
        <w:spacing w:line="240" w:lineRule="auto"/>
        <w:ind w:left="0" w:right="1132"/>
        <w:jc w:val="right"/>
      </w:pPr>
      <w:r>
        <w:rPr/>
        <w:t>公司于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日召开了第三届董事会第三十一次会议，审议通过了《关于回购注销部分限制</w:t>
      </w:r>
    </w:p>
    <w:p>
      <w:pPr>
        <w:pStyle w:val="BodyText"/>
        <w:spacing w:line="240" w:lineRule="auto" w:before="110"/>
        <w:ind w:right="0"/>
        <w:jc w:val="left"/>
      </w:pPr>
      <w:r>
        <w:rPr/>
        <w:t>性股票的议案</w:t>
      </w:r>
      <w:r>
        <w:rPr>
          <w:spacing w:val="-105"/>
        </w:rPr>
        <w:t>》</w:t>
      </w:r>
      <w:r>
        <w:rPr/>
        <w:t>，鉴于</w:t>
      </w:r>
      <w:r>
        <w:rPr>
          <w:spacing w:val="-2"/>
        </w:rPr>
        <w:t>公</w:t>
      </w:r>
      <w:r>
        <w:rPr/>
        <w:t>司限制性股票激励计划原激励对象共</w:t>
      </w:r>
      <w:r>
        <w:rPr>
          <w:spacing w:val="-52"/>
        </w:rPr>
        <w:t> </w:t>
      </w:r>
      <w:r>
        <w:rPr>
          <w:rFonts w:ascii="Times New Roman" w:hAnsi="Times New Roman" w:cs="Times New Roman" w:eastAsia="Times New Roman" w:hint="default"/>
        </w:rPr>
        <w:t>8 </w:t>
      </w:r>
      <w:r>
        <w:rPr/>
        <w:t>人因</w:t>
      </w:r>
      <w:r>
        <w:rPr>
          <w:spacing w:val="-2"/>
        </w:rPr>
        <w:t>个</w:t>
      </w:r>
      <w:r>
        <w:rPr/>
        <w:t>人原因离职，已不符合激励条件，</w:t>
      </w:r>
    </w:p>
    <w:p>
      <w:pPr>
        <w:pStyle w:val="BodyText"/>
        <w:spacing w:line="240" w:lineRule="auto" w:before="109"/>
        <w:ind w:right="0"/>
        <w:jc w:val="left"/>
      </w:pPr>
      <w:r>
        <w:rPr/>
        <w:t>根据公司《限制性股票激励计划》的相关规定，公司将上述</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人所持的已授予但未解锁的限制性股票共计</w:t>
      </w:r>
    </w:p>
    <w:p>
      <w:pPr>
        <w:pStyle w:val="BodyText"/>
        <w:spacing w:line="240" w:lineRule="auto" w:before="109"/>
        <w:ind w:right="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万股回购注销。回购注销实施完毕后，公司股份总数将由</w:t>
      </w:r>
      <w:r>
        <w:rPr>
          <w:spacing w:val="-54"/>
        </w:rPr>
        <w:t> </w:t>
      </w:r>
      <w:r>
        <w:rPr>
          <w:rFonts w:ascii="Times New Roman" w:hAnsi="Times New Roman" w:cs="Times New Roman" w:eastAsia="Times New Roman" w:hint="default"/>
        </w:rPr>
        <w:t>1,175,455,904</w:t>
      </w:r>
      <w:r>
        <w:rPr>
          <w:rFonts w:ascii="Times New Roman" w:hAnsi="Times New Roman" w:cs="Times New Roman" w:eastAsia="Times New Roman" w:hint="default"/>
          <w:spacing w:val="-3"/>
        </w:rPr>
        <w:t> </w:t>
      </w:r>
      <w:r>
        <w:rPr/>
        <w:t>股变更为</w:t>
      </w:r>
      <w:r>
        <w:rPr>
          <w:spacing w:val="-54"/>
        </w:rPr>
        <w:t> </w:t>
      </w:r>
      <w:r>
        <w:rPr>
          <w:rFonts w:ascii="Times New Roman" w:hAnsi="Times New Roman" w:cs="Times New Roman" w:eastAsia="Times New Roman" w:hint="default"/>
        </w:rPr>
        <w:t>1,175,365,904</w:t>
      </w:r>
      <w:r>
        <w:rPr>
          <w:rFonts w:ascii="Times New Roman" w:hAnsi="Times New Roman" w:cs="Times New Roman" w:eastAsia="Times New Roman" w:hint="default"/>
          <w:spacing w:val="-2"/>
        </w:rPr>
        <w:t> </w:t>
      </w:r>
      <w:r>
        <w:rPr/>
        <w:t>股。</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49.277008pt;margin-top:68.291718pt;width:85.75pt;height:31.25pt;mso-position-horizontal-relative:page;mso-position-vertical-relative:paragraph;z-index:-1149040"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68.291718pt;width:52.65pt;height:31.25pt;mso-position-horizontal-relative:page;mso-position-vertical-relative:paragraph;z-index:-1149016" coordorigin="9648,1366" coordsize="1053,625">
            <v:shape style="position:absolute;left:9648;top:1366;width:1053;height:625" coordorigin="9648,1366" coordsize="1053,625" path="m9648,1990l10700,1990,10700,1366,9648,1366,9648,199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226"/>
        <w:gridCol w:w="581"/>
        <w:gridCol w:w="739"/>
        <w:gridCol w:w="744"/>
        <w:gridCol w:w="1054"/>
        <w:gridCol w:w="121"/>
        <w:gridCol w:w="872"/>
        <w:gridCol w:w="434"/>
        <w:gridCol w:w="559"/>
        <w:gridCol w:w="528"/>
        <w:gridCol w:w="464"/>
        <w:gridCol w:w="848"/>
        <w:gridCol w:w="508"/>
        <w:gridCol w:w="559"/>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55,191</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52,417</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tcBorders>
              <w:top w:val="single" w:sz="4" w:space="0" w:color="000000"/>
              <w:left w:val="single" w:sz="13" w:space="0" w:color="D2D2D2"/>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val="restart"/>
            <w:tcBorders>
              <w:top w:val="nil" w:sz="6" w:space="0" w:color="auto"/>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560" w:type="dxa"/>
            <w:gridSpan w:val="2"/>
            <w:vMerge w:val="restart"/>
            <w:tcBorders>
              <w:top w:val="single" w:sz="4" w:space="0" w:color="000000"/>
              <w:left w:val="single" w:sz="4" w:space="0" w:color="000000"/>
              <w:right w:val="single" w:sz="4" w:space="0" w:color="000000"/>
            </w:tcBorders>
            <w:shd w:val="clear" w:color="auto" w:fill="D2D2D2"/>
          </w:tcPr>
          <w:p>
            <w:pPr/>
          </w:p>
        </w:tc>
        <w:tc>
          <w:tcPr>
            <w:tcW w:w="1320"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FFFFFF"/>
            </w:tcBorders>
            <w:shd w:val="clear" w:color="auto" w:fill="D2D2D2"/>
          </w:tcPr>
          <w:p>
            <w:pPr/>
          </w:p>
        </w:tc>
        <w:tc>
          <w:tcPr>
            <w:tcW w:w="1054" w:type="dxa"/>
            <w:tcBorders>
              <w:top w:val="single" w:sz="4" w:space="0" w:color="000000"/>
              <w:left w:val="single" w:sz="4" w:space="0" w:color="FFFFFF"/>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1320"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1054"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273" w:right="48"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5" w:type="dxa"/>
            <w:gridSpan w:val="3"/>
            <w:vMerge/>
            <w:tcBorders>
              <w:left w:val="single" w:sz="4" w:space="0" w:color="000000"/>
              <w:right w:val="single" w:sz="4" w:space="0" w:color="000000"/>
            </w:tcBorders>
            <w:shd w:val="clear" w:color="auto" w:fill="D2D2D2"/>
          </w:tcPr>
          <w:p>
            <w:pPr/>
          </w:p>
        </w:tc>
      </w:tr>
      <w:tr>
        <w:trPr>
          <w:trHeight w:val="140"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vMerge/>
            <w:tcBorders>
              <w:left w:val="single" w:sz="4" w:space="0" w:color="FFFFFF"/>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5"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1320"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1054" w:type="dxa"/>
            <w:vMerge/>
            <w:tcBorders>
              <w:left w:val="single" w:sz="4" w:space="0" w:color="FFFFFF"/>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
        </w:tc>
        <w:tc>
          <w:tcPr>
            <w:tcW w:w="1320"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FFFFFF"/>
            </w:tcBorders>
            <w:shd w:val="clear" w:color="auto" w:fill="D2D2D2"/>
          </w:tcPr>
          <w:p>
            <w:pPr/>
          </w:p>
        </w:tc>
        <w:tc>
          <w:tcPr>
            <w:tcW w:w="1054" w:type="dxa"/>
            <w:vMerge/>
            <w:tcBorders>
              <w:left w:val="single" w:sz="4" w:space="0" w:color="FFFFFF"/>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r>
      <w:tr>
        <w:trPr>
          <w:trHeight w:val="161" w:hRule="exact"/>
        </w:trPr>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320"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FFFFFF"/>
            </w:tcBorders>
            <w:shd w:val="clear" w:color="auto" w:fill="D2D2D2"/>
          </w:tcPr>
          <w:p>
            <w:pPr/>
          </w:p>
        </w:tc>
        <w:tc>
          <w:tcPr>
            <w:tcW w:w="1054" w:type="dxa"/>
            <w:tcBorders>
              <w:top w:val="nil" w:sz="6" w:space="0" w:color="auto"/>
              <w:left w:val="single" w:sz="4" w:space="0" w:color="FFFFFF"/>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15.23%</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179,008,904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134,256,678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44,752,226</w:t>
            </w:r>
          </w:p>
        </w:tc>
        <w:tc>
          <w:tcPr>
            <w:tcW w:w="848" w:type="dxa"/>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left="134" w:right="0"/>
              <w:jc w:val="left"/>
              <w:rPr>
                <w:rFonts w:ascii="Times New Roman" w:hAnsi="Times New Roman" w:cs="Times New Roman" w:eastAsia="Times New Roman" w:hint="default"/>
                <w:sz w:val="18"/>
                <w:szCs w:val="18"/>
              </w:rPr>
            </w:pPr>
            <w:r>
              <w:rPr>
                <w:rFonts w:ascii="Times New Roman"/>
                <w:sz w:val="18"/>
              </w:rPr>
              <w:t>161,293,783</w:t>
            </w:r>
          </w:p>
        </w:tc>
      </w:tr>
      <w:tr>
        <w:trPr>
          <w:trHeight w:val="402"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15.14%</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177,952,544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134,120,008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43,832,536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159,974,084</w:t>
            </w: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深圳市博益投资发 展有限公司</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9.73%</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114,400,000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94,400,000</w:t>
            </w: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中经汇通有限责任 公司</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9.57%</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112,515,042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112,515,042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西部利得基金－浦 发银行－西部利得</w:t>
            </w:r>
          </w:p>
          <w:p>
            <w:pPr>
              <w:pStyle w:val="TableParagraph"/>
              <w:spacing w:line="302" w:lineRule="auto" w:before="19"/>
              <w:ind w:left="22" w:right="85"/>
              <w:jc w:val="left"/>
              <w:rPr>
                <w:rFonts w:ascii="宋体" w:hAnsi="宋体" w:cs="宋体" w:eastAsia="宋体" w:hint="default"/>
                <w:sz w:val="18"/>
                <w:szCs w:val="18"/>
              </w:rPr>
            </w:pPr>
            <w:r>
              <w:rPr>
                <w:rFonts w:ascii="宋体" w:hAnsi="宋体" w:cs="宋体" w:eastAsia="宋体" w:hint="default"/>
                <w:sz w:val="18"/>
                <w:szCs w:val="18"/>
              </w:rPr>
              <w:t>－蓝盾股份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期定 增资产管理计划</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2.87%</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33,742,331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33,742,331</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7"/>
              <w:jc w:val="both"/>
              <w:rPr>
                <w:rFonts w:ascii="宋体" w:hAnsi="宋体" w:cs="宋体" w:eastAsia="宋体" w:hint="default"/>
                <w:sz w:val="18"/>
                <w:szCs w:val="18"/>
              </w:rPr>
            </w:pPr>
            <w:r>
              <w:rPr>
                <w:rFonts w:ascii="宋体" w:hAnsi="宋体" w:cs="宋体" w:eastAsia="宋体" w:hint="default"/>
                <w:sz w:val="18"/>
                <w:szCs w:val="18"/>
              </w:rPr>
              <w:t>萍乡市瑞兴达投资 管理合伙企业（有 限合伙）</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1.47%</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17,234,924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17,234,924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17,234,924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17,234,924</w:t>
            </w:r>
          </w:p>
        </w:tc>
      </w:tr>
      <w:tr>
        <w:trPr>
          <w:trHeight w:val="40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鹏华资产－浦发银</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1.44%</w:t>
            </w:r>
          </w:p>
        </w:tc>
        <w:tc>
          <w:tcPr>
            <w:tcW w:w="105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16,871,165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16,871,165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60"/>
        <w:gridCol w:w="1320"/>
        <w:gridCol w:w="97"/>
        <w:gridCol w:w="691"/>
        <w:gridCol w:w="1010"/>
        <w:gridCol w:w="992"/>
        <w:gridCol w:w="142"/>
        <w:gridCol w:w="852"/>
        <w:gridCol w:w="992"/>
        <w:gridCol w:w="143"/>
        <w:gridCol w:w="710"/>
        <w:gridCol w:w="1062"/>
      </w:tblGrid>
      <w:tr>
        <w:trPr>
          <w:trHeight w:val="9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85"/>
              <w:jc w:val="both"/>
              <w:rPr>
                <w:rFonts w:ascii="宋体" w:hAnsi="宋体" w:cs="宋体" w:eastAsia="宋体" w:hint="default"/>
                <w:sz w:val="18"/>
                <w:szCs w:val="18"/>
              </w:rPr>
            </w:pPr>
            <w:r>
              <w:rPr>
                <w:rFonts w:ascii="宋体" w:hAnsi="宋体" w:cs="宋体" w:eastAsia="宋体" w:hint="default"/>
                <w:sz w:val="18"/>
                <w:szCs w:val="18"/>
              </w:rPr>
              <w:t>行－华宝信托－华 宝－银河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w:t>
            </w:r>
          </w:p>
        </w:tc>
        <w:tc>
          <w:tcPr>
            <w:tcW w:w="1320" w:type="dxa"/>
            <w:tcBorders>
              <w:top w:val="single" w:sz="4" w:space="0" w:color="000000"/>
              <w:left w:val="single" w:sz="4" w:space="0" w:color="000000"/>
              <w:bottom w:val="single" w:sz="4" w:space="0" w:color="000000"/>
              <w:right w:val="single" w:sz="4" w:space="0" w:color="000000"/>
            </w:tcBorders>
          </w:tcPr>
          <w:p>
            <w:pP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田泽训</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14,470,746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14,470,746</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0.91%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10,682,781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10,682,781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9,637,900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林仙琴</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10,462,214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10,462,214</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1"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1" w:type="dxa"/>
            <w:gridSpan w:val="10"/>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1"/>
                <w:sz w:val="18"/>
                <w:szCs w:val="18"/>
              </w:rPr>
              <w:t>柯宗庆、柯宗贵与中经汇通系一致行动关系；田泽训、林仙琴与陈娟娟、潘加波、黄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秀玉、黄丽爱、陈海涛、田汉镇、周俊驹、田少武共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位股东系一致行动关系。</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97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835"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75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97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35"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759" w:type="dxa"/>
            <w:gridSpan w:val="5"/>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978" w:type="dxa"/>
            <w:gridSpan w:val="3"/>
            <w:vMerge/>
            <w:tcBorders>
              <w:left w:val="single" w:sz="4" w:space="0" w:color="000000"/>
              <w:bottom w:val="nil" w:sz="6" w:space="0" w:color="auto"/>
              <w:right w:val="single" w:sz="4" w:space="0" w:color="000000"/>
            </w:tcBorders>
            <w:shd w:val="clear" w:color="auto" w:fill="D2D2D2"/>
          </w:tcPr>
          <w:p>
            <w:pPr/>
          </w:p>
        </w:tc>
        <w:tc>
          <w:tcPr>
            <w:tcW w:w="2835" w:type="dxa"/>
            <w:gridSpan w:val="4"/>
            <w:vMerge/>
            <w:tcBorders>
              <w:left w:val="single" w:sz="4" w:space="0" w:color="000000"/>
              <w:bottom w:val="nil" w:sz="6" w:space="0" w:color="auto"/>
              <w:right w:val="single" w:sz="4" w:space="0" w:color="000000"/>
            </w:tcBorders>
            <w:shd w:val="clear" w:color="auto" w:fill="D2D2D2"/>
          </w:tcPr>
          <w:p>
            <w:pPr/>
          </w:p>
        </w:tc>
        <w:tc>
          <w:tcPr>
            <w:tcW w:w="198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97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835"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986" w:type="dxa"/>
            <w:gridSpan w:val="3"/>
            <w:vMerge/>
            <w:tcBorders>
              <w:left w:val="single" w:sz="4" w:space="0" w:color="000000"/>
              <w:bottom w:val="single" w:sz="4" w:space="0" w:color="000000"/>
              <w:right w:val="single" w:sz="4" w:space="0" w:color="000000"/>
            </w:tcBorders>
            <w:shd w:val="clear" w:color="auto" w:fill="D2D2D2"/>
          </w:tcPr>
          <w:p>
            <w:pPr/>
          </w:p>
        </w:tc>
        <w:tc>
          <w:tcPr>
            <w:tcW w:w="1772"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114,400,000</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114,400,000</w:t>
            </w: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44,752,226</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0" w:right="0"/>
              <w:jc w:val="left"/>
              <w:rPr>
                <w:rFonts w:ascii="Times New Roman" w:hAnsi="Times New Roman" w:cs="Times New Roman" w:eastAsia="Times New Roman" w:hint="default"/>
                <w:sz w:val="18"/>
                <w:szCs w:val="18"/>
              </w:rPr>
            </w:pPr>
            <w:r>
              <w:rPr>
                <w:rFonts w:ascii="Times New Roman"/>
                <w:sz w:val="18"/>
              </w:rPr>
              <w:t>44,752,226</w:t>
            </w: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43,832,536</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0" w:right="0"/>
              <w:jc w:val="left"/>
              <w:rPr>
                <w:rFonts w:ascii="Times New Roman" w:hAnsi="Times New Roman" w:cs="Times New Roman" w:eastAsia="Times New Roman" w:hint="default"/>
                <w:sz w:val="18"/>
                <w:szCs w:val="18"/>
              </w:rPr>
            </w:pPr>
            <w:r>
              <w:rPr>
                <w:rFonts w:ascii="Times New Roman"/>
                <w:sz w:val="18"/>
              </w:rPr>
              <w:t>43,832,536</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西部利得基金－浦发银行－西部利得</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－蓝盾股份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期定增资产管理计划</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33,742,331</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0" w:right="0"/>
              <w:jc w:val="left"/>
              <w:rPr>
                <w:rFonts w:ascii="Times New Roman" w:hAnsi="Times New Roman" w:cs="Times New Roman" w:eastAsia="Times New Roman" w:hint="default"/>
                <w:sz w:val="18"/>
                <w:szCs w:val="18"/>
              </w:rPr>
            </w:pPr>
            <w:r>
              <w:rPr>
                <w:rFonts w:ascii="Times New Roman"/>
                <w:sz w:val="18"/>
              </w:rPr>
              <w:t>33,742,331</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鹏华资产－浦发银行－华宝信托－华 宝－银河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16,871,165</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0" w:right="0"/>
              <w:jc w:val="left"/>
              <w:rPr>
                <w:rFonts w:ascii="Times New Roman" w:hAnsi="Times New Roman" w:cs="Times New Roman" w:eastAsia="Times New Roman" w:hint="default"/>
                <w:sz w:val="18"/>
                <w:szCs w:val="18"/>
              </w:rPr>
            </w:pPr>
            <w:r>
              <w:rPr>
                <w:rFonts w:ascii="Times New Roman"/>
                <w:sz w:val="18"/>
              </w:rPr>
              <w:t>16,871,165</w:t>
            </w: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田泽训</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14,470,746</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0" w:right="0"/>
              <w:jc w:val="left"/>
              <w:rPr>
                <w:rFonts w:ascii="Times New Roman" w:hAnsi="Times New Roman" w:cs="Times New Roman" w:eastAsia="Times New Roman" w:hint="default"/>
                <w:sz w:val="18"/>
                <w:szCs w:val="18"/>
              </w:rPr>
            </w:pPr>
            <w:r>
              <w:rPr>
                <w:rFonts w:ascii="Times New Roman"/>
                <w:sz w:val="18"/>
              </w:rPr>
              <w:t>14,470,746</w:t>
            </w: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林仙琴</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10,462,214</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0" w:right="0"/>
              <w:jc w:val="left"/>
              <w:rPr>
                <w:rFonts w:ascii="Times New Roman" w:hAnsi="Times New Roman" w:cs="Times New Roman" w:eastAsia="Times New Roman" w:hint="default"/>
                <w:sz w:val="18"/>
                <w:szCs w:val="18"/>
              </w:rPr>
            </w:pPr>
            <w:r>
              <w:rPr>
                <w:rFonts w:ascii="Times New Roman"/>
                <w:sz w:val="18"/>
              </w:rPr>
              <w:t>10,462,214</w:t>
            </w:r>
          </w:p>
        </w:tc>
      </w:tr>
      <w:tr>
        <w:trPr>
          <w:trHeight w:val="402"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陈娟娟</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8,410,160</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0" w:right="0"/>
              <w:jc w:val="left"/>
              <w:rPr>
                <w:rFonts w:ascii="Times New Roman" w:hAnsi="Times New Roman" w:cs="Times New Roman" w:eastAsia="Times New Roman" w:hint="default"/>
                <w:sz w:val="18"/>
                <w:szCs w:val="18"/>
              </w:rPr>
            </w:pPr>
            <w:r>
              <w:rPr>
                <w:rFonts w:ascii="Times New Roman"/>
                <w:sz w:val="18"/>
              </w:rPr>
              <w:t>8,410,160</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九泰基金－广发银行－九泰基金－永 乐分级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8,155,861</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8,155,861</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九泰基金－广发银行－九泰基金－昆 泰分级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7,823,550</w:t>
            </w:r>
          </w:p>
        </w:tc>
        <w:tc>
          <w:tcPr>
            <w:tcW w:w="1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7,823,550</w:t>
            </w:r>
          </w:p>
        </w:tc>
      </w:tr>
      <w:tr>
        <w:trPr>
          <w:trHeight w:val="1026"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名无限售流通股股东之间，以及</w:t>
            </w:r>
          </w:p>
          <w:p>
            <w:pPr>
              <w:pStyle w:val="TableParagraph"/>
              <w:spacing w:line="302" w:lineRule="auto" w:before="61"/>
              <w:ind w:left="22" w:right="6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股东之间关联关系或一致行动的说明</w:t>
            </w:r>
          </w:p>
        </w:tc>
        <w:tc>
          <w:tcPr>
            <w:tcW w:w="659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
              <w:jc w:val="left"/>
              <w:rPr>
                <w:rFonts w:ascii="宋体" w:hAnsi="宋体" w:cs="宋体" w:eastAsia="宋体" w:hint="default"/>
                <w:sz w:val="18"/>
                <w:szCs w:val="18"/>
              </w:rPr>
            </w:pPr>
            <w:r>
              <w:rPr>
                <w:rFonts w:ascii="宋体" w:hAnsi="宋体" w:cs="宋体" w:eastAsia="宋体" w:hint="default"/>
                <w:sz w:val="18"/>
                <w:szCs w:val="18"/>
              </w:rPr>
              <w:t>柯宗庆、柯宗贵与中经汇通系一致行动关系；田泽训、林仙琴、陈娟娟与潘加波、 黄秀玉、黄丽爱、陈海涛、田汉镇、周俊驹、田少武共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位股东系一致行动关系。</w:t>
            </w:r>
          </w:p>
        </w:tc>
      </w:tr>
      <w:tr>
        <w:trPr>
          <w:trHeight w:val="1338"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3"/>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59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股东田泽训通过海通证券股份有限公司客户信用交易担保证券账户持有公司股票</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14,470,746 </w:t>
            </w:r>
            <w:r>
              <w:rPr>
                <w:rFonts w:ascii="宋体" w:hAnsi="宋体" w:cs="宋体" w:eastAsia="宋体" w:hint="default"/>
                <w:sz w:val="18"/>
                <w:szCs w:val="18"/>
              </w:rPr>
              <w:t>股</w:t>
            </w:r>
            <w:r>
              <w:rPr>
                <w:rFonts w:ascii="宋体" w:hAnsi="宋体" w:cs="宋体" w:eastAsia="宋体" w:hint="default"/>
                <w:spacing w:val="-80"/>
                <w:sz w:val="18"/>
                <w:szCs w:val="18"/>
              </w:rPr>
              <w:t>；</w:t>
            </w:r>
            <w:r>
              <w:rPr>
                <w:rFonts w:ascii="宋体" w:hAnsi="宋体" w:cs="宋体" w:eastAsia="宋体" w:hint="default"/>
                <w:sz w:val="18"/>
                <w:szCs w:val="18"/>
              </w:rPr>
              <w:t>股东林仙琴通过东北证券股份有限公司客户信用交易担保证券账户持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10,462,214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股；股东陈娟娟通过海通证券股份有限公司客户信用交易担</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保证券账户持有公司股票 </w:t>
            </w:r>
            <w:r>
              <w:rPr>
                <w:rFonts w:ascii="Times New Roman" w:hAnsi="Times New Roman" w:cs="Times New Roman" w:eastAsia="Times New Roman" w:hint="default"/>
                <w:sz w:val="18"/>
                <w:szCs w:val="18"/>
              </w:rPr>
              <w:t>8,410,160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柯宗庆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年至今任本公司董事长；柯宗贵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年至今任本公司副董事长 兼总裁。</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柯宗庆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年至今任本公司董事长；柯宗贵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年至今任本公司副董事长兼 总裁。</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6"/>
        <w:rPr>
          <w:rFonts w:ascii="宋体" w:hAnsi="宋体" w:cs="宋体" w:eastAsia="宋体" w:hint="default"/>
          <w:sz w:val="17"/>
          <w:szCs w:val="17"/>
        </w:rPr>
      </w:pPr>
    </w:p>
    <w:p>
      <w:pPr>
        <w:spacing w:line="2402" w:lineRule="exact"/>
        <w:ind w:left="3132"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3579651" cy="1525524"/>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20" cstate="print"/>
                    <a:stretch>
                      <a:fillRect/>
                    </a:stretch>
                  </pic:blipFill>
                  <pic:spPr>
                    <a:xfrm>
                      <a:off x="0" y="0"/>
                      <a:ext cx="3579651" cy="1525524"/>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0"/>
        <w:rPr>
          <w:rFonts w:ascii="宋体" w:hAnsi="宋体" w:cs="宋体" w:eastAsia="宋体" w:hint="default"/>
          <w:sz w:val="20"/>
          <w:szCs w:val="20"/>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35"/>
        <w:jc w:val="center"/>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60" w:right="0"/>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10"/>
        <w:gridCol w:w="992"/>
        <w:gridCol w:w="566"/>
        <w:gridCol w:w="568"/>
        <w:gridCol w:w="566"/>
        <w:gridCol w:w="851"/>
        <w:gridCol w:w="851"/>
        <w:gridCol w:w="992"/>
        <w:gridCol w:w="850"/>
        <w:gridCol w:w="852"/>
        <w:gridCol w:w="850"/>
        <w:gridCol w:w="992"/>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177,952,544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177,952,544</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179,008,904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179,008,904</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946,560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896,560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14,151,660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3,468,879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10,682,781</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710"/>
        <w:gridCol w:w="992"/>
        <w:gridCol w:w="566"/>
        <w:gridCol w:w="568"/>
        <w:gridCol w:w="566"/>
        <w:gridCol w:w="851"/>
        <w:gridCol w:w="851"/>
        <w:gridCol w:w="992"/>
        <w:gridCol w:w="850"/>
        <w:gridCol w:w="852"/>
        <w:gridCol w:w="850"/>
        <w:gridCol w:w="992"/>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372,559,768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3,518,979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369,040,789</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681"/>
        <w:gridCol w:w="389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9"/>
        <w:rPr>
          <w:rFonts w:ascii="宋体" w:hAnsi="宋体" w:cs="宋体" w:eastAsia="宋体" w:hint="default"/>
          <w:sz w:val="13"/>
          <w:szCs w:val="13"/>
        </w:rPr>
      </w:pPr>
    </w:p>
    <w:p>
      <w:pPr>
        <w:pStyle w:val="BodyText"/>
        <w:spacing w:line="336" w:lineRule="auto"/>
        <w:ind w:right="1128" w:firstLine="420"/>
        <w:jc w:val="both"/>
      </w:pPr>
      <w:r>
        <w:rPr>
          <w:rFonts w:ascii="宋体" w:hAnsi="宋体" w:cs="宋体" w:eastAsia="宋体" w:hint="default"/>
          <w:b/>
          <w:bCs/>
          <w:spacing w:val="-1"/>
        </w:rPr>
        <w:t>柯宗庆：</w:t>
      </w:r>
      <w:r>
        <w:rPr>
          <w:spacing w:val="-1"/>
        </w:rPr>
        <w:t>男，</w:t>
      </w:r>
      <w:r>
        <w:rPr>
          <w:rFonts w:ascii="Times New Roman" w:hAnsi="Times New Roman" w:cs="Times New Roman" w:eastAsia="Times New Roman" w:hint="default"/>
          <w:spacing w:val="-1"/>
        </w:rPr>
        <w:t>1956</w:t>
      </w:r>
      <w:r>
        <w:rPr>
          <w:spacing w:val="-1"/>
        </w:rPr>
        <w:t>年出生，中国国籍，无境外永久居留权。</w:t>
      </w:r>
      <w:r>
        <w:rPr>
          <w:rFonts w:ascii="Times New Roman" w:hAnsi="Times New Roman" w:cs="Times New Roman" w:eastAsia="Times New Roman" w:hint="default"/>
          <w:spacing w:val="-1"/>
        </w:rPr>
        <w:t>1981</w:t>
      </w:r>
      <w:r>
        <w:rPr>
          <w:spacing w:val="-1"/>
        </w:rPr>
        <w:t>年毕业于华南师范大学物理系，广东</w:t>
      </w:r>
      <w:r>
        <w:rPr/>
        <w:t> </w:t>
      </w:r>
      <w:r>
        <w:rPr>
          <w:spacing w:val="-1"/>
        </w:rPr>
        <w:t>省计算机信息网络安全协会副会长，广东省计算机学会副理事长。曾任职于华南师范大学生物系、华南师</w:t>
      </w:r>
      <w:r>
        <w:rPr>
          <w:spacing w:val="-83"/>
        </w:rPr>
        <w:t> </w:t>
      </w:r>
      <w:r>
        <w:rPr>
          <w:spacing w:val="-83"/>
        </w:rPr>
      </w:r>
      <w:r>
        <w:rPr/>
        <w:t>范大学微电子所、广东水晶球技术发展有限公司、广州水晶球信息技术有限公司；</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w:t>
      </w:r>
      <w:r>
        <w:rPr>
          <w:spacing w:val="-26"/>
        </w:rPr>
        <w:t> </w:t>
      </w:r>
      <w:r>
        <w:rPr/>
        <w:t>职广东天海威数码技术有限公司，</w:t>
      </w:r>
      <w:r>
        <w:rPr>
          <w:rFonts w:ascii="Times New Roman" w:hAnsi="Times New Roman" w:cs="Times New Roman" w:eastAsia="Times New Roman" w:hint="default"/>
        </w:rPr>
        <w:t>2009</w:t>
      </w:r>
      <w:r>
        <w:rPr/>
        <w:t>年至今任蓝盾信息安全技术股份有限公司董事长。</w:t>
      </w:r>
    </w:p>
    <w:p>
      <w:pPr>
        <w:pStyle w:val="BodyText"/>
        <w:spacing w:line="340" w:lineRule="auto" w:before="56"/>
        <w:ind w:right="1130" w:firstLine="420"/>
        <w:jc w:val="both"/>
      </w:pPr>
      <w:r>
        <w:rPr>
          <w:rFonts w:ascii="宋体" w:hAnsi="宋体" w:cs="宋体" w:eastAsia="宋体" w:hint="default"/>
          <w:b/>
          <w:bCs/>
          <w:spacing w:val="-1"/>
        </w:rPr>
        <w:t>柯宗贵：</w:t>
      </w:r>
      <w:r>
        <w:rPr>
          <w:spacing w:val="-1"/>
        </w:rPr>
        <w:t>男，</w:t>
      </w:r>
      <w:r>
        <w:rPr>
          <w:rFonts w:ascii="Times New Roman" w:hAnsi="Times New Roman" w:cs="Times New Roman" w:eastAsia="Times New Roman" w:hint="default"/>
          <w:spacing w:val="-1"/>
        </w:rPr>
        <w:t>1969</w:t>
      </w:r>
      <w:r>
        <w:rPr>
          <w:spacing w:val="-1"/>
        </w:rPr>
        <w:t>年出生，中国国籍，无境外永久居留权。</w:t>
      </w:r>
      <w:r>
        <w:rPr>
          <w:rFonts w:ascii="Times New Roman" w:hAnsi="Times New Roman" w:cs="Times New Roman" w:eastAsia="Times New Roman" w:hint="default"/>
          <w:spacing w:val="-1"/>
        </w:rPr>
        <w:t>1992</w:t>
      </w:r>
      <w:r>
        <w:rPr>
          <w:spacing w:val="-1"/>
        </w:rPr>
        <w:t>年毕业于深圳大学电子工程系，获学</w:t>
      </w:r>
      <w:r>
        <w:rPr/>
        <w:t> </w:t>
      </w:r>
      <w:r>
        <w:rPr>
          <w:spacing w:val="-1"/>
        </w:rPr>
        <w:t>士学位，广东省计算机信息网络安全协会信息网络安全技术专家委员会委员，广州市计算机信息网络安全</w:t>
      </w:r>
      <w:r>
        <w:rPr>
          <w:spacing w:val="-81"/>
        </w:rPr>
        <w:t> </w:t>
      </w:r>
      <w:r>
        <w:rPr>
          <w:spacing w:val="-81"/>
        </w:rPr>
      </w:r>
      <w:r>
        <w:rPr>
          <w:spacing w:val="-1"/>
        </w:rPr>
        <w:t>协会副会长，广州城建职业学院客座教授。曾获公安部科学技术三等奖、广州市科技进步二等奖、广州市</w:t>
      </w:r>
      <w:r>
        <w:rPr>
          <w:spacing w:val="-86"/>
        </w:rPr>
        <w:t> </w:t>
      </w:r>
      <w:r>
        <w:rPr>
          <w:spacing w:val="-86"/>
        </w:rPr>
      </w:r>
      <w:r>
        <w:rPr>
          <w:spacing w:val="-1"/>
        </w:rPr>
        <w:t>科学技术三等奖，编著《计算机网络安全实用技术》。曾任职于香港中银电脑（深圳）软件开发中心、广</w:t>
      </w:r>
      <w:r>
        <w:rPr>
          <w:spacing w:val="-84"/>
        </w:rPr>
        <w:t> </w:t>
      </w:r>
      <w:r>
        <w:rPr>
          <w:spacing w:val="-84"/>
        </w:rPr>
      </w:r>
      <w:r>
        <w:rPr/>
        <w:t>东水晶球技术发展有限公司、广州水晶球信息技术有限公司；</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月任职广东天海威数码技</w:t>
      </w:r>
      <w:r>
        <w:rPr>
          <w:spacing w:val="-30"/>
        </w:rPr>
        <w:t> </w:t>
      </w:r>
      <w:r>
        <w:rPr>
          <w:spacing w:val="-30"/>
        </w:rPr>
      </w:r>
      <w:r>
        <w:rPr/>
        <w:t>术有限公司，</w:t>
      </w:r>
      <w:r>
        <w:rPr>
          <w:rFonts w:ascii="Times New Roman" w:hAnsi="Times New Roman" w:cs="Times New Roman" w:eastAsia="Times New Roman" w:hint="default"/>
        </w:rPr>
        <w:t>2009</w:t>
      </w:r>
      <w:r>
        <w:rPr/>
        <w:t>年至今任蓝盾信息安全技术股份有限公司副董事长兼总裁。</w:t>
      </w:r>
    </w:p>
    <w:p>
      <w:pPr>
        <w:pStyle w:val="BodyText"/>
        <w:spacing w:line="331" w:lineRule="auto" w:before="51"/>
        <w:ind w:right="1026" w:firstLine="420"/>
        <w:jc w:val="left"/>
      </w:pPr>
      <w:r>
        <w:rPr>
          <w:rFonts w:ascii="宋体" w:hAnsi="宋体" w:cs="宋体" w:eastAsia="宋体" w:hint="default"/>
          <w:b/>
          <w:bCs/>
        </w:rPr>
        <w:t>黄泽华：</w:t>
      </w:r>
      <w:r>
        <w:rPr/>
        <w:t>男，</w:t>
      </w:r>
      <w:r>
        <w:rPr>
          <w:rFonts w:ascii="Times New Roman" w:hAnsi="Times New Roman" w:cs="Times New Roman" w:eastAsia="Times New Roman" w:hint="default"/>
        </w:rPr>
        <w:t>1969</w:t>
      </w:r>
      <w:r>
        <w:rPr/>
        <w:t>年出生，中国国籍，无境外永久居留权，中专学历。</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11</w:t>
      </w:r>
      <w:r>
        <w:rPr/>
        <w:t>月，任</w:t>
      </w:r>
      <w:r>
        <w:rPr>
          <w:spacing w:val="2"/>
        </w:rPr>
        <w:t> </w:t>
      </w:r>
      <w:r>
        <w:rPr>
          <w:spacing w:val="-3"/>
        </w:rPr>
        <w:t>广州市海洋渔业公司办公室副主任；</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10</w:t>
      </w:r>
      <w:r>
        <w:rPr>
          <w:spacing w:val="-3"/>
        </w:rPr>
        <w:t>月，任广州市燕粤经济发展公司营销副总经理；</w:t>
      </w:r>
      <w:r>
        <w:rPr>
          <w:spacing w:val="-78"/>
        </w:rPr>
        <w:t> </w:t>
      </w:r>
      <w:r>
        <w:rPr>
          <w:spacing w:val="-78"/>
        </w:rPr>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月，任广东天海威数码技术有限公司营销部副总经理；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月，任蓝 盾信息安全技术股份有限公司监事会主席；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月至今任蓝盾信息安全技术股份有限公司董事及副总</w:t>
      </w:r>
      <w:r>
        <w:rPr>
          <w:spacing w:val="-31"/>
        </w:rPr>
        <w:t> </w:t>
      </w:r>
      <w:r>
        <w:rPr>
          <w:spacing w:val="-31"/>
        </w:rPr>
      </w:r>
      <w:r>
        <w:rPr/>
        <w:t>裁。</w:t>
      </w:r>
    </w:p>
    <w:p>
      <w:pPr>
        <w:pStyle w:val="BodyText"/>
        <w:spacing w:line="331" w:lineRule="auto" w:before="84"/>
        <w:ind w:right="1111" w:firstLine="420"/>
        <w:jc w:val="both"/>
      </w:pPr>
      <w:r>
        <w:rPr>
          <w:rFonts w:ascii="宋体" w:hAnsi="宋体" w:cs="宋体" w:eastAsia="宋体" w:hint="default"/>
          <w:b/>
          <w:bCs/>
          <w:spacing w:val="-1"/>
        </w:rPr>
        <w:t>谭晓燕：</w:t>
      </w:r>
      <w:r>
        <w:rPr>
          <w:spacing w:val="-1"/>
        </w:rPr>
        <w:t>女，</w:t>
      </w:r>
      <w:r>
        <w:rPr>
          <w:rFonts w:ascii="Times New Roman" w:hAnsi="Times New Roman" w:cs="Times New Roman" w:eastAsia="Times New Roman" w:hint="default"/>
          <w:spacing w:val="-1"/>
        </w:rPr>
        <w:t>1975</w:t>
      </w:r>
      <w:r>
        <w:rPr>
          <w:spacing w:val="-1"/>
        </w:rPr>
        <w:t>年出生，中国国籍，无境外永久居留权。</w:t>
      </w:r>
      <w:r>
        <w:rPr>
          <w:rFonts w:ascii="Times New Roman" w:hAnsi="Times New Roman" w:cs="Times New Roman" w:eastAsia="Times New Roman" w:hint="default"/>
          <w:spacing w:val="-1"/>
        </w:rPr>
        <w:t>1998</w:t>
      </w:r>
      <w:r>
        <w:rPr>
          <w:spacing w:val="-1"/>
        </w:rPr>
        <w:t>年毕业于暨南大学会计系，获学士学</w:t>
      </w:r>
      <w:r>
        <w:rPr/>
        <w:t> </w:t>
      </w:r>
      <w:r>
        <w:rPr>
          <w:spacing w:val="-1"/>
        </w:rPr>
        <w:t>位；</w:t>
      </w:r>
      <w:r>
        <w:rPr>
          <w:rFonts w:ascii="Times New Roman" w:hAnsi="Times New Roman" w:cs="Times New Roman" w:eastAsia="Times New Roman" w:hint="default"/>
          <w:spacing w:val="-1"/>
        </w:rPr>
        <w:t>2002</w:t>
      </w:r>
      <w:r>
        <w:rPr>
          <w:spacing w:val="-1"/>
        </w:rPr>
        <w:t>年毕业于英国赫尔大学商学院，获工商管理硕士学位。</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w:t>
      </w:r>
      <w:r>
        <w:rPr>
          <w:spacing w:val="-1"/>
        </w:rPr>
        <w:t>月，在佛山市财政局</w:t>
      </w:r>
      <w:r>
        <w:rPr>
          <w:spacing w:val="-81"/>
        </w:rPr>
        <w:t> </w:t>
      </w:r>
      <w:r>
        <w:rPr>
          <w:spacing w:val="-81"/>
        </w:rPr>
      </w:r>
      <w:r>
        <w:rPr/>
        <w:t>任职；</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月，为澳门科技大学基金会属下医疗机构提供财务管理服务及优化运作建议；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月，在广东天海威数码技术有限公司任职；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月任蓝盾信息安全</w:t>
      </w:r>
      <w:r>
        <w:rPr>
          <w:spacing w:val="-31"/>
        </w:rPr>
        <w:t> </w:t>
      </w:r>
      <w:r>
        <w:rPr>
          <w:spacing w:val="-31"/>
        </w:rPr>
      </w:r>
      <w:r>
        <w:rPr>
          <w:spacing w:val="-1"/>
        </w:rPr>
        <w:t>技术股份有限公司董事会秘书；</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月至今任蓝盾信息安全技术股份有限公司副总裁，</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月至今</w:t>
      </w:r>
      <w:r>
        <w:rPr>
          <w:spacing w:val="-77"/>
        </w:rPr>
        <w:t> </w:t>
      </w:r>
      <w:r>
        <w:rPr/>
        <w:t>任蓝盾信息安全技术股份有限公司董事。</w:t>
      </w:r>
    </w:p>
    <w:p>
      <w:pPr>
        <w:pStyle w:val="BodyText"/>
        <w:spacing w:line="240" w:lineRule="auto" w:before="85"/>
        <w:ind w:left="1553" w:right="0"/>
        <w:jc w:val="left"/>
      </w:pPr>
      <w:r>
        <w:rPr>
          <w:rFonts w:ascii="宋体" w:hAnsi="宋体" w:cs="宋体" w:eastAsia="宋体" w:hint="default"/>
          <w:b/>
          <w:bCs/>
        </w:rPr>
        <w:t>赵庆伦：</w:t>
      </w:r>
      <w:r>
        <w:rPr/>
        <w:t>男，</w:t>
      </w:r>
      <w:r>
        <w:rPr>
          <w:rFonts w:ascii="Times New Roman" w:hAnsi="Times New Roman" w:cs="Times New Roman" w:eastAsia="Times New Roman" w:hint="default"/>
        </w:rPr>
        <w:t>1957</w:t>
      </w:r>
      <w:r>
        <w:rPr/>
        <w:t>年出生，中国国籍，无境外永久居留权。</w:t>
      </w:r>
      <w:r>
        <w:rPr>
          <w:rFonts w:ascii="Times New Roman" w:hAnsi="Times New Roman" w:cs="Times New Roman" w:eastAsia="Times New Roman" w:hint="default"/>
        </w:rPr>
        <w:t>1979</w:t>
      </w:r>
      <w:r>
        <w:rPr/>
        <w:t>年毕业于中南林学院森林工业系运输</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36" w:lineRule="auto" w:before="35"/>
        <w:ind w:right="1129"/>
        <w:jc w:val="both"/>
      </w:pPr>
      <w:r>
        <w:rPr>
          <w:spacing w:val="-1"/>
        </w:rPr>
        <w:t>机械专业。获讲师职称。</w:t>
      </w:r>
      <w:r>
        <w:rPr>
          <w:rFonts w:ascii="Times New Roman" w:hAnsi="Times New Roman" w:cs="Times New Roman" w:eastAsia="Times New Roman" w:hint="default"/>
          <w:spacing w:val="-1"/>
        </w:rPr>
        <w:t>1974</w:t>
      </w:r>
      <w:r>
        <w:rPr>
          <w:spacing w:val="-1"/>
        </w:rPr>
        <w:t>年参加工作，</w:t>
      </w:r>
      <w:r>
        <w:rPr>
          <w:rFonts w:ascii="Times New Roman" w:hAnsi="Times New Roman" w:cs="Times New Roman" w:eastAsia="Times New Roman" w:hint="default"/>
          <w:spacing w:val="-1"/>
        </w:rPr>
        <w:t>2004</w:t>
      </w:r>
      <w:r>
        <w:rPr>
          <w:spacing w:val="-1"/>
        </w:rPr>
        <w:t>年退休。曾任职于广东省林业厅下属林场，任副场长；曾</w:t>
      </w:r>
      <w:r>
        <w:rPr>
          <w:spacing w:val="-82"/>
        </w:rPr>
        <w:t> </w:t>
      </w:r>
      <w:r>
        <w:rPr>
          <w:spacing w:val="-82"/>
        </w:rPr>
      </w:r>
      <w:r>
        <w:rPr>
          <w:spacing w:val="-1"/>
        </w:rPr>
        <w:t>任职广东省林业中专学校，任党委副书记、副校长；曾任职广州市文化、广播电视、新闻出版局，任办公</w:t>
      </w:r>
      <w:r>
        <w:rPr>
          <w:spacing w:val="-83"/>
        </w:rPr>
        <w:t> </w:t>
      </w:r>
      <w:r>
        <w:rPr>
          <w:spacing w:val="-83"/>
        </w:rPr>
      </w:r>
      <w:r>
        <w:rPr>
          <w:spacing w:val="-3"/>
        </w:rPr>
        <w:t>室副主任、事业处处长、科技处处长、网络安全处处长</w:t>
      </w:r>
      <w:r>
        <w:rPr>
          <w:rFonts w:ascii="Times New Roman" w:hAnsi="Times New Roman" w:cs="Times New Roman" w:eastAsia="Times New Roman" w:hint="default"/>
          <w:spacing w:val="-3"/>
        </w:rPr>
        <w:t>(</w:t>
      </w:r>
      <w:r>
        <w:rPr>
          <w:spacing w:val="-3"/>
        </w:rPr>
        <w:t>兼局机关党委委员、支部书记、广州市建筑智能化</w:t>
      </w:r>
      <w:r>
        <w:rPr>
          <w:spacing w:val="-60"/>
        </w:rPr>
        <w:t> </w:t>
      </w:r>
      <w:r>
        <w:rPr>
          <w:spacing w:val="-60"/>
        </w:rPr>
      </w:r>
      <w:r>
        <w:rPr/>
        <w:t>专家组成员</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月至今任蓝盾信息安全技术股份有限公司董事。</w:t>
      </w:r>
    </w:p>
    <w:p>
      <w:pPr>
        <w:pStyle w:val="BodyText"/>
        <w:spacing w:line="340" w:lineRule="auto" w:before="56"/>
        <w:ind w:right="1110" w:firstLine="420"/>
        <w:jc w:val="both"/>
      </w:pPr>
      <w:r>
        <w:rPr>
          <w:rFonts w:ascii="宋体" w:hAnsi="宋体" w:cs="宋体" w:eastAsia="宋体" w:hint="default"/>
          <w:b/>
          <w:bCs/>
          <w:spacing w:val="-1"/>
        </w:rPr>
        <w:t>黎奇：</w:t>
      </w:r>
      <w:r>
        <w:rPr>
          <w:spacing w:val="-1"/>
        </w:rPr>
        <w:t>男，</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3</w:t>
      </w:r>
      <w:r>
        <w:rPr>
          <w:spacing w:val="-1"/>
        </w:rPr>
        <w:t>月出生，中国国籍，无境外永久居留权。华东政法大学经济法学士。</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月至</w:t>
      </w:r>
      <w:r>
        <w:rPr/>
        <w:t> </w:t>
      </w:r>
      <w:r>
        <w:rPr>
          <w:spacing w:val="-2"/>
        </w:rPr>
        <w:t>今在北京大成（深圳）律师事务所工作，任专职律师</w:t>
      </w:r>
      <w:r>
        <w:rPr>
          <w:rFonts w:ascii="Times New Roman" w:hAnsi="Times New Roman" w:cs="Times New Roman" w:eastAsia="Times New Roman" w:hint="default"/>
          <w:spacing w:val="-2"/>
        </w:rPr>
        <w:t>,</w:t>
      </w:r>
      <w:r>
        <w:rPr>
          <w:spacing w:val="-2"/>
        </w:rPr>
        <w:t>兼任深圳市广西商会副秘书长、广西民族大学知识产</w:t>
      </w:r>
      <w:r>
        <w:rPr>
          <w:spacing w:val="-90"/>
        </w:rPr>
        <w:t> </w:t>
      </w:r>
      <w:r>
        <w:rPr>
          <w:spacing w:val="-90"/>
        </w:rPr>
      </w:r>
      <w:r>
        <w:rPr>
          <w:spacing w:val="-1"/>
        </w:rPr>
        <w:t>权学院兼职研究员。黎奇先生在加入北京大成（深圳）律师事务所之前，长期担任法官工作，曾先后任职</w:t>
      </w:r>
      <w:r>
        <w:rPr>
          <w:spacing w:val="-83"/>
        </w:rPr>
        <w:t> </w:t>
      </w:r>
      <w:r>
        <w:rPr>
          <w:spacing w:val="-83"/>
        </w:rPr>
      </w:r>
      <w:r>
        <w:rPr/>
        <w:t>于广西玉林市中级人民法院、广东省深圳市福田区人民法院、深圳市中级人民法院和深圳市人大常委会。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月至今任蓝盾信息安全技术股份有限公司独立董事。</w:t>
      </w:r>
    </w:p>
    <w:p>
      <w:pPr>
        <w:pStyle w:val="BodyText"/>
        <w:spacing w:line="333" w:lineRule="auto" w:before="52"/>
        <w:ind w:right="1130" w:firstLine="420"/>
        <w:jc w:val="both"/>
      </w:pPr>
      <w:r>
        <w:rPr>
          <w:rFonts w:ascii="宋体" w:hAnsi="宋体" w:cs="宋体" w:eastAsia="宋体" w:hint="default"/>
          <w:b/>
          <w:bCs/>
        </w:rPr>
        <w:t>周涛：</w:t>
      </w:r>
      <w:r>
        <w:rPr/>
        <w:t>男，</w:t>
      </w:r>
      <w:r>
        <w:rPr>
          <w:rFonts w:ascii="Times New Roman" w:hAnsi="Times New Roman" w:cs="Times New Roman" w:eastAsia="Times New Roman" w:hint="default"/>
        </w:rPr>
        <w:t>1955</w:t>
      </w:r>
      <w:r>
        <w:rPr/>
        <w:t>年出生，中国国籍</w:t>
      </w:r>
      <w:r>
        <w:rPr>
          <w:rFonts w:ascii="Times New Roman" w:hAnsi="Times New Roman" w:cs="Times New Roman" w:eastAsia="Times New Roman" w:hint="default"/>
        </w:rPr>
        <w:t>,</w:t>
      </w:r>
      <w:r>
        <w:rPr/>
        <w:t>无境外永久居留权</w:t>
      </w:r>
      <w:r>
        <w:rPr>
          <w:rFonts w:ascii="Times New Roman" w:hAnsi="Times New Roman" w:cs="Times New Roman" w:eastAsia="Times New Roman" w:hint="default"/>
        </w:rPr>
        <w:t>,</w:t>
      </w:r>
      <w:r>
        <w:rPr/>
        <w:t>毕业于解放军通信工程学院，大学本科学历。 </w:t>
      </w:r>
      <w:r>
        <w:rPr>
          <w:spacing w:val="-1"/>
        </w:rPr>
        <w:t>长期在院校担任教职工作，</w:t>
      </w:r>
      <w:r>
        <w:rPr>
          <w:rFonts w:ascii="Times New Roman" w:hAnsi="Times New Roman" w:cs="Times New Roman" w:eastAsia="Times New Roman" w:hint="default"/>
          <w:spacing w:val="-1"/>
        </w:rPr>
        <w:t>1977</w:t>
      </w:r>
      <w:r>
        <w:rPr>
          <w:spacing w:val="-1"/>
        </w:rPr>
        <w:t>年至</w:t>
      </w:r>
      <w:r>
        <w:rPr>
          <w:rFonts w:ascii="Times New Roman" w:hAnsi="Times New Roman" w:cs="Times New Roman" w:eastAsia="Times New Roman" w:hint="default"/>
          <w:spacing w:val="-1"/>
        </w:rPr>
        <w:t>1999</w:t>
      </w:r>
      <w:r>
        <w:rPr>
          <w:spacing w:val="-1"/>
        </w:rPr>
        <w:t>年，先后在广州军区通信训练大队，桂林陆军学院通信大队、解</w:t>
      </w:r>
      <w:r>
        <w:rPr>
          <w:spacing w:val="-81"/>
        </w:rPr>
        <w:t> </w:t>
      </w:r>
      <w:r>
        <w:rPr>
          <w:spacing w:val="-81"/>
        </w:rPr>
      </w:r>
      <w:r>
        <w:rPr>
          <w:spacing w:val="-1"/>
        </w:rPr>
        <w:t>放军广州通信学院担任教员、讲师；</w:t>
      </w:r>
      <w:r>
        <w:rPr>
          <w:rFonts w:ascii="Times New Roman" w:hAnsi="Times New Roman" w:cs="Times New Roman" w:eastAsia="Times New Roman" w:hint="default"/>
          <w:spacing w:val="-1"/>
        </w:rPr>
        <w:t>1999</w:t>
      </w:r>
      <w:r>
        <w:rPr>
          <w:spacing w:val="-1"/>
        </w:rPr>
        <w:t>年至</w:t>
      </w:r>
      <w:r>
        <w:rPr>
          <w:rFonts w:ascii="Times New Roman" w:hAnsi="Times New Roman" w:cs="Times New Roman" w:eastAsia="Times New Roman" w:hint="default"/>
          <w:spacing w:val="-1"/>
        </w:rPr>
        <w:t>2015</w:t>
      </w:r>
      <w:r>
        <w:rPr>
          <w:spacing w:val="-1"/>
        </w:rPr>
        <w:t>年先后在解放军体育学院教研部保密技术教研室、广州</w:t>
      </w:r>
      <w:r>
        <w:rPr>
          <w:spacing w:val="-81"/>
        </w:rPr>
        <w:t> </w:t>
      </w:r>
      <w:r>
        <w:rPr>
          <w:spacing w:val="-81"/>
        </w:rPr>
      </w:r>
      <w:r>
        <w:rPr>
          <w:spacing w:val="-1"/>
        </w:rPr>
        <w:t>城建职业学院信息工程系、广东创新科技职业学院计算机和通信系、广东食品药品职业学院软件学院担任</w:t>
      </w:r>
      <w:r>
        <w:rPr>
          <w:spacing w:val="-81"/>
        </w:rPr>
        <w:t> </w:t>
      </w:r>
      <w:r>
        <w:rPr>
          <w:spacing w:val="-81"/>
        </w:rPr>
      </w:r>
      <w:r>
        <w:rPr/>
        <w:t>副教授。工作期间曾在国家及省部级刊物发表学术论文数十篇，参于编写教材数部。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月至今任蓝</w:t>
      </w:r>
      <w:r>
        <w:rPr>
          <w:spacing w:val="-26"/>
        </w:rPr>
        <w:t> </w:t>
      </w:r>
      <w:r>
        <w:rPr>
          <w:spacing w:val="-26"/>
        </w:rPr>
      </w:r>
      <w:r>
        <w:rPr/>
        <w:t>盾信息安全技术股份有限公司独立董事。</w:t>
      </w:r>
    </w:p>
    <w:p>
      <w:pPr>
        <w:pStyle w:val="BodyText"/>
        <w:spacing w:line="338" w:lineRule="auto" w:before="83"/>
        <w:ind w:right="1021" w:firstLine="420"/>
        <w:jc w:val="left"/>
      </w:pPr>
      <w:r>
        <w:rPr>
          <w:rFonts w:ascii="宋体" w:hAnsi="宋体" w:cs="宋体" w:eastAsia="宋体" w:hint="default"/>
          <w:b/>
          <w:bCs/>
          <w:spacing w:val="-3"/>
        </w:rPr>
        <w:t>王丹舟：</w:t>
      </w:r>
      <w:r>
        <w:rPr>
          <w:spacing w:val="-3"/>
        </w:rPr>
        <w:t>女，</w:t>
      </w:r>
      <w:r>
        <w:rPr>
          <w:rFonts w:ascii="Times New Roman" w:hAnsi="Times New Roman" w:cs="Times New Roman" w:eastAsia="Times New Roman" w:hint="default"/>
          <w:spacing w:val="-3"/>
        </w:rPr>
        <w:t>1964</w:t>
      </w:r>
      <w:r>
        <w:rPr>
          <w:spacing w:val="-3"/>
        </w:rPr>
        <w:t>年出生，中国国籍，无境外永久居留权，西南财经大学财务管理专业，博士、教授。</w:t>
      </w:r>
      <w:r>
        <w:rPr/>
        <w:t> </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月至今在暨南大学管理学院会计系从事一线教学研究工作；近年来主持并参与国家、省部级等各</w:t>
      </w:r>
      <w:r>
        <w:rPr>
          <w:spacing w:val="-29"/>
        </w:rPr>
        <w:t> </w:t>
      </w:r>
      <w:r>
        <w:rPr>
          <w:spacing w:val="-29"/>
        </w:rPr>
      </w:r>
      <w:r>
        <w:rPr/>
        <w:t>级科研项目近</w:t>
      </w:r>
      <w:r>
        <w:rPr>
          <w:rFonts w:ascii="Times New Roman" w:hAnsi="Times New Roman" w:cs="Times New Roman" w:eastAsia="Times New Roman" w:hint="default"/>
        </w:rPr>
        <w:t>10</w:t>
      </w:r>
      <w:r>
        <w:rPr/>
        <w:t>项，发表相关论文数十篇。曾任蓝盾信息安全技术股份有限公司、中山达华智能科技股份 有限公司独立董事，现任暨南大学管理学院教授、广东百合医疗科技股份有限公司独立董事、广州安必平 医药科技股份有限公司独立董事、广东电声市场营销股份有限公司独立董事、广州中康资讯股份有限公司 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月至今任蓝盾信息安全技术股份有限公司独立董事。</w:t>
      </w:r>
    </w:p>
    <w:p>
      <w:pPr>
        <w:pStyle w:val="BodyText"/>
        <w:spacing w:line="336" w:lineRule="auto" w:before="53"/>
        <w:ind w:right="0" w:firstLine="420"/>
        <w:jc w:val="left"/>
      </w:pPr>
      <w:r>
        <w:rPr>
          <w:rFonts w:ascii="宋体" w:hAnsi="宋体" w:cs="宋体" w:eastAsia="宋体" w:hint="default"/>
          <w:b/>
          <w:bCs/>
          <w:spacing w:val="-1"/>
        </w:rPr>
        <w:t>冯明强：</w:t>
      </w:r>
      <w:r>
        <w:rPr>
          <w:spacing w:val="-1"/>
        </w:rPr>
        <w:t>男，</w:t>
      </w:r>
      <w:r>
        <w:rPr>
          <w:rFonts w:ascii="Times New Roman" w:hAnsi="Times New Roman" w:cs="Times New Roman" w:eastAsia="Times New Roman" w:hint="default"/>
          <w:spacing w:val="-1"/>
        </w:rPr>
        <w:t>1971</w:t>
      </w:r>
      <w:r>
        <w:rPr>
          <w:spacing w:val="-1"/>
        </w:rPr>
        <w:t>年出生，中国国籍，无境外永久居留权。</w:t>
      </w:r>
      <w:r>
        <w:rPr>
          <w:rFonts w:ascii="Times New Roman" w:hAnsi="Times New Roman" w:cs="Times New Roman" w:eastAsia="Times New Roman" w:hint="default"/>
          <w:spacing w:val="-1"/>
        </w:rPr>
        <w:t>1992</w:t>
      </w:r>
      <w:r>
        <w:rPr>
          <w:spacing w:val="-1"/>
        </w:rPr>
        <w:t>年毕业于四川技术学院电子信息工程</w:t>
      </w:r>
      <w:r>
        <w:rPr/>
        <w:t> </w:t>
      </w:r>
      <w:r>
        <w:rPr>
          <w:spacing w:val="-1"/>
        </w:rPr>
        <w:t>系，获学士学位。曾任四川成都新兴集团技术部经理、广东水晶球技术发展有限公司技术人员、广东天海</w:t>
      </w:r>
      <w:r>
        <w:rPr>
          <w:spacing w:val="-86"/>
        </w:rPr>
        <w:t> </w:t>
      </w:r>
      <w:r>
        <w:rPr>
          <w:spacing w:val="-86"/>
        </w:rPr>
      </w:r>
      <w:r>
        <w:rPr/>
        <w:t>威数码技术有限公司工程师，</w:t>
      </w:r>
      <w:r>
        <w:rPr>
          <w:rFonts w:ascii="Times New Roman" w:hAnsi="Times New Roman" w:cs="Times New Roman" w:eastAsia="Times New Roman" w:hint="default"/>
        </w:rPr>
        <w:t>2009</w:t>
      </w:r>
      <w:r>
        <w:rPr/>
        <w:t>年至今任蓝盾信息安全技术股份有限公司生产部主管；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 任蓝盾信息安全技术股份有限公司监事会监事。</w:t>
      </w:r>
    </w:p>
    <w:p>
      <w:pPr>
        <w:pStyle w:val="BodyText"/>
        <w:spacing w:line="331" w:lineRule="auto" w:before="81"/>
        <w:ind w:right="0" w:firstLine="420"/>
        <w:jc w:val="left"/>
      </w:pPr>
      <w:r>
        <w:rPr>
          <w:rFonts w:ascii="宋体" w:hAnsi="宋体" w:cs="宋体" w:eastAsia="宋体" w:hint="default"/>
          <w:b/>
          <w:bCs/>
        </w:rPr>
        <w:t>陈文浩：</w:t>
      </w:r>
      <w:r>
        <w:rPr/>
        <w:t>男，</w:t>
      </w:r>
      <w:r>
        <w:rPr>
          <w:rFonts w:ascii="Times New Roman" w:hAnsi="Times New Roman" w:cs="Times New Roman" w:eastAsia="Times New Roman" w:hint="default"/>
        </w:rPr>
        <w:t>1971</w:t>
      </w:r>
      <w:r>
        <w:rPr/>
        <w:t>年出生，中国国籍，无境外永久居留权。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月毕业于广州通信学院；曾任广 东水晶球技术发展有限公司工程师、广东天海威数码技术有限公司开发部副总经理；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 </w:t>
      </w:r>
      <w:r>
        <w:rPr>
          <w:spacing w:val="-1"/>
        </w:rPr>
        <w:t>月任蓝盾信息安全技术股份有限公司监事；</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月至今任蓝盾信息安全技术股份有限公司监事会主席。</w:t>
      </w:r>
    </w:p>
    <w:p>
      <w:pPr>
        <w:pStyle w:val="BodyText"/>
        <w:spacing w:line="331" w:lineRule="auto" w:before="60"/>
        <w:ind w:left="1134" w:right="1130" w:firstLine="420"/>
        <w:jc w:val="both"/>
      </w:pPr>
      <w:r>
        <w:rPr>
          <w:rFonts w:ascii="宋体" w:hAnsi="宋体" w:cs="宋体" w:eastAsia="宋体" w:hint="default"/>
          <w:b/>
          <w:bCs/>
          <w:spacing w:val="-1"/>
        </w:rPr>
        <w:t>詹桂彬：</w:t>
      </w:r>
      <w:r>
        <w:rPr>
          <w:spacing w:val="-1"/>
        </w:rPr>
        <w:t>男，</w:t>
      </w:r>
      <w:r>
        <w:rPr>
          <w:rFonts w:ascii="Times New Roman" w:hAnsi="Times New Roman" w:cs="Times New Roman" w:eastAsia="Times New Roman" w:hint="default"/>
          <w:spacing w:val="-1"/>
        </w:rPr>
        <w:t>1977</w:t>
      </w:r>
      <w:r>
        <w:rPr>
          <w:spacing w:val="-1"/>
        </w:rPr>
        <w:t>年出生，中国国籍，无境外永久居留权，高中学历。曾任广东水晶球技术发展有限</w:t>
      </w:r>
      <w:r>
        <w:rPr/>
        <w:t> </w:t>
      </w:r>
      <w:r>
        <w:rPr>
          <w:spacing w:val="-1"/>
        </w:rPr>
        <w:t>公司技术主管及经理、广东天海威数码技术有限公司项目经理，新产品部经理与采购部经理，</w:t>
      </w:r>
      <w:r>
        <w:rPr>
          <w:rFonts w:ascii="Times New Roman" w:hAnsi="Times New Roman" w:cs="Times New Roman" w:eastAsia="Times New Roman" w:hint="default"/>
          <w:spacing w:val="-1"/>
        </w:rPr>
        <w:t>2009</w:t>
      </w:r>
      <w:r>
        <w:rPr>
          <w:spacing w:val="-1"/>
        </w:rPr>
        <w:t>年至今</w:t>
      </w:r>
      <w:r>
        <w:rPr>
          <w:spacing w:val="-81"/>
        </w:rPr>
        <w:t> </w:t>
      </w:r>
      <w:r>
        <w:rPr>
          <w:spacing w:val="-81"/>
        </w:rPr>
      </w:r>
      <w:r>
        <w:rPr/>
        <w:t>任蓝盾信息安全技术股份有限公司职工代表监事。</w:t>
      </w:r>
    </w:p>
    <w:p>
      <w:pPr>
        <w:pStyle w:val="BodyText"/>
        <w:spacing w:line="328" w:lineRule="auto" w:before="86"/>
        <w:ind w:right="1130" w:firstLine="420"/>
        <w:jc w:val="both"/>
      </w:pPr>
      <w:r>
        <w:rPr>
          <w:rFonts w:ascii="宋体" w:hAnsi="宋体" w:cs="宋体" w:eastAsia="宋体" w:hint="default"/>
          <w:b/>
          <w:bCs/>
          <w:spacing w:val="-1"/>
        </w:rPr>
        <w:t>李德桂：</w:t>
      </w:r>
      <w:r>
        <w:rPr>
          <w:spacing w:val="-1"/>
        </w:rPr>
        <w:t>男，</w:t>
      </w:r>
      <w:r>
        <w:rPr>
          <w:rFonts w:ascii="Times New Roman" w:hAnsi="Times New Roman" w:cs="Times New Roman" w:eastAsia="Times New Roman" w:hint="default"/>
          <w:spacing w:val="-1"/>
        </w:rPr>
        <w:t>1976</w:t>
      </w:r>
      <w:r>
        <w:rPr>
          <w:spacing w:val="-1"/>
        </w:rPr>
        <w:t>年出生，中国国籍，无境外永久居留权。</w:t>
      </w:r>
      <w:r>
        <w:rPr>
          <w:rFonts w:ascii="Times New Roman" w:hAnsi="Times New Roman" w:cs="Times New Roman" w:eastAsia="Times New Roman" w:hint="default"/>
          <w:spacing w:val="-1"/>
        </w:rPr>
        <w:t>2000</w:t>
      </w:r>
      <w:r>
        <w:rPr>
          <w:spacing w:val="-1"/>
        </w:rPr>
        <w:t>年毕业于中山大学计算机科学系计算</w:t>
      </w:r>
      <w:r>
        <w:rPr/>
        <w:t> </w:t>
      </w:r>
      <w:r>
        <w:rPr>
          <w:spacing w:val="-1"/>
        </w:rPr>
        <w:t>机软件专业，获学士学位，高级程序员。</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6</w:t>
      </w:r>
      <w:r>
        <w:rPr>
          <w:spacing w:val="-1"/>
        </w:rPr>
        <w:t>月，在广发证券股份有限公司任职；</w:t>
      </w:r>
      <w:r>
        <w:rPr>
          <w:rFonts w:ascii="Times New Roman" w:hAnsi="Times New Roman" w:cs="Times New Roman" w:eastAsia="Times New Roman" w:hint="default"/>
          <w:spacing w:val="-1"/>
        </w:rPr>
        <w:t>2006</w:t>
      </w:r>
      <w:r>
        <w:rPr>
          <w:spacing w:val="-1"/>
        </w:rPr>
        <w:t>年</w:t>
      </w:r>
      <w:r>
        <w:rPr>
          <w:spacing w:val="-78"/>
        </w:rPr>
        <w:t> </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月，任职深圳市立友科技有限公司高级技术经理；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月，任北京金泉时</w:t>
      </w:r>
    </w:p>
    <w:p>
      <w:pPr>
        <w:spacing w:after="0" w:line="328"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62" w:lineRule="auto" w:before="35"/>
        <w:ind w:left="1554" w:right="0" w:hanging="420"/>
        <w:jc w:val="left"/>
      </w:pPr>
      <w:r>
        <w:rPr>
          <w:spacing w:val="-1"/>
        </w:rPr>
        <w:t>代投资管理有限公司交易部经理；</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月至今任蓝盾信息安全技术股份有限公司董事会秘书、副总裁。</w:t>
      </w:r>
      <w:r>
        <w:rPr>
          <w:spacing w:val="-80"/>
        </w:rPr>
        <w:t> </w:t>
      </w:r>
      <w:r>
        <w:rPr>
          <w:spacing w:val="-80"/>
        </w:rPr>
      </w:r>
      <w:r>
        <w:rPr>
          <w:rFonts w:ascii="宋体" w:hAnsi="宋体" w:cs="宋体" w:eastAsia="宋体" w:hint="default"/>
          <w:b/>
          <w:bCs/>
        </w:rPr>
        <w:t>韩炜：</w:t>
      </w:r>
      <w:r>
        <w:rPr/>
        <w:t>女，</w:t>
      </w:r>
      <w:r>
        <w:rPr>
          <w:rFonts w:ascii="Times New Roman" w:hAnsi="Times New Roman" w:cs="Times New Roman" w:eastAsia="Times New Roman" w:hint="default"/>
        </w:rPr>
        <w:t>1976</w:t>
      </w:r>
      <w:r>
        <w:rPr/>
        <w:t>年出生，中国国籍，无境外永久居留权，本科学士学位。曾任职于石家庄市邮政局，</w:t>
      </w:r>
    </w:p>
    <w:p>
      <w:pPr>
        <w:pStyle w:val="BodyText"/>
        <w:spacing w:line="331" w:lineRule="auto"/>
        <w:ind w:right="1129"/>
        <w:jc w:val="both"/>
      </w:pPr>
      <w:r>
        <w:rPr>
          <w:spacing w:val="-5"/>
        </w:rPr>
        <w:t>河北电信公司，广东电信实业公司，安盟（中国）信息安全有限公司，广东天海威数码技术有限公司，</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41"/>
        </w:rPr>
        <w:t> </w:t>
      </w:r>
      <w:r>
        <w:rPr/>
        <w:t>年至今在蓝盾信息安全技术股份有限公司任市场总监。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月至今任蓝盾信息安全技术股份有限公司</w:t>
      </w:r>
      <w:r>
        <w:rPr>
          <w:spacing w:val="-30"/>
        </w:rPr>
        <w:t> </w:t>
      </w:r>
      <w:r>
        <w:rPr>
          <w:spacing w:val="-30"/>
        </w:rPr>
      </w:r>
      <w:r>
        <w:rPr>
          <w:spacing w:val="-1"/>
        </w:rPr>
        <w:t>副总裁，</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月至今任广东省蓝盾职业培训学院院长，</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月至今任广东省南方信息技术研究院</w:t>
      </w:r>
      <w:r>
        <w:rPr>
          <w:spacing w:val="-80"/>
        </w:rPr>
        <w:t> </w:t>
      </w:r>
      <w:r>
        <w:rPr>
          <w:spacing w:val="-80"/>
        </w:rPr>
      </w:r>
      <w:r>
        <w:rPr/>
        <w:t>院长，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月至今任国保联盟信息安全技术有限公司董事。</w:t>
      </w:r>
    </w:p>
    <w:p>
      <w:pPr>
        <w:pStyle w:val="BodyText"/>
        <w:spacing w:line="328" w:lineRule="auto" w:before="61"/>
        <w:ind w:right="1129" w:firstLine="420"/>
        <w:jc w:val="both"/>
      </w:pPr>
      <w:r>
        <w:rPr>
          <w:rFonts w:ascii="宋体" w:hAnsi="宋体" w:cs="宋体" w:eastAsia="宋体" w:hint="default"/>
          <w:b/>
          <w:bCs/>
          <w:spacing w:val="-1"/>
        </w:rPr>
        <w:t>魏树华：</w:t>
      </w:r>
      <w:r>
        <w:rPr>
          <w:spacing w:val="-1"/>
        </w:rPr>
        <w:t>男，</w:t>
      </w:r>
      <w:r>
        <w:rPr>
          <w:rFonts w:ascii="Times New Roman" w:hAnsi="Times New Roman" w:cs="Times New Roman" w:eastAsia="Times New Roman" w:hint="default"/>
          <w:spacing w:val="-1"/>
        </w:rPr>
        <w:t>1972</w:t>
      </w:r>
      <w:r>
        <w:rPr>
          <w:spacing w:val="-1"/>
        </w:rPr>
        <w:t>年出生，中国国籍，无境外永久居留权，高级会计师，注册税务师，中国注册会计</w:t>
      </w:r>
      <w:r>
        <w:rPr/>
        <w:t> 师；</w:t>
      </w:r>
      <w:r>
        <w:rPr>
          <w:rFonts w:ascii="Times New Roman" w:hAnsi="Times New Roman" w:cs="Times New Roman" w:eastAsia="Times New Roman" w:hint="default"/>
        </w:rPr>
        <w:t>2005</w:t>
      </w:r>
      <w:r>
        <w:rPr/>
        <w:t>年毕业于暨南大学会计专业，</w:t>
      </w:r>
      <w:r>
        <w:rPr>
          <w:rFonts w:ascii="Times New Roman" w:hAnsi="Times New Roman" w:cs="Times New Roman" w:eastAsia="Times New Roman" w:hint="default"/>
        </w:rPr>
        <w:t>2010</w:t>
      </w:r>
      <w:r>
        <w:rPr/>
        <w:t>年获中山大学</w:t>
      </w:r>
      <w:r>
        <w:rPr>
          <w:rFonts w:ascii="Times New Roman" w:hAnsi="Times New Roman" w:cs="Times New Roman" w:eastAsia="Times New Roman" w:hint="default"/>
        </w:rPr>
        <w:t>MPACC</w:t>
      </w:r>
      <w:r>
        <w:rPr/>
        <w:t>会计硕士学位；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spacing w:val="-1"/>
        </w:rPr>
        <w:t>月，任湖南省邵阳市制药三厂主管会计；</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2</w:t>
      </w:r>
      <w:r>
        <w:rPr>
          <w:spacing w:val="-1"/>
        </w:rPr>
        <w:t>月，任东莞龙记集团会计主管；</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3</w:t>
      </w:r>
      <w:r>
        <w:rPr>
          <w:spacing w:val="-1"/>
        </w:rPr>
        <w:t>月</w:t>
      </w:r>
    </w:p>
    <w:p>
      <w:pPr>
        <w:pStyle w:val="BodyText"/>
        <w:spacing w:line="328" w:lineRule="auto" w:before="24"/>
        <w:ind w:left="1134" w:right="0"/>
        <w:jc w:val="left"/>
      </w:pP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月，任广州杰赛科技股份有限公司财务部总裁助理；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w:t>
      </w:r>
      <w:r>
        <w:rPr>
          <w:spacing w:val="-30"/>
        </w:rPr>
        <w:t> </w:t>
      </w:r>
      <w:r>
        <w:rPr>
          <w:spacing w:val="-30"/>
        </w:rPr>
      </w:r>
      <w:r>
        <w:rPr/>
        <w:t>数码技术有限公司财务总监；</w:t>
      </w:r>
      <w:r>
        <w:rPr>
          <w:rFonts w:ascii="Times New Roman" w:hAnsi="Times New Roman" w:cs="Times New Roman" w:eastAsia="Times New Roman" w:hint="default"/>
        </w:rPr>
        <w:t>2009</w:t>
      </w:r>
      <w:r>
        <w:rPr/>
        <w:t>年至今任蓝盾信息安全技术股份有限公司财务总监。</w:t>
      </w: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6"/>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3"/>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76"/>
        <w:gridCol w:w="2836"/>
        <w:gridCol w:w="992"/>
        <w:gridCol w:w="1560"/>
        <w:gridCol w:w="1559"/>
        <w:gridCol w:w="1345"/>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广州民营投资股份有限公司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广州融轩投资咨询有限公司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广州景辕投资管理合伙企业（有限 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广东蓝御房地产开发有限公司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广州融轩投资咨询有限公司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广州中科蓝华生物科技有限公司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广州蓝耀医药科技有限公司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广州蓝锦生物科技有限公司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广州蓝亮医药科技有限公司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广东蓝安控股有限公司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广东攸米电子商务有限公司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广东蓝盾赢融资产管理有限公司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广州市昇佰投资管理合伙企业（有 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珠海横琴蓝曜投资管理合伙企业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广州臻泰企业咨询管理合伙企业</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276"/>
        <w:gridCol w:w="2836"/>
        <w:gridCol w:w="992"/>
        <w:gridCol w:w="1560"/>
        <w:gridCol w:w="1559"/>
        <w:gridCol w:w="134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广州蓝盾中植资产管理有限公司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深圳前海博益互联网金融服务有限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广东迅通科技股份有限公司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广东创新科技职业学院信息工程学 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副教授（返 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深圳太辰光通信股份有限公司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广东百合医疗科技股份有限公司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广州安必平医药科技股份有限公司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广东电声市场营销股份有限公司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广州中康资讯股份有限公司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北京大成（深圳）律师事务所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深圳市广西商会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广西民族大学知识产权学院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石河子欣晟股权投资有限合伙企业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3829"/>
        <w:gridCol w:w="5740"/>
      </w:tblGrid>
      <w:tr>
        <w:trPr>
          <w:trHeight w:val="1363"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7"/>
              <w:jc w:val="both"/>
              <w:rPr>
                <w:rFonts w:ascii="宋体" w:hAnsi="宋体" w:cs="宋体" w:eastAsia="宋体" w:hint="default"/>
                <w:sz w:val="18"/>
                <w:szCs w:val="18"/>
              </w:rPr>
            </w:pPr>
            <w:r>
              <w:rPr>
                <w:rFonts w:ascii="宋体" w:hAnsi="宋体" w:cs="宋体" w:eastAsia="宋体" w:hint="default"/>
                <w:sz w:val="18"/>
                <w:szCs w:val="18"/>
              </w:rPr>
              <w:t>公司薪酬与考核委员会根据董事及高级管理人员岗位的主要范围、职责、 </w:t>
            </w:r>
            <w:r>
              <w:rPr>
                <w:rFonts w:ascii="宋体" w:hAnsi="宋体" w:cs="宋体" w:eastAsia="宋体" w:hint="default"/>
                <w:spacing w:val="-2"/>
                <w:sz w:val="18"/>
                <w:szCs w:val="18"/>
              </w:rPr>
              <w:t>重要性以及其他相关企业相关岗位的薪酬水平制定薪酬计划或方案；其提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出的公司董事的薪酬计划，报经董事会同意后，提交股东大会审议通过后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实施；公司高级管理人员的薪酬分配方案须报董事会审议批准。</w:t>
            </w:r>
          </w:p>
        </w:tc>
      </w:tr>
      <w:tr>
        <w:trPr>
          <w:trHeight w:val="73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董事及高级管理人员岗位的主要范围、职责、重要性以及其他相关企业相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关岗位的薪酬水平</w:t>
            </w:r>
          </w:p>
        </w:tc>
      </w:tr>
      <w:tr>
        <w:trPr>
          <w:trHeight w:val="73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2"/>
                <w:sz w:val="18"/>
                <w:szCs w:val="18"/>
              </w:rPr>
              <w:t>根据相关决策程序审议通过后的薪酬方案进行支付，并按照税法规定代扣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代缴个人所得税。</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608"/>
        <w:gridCol w:w="1276"/>
        <w:gridCol w:w="1277"/>
        <w:gridCol w:w="130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70"/>
        <w:gridCol w:w="1608"/>
        <w:gridCol w:w="1276"/>
        <w:gridCol w:w="1277"/>
        <w:gridCol w:w="130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副总裁、董事会秘书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477.63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单位：股</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635" w:space="328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1120"/>
        <w:gridCol w:w="709"/>
        <w:gridCol w:w="708"/>
        <w:gridCol w:w="851"/>
        <w:gridCol w:w="851"/>
        <w:gridCol w:w="851"/>
        <w:gridCol w:w="709"/>
        <w:gridCol w:w="992"/>
        <w:gridCol w:w="992"/>
        <w:gridCol w:w="916"/>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9" w:firstLine="37"/>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3"/>
                <w:sz w:val="18"/>
                <w:szCs w:val="18"/>
              </w:rPr>
              <w:t>格（元</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39"/>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副总裁、董事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黄泽华、谭晓燕、赵庆伦、张远鹏、韩炜、李德桂、魏树华于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日分别解锁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股，剩余未解</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锁限制性股票均为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type w:val="continuous"/>
          <w:pgSz w:w="11910" w:h="16840"/>
          <w:pgMar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2,798</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2,798</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1"/>
          <w:szCs w:val="31"/>
        </w:rPr>
      </w:pPr>
    </w:p>
    <w:p>
      <w:pPr>
        <w:pStyle w:val="BodyText"/>
        <w:spacing w:line="240" w:lineRule="auto"/>
        <w:ind w:left="1554" w:right="0"/>
        <w:jc w:val="left"/>
      </w:pPr>
      <w:r>
        <w:rPr/>
        <w:t>公司实行全员聘用制，无需承担离退休职工的费用，离退休职工由社保基金统筹解决。</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1"/>
          <w:szCs w:val="31"/>
        </w:rPr>
      </w:pPr>
    </w:p>
    <w:p>
      <w:pPr>
        <w:pStyle w:val="BodyText"/>
        <w:spacing w:line="364" w:lineRule="auto"/>
        <w:ind w:left="1553" w:right="0"/>
        <w:jc w:val="left"/>
      </w:pPr>
      <w:r>
        <w:rPr/>
        <w:t>随着公司业务的发展、</w:t>
      </w:r>
      <w:r>
        <w:rPr>
          <w:rFonts w:ascii="Times New Roman" w:hAnsi="Times New Roman" w:cs="Times New Roman" w:eastAsia="Times New Roman" w:hint="default"/>
        </w:rPr>
        <w:t>“</w:t>
      </w:r>
      <w:r>
        <w:rPr/>
        <w:t>大安全</w:t>
      </w:r>
      <w:r>
        <w:rPr>
          <w:rFonts w:ascii="Times New Roman" w:hAnsi="Times New Roman" w:cs="Times New Roman" w:eastAsia="Times New Roman" w:hint="default"/>
        </w:rPr>
        <w:t>”</w:t>
      </w:r>
      <w:r>
        <w:rPr/>
        <w:t>战略的推进，对公司培训工作也提出了更高的要求。 </w:t>
      </w:r>
      <w:r>
        <w:rPr>
          <w:spacing w:val="-1"/>
        </w:rPr>
        <w:t>在</w:t>
      </w:r>
      <w:r>
        <w:rPr>
          <w:rFonts w:ascii="Times New Roman" w:hAnsi="Times New Roman" w:cs="Times New Roman" w:eastAsia="Times New Roman" w:hint="default"/>
          <w:spacing w:val="-1"/>
        </w:rPr>
        <w:t>2018</w:t>
      </w:r>
      <w:r>
        <w:rPr>
          <w:spacing w:val="-1"/>
        </w:rPr>
        <w:t>年，公司将紧抓产品线、营销策略、安全开发等主要培训方向，投入更多的培训资源，力求将</w:t>
      </w:r>
    </w:p>
    <w:p>
      <w:pPr>
        <w:pStyle w:val="BodyText"/>
        <w:spacing w:line="331" w:lineRule="auto"/>
        <w:ind w:right="0"/>
        <w:jc w:val="left"/>
      </w:pPr>
      <w:r>
        <w:rPr/>
        <w:t>公司现有的营销团队、开发团队打造成信息安全领域内一支</w:t>
      </w:r>
      <w:r>
        <w:rPr>
          <w:rFonts w:ascii="Times New Roman" w:hAnsi="Times New Roman" w:cs="Times New Roman" w:eastAsia="Times New Roman" w:hint="default"/>
        </w:rPr>
        <w:t>“</w:t>
      </w:r>
      <w:r>
        <w:rPr/>
        <w:t>熟产品、懂销售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能开发、重安全</w:t>
      </w:r>
      <w:r>
        <w:rPr>
          <w:rFonts w:ascii="Times New Roman" w:hAnsi="Times New Roman" w:cs="Times New Roman" w:eastAsia="Times New Roman" w:hint="default"/>
        </w:rPr>
        <w:t>”</w:t>
      </w:r>
      <w:r>
        <w:rPr/>
        <w:t>的精英 </w:t>
      </w:r>
      <w:r>
        <w:rPr>
          <w:spacing w:val="-3"/>
        </w:rPr>
        <w:t>队伍。在公司已有内训师资力量上，</w:t>
      </w:r>
      <w:r>
        <w:rPr>
          <w:rFonts w:ascii="Times New Roman" w:hAnsi="Times New Roman" w:cs="Times New Roman" w:eastAsia="Times New Roman" w:hint="default"/>
          <w:spacing w:val="-3"/>
        </w:rPr>
        <w:t>2018</w:t>
      </w:r>
      <w:r>
        <w:rPr>
          <w:spacing w:val="-3"/>
        </w:rPr>
        <w:t>年计划考虑吸纳</w:t>
      </w:r>
      <w:r>
        <w:rPr>
          <w:rFonts w:ascii="Times New Roman" w:hAnsi="Times New Roman" w:cs="Times New Roman" w:eastAsia="Times New Roman" w:hint="default"/>
          <w:spacing w:val="-3"/>
        </w:rPr>
        <w:t>20</w:t>
      </w:r>
      <w:r>
        <w:rPr>
          <w:spacing w:val="-3"/>
        </w:rPr>
        <w:t>名左右先进员工加入内训队伍，提升队伍活力，</w:t>
      </w:r>
      <w:r>
        <w:rPr>
          <w:spacing w:val="-84"/>
        </w:rPr>
        <w:t> </w:t>
      </w:r>
      <w:r>
        <w:rPr>
          <w:spacing w:val="-84"/>
        </w:rPr>
      </w:r>
      <w:r>
        <w:rPr/>
        <w:t>以支撑</w:t>
      </w:r>
      <w:r>
        <w:rPr>
          <w:rFonts w:ascii="Times New Roman" w:hAnsi="Times New Roman" w:cs="Times New Roman" w:eastAsia="Times New Roman" w:hint="default"/>
        </w:rPr>
        <w:t>2018</w:t>
      </w:r>
      <w:r>
        <w:rPr/>
        <w:t>年培训工作的稳步进行。</w:t>
      </w:r>
    </w:p>
    <w:p>
      <w:pPr>
        <w:spacing w:after="0" w:line="331"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31" w:lineRule="auto" w:before="35"/>
        <w:ind w:right="1131" w:firstLine="420"/>
        <w:jc w:val="both"/>
      </w:pPr>
      <w:r>
        <w:rPr>
          <w:rFonts w:ascii="Times New Roman" w:hAnsi="Times New Roman" w:cs="Times New Roman" w:eastAsia="Times New Roman" w:hint="default"/>
          <w:spacing w:val="-1"/>
        </w:rPr>
        <w:t>2017</w:t>
      </w:r>
      <w:r>
        <w:rPr>
          <w:spacing w:val="-1"/>
        </w:rPr>
        <w:t>年公司自主研发上线了蓝盾培训管理系统，使公司的培训工作突破了场地小、区域广、时间不统</w:t>
      </w:r>
      <w:r>
        <w:rPr/>
        <w:t> </w:t>
      </w:r>
      <w:r>
        <w:rPr>
          <w:spacing w:val="-1"/>
        </w:rPr>
        <w:t>一的限制，为公司培训工作的全国化、全员化推广提供了技术便利。在</w:t>
      </w:r>
      <w:r>
        <w:rPr>
          <w:rFonts w:ascii="Times New Roman" w:hAnsi="Times New Roman" w:cs="Times New Roman" w:eastAsia="Times New Roman" w:hint="default"/>
          <w:spacing w:val="-1"/>
        </w:rPr>
        <w:t>2018</w:t>
      </w:r>
      <w:r>
        <w:rPr>
          <w:spacing w:val="-1"/>
        </w:rPr>
        <w:t>年公司也将进一步完善在线培</w:t>
      </w:r>
      <w:r>
        <w:rPr>
          <w:spacing w:val="-82"/>
        </w:rPr>
        <w:t> </w:t>
      </w:r>
      <w:r>
        <w:rPr>
          <w:spacing w:val="-82"/>
        </w:rPr>
      </w:r>
      <w:r>
        <w:rPr/>
        <w:t>训系统，丰富培训课程，让员工能够随时随地上线学习，自主安排时间，工作与培训两不误。</w:t>
      </w:r>
    </w:p>
    <w:p>
      <w:pPr>
        <w:pStyle w:val="BodyText"/>
        <w:spacing w:line="350" w:lineRule="auto" w:before="85"/>
        <w:ind w:right="1132" w:firstLine="420"/>
        <w:jc w:val="both"/>
      </w:pPr>
      <w:r>
        <w:rPr>
          <w:spacing w:val="-1"/>
        </w:rPr>
        <w:t>在全资子公司蓝盾学院培训业务日趋成熟的条件下，公司的培训工作将充分利用好蓝盾学院的培训平</w:t>
      </w:r>
      <w:r>
        <w:rPr/>
        <w:t> </w:t>
      </w:r>
      <w:r>
        <w:rPr>
          <w:spacing w:val="-1"/>
        </w:rPr>
        <w:t>台。依托蓝盾学院近些年在培训行业取得的各项资源，在课程开发、项目培训开发、人才培养等领域展开</w:t>
      </w:r>
      <w:r>
        <w:rPr>
          <w:spacing w:val="-86"/>
        </w:rPr>
        <w:t> </w:t>
      </w:r>
      <w:r>
        <w:rPr>
          <w:spacing w:val="-86"/>
        </w:rPr>
      </w:r>
      <w:r>
        <w:rPr/>
        <w:t>合作，加强与各院校、机构的沟通，汲取信息安全行业先进的理念，紧跟行业发展动态和趋势。</w:t>
      </w:r>
    </w:p>
    <w:p>
      <w:pPr>
        <w:spacing w:line="240" w:lineRule="auto" w:before="4"/>
        <w:rPr>
          <w:rFonts w:ascii="宋体" w:hAnsi="宋体" w:cs="宋体" w:eastAsia="宋体" w:hint="default"/>
          <w:sz w:val="18"/>
          <w:szCs w:val="18"/>
        </w:rPr>
      </w:pPr>
    </w:p>
    <w:p>
      <w:pPr>
        <w:pStyle w:val="Heading3"/>
        <w:spacing w:line="240" w:lineRule="auto"/>
        <w:ind w:left="1133"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35"/>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5"/>
        <w:rPr>
          <w:rFonts w:ascii="宋体" w:hAnsi="宋体" w:cs="宋体" w:eastAsia="宋体" w:hint="default"/>
          <w:b/>
          <w:bCs/>
          <w:sz w:val="31"/>
          <w:szCs w:val="31"/>
        </w:rPr>
      </w:pPr>
    </w:p>
    <w:p>
      <w:pPr>
        <w:pStyle w:val="BodyText"/>
        <w:spacing w:line="350" w:lineRule="auto"/>
        <w:ind w:right="1110" w:firstLine="420"/>
        <w:jc w:val="both"/>
      </w:pPr>
      <w:r>
        <w:rPr/>
        <w:t>公司根据《公司法》、《上市公司治理准则》、《上市公司章程指引》、《上市公司股东大会规则》 </w:t>
      </w:r>
      <w:r>
        <w:rPr>
          <w:spacing w:val="-1"/>
        </w:rPr>
        <w:t>及其他相关法律法规的要求，确立了由股东大会、董事会、监事会和经营管理层组成的公司治理结构，建</w:t>
      </w:r>
      <w:r>
        <w:rPr>
          <w:spacing w:val="-85"/>
        </w:rPr>
        <w:t> </w:t>
      </w:r>
      <w:r>
        <w:rPr>
          <w:spacing w:val="-85"/>
        </w:rPr>
      </w:r>
      <w:r>
        <w:rPr>
          <w:spacing w:val="-1"/>
        </w:rPr>
        <w:t>立了健全的股东大会、董事会、监事会、独立董事、董事会秘书等相关制度，并在公司董事会下设立了战</w:t>
      </w:r>
      <w:r>
        <w:rPr>
          <w:spacing w:val="-83"/>
        </w:rPr>
        <w:t> </w:t>
      </w:r>
      <w:r>
        <w:rPr>
          <w:spacing w:val="-83"/>
        </w:rPr>
      </w:r>
      <w:r>
        <w:rPr/>
        <w:t>略、审计、提名、薪酬与考核等专门委员会。</w:t>
      </w:r>
    </w:p>
    <w:p>
      <w:pPr>
        <w:pStyle w:val="BodyText"/>
        <w:spacing w:line="350" w:lineRule="auto" w:before="69"/>
        <w:ind w:right="1132" w:firstLine="420"/>
        <w:jc w:val="both"/>
      </w:pPr>
      <w:r>
        <w:rPr>
          <w:spacing w:val="-1"/>
        </w:rPr>
        <w:t>公司建立了规范的公司治理结构，股东大会、董事会及专门委员会、监事会、独立董事、董事会秘书</w:t>
      </w:r>
      <w:r>
        <w:rPr/>
        <w:t> </w:t>
      </w:r>
      <w:r>
        <w:rPr>
          <w:spacing w:val="-1"/>
        </w:rPr>
        <w:t>和管理层均严格按照《公司法》、《证券法》、《上市公司治理准则》、《深圳证券交易所创业板股票上</w:t>
      </w:r>
      <w:r>
        <w:rPr>
          <w:spacing w:val="-85"/>
        </w:rPr>
        <w:t> </w:t>
      </w:r>
      <w:r>
        <w:rPr>
          <w:spacing w:val="-85"/>
        </w:rPr>
      </w:r>
      <w:r>
        <w:rPr>
          <w:spacing w:val="-1"/>
        </w:rPr>
        <w:t>市规则》、《深圳证券交易所创业板上市公司规范运作指引》等法律法规和中国证监会有关法律法规等的</w:t>
      </w:r>
      <w:r>
        <w:rPr>
          <w:spacing w:val="-84"/>
        </w:rPr>
        <w:t> </w:t>
      </w:r>
      <w:r>
        <w:rPr>
          <w:spacing w:val="-84"/>
        </w:rPr>
      </w:r>
      <w:r>
        <w:rPr>
          <w:spacing w:val="-1"/>
        </w:rPr>
        <w:t>要求，履行各自的权利和义务，公司重大生产经营决策、投资决策及财务决策均按照《公司章程》及有关</w:t>
      </w:r>
      <w:r>
        <w:rPr>
          <w:spacing w:val="-83"/>
        </w:rPr>
        <w:t> </w:t>
      </w:r>
      <w:r>
        <w:rPr>
          <w:spacing w:val="-83"/>
        </w:rPr>
      </w:r>
      <w:r>
        <w:rPr>
          <w:spacing w:val="-1"/>
        </w:rPr>
        <w:t>内控制度规定的程序和规则进行，截至报告期末，上述机构和人员依法运作，未出现违法、违规现象，能</w:t>
      </w:r>
      <w:r>
        <w:rPr>
          <w:spacing w:val="-83"/>
        </w:rPr>
        <w:t> </w:t>
      </w:r>
      <w:r>
        <w:rPr>
          <w:spacing w:val="-83"/>
        </w:rPr>
      </w:r>
      <w:r>
        <w:rPr>
          <w:spacing w:val="-1"/>
        </w:rPr>
        <w:t>够切实履行应尽的职责和义务，公司治理的实际状况符合《上市公司治理准则》和《深圳证券交易所创业</w:t>
      </w:r>
      <w:r>
        <w:rPr>
          <w:spacing w:val="-86"/>
        </w:rPr>
        <w:t> </w:t>
      </w:r>
      <w:r>
        <w:rPr>
          <w:spacing w:val="-86"/>
        </w:rPr>
      </w:r>
      <w:r>
        <w:rPr/>
        <w:t>板上市公司规范运作指引》的要求。</w:t>
      </w:r>
    </w:p>
    <w:p>
      <w:pPr>
        <w:pStyle w:val="BodyText"/>
        <w:spacing w:line="350" w:lineRule="auto" w:before="69"/>
        <w:ind w:right="1130" w:firstLine="420"/>
        <w:jc w:val="both"/>
      </w:pPr>
      <w:r>
        <w:rPr>
          <w:spacing w:val="-1"/>
        </w:rPr>
        <w:t>报告期内，公司根据中国证监会或深交所的最新要求，结合公司的实际运作需要，制定修订了部分制</w:t>
      </w:r>
      <w:r>
        <w:rPr/>
        <w:t> 度，具体如下表：</w:t>
      </w:r>
    </w:p>
    <w:tbl>
      <w:tblPr>
        <w:tblW w:w="0" w:type="auto"/>
        <w:jc w:val="left"/>
        <w:tblInd w:w="1126" w:type="dxa"/>
        <w:tblLayout w:type="fixed"/>
        <w:tblCellMar>
          <w:top w:w="0" w:type="dxa"/>
          <w:left w:w="0" w:type="dxa"/>
          <w:bottom w:w="0" w:type="dxa"/>
          <w:right w:w="0" w:type="dxa"/>
        </w:tblCellMar>
        <w:tblLook w:val="01E0"/>
      </w:tblPr>
      <w:tblGrid>
        <w:gridCol w:w="851"/>
        <w:gridCol w:w="5104"/>
        <w:gridCol w:w="1844"/>
        <w:gridCol w:w="1842"/>
      </w:tblGrid>
      <w:tr>
        <w:trPr>
          <w:trHeight w:val="426"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制定</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93" w:right="0"/>
              <w:jc w:val="left"/>
              <w:rPr>
                <w:rFonts w:ascii="宋体" w:hAnsi="宋体" w:cs="宋体" w:eastAsia="宋体" w:hint="default"/>
                <w:sz w:val="21"/>
                <w:szCs w:val="21"/>
              </w:rPr>
            </w:pPr>
            <w:r>
              <w:rPr>
                <w:rFonts w:ascii="宋体" w:hAnsi="宋体" w:cs="宋体" w:eastAsia="宋体" w:hint="default"/>
                <w:sz w:val="21"/>
                <w:szCs w:val="21"/>
              </w:rPr>
              <w:t>披露日期</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1</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75" w:right="0"/>
              <w:jc w:val="left"/>
              <w:rPr>
                <w:rFonts w:ascii="Times New Roman" w:hAnsi="Times New Roman" w:cs="Times New Roman" w:eastAsia="Times New Roman" w:hint="default"/>
                <w:sz w:val="21"/>
                <w:szCs w:val="21"/>
              </w:rPr>
            </w:pPr>
            <w:r>
              <w:rPr>
                <w:rFonts w:ascii="Times New Roman"/>
                <w:sz w:val="21"/>
              </w:rPr>
              <w:t>2017-1-12</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21"/>
                <w:szCs w:val="21"/>
              </w:rPr>
            </w:pPr>
            <w:r>
              <w:rPr>
                <w:rFonts w:ascii="宋体" w:hAnsi="宋体" w:cs="宋体" w:eastAsia="宋体" w:hint="default"/>
                <w:sz w:val="21"/>
                <w:szCs w:val="21"/>
              </w:rPr>
              <w:t>股东大会网络投票实施细则（</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75" w:right="0"/>
              <w:jc w:val="left"/>
              <w:rPr>
                <w:rFonts w:ascii="Times New Roman" w:hAnsi="Times New Roman" w:cs="Times New Roman" w:eastAsia="Times New Roman" w:hint="default"/>
                <w:sz w:val="21"/>
                <w:szCs w:val="21"/>
              </w:rPr>
            </w:pPr>
            <w:r>
              <w:rPr>
                <w:rFonts w:ascii="Times New Roman"/>
                <w:sz w:val="21"/>
              </w:rPr>
              <w:t>2017-1-12</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3</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75" w:right="0"/>
              <w:jc w:val="left"/>
              <w:rPr>
                <w:rFonts w:ascii="Times New Roman" w:hAnsi="Times New Roman" w:cs="Times New Roman" w:eastAsia="Times New Roman" w:hint="default"/>
                <w:sz w:val="21"/>
                <w:szCs w:val="21"/>
              </w:rPr>
            </w:pPr>
            <w:r>
              <w:rPr>
                <w:rFonts w:ascii="Times New Roman"/>
                <w:sz w:val="21"/>
              </w:rPr>
              <w:t>2017-1-12</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4</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21"/>
                <w:szCs w:val="21"/>
              </w:rPr>
            </w:pPr>
            <w:r>
              <w:rPr>
                <w:rFonts w:ascii="宋体" w:hAnsi="宋体" w:cs="宋体" w:eastAsia="宋体" w:hint="default"/>
                <w:sz w:val="21"/>
                <w:szCs w:val="21"/>
              </w:rPr>
              <w:t>可转换公司债券持有人会议规则（</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制定</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75" w:right="0"/>
              <w:jc w:val="left"/>
              <w:rPr>
                <w:rFonts w:ascii="Times New Roman" w:hAnsi="Times New Roman" w:cs="Times New Roman" w:eastAsia="Times New Roman" w:hint="default"/>
                <w:sz w:val="21"/>
                <w:szCs w:val="21"/>
              </w:rPr>
            </w:pPr>
            <w:r>
              <w:rPr>
                <w:rFonts w:ascii="Times New Roman"/>
                <w:sz w:val="21"/>
              </w:rPr>
              <w:t>2017-8-16</w:t>
            </w:r>
          </w:p>
        </w:tc>
      </w:tr>
      <w:tr>
        <w:trPr>
          <w:trHeight w:val="42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5</w:t>
            </w:r>
          </w:p>
        </w:tc>
        <w:tc>
          <w:tcPr>
            <w:tcW w:w="5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75" w:right="0"/>
              <w:jc w:val="left"/>
              <w:rPr>
                <w:rFonts w:ascii="Times New Roman" w:hAnsi="Times New Roman" w:cs="Times New Roman" w:eastAsia="Times New Roman" w:hint="default"/>
                <w:sz w:val="21"/>
                <w:szCs w:val="21"/>
              </w:rPr>
            </w:pPr>
            <w:r>
              <w:rPr>
                <w:rFonts w:ascii="Times New Roman"/>
                <w:sz w:val="21"/>
              </w:rPr>
              <w:t>2017-8-28</w:t>
            </w:r>
          </w:p>
        </w:tc>
      </w:tr>
    </w:tbl>
    <w:p>
      <w:pPr>
        <w:spacing w:line="240" w:lineRule="auto" w:before="9"/>
        <w:rPr>
          <w:rFonts w:ascii="宋体" w:hAnsi="宋体" w:cs="宋体" w:eastAsia="宋体" w:hint="default"/>
          <w:sz w:val="5"/>
          <w:szCs w:val="5"/>
        </w:rPr>
      </w:pPr>
    </w:p>
    <w:p>
      <w:pPr>
        <w:pStyle w:val="BodyText"/>
        <w:spacing w:line="240" w:lineRule="auto" w:before="35"/>
        <w:ind w:left="1554" w:right="0"/>
        <w:jc w:val="left"/>
      </w:pPr>
      <w:r>
        <w:rPr/>
        <w:t>注：以上制度均已登载于巨潮资讯网（</w:t>
      </w:r>
      <w:hyperlink r:id="rId12">
        <w:r>
          <w:rPr>
            <w:rFonts w:ascii="Times New Roman" w:hAnsi="Times New Roman" w:cs="Times New Roman" w:eastAsia="Times New Roman" w:hint="default"/>
          </w:rPr>
          <w:t>www.cninfo.com.cn</w:t>
        </w:r>
      </w:hyperlink>
      <w:r>
        <w:rPr/>
        <w:t>）。</w:t>
      </w:r>
    </w:p>
    <w:p>
      <w:pPr>
        <w:pStyle w:val="BodyText"/>
        <w:spacing w:line="384" w:lineRule="auto" w:before="148"/>
        <w:ind w:left="1553" w:right="0"/>
        <w:jc w:val="left"/>
      </w:pPr>
      <w:r>
        <w:rPr/>
        <w:t>（一）关于股东与股东大会 </w:t>
      </w:r>
      <w:r>
        <w:rPr>
          <w:spacing w:val="-1"/>
        </w:rPr>
        <w:t>公司严格按照《上市公司股东大会规则》、《公司章程》、《股东大会议事规则》等规定和要求，规</w:t>
      </w:r>
    </w:p>
    <w:p>
      <w:pPr>
        <w:pStyle w:val="BodyText"/>
        <w:spacing w:line="274" w:lineRule="exact"/>
        <w:ind w:right="0"/>
        <w:jc w:val="left"/>
      </w:pPr>
      <w:r>
        <w:rPr/>
        <w:t>范地召集、召开股东大会，对公司的相关事项做出了决策，程序规范，决策科学，效果良好。</w:t>
      </w:r>
    </w:p>
    <w:p>
      <w:pPr>
        <w:pStyle w:val="BodyText"/>
        <w:spacing w:line="384" w:lineRule="auto" w:before="165"/>
        <w:ind w:left="1553" w:right="0"/>
        <w:jc w:val="left"/>
      </w:pPr>
      <w:r>
        <w:rPr/>
        <w:t>（二）关于公司与控股股东 </w:t>
      </w:r>
      <w:r>
        <w:rPr>
          <w:spacing w:val="-1"/>
        </w:rPr>
        <w:t>公司控股股东严格规范自身行为，没有直接或间接干预公司的决策和经营活动情况。公司在业务、人</w:t>
      </w:r>
    </w:p>
    <w:p>
      <w:pPr>
        <w:pStyle w:val="BodyText"/>
        <w:spacing w:line="348" w:lineRule="auto"/>
        <w:ind w:right="0"/>
        <w:jc w:val="left"/>
      </w:pPr>
      <w:r>
        <w:rPr>
          <w:spacing w:val="-1"/>
        </w:rPr>
        <w:t>员、资产、机构、财务上独立于控股股东，有独立完整的业务和自主经营能力，公司董事会、监事会和内</w:t>
      </w:r>
      <w:r>
        <w:rPr>
          <w:spacing w:val="-83"/>
        </w:rPr>
        <w:t> </w:t>
      </w:r>
      <w:r>
        <w:rPr>
          <w:spacing w:val="-83"/>
        </w:rPr>
      </w:r>
      <w:r>
        <w:rPr/>
        <w:t>部机构独立运作。</w:t>
      </w:r>
    </w:p>
    <w:p>
      <w:pPr>
        <w:pStyle w:val="BodyText"/>
        <w:spacing w:line="240" w:lineRule="auto" w:before="71"/>
        <w:ind w:left="1553" w:right="0"/>
        <w:jc w:val="left"/>
      </w:pPr>
      <w:r>
        <w:rPr/>
        <w:t>（三）关于董事和董事会</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3" w:lineRule="auto" w:before="35"/>
        <w:ind w:right="1110" w:firstLine="420"/>
        <w:jc w:val="both"/>
      </w:pPr>
      <w:r>
        <w:rPr/>
        <w:t>公司董事会设董事</w:t>
      </w:r>
      <w:r>
        <w:rPr>
          <w:rFonts w:ascii="Times New Roman" w:hAnsi="Times New Roman" w:cs="Times New Roman" w:eastAsia="Times New Roman" w:hint="default"/>
        </w:rPr>
        <w:t>8</w:t>
      </w:r>
      <w:r>
        <w:rPr/>
        <w:t>名，其中独立董事</w:t>
      </w:r>
      <w:r>
        <w:rPr>
          <w:rFonts w:ascii="Times New Roman" w:hAnsi="Times New Roman" w:cs="Times New Roman" w:eastAsia="Times New Roman" w:hint="default"/>
        </w:rPr>
        <w:t>3</w:t>
      </w:r>
      <w:r>
        <w:rPr/>
        <w:t>名，董事会的人数及人员构成符合法律、法规和《公司章程》 </w:t>
      </w:r>
      <w:r>
        <w:rPr>
          <w:spacing w:val="-1"/>
        </w:rPr>
        <w:t>的要求。各董事能够依据《公司法》、《深圳证券交易所创业板上市公司规范运作指引》、《公司董事会</w:t>
      </w:r>
      <w:r>
        <w:rPr>
          <w:spacing w:val="-85"/>
        </w:rPr>
        <w:t> </w:t>
      </w:r>
      <w:r>
        <w:rPr>
          <w:spacing w:val="-85"/>
        </w:rPr>
      </w:r>
      <w:r>
        <w:rPr>
          <w:spacing w:val="-1"/>
        </w:rPr>
        <w:t>议事规则》等法律法规、规章制度开展工作，出席董事会和股东大会，勤勉尽责地履行职责和义务，同时</w:t>
      </w:r>
      <w:r>
        <w:rPr>
          <w:spacing w:val="-83"/>
        </w:rPr>
        <w:t> </w:t>
      </w:r>
      <w:r>
        <w:rPr>
          <w:spacing w:val="-83"/>
        </w:rPr>
      </w:r>
      <w:r>
        <w:rPr/>
        <w:t>积极参加相关培训，熟悉相关法律法规。</w:t>
      </w:r>
    </w:p>
    <w:p>
      <w:pPr>
        <w:pStyle w:val="BodyText"/>
        <w:spacing w:line="384" w:lineRule="auto" w:before="75"/>
        <w:ind w:left="1553" w:right="0"/>
        <w:jc w:val="left"/>
      </w:pPr>
      <w:r>
        <w:rPr/>
        <w:t>（四）关于监事和监事会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名，监事会的人数和构成符合法律、法规的要求。各位监事能</w:t>
      </w:r>
    </w:p>
    <w:p>
      <w:pPr>
        <w:pStyle w:val="BodyText"/>
        <w:spacing w:line="245" w:lineRule="exact"/>
        <w:ind w:right="0"/>
        <w:jc w:val="both"/>
      </w:pPr>
      <w:r>
        <w:rPr/>
        <w:t>够按照《公司监事会议事规则》的要求，认真履行自己的职责，对公司重大事项、关联交易、财务状况以</w:t>
      </w:r>
    </w:p>
    <w:p>
      <w:pPr>
        <w:pStyle w:val="BodyText"/>
        <w:spacing w:line="240" w:lineRule="auto" w:before="124"/>
        <w:ind w:right="0"/>
        <w:jc w:val="both"/>
      </w:pPr>
      <w:r>
        <w:rPr/>
        <w:t>及董事、高级管理人员履行职责的合法合规性进行监督。</w:t>
      </w:r>
    </w:p>
    <w:p>
      <w:pPr>
        <w:pStyle w:val="BodyText"/>
        <w:spacing w:line="384" w:lineRule="auto" w:before="165"/>
        <w:ind w:left="1553" w:right="1093"/>
        <w:jc w:val="left"/>
      </w:pPr>
      <w:r>
        <w:rPr/>
        <w:t>（五）关于绩效评价与激励约束机制 公司已建立企业绩效评价激励体系，经营者的收入与企业经营业绩挂钩，高级管理人员的聘任公开、</w:t>
      </w:r>
    </w:p>
    <w:p>
      <w:pPr>
        <w:pStyle w:val="BodyText"/>
        <w:spacing w:line="348" w:lineRule="auto"/>
        <w:ind w:right="0"/>
        <w:jc w:val="left"/>
      </w:pPr>
      <w:r>
        <w:rPr>
          <w:spacing w:val="-1"/>
        </w:rPr>
        <w:t>透明，符合法律、法规的规定。公司董事会下设的薪酬和考核委员会负责对公司董事及高级管理人员进行</w:t>
      </w:r>
      <w:r>
        <w:rPr>
          <w:spacing w:val="-83"/>
        </w:rPr>
        <w:t> </w:t>
      </w:r>
      <w:r>
        <w:rPr>
          <w:spacing w:val="-83"/>
        </w:rPr>
      </w:r>
      <w:r>
        <w:rPr/>
        <w:t>绩效考核，董事、监事和高级管理人员的津贴标准由公司股东大会批准。</w:t>
      </w:r>
    </w:p>
    <w:p>
      <w:pPr>
        <w:pStyle w:val="BodyText"/>
        <w:spacing w:line="384" w:lineRule="auto" w:before="71"/>
        <w:ind w:left="1553" w:right="1018"/>
        <w:jc w:val="left"/>
      </w:pPr>
      <w:r>
        <w:rPr/>
        <w:t>（六）关于信息披露与透明度 </w:t>
      </w:r>
      <w:r>
        <w:rPr>
          <w:spacing w:val="-3"/>
        </w:rPr>
        <w:t>公司严格按照《上市公司信息披露管理办法》《公司投资者关系管理制度》等规章制度的要求，真实、</w:t>
      </w:r>
    </w:p>
    <w:p>
      <w:pPr>
        <w:pStyle w:val="BodyText"/>
        <w:spacing w:line="343" w:lineRule="auto"/>
        <w:ind w:right="1129"/>
        <w:jc w:val="both"/>
      </w:pPr>
      <w:r>
        <w:rPr>
          <w:spacing w:val="-1"/>
        </w:rPr>
        <w:t>准确、及时、公平、完整地披露有关信息。公司指定董事会秘书负责信息披露工作，协调公司与投资者的</w:t>
      </w:r>
      <w:r>
        <w:rPr>
          <w:spacing w:val="-83"/>
        </w:rPr>
        <w:t> </w:t>
      </w:r>
      <w:r>
        <w:rPr>
          <w:spacing w:val="-83"/>
        </w:rPr>
      </w:r>
      <w:r>
        <w:rPr>
          <w:spacing w:val="-1"/>
        </w:rPr>
        <w:t>关系，回答投资者咨询，接待投资者来访，向投资者提供公司已披露的资料；并指定《证券时报》、《证</w:t>
      </w:r>
      <w:r>
        <w:rPr>
          <w:spacing w:val="-84"/>
        </w:rPr>
        <w:t> </w:t>
      </w:r>
      <w:r>
        <w:rPr>
          <w:spacing w:val="-84"/>
        </w:rPr>
      </w:r>
      <w:r>
        <w:rPr/>
        <w:t>券日报》、《中国证券报》、《上海证券报》和巨潮资讯网</w:t>
      </w:r>
      <w:r>
        <w:rPr>
          <w:rFonts w:ascii="Times New Roman" w:hAnsi="Times New Roman" w:cs="Times New Roman" w:eastAsia="Times New Roman" w:hint="default"/>
        </w:rPr>
        <w:t>(www.cninfo.com.cn)</w:t>
      </w:r>
      <w:r>
        <w:rPr/>
        <w:t>为公司信息披露的指定报</w:t>
      </w:r>
      <w:r>
        <w:rPr>
          <w:spacing w:val="-95"/>
        </w:rPr>
        <w:t> </w:t>
      </w:r>
      <w:r>
        <w:rPr>
          <w:spacing w:val="-95"/>
        </w:rPr>
      </w:r>
      <w:r>
        <w:rPr/>
        <w:t>纸和网站，确保公司所有股东能够以平等的机会获得信息。</w:t>
      </w:r>
    </w:p>
    <w:p>
      <w:pPr>
        <w:pStyle w:val="BodyText"/>
        <w:spacing w:line="384" w:lineRule="auto" w:before="74"/>
        <w:ind w:left="1553" w:right="0"/>
        <w:jc w:val="left"/>
      </w:pPr>
      <w:r>
        <w:rPr/>
        <w:t>（七）关于相关利益者 </w:t>
      </w:r>
      <w:r>
        <w:rPr>
          <w:spacing w:val="-1"/>
        </w:rPr>
        <w:t>公司充分尊重和维护相关利益者的合法权益，实现股东、员工、社会等各方利益的协调平衡，共同推</w:t>
      </w:r>
    </w:p>
    <w:p>
      <w:pPr>
        <w:pStyle w:val="BodyText"/>
        <w:spacing w:line="274" w:lineRule="exact"/>
        <w:ind w:right="0"/>
        <w:jc w:val="both"/>
      </w:pPr>
      <w:r>
        <w:rPr/>
        <w:t>动公司持续、健康的发展。</w:t>
      </w:r>
    </w:p>
    <w:p>
      <w:pPr>
        <w:spacing w:before="102"/>
        <w:ind w:left="113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6"/>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1118" w:firstLine="420"/>
        <w:jc w:val="left"/>
      </w:pPr>
      <w:r>
        <w:rPr>
          <w:spacing w:val="-1"/>
        </w:rPr>
        <w:t>公司与控股股东在业务、人员、资产、机构、财务等方面相互独立，公司具有独立完整的业务及自主</w:t>
      </w:r>
      <w:r>
        <w:rPr/>
        <w:t> 经营能力。</w:t>
      </w:r>
    </w:p>
    <w:p>
      <w:pPr>
        <w:pStyle w:val="BodyText"/>
        <w:spacing w:line="343" w:lineRule="auto" w:before="71"/>
        <w:ind w:left="1134" w:right="0" w:firstLine="420"/>
        <w:jc w:val="left"/>
      </w:pPr>
      <w:r>
        <w:rPr>
          <w:rFonts w:ascii="Times New Roman" w:hAnsi="Times New Roman" w:cs="Times New Roman" w:eastAsia="Times New Roman" w:hint="default"/>
          <w:spacing w:val="-1"/>
        </w:rPr>
        <w:t>1</w:t>
      </w:r>
      <w:r>
        <w:rPr>
          <w:spacing w:val="-1"/>
        </w:rPr>
        <w:t>、业务独立。公司设有独立的技术中心负责公司核心技术和产品的技术创新、产品开发、产品规划、</w:t>
      </w:r>
      <w:r>
        <w:rPr/>
        <w:t> 推广策划和售后服务，由供应链部门负责原材料采购、产品的生产及供应，并建立了覆盖全国主要区域和 行业立体化营销服务网络。公司具备独立完整的产、供、销及研发系统，其产、供、销、研发均不依赖股 东单位及其他关联企业，拥有独立的生产经营场所和完整的业务体系，具有面向市场自主经营的能力。</w:t>
      </w:r>
    </w:p>
    <w:p>
      <w:pPr>
        <w:pStyle w:val="BodyText"/>
        <w:spacing w:line="240" w:lineRule="auto" w:before="74"/>
        <w:ind w:left="1553" w:right="0"/>
        <w:jc w:val="left"/>
      </w:pPr>
      <w:r>
        <w:rPr>
          <w:rFonts w:ascii="Times New Roman" w:hAnsi="Times New Roman" w:cs="Times New Roman" w:eastAsia="Times New Roman" w:hint="default"/>
        </w:rPr>
        <w:t>2</w:t>
      </w:r>
      <w:r>
        <w:rPr/>
        <w:t>、资产完整。公司拥有生产经营所需的各项资产，包括房屋建筑物、土地使用权、办公设备、存货、</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50" w:lineRule="auto" w:before="35"/>
        <w:ind w:right="1131"/>
        <w:jc w:val="both"/>
      </w:pPr>
      <w:r>
        <w:rPr>
          <w:spacing w:val="-1"/>
        </w:rPr>
        <w:t>车辆以及商标权、计算机软件著作权、专利及非专利技术等。公司拥有的土地使用权为协议出让取得，在</w:t>
      </w:r>
      <w:r>
        <w:rPr>
          <w:spacing w:val="-85"/>
        </w:rPr>
        <w:t> </w:t>
      </w:r>
      <w:r>
        <w:rPr>
          <w:spacing w:val="-85"/>
        </w:rPr>
      </w:r>
      <w:r>
        <w:rPr>
          <w:spacing w:val="-1"/>
        </w:rPr>
        <w:t>该土地之上自建的生产经营用房屋已取得房产证书，所有知识产权均为公司及下属全资子公司自主设计申</w:t>
      </w:r>
      <w:r>
        <w:rPr>
          <w:spacing w:val="-81"/>
        </w:rPr>
        <w:t> </w:t>
      </w:r>
      <w:r>
        <w:rPr>
          <w:spacing w:val="-81"/>
        </w:rPr>
      </w:r>
      <w:r>
        <w:rPr>
          <w:spacing w:val="-1"/>
        </w:rPr>
        <w:t>报、自主研发、自主拥有和独占使用的。公司资产完整、产权明晰，不存在资产、资金被控股股东占用而</w:t>
      </w:r>
      <w:r>
        <w:rPr>
          <w:spacing w:val="-83"/>
        </w:rPr>
        <w:t> </w:t>
      </w:r>
      <w:r>
        <w:rPr>
          <w:spacing w:val="-83"/>
        </w:rPr>
      </w:r>
      <w:r>
        <w:rPr/>
        <w:t>损害公司利益的情况。</w:t>
      </w:r>
    </w:p>
    <w:p>
      <w:pPr>
        <w:pStyle w:val="BodyText"/>
        <w:spacing w:line="345" w:lineRule="auto" w:before="69"/>
        <w:ind w:right="1128" w:firstLine="420"/>
        <w:jc w:val="both"/>
      </w:pPr>
      <w:r>
        <w:rPr>
          <w:rFonts w:ascii="Times New Roman" w:hAnsi="Times New Roman" w:cs="Times New Roman" w:eastAsia="Times New Roman" w:hint="default"/>
        </w:rPr>
        <w:t>3</w:t>
      </w:r>
      <w:r>
        <w:rPr/>
        <w:t>、人员独立。公司设立了专门的人力资源部，建立了独立的劳动人事及工资管理制度，不存在受控</w:t>
      </w:r>
      <w:r>
        <w:rPr>
          <w:spacing w:val="2"/>
        </w:rPr>
        <w:t> </w:t>
      </w:r>
      <w:r>
        <w:rPr>
          <w:spacing w:val="-1"/>
        </w:rPr>
        <w:t>股股东干预的情况。员工的收入由公司独立核算和发放，并已按照国家和地方政府及社会保障部门的有关</w:t>
      </w:r>
      <w:r>
        <w:rPr>
          <w:spacing w:val="-81"/>
        </w:rPr>
        <w:t> </w:t>
      </w:r>
      <w:r>
        <w:rPr>
          <w:spacing w:val="-81"/>
        </w:rPr>
      </w:r>
      <w:r>
        <w:rPr>
          <w:spacing w:val="-1"/>
        </w:rPr>
        <w:t>规定，为员工缴纳养老、医疗、工伤、失业和生育保险以及住房公积金。公司董事、监事均严格按照《公</w:t>
      </w:r>
      <w:r>
        <w:rPr>
          <w:spacing w:val="-85"/>
        </w:rPr>
        <w:t> </w:t>
      </w:r>
      <w:r>
        <w:rPr>
          <w:spacing w:val="-85"/>
        </w:rPr>
      </w:r>
      <w:r>
        <w:rPr>
          <w:spacing w:val="-1"/>
        </w:rPr>
        <w:t>司法》和《公司章程》的有关规定选举产生，高级管理人员均由董事会依职权聘任，不存在控股股东或其</w:t>
      </w:r>
      <w:r>
        <w:rPr>
          <w:spacing w:val="-83"/>
        </w:rPr>
        <w:t> </w:t>
      </w:r>
      <w:r>
        <w:rPr>
          <w:spacing w:val="-83"/>
        </w:rPr>
      </w:r>
      <w:r>
        <w:rPr>
          <w:spacing w:val="-1"/>
        </w:rPr>
        <w:t>他关联方干涉公司人事任免的情况。公司总裁、副总裁、财务负责人和董事会秘书等高级管理人员没有在</w:t>
      </w:r>
      <w:r>
        <w:rPr>
          <w:spacing w:val="-83"/>
        </w:rPr>
        <w:t> </w:t>
      </w:r>
      <w:r>
        <w:rPr>
          <w:spacing w:val="-83"/>
        </w:rPr>
      </w:r>
      <w:r>
        <w:rPr>
          <w:spacing w:val="-1"/>
        </w:rPr>
        <w:t>控股股东、实际控制人及其控制的其他企业中担任除董事、监事以外的其他职务，没有在控股股东、实际</w:t>
      </w:r>
      <w:r>
        <w:rPr>
          <w:spacing w:val="-86"/>
        </w:rPr>
        <w:t> </w:t>
      </w:r>
      <w:r>
        <w:rPr>
          <w:spacing w:val="-86"/>
        </w:rPr>
      </w:r>
      <w:r>
        <w:rPr/>
        <w:t>控制人及其控制的其他企业领薪，财务人员没有在控股股东、实际控制人及其控制的其他企业中兼职。</w:t>
      </w:r>
    </w:p>
    <w:p>
      <w:pPr>
        <w:pStyle w:val="BodyText"/>
        <w:spacing w:line="345" w:lineRule="auto" w:before="72"/>
        <w:ind w:right="1024" w:firstLine="420"/>
        <w:jc w:val="left"/>
      </w:pPr>
      <w:r>
        <w:rPr>
          <w:rFonts w:ascii="Times New Roman" w:hAnsi="Times New Roman" w:cs="Times New Roman" w:eastAsia="Times New Roman" w:hint="default"/>
        </w:rPr>
        <w:t>4</w:t>
      </w:r>
      <w:r>
        <w:rPr/>
        <w:t>、机构独立。公司具有健全的法人治理结构，设立了股东大会、董事会、监事会，聘任了总裁，并 根据生产经营需要设置了各业务中心和相关职能部门，建立完善了各部门规章制度。公司的业务经营场所 </w:t>
      </w:r>
      <w:r>
        <w:rPr>
          <w:spacing w:val="-3"/>
        </w:rPr>
        <w:t>和办公机构与股东单位完全分开，不存在混合经营、合署办公的情形，公司的组织机构独立于各股东单位，</w:t>
      </w:r>
      <w:r>
        <w:rPr>
          <w:spacing w:val="-90"/>
        </w:rPr>
        <w:t> </w:t>
      </w:r>
      <w:r>
        <w:rPr>
          <w:spacing w:val="-90"/>
        </w:rPr>
      </w:r>
      <w:r>
        <w:rPr/>
        <w:t>各职能部门与股东单位及其职能部门之间没有上下级关系，不存在控股股东干预公司内部机构的设置和运</w:t>
      </w:r>
      <w:r>
        <w:rPr/>
        <w:t> 作的情况。</w:t>
      </w:r>
    </w:p>
    <w:p>
      <w:pPr>
        <w:pStyle w:val="BodyText"/>
        <w:spacing w:line="345" w:lineRule="auto" w:before="72"/>
        <w:ind w:left="1134" w:right="1131" w:firstLine="420"/>
        <w:jc w:val="both"/>
      </w:pPr>
      <w:r>
        <w:rPr>
          <w:rFonts w:ascii="Times New Roman" w:hAnsi="Times New Roman" w:cs="Times New Roman" w:eastAsia="Times New Roman" w:hint="default"/>
        </w:rPr>
        <w:t>5</w:t>
      </w:r>
      <w:r>
        <w:rPr/>
        <w:t>、财务独立。公司按照《企业会计准则》等规定制定了规范的财务会计制度和对分公司、子公司的 </w:t>
      </w:r>
      <w:r>
        <w:rPr>
          <w:spacing w:val="-1"/>
        </w:rPr>
        <w:t>财务管理制度，建立了独立的财务会计核算体系，设立了独立的财务会计部门，配备了独立的财务会计人</w:t>
      </w:r>
      <w:r>
        <w:rPr>
          <w:spacing w:val="-83"/>
        </w:rPr>
        <w:t> </w:t>
      </w:r>
      <w:r>
        <w:rPr>
          <w:spacing w:val="-83"/>
        </w:rPr>
      </w:r>
      <w:r>
        <w:rPr>
          <w:spacing w:val="-1"/>
        </w:rPr>
        <w:t>员。公司开设了独立的银行账户，不存在与股东或其他第三方共用银行账户的情况；公司办理了独立的税</w:t>
      </w:r>
      <w:r>
        <w:rPr>
          <w:spacing w:val="-83"/>
        </w:rPr>
        <w:t> </w:t>
      </w:r>
      <w:r>
        <w:rPr>
          <w:spacing w:val="-83"/>
        </w:rPr>
      </w:r>
      <w:r>
        <w:rPr>
          <w:spacing w:val="-1"/>
        </w:rPr>
        <w:t>务登记，依法照章纳税，与股东单位无混合纳税现象。公司不存在货币资金或其他资产被股东单位或其他</w:t>
      </w:r>
      <w:r>
        <w:rPr>
          <w:spacing w:val="-83"/>
        </w:rPr>
        <w:t> </w:t>
      </w:r>
      <w:r>
        <w:rPr>
          <w:spacing w:val="-83"/>
        </w:rPr>
      </w:r>
      <w:r>
        <w:rPr/>
        <w:t>关联方占用的情形，也不存在为股东或其他关联方提供担保的情形。</w:t>
      </w:r>
    </w:p>
    <w:p>
      <w:pPr>
        <w:spacing w:line="240" w:lineRule="auto" w:before="10"/>
        <w:rPr>
          <w:rFonts w:ascii="宋体" w:hAnsi="宋体" w:cs="宋体" w:eastAsia="宋体" w:hint="default"/>
          <w:sz w:val="16"/>
          <w:szCs w:val="16"/>
        </w:rPr>
      </w:pPr>
    </w:p>
    <w:p>
      <w:pPr>
        <w:pStyle w:val="Heading2"/>
        <w:spacing w:line="240" w:lineRule="auto"/>
        <w:ind w:right="0"/>
        <w:jc w:val="both"/>
        <w:rPr>
          <w:b w:val="0"/>
          <w:bCs w:val="0"/>
        </w:rPr>
      </w:pPr>
      <w:bookmarkStart w:name="三、同业竞争情况" w:id="137"/>
      <w:bookmarkEnd w:id="137"/>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0" w:right="1141" w:firstLine="0"/>
        <w:jc w:val="right"/>
        <w:rPr>
          <w:rFonts w:ascii="宋体" w:hAnsi="宋体" w:cs="宋体" w:eastAsia="宋体" w:hint="default"/>
          <w:sz w:val="18"/>
          <w:szCs w:val="18"/>
        </w:rPr>
      </w:pPr>
      <w:r>
        <w:rPr/>
        <w:pict>
          <v:shape style="position:absolute;margin-left:56.459999pt;margin-top:-85.598274pt;width:479.1pt;height:123.2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40"/>
                    <w:gridCol w:w="851"/>
                    <w:gridCol w:w="1559"/>
                    <w:gridCol w:w="1559"/>
                    <w:gridCol w:w="2763"/>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23"/>
                          <w:jc w:val="both"/>
                          <w:rPr>
                            <w:rFonts w:ascii="Times New Roman" w:hAnsi="Times New Roman" w:cs="Times New Roman" w:eastAsia="Times New Roman" w:hint="default"/>
                            <w:sz w:val="18"/>
                            <w:szCs w:val="18"/>
                          </w:rPr>
                        </w:pPr>
                        <w:r>
                          <w:rPr>
                            <w:rFonts w:ascii="宋体" w:hAnsi="宋体" w:cs="宋体" w:eastAsia="宋体" w:hint="default"/>
                            <w:spacing w:val="-7"/>
                            <w:w w:val="99"/>
                            <w:sz w:val="18"/>
                            <w:szCs w:val="18"/>
                          </w:rPr>
                          <w:t>（</w:t>
                        </w:r>
                        <w:hyperlink r:id="rId12">
                          <w:r>
                            <w:rPr>
                              <w:rFonts w:ascii="Times New Roman" w:hAnsi="Times New Roman" w:cs="Times New Roman" w:eastAsia="Times New Roman" w:hint="default"/>
                              <w:spacing w:val="-7"/>
                              <w:w w:val="99"/>
                              <w:sz w:val="18"/>
                              <w:szCs w:val="18"/>
                            </w:rPr>
                            <w:t>http://www.cninfo.com.cn</w:t>
                          </w:r>
                        </w:hyperlink>
                        <w:r>
                          <w:rPr>
                            <w:rFonts w:ascii="宋体" w:hAnsi="宋体" w:cs="宋体" w:eastAsia="宋体" w:hint="default"/>
                            <w:spacing w:val="-7"/>
                            <w:w w:val="99"/>
                            <w:sz w:val="18"/>
                            <w:szCs w:val="18"/>
                          </w:rPr>
                          <w:t>）《</w:t>
                        </w:r>
                        <w:r>
                          <w:rPr>
                            <w:rFonts w:ascii="宋体" w:hAnsi="宋体" w:cs="宋体" w:eastAsia="宋体" w:hint="default"/>
                            <w:spacing w:val="4"/>
                            <w:w w:val="99"/>
                            <w:sz w:val="18"/>
                            <w:szCs w:val="18"/>
                          </w:rPr>
                          <w:t> </w:t>
                        </w:r>
                        <w:r>
                          <w:rPr>
                            <w:rFonts w:ascii="宋体" w:hAnsi="宋体" w:cs="宋体" w:eastAsia="宋体" w:hint="default"/>
                            <w:sz w:val="18"/>
                            <w:szCs w:val="18"/>
                          </w:rPr>
                          <w:t>蓝盾</w:t>
                        </w:r>
                        <w:r>
                          <w:rPr>
                            <w:rFonts w:ascii="宋体" w:hAnsi="宋体" w:cs="宋体" w:eastAsia="宋体" w:hint="default"/>
                            <w:sz w:val="18"/>
                            <w:szCs w:val="18"/>
                          </w:rPr>
                          <w:t> </w:t>
                        </w:r>
                        <w:r>
                          <w:rPr>
                            <w:rFonts w:ascii="宋体" w:hAnsi="宋体" w:cs="宋体" w:eastAsia="宋体" w:hint="default"/>
                            <w:spacing w:val="-6"/>
                            <w:sz w:val="18"/>
                            <w:szCs w:val="18"/>
                          </w:rPr>
                          <w:t>股份：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 </w:t>
                        </w:r>
                        <w:r>
                          <w:rPr>
                            <w:rFonts w:ascii="宋体" w:hAnsi="宋体" w:cs="宋体" w:eastAsia="宋体" w:hint="default"/>
                            <w:spacing w:val="-12"/>
                            <w:sz w:val="18"/>
                            <w:szCs w:val="18"/>
                          </w:rPr>
                          <w:t>决议的公告》（公告编号：</w:t>
                        </w:r>
                        <w:r>
                          <w:rPr>
                            <w:rFonts w:ascii="Times New Roman" w:hAnsi="Times New Roman" w:cs="Times New Roman" w:eastAsia="Times New Roman" w:hint="default"/>
                            <w:spacing w:val="-12"/>
                            <w:sz w:val="18"/>
                            <w:szCs w:val="18"/>
                          </w:rPr>
                          <w:t>2017-016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0" w:right="1141" w:firstLine="0"/>
        <w:jc w:val="right"/>
        <w:rPr>
          <w:rFonts w:ascii="宋体" w:hAnsi="宋体" w:cs="宋体" w:eastAsia="宋体" w:hint="default"/>
          <w:sz w:val="18"/>
          <w:szCs w:val="18"/>
        </w:rPr>
      </w:pPr>
      <w:r>
        <w:rPr/>
        <w:pict>
          <v:shape style="position:absolute;margin-left:56.459999pt;margin-top:-32.268265pt;width:479.1pt;height:317.4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40"/>
                    <w:gridCol w:w="851"/>
                    <w:gridCol w:w="1559"/>
                    <w:gridCol w:w="1559"/>
                    <w:gridCol w:w="2763"/>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24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both"/>
                          <w:rPr>
                            <w:rFonts w:ascii="Times New Roman" w:hAnsi="Times New Roman" w:cs="Times New Roman" w:eastAsia="Times New Roman" w:hint="default"/>
                            <w:sz w:val="18"/>
                            <w:szCs w:val="18"/>
                          </w:rPr>
                        </w:pPr>
                        <w:r>
                          <w:rPr>
                            <w:rFonts w:ascii="宋体" w:hAnsi="宋体" w:cs="宋体" w:eastAsia="宋体" w:hint="default"/>
                            <w:spacing w:val="-7"/>
                            <w:w w:val="99"/>
                            <w:sz w:val="18"/>
                            <w:szCs w:val="18"/>
                          </w:rPr>
                          <w:t>（</w:t>
                        </w:r>
                        <w:hyperlink r:id="rId12">
                          <w:r>
                            <w:rPr>
                              <w:rFonts w:ascii="Times New Roman" w:hAnsi="Times New Roman" w:cs="Times New Roman" w:eastAsia="Times New Roman" w:hint="default"/>
                              <w:spacing w:val="-7"/>
                              <w:w w:val="99"/>
                              <w:sz w:val="18"/>
                              <w:szCs w:val="18"/>
                            </w:rPr>
                            <w:t>http://www.cninfo.com.cn</w:t>
                          </w:r>
                        </w:hyperlink>
                        <w:r>
                          <w:rPr>
                            <w:rFonts w:ascii="宋体" w:hAnsi="宋体" w:cs="宋体" w:eastAsia="宋体" w:hint="default"/>
                            <w:spacing w:val="-7"/>
                            <w:w w:val="99"/>
                            <w:sz w:val="18"/>
                            <w:szCs w:val="18"/>
                          </w:rPr>
                          <w:t>）《</w:t>
                        </w:r>
                        <w:r>
                          <w:rPr>
                            <w:rFonts w:ascii="宋体" w:hAnsi="宋体" w:cs="宋体" w:eastAsia="宋体" w:hint="default"/>
                            <w:spacing w:val="4"/>
                            <w:w w:val="99"/>
                            <w:sz w:val="18"/>
                            <w:szCs w:val="18"/>
                          </w:rPr>
                          <w:t> </w:t>
                        </w:r>
                        <w:r>
                          <w:rPr>
                            <w:rFonts w:ascii="宋体" w:hAnsi="宋体" w:cs="宋体" w:eastAsia="宋体" w:hint="default"/>
                            <w:sz w:val="18"/>
                            <w:szCs w:val="18"/>
                          </w:rPr>
                          <w:t>蓝盾</w:t>
                        </w:r>
                        <w:r>
                          <w:rPr>
                            <w:rFonts w:ascii="宋体" w:hAnsi="宋体" w:cs="宋体" w:eastAsia="宋体" w:hint="default"/>
                            <w:sz w:val="18"/>
                            <w:szCs w:val="18"/>
                          </w:rPr>
                          <w:t> </w:t>
                        </w:r>
                        <w:r>
                          <w:rPr>
                            <w:rFonts w:ascii="宋体" w:hAnsi="宋体" w:cs="宋体" w:eastAsia="宋体" w:hint="default"/>
                            <w:spacing w:val="-6"/>
                            <w:sz w:val="18"/>
                            <w:szCs w:val="18"/>
                          </w:rPr>
                          <w:t>股份：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 </w:t>
                        </w:r>
                        <w:r>
                          <w:rPr>
                            <w:rFonts w:ascii="宋体" w:hAnsi="宋体" w:cs="宋体" w:eastAsia="宋体" w:hint="default"/>
                            <w:spacing w:val="-12"/>
                            <w:sz w:val="18"/>
                            <w:szCs w:val="18"/>
                          </w:rPr>
                          <w:t>决议的公告》（公告编号：</w:t>
                        </w:r>
                        <w:r>
                          <w:rPr>
                            <w:rFonts w:ascii="Times New Roman" w:hAnsi="Times New Roman" w:cs="Times New Roman" w:eastAsia="Times New Roman" w:hint="default"/>
                            <w:spacing w:val="-12"/>
                            <w:sz w:val="18"/>
                            <w:szCs w:val="18"/>
                          </w:rPr>
                          <w:t>2017-060</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23"/>
                          <w:jc w:val="both"/>
                          <w:rPr>
                            <w:rFonts w:ascii="宋体" w:hAnsi="宋体" w:cs="宋体" w:eastAsia="宋体" w:hint="default"/>
                            <w:sz w:val="18"/>
                            <w:szCs w:val="18"/>
                          </w:rPr>
                        </w:pPr>
                        <w:r>
                          <w:rPr>
                            <w:rFonts w:ascii="宋体" w:hAnsi="宋体" w:cs="宋体" w:eastAsia="宋体" w:hint="default"/>
                            <w:spacing w:val="-7"/>
                            <w:w w:val="99"/>
                            <w:sz w:val="18"/>
                            <w:szCs w:val="18"/>
                          </w:rPr>
                          <w:t>（</w:t>
                        </w:r>
                        <w:hyperlink r:id="rId12">
                          <w:r>
                            <w:rPr>
                              <w:rFonts w:ascii="Times New Roman" w:hAnsi="Times New Roman" w:cs="Times New Roman" w:eastAsia="Times New Roman" w:hint="default"/>
                              <w:spacing w:val="-7"/>
                              <w:w w:val="99"/>
                              <w:sz w:val="18"/>
                              <w:szCs w:val="18"/>
                            </w:rPr>
                            <w:t>http://www.cninfo.com.cn</w:t>
                          </w:r>
                        </w:hyperlink>
                        <w:r>
                          <w:rPr>
                            <w:rFonts w:ascii="宋体" w:hAnsi="宋体" w:cs="宋体" w:eastAsia="宋体" w:hint="default"/>
                            <w:spacing w:val="-7"/>
                            <w:w w:val="99"/>
                            <w:sz w:val="18"/>
                            <w:szCs w:val="18"/>
                          </w:rPr>
                          <w:t>）《</w:t>
                        </w:r>
                        <w:r>
                          <w:rPr>
                            <w:rFonts w:ascii="宋体" w:hAnsi="宋体" w:cs="宋体" w:eastAsia="宋体" w:hint="default"/>
                            <w:spacing w:val="4"/>
                            <w:w w:val="99"/>
                            <w:sz w:val="18"/>
                            <w:szCs w:val="18"/>
                          </w:rPr>
                          <w:t> </w:t>
                        </w:r>
                        <w:r>
                          <w:rPr>
                            <w:rFonts w:ascii="宋体" w:hAnsi="宋体" w:cs="宋体" w:eastAsia="宋体" w:hint="default"/>
                            <w:sz w:val="18"/>
                            <w:szCs w:val="18"/>
                          </w:rPr>
                          <w:t>蓝盾</w:t>
                        </w:r>
                        <w:r>
                          <w:rPr>
                            <w:rFonts w:ascii="宋体" w:hAnsi="宋体" w:cs="宋体" w:eastAsia="宋体" w:hint="default"/>
                            <w:sz w:val="18"/>
                            <w:szCs w:val="18"/>
                          </w:rPr>
                          <w:t> </w:t>
                        </w:r>
                        <w:r>
                          <w:rPr>
                            <w:rFonts w:ascii="宋体" w:hAnsi="宋体" w:cs="宋体" w:eastAsia="宋体" w:hint="default"/>
                            <w:spacing w:val="-6"/>
                            <w:sz w:val="18"/>
                            <w:szCs w:val="18"/>
                          </w:rPr>
                          <w:t>股份：</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年年度股东大会决议的 </w:t>
                        </w:r>
                        <w:r>
                          <w:rPr>
                            <w:rFonts w:ascii="宋体" w:hAnsi="宋体" w:cs="宋体" w:eastAsia="宋体" w:hint="default"/>
                            <w:spacing w:val="-5"/>
                            <w:sz w:val="18"/>
                            <w:szCs w:val="18"/>
                          </w:rPr>
                          <w:t>公告》（公告编号：</w:t>
                        </w:r>
                        <w:r>
                          <w:rPr>
                            <w:rFonts w:ascii="Times New Roman" w:hAnsi="Times New Roman" w:cs="Times New Roman" w:eastAsia="Times New Roman" w:hint="default"/>
                            <w:spacing w:val="-5"/>
                            <w:sz w:val="18"/>
                            <w:szCs w:val="18"/>
                          </w:rPr>
                          <w:t>2017-070</w:t>
                        </w:r>
                        <w:r>
                          <w:rPr>
                            <w:rFonts w:ascii="宋体" w:hAnsi="宋体" w:cs="宋体" w:eastAsia="宋体" w:hint="default"/>
                            <w:spacing w:val="-5"/>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23"/>
                          <w:jc w:val="both"/>
                          <w:rPr>
                            <w:rFonts w:ascii="Times New Roman" w:hAnsi="Times New Roman" w:cs="Times New Roman" w:eastAsia="Times New Roman" w:hint="default"/>
                            <w:sz w:val="18"/>
                            <w:szCs w:val="18"/>
                          </w:rPr>
                        </w:pPr>
                        <w:r>
                          <w:rPr>
                            <w:rFonts w:ascii="宋体" w:hAnsi="宋体" w:cs="宋体" w:eastAsia="宋体" w:hint="default"/>
                            <w:spacing w:val="-7"/>
                            <w:w w:val="99"/>
                            <w:sz w:val="18"/>
                            <w:szCs w:val="18"/>
                          </w:rPr>
                          <w:t>（</w:t>
                        </w:r>
                        <w:hyperlink r:id="rId12">
                          <w:r>
                            <w:rPr>
                              <w:rFonts w:ascii="Times New Roman" w:hAnsi="Times New Roman" w:cs="Times New Roman" w:eastAsia="Times New Roman" w:hint="default"/>
                              <w:spacing w:val="-7"/>
                              <w:w w:val="99"/>
                              <w:sz w:val="18"/>
                              <w:szCs w:val="18"/>
                            </w:rPr>
                            <w:t>http://www.cninfo.com.cn</w:t>
                          </w:r>
                        </w:hyperlink>
                        <w:r>
                          <w:rPr>
                            <w:rFonts w:ascii="宋体" w:hAnsi="宋体" w:cs="宋体" w:eastAsia="宋体" w:hint="default"/>
                            <w:spacing w:val="-7"/>
                            <w:w w:val="99"/>
                            <w:sz w:val="18"/>
                            <w:szCs w:val="18"/>
                          </w:rPr>
                          <w:t>）《</w:t>
                        </w:r>
                        <w:r>
                          <w:rPr>
                            <w:rFonts w:ascii="宋体" w:hAnsi="宋体" w:cs="宋体" w:eastAsia="宋体" w:hint="default"/>
                            <w:spacing w:val="4"/>
                            <w:w w:val="99"/>
                            <w:sz w:val="18"/>
                            <w:szCs w:val="18"/>
                          </w:rPr>
                          <w:t> </w:t>
                        </w:r>
                        <w:r>
                          <w:rPr>
                            <w:rFonts w:ascii="宋体" w:hAnsi="宋体" w:cs="宋体" w:eastAsia="宋体" w:hint="default"/>
                            <w:sz w:val="18"/>
                            <w:szCs w:val="18"/>
                          </w:rPr>
                          <w:t>蓝盾</w:t>
                        </w:r>
                        <w:r>
                          <w:rPr>
                            <w:rFonts w:ascii="宋体" w:hAnsi="宋体" w:cs="宋体" w:eastAsia="宋体" w:hint="default"/>
                            <w:sz w:val="18"/>
                            <w:szCs w:val="18"/>
                          </w:rPr>
                          <w:t> </w:t>
                        </w:r>
                        <w:r>
                          <w:rPr>
                            <w:rFonts w:ascii="宋体" w:hAnsi="宋体" w:cs="宋体" w:eastAsia="宋体" w:hint="default"/>
                            <w:spacing w:val="-6"/>
                            <w:sz w:val="18"/>
                            <w:szCs w:val="18"/>
                          </w:rPr>
                          <w:t>股份：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 </w:t>
                        </w:r>
                        <w:r>
                          <w:rPr>
                            <w:rFonts w:ascii="宋体" w:hAnsi="宋体" w:cs="宋体" w:eastAsia="宋体" w:hint="default"/>
                            <w:spacing w:val="-12"/>
                            <w:sz w:val="18"/>
                            <w:szCs w:val="18"/>
                          </w:rPr>
                          <w:t>决议的公告》（公告编号：</w:t>
                        </w:r>
                        <w:r>
                          <w:rPr>
                            <w:rFonts w:ascii="Times New Roman" w:hAnsi="Times New Roman" w:cs="Times New Roman" w:eastAsia="Times New Roman" w:hint="default"/>
                            <w:spacing w:val="-12"/>
                            <w:sz w:val="18"/>
                            <w:szCs w:val="18"/>
                          </w:rPr>
                          <w:t>2017-085</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23"/>
                          <w:jc w:val="both"/>
                          <w:rPr>
                            <w:rFonts w:ascii="Times New Roman" w:hAnsi="Times New Roman" w:cs="Times New Roman" w:eastAsia="Times New Roman" w:hint="default"/>
                            <w:sz w:val="18"/>
                            <w:szCs w:val="18"/>
                          </w:rPr>
                        </w:pPr>
                        <w:r>
                          <w:rPr>
                            <w:rFonts w:ascii="宋体" w:hAnsi="宋体" w:cs="宋体" w:eastAsia="宋体" w:hint="default"/>
                            <w:spacing w:val="-7"/>
                            <w:w w:val="99"/>
                            <w:sz w:val="18"/>
                            <w:szCs w:val="18"/>
                          </w:rPr>
                          <w:t>（</w:t>
                        </w:r>
                        <w:hyperlink r:id="rId12">
                          <w:r>
                            <w:rPr>
                              <w:rFonts w:ascii="Times New Roman" w:hAnsi="Times New Roman" w:cs="Times New Roman" w:eastAsia="Times New Roman" w:hint="default"/>
                              <w:spacing w:val="-7"/>
                              <w:w w:val="99"/>
                              <w:sz w:val="18"/>
                              <w:szCs w:val="18"/>
                            </w:rPr>
                            <w:t>http://www.cninfo.com.cn</w:t>
                          </w:r>
                        </w:hyperlink>
                        <w:r>
                          <w:rPr>
                            <w:rFonts w:ascii="宋体" w:hAnsi="宋体" w:cs="宋体" w:eastAsia="宋体" w:hint="default"/>
                            <w:spacing w:val="-7"/>
                            <w:w w:val="99"/>
                            <w:sz w:val="18"/>
                            <w:szCs w:val="18"/>
                          </w:rPr>
                          <w:t>）《</w:t>
                        </w:r>
                        <w:r>
                          <w:rPr>
                            <w:rFonts w:ascii="宋体" w:hAnsi="宋体" w:cs="宋体" w:eastAsia="宋体" w:hint="default"/>
                            <w:spacing w:val="4"/>
                            <w:w w:val="99"/>
                            <w:sz w:val="18"/>
                            <w:szCs w:val="18"/>
                          </w:rPr>
                          <w:t> </w:t>
                        </w:r>
                        <w:r>
                          <w:rPr>
                            <w:rFonts w:ascii="宋体" w:hAnsi="宋体" w:cs="宋体" w:eastAsia="宋体" w:hint="default"/>
                            <w:sz w:val="18"/>
                            <w:szCs w:val="18"/>
                          </w:rPr>
                          <w:t>蓝盾</w:t>
                        </w:r>
                        <w:r>
                          <w:rPr>
                            <w:rFonts w:ascii="宋体" w:hAnsi="宋体" w:cs="宋体" w:eastAsia="宋体" w:hint="default"/>
                            <w:sz w:val="18"/>
                            <w:szCs w:val="18"/>
                          </w:rPr>
                          <w:t> </w:t>
                        </w:r>
                        <w:r>
                          <w:rPr>
                            <w:rFonts w:ascii="宋体" w:hAnsi="宋体" w:cs="宋体" w:eastAsia="宋体" w:hint="default"/>
                            <w:spacing w:val="-6"/>
                            <w:sz w:val="18"/>
                            <w:szCs w:val="18"/>
                          </w:rPr>
                          <w:t>股份：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 </w:t>
                        </w:r>
                        <w:r>
                          <w:rPr>
                            <w:rFonts w:ascii="宋体" w:hAnsi="宋体" w:cs="宋体" w:eastAsia="宋体" w:hint="default"/>
                            <w:spacing w:val="-12"/>
                            <w:sz w:val="18"/>
                            <w:szCs w:val="18"/>
                          </w:rPr>
                          <w:t>决议的公告》（公告编号：</w:t>
                        </w:r>
                        <w:r>
                          <w:rPr>
                            <w:rFonts w:ascii="Times New Roman" w:hAnsi="Times New Roman" w:cs="Times New Roman" w:eastAsia="Times New Roman" w:hint="default"/>
                            <w:spacing w:val="-12"/>
                            <w:sz w:val="18"/>
                            <w:szCs w:val="18"/>
                          </w:rPr>
                          <w:t>2017-101</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23"/>
                          <w:jc w:val="both"/>
                          <w:rPr>
                            <w:rFonts w:ascii="Times New Roman" w:hAnsi="Times New Roman" w:cs="Times New Roman" w:eastAsia="Times New Roman" w:hint="default"/>
                            <w:sz w:val="18"/>
                            <w:szCs w:val="18"/>
                          </w:rPr>
                        </w:pPr>
                        <w:r>
                          <w:rPr>
                            <w:rFonts w:ascii="宋体" w:hAnsi="宋体" w:cs="宋体" w:eastAsia="宋体" w:hint="default"/>
                            <w:spacing w:val="-7"/>
                            <w:w w:val="99"/>
                            <w:sz w:val="18"/>
                            <w:szCs w:val="18"/>
                          </w:rPr>
                          <w:t>（</w:t>
                        </w:r>
                        <w:hyperlink r:id="rId12">
                          <w:r>
                            <w:rPr>
                              <w:rFonts w:ascii="Times New Roman" w:hAnsi="Times New Roman" w:cs="Times New Roman" w:eastAsia="Times New Roman" w:hint="default"/>
                              <w:spacing w:val="-7"/>
                              <w:w w:val="99"/>
                              <w:sz w:val="18"/>
                              <w:szCs w:val="18"/>
                            </w:rPr>
                            <w:t>http://www.cninfo.com.cn</w:t>
                          </w:r>
                        </w:hyperlink>
                        <w:r>
                          <w:rPr>
                            <w:rFonts w:ascii="宋体" w:hAnsi="宋体" w:cs="宋体" w:eastAsia="宋体" w:hint="default"/>
                            <w:spacing w:val="-7"/>
                            <w:w w:val="99"/>
                            <w:sz w:val="18"/>
                            <w:szCs w:val="18"/>
                          </w:rPr>
                          <w:t>）《</w:t>
                        </w:r>
                        <w:r>
                          <w:rPr>
                            <w:rFonts w:ascii="宋体" w:hAnsi="宋体" w:cs="宋体" w:eastAsia="宋体" w:hint="default"/>
                            <w:spacing w:val="4"/>
                            <w:w w:val="99"/>
                            <w:sz w:val="18"/>
                            <w:szCs w:val="18"/>
                          </w:rPr>
                          <w:t> </w:t>
                        </w:r>
                        <w:r>
                          <w:rPr>
                            <w:rFonts w:ascii="宋体" w:hAnsi="宋体" w:cs="宋体" w:eastAsia="宋体" w:hint="default"/>
                            <w:sz w:val="18"/>
                            <w:szCs w:val="18"/>
                          </w:rPr>
                          <w:t>蓝盾</w:t>
                        </w:r>
                        <w:r>
                          <w:rPr>
                            <w:rFonts w:ascii="宋体" w:hAnsi="宋体" w:cs="宋体" w:eastAsia="宋体" w:hint="default"/>
                            <w:sz w:val="18"/>
                            <w:szCs w:val="18"/>
                          </w:rPr>
                          <w:t> </w:t>
                        </w:r>
                        <w:r>
                          <w:rPr>
                            <w:rFonts w:ascii="宋体" w:hAnsi="宋体" w:cs="宋体" w:eastAsia="宋体" w:hint="default"/>
                            <w:spacing w:val="-6"/>
                            <w:sz w:val="18"/>
                            <w:szCs w:val="18"/>
                          </w:rPr>
                          <w:t>股份：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年第五次临时股东大会 </w:t>
                        </w:r>
                        <w:r>
                          <w:rPr>
                            <w:rFonts w:ascii="宋体" w:hAnsi="宋体" w:cs="宋体" w:eastAsia="宋体" w:hint="default"/>
                            <w:spacing w:val="-12"/>
                            <w:sz w:val="18"/>
                            <w:szCs w:val="18"/>
                          </w:rPr>
                          <w:t>决议的公告》（公告编号：</w:t>
                        </w:r>
                        <w:r>
                          <w:rPr>
                            <w:rFonts w:ascii="Times New Roman" w:hAnsi="Times New Roman" w:cs="Times New Roman" w:eastAsia="Times New Roman" w:hint="default"/>
                            <w:spacing w:val="-12"/>
                            <w:sz w:val="18"/>
                            <w:szCs w:val="18"/>
                          </w:rPr>
                          <w:t>2017-120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3"/>
        <w:spacing w:line="240" w:lineRule="auto" w:before="35"/>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line="338" w:lineRule="auto" w:before="44"/>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133" w:right="0"/>
        <w:jc w:val="both"/>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40" w:lineRule="auto" w:before="105"/>
        <w:ind w:left="1553" w:right="0"/>
        <w:jc w:val="left"/>
      </w:pPr>
      <w:r>
        <w:rPr>
          <w:spacing w:val="-8"/>
        </w:rPr>
        <w:t>报告期内，公司独立董事严格按照《公司法》、《证券法》、《深圳证券交易所创业板股票上市规则》、</w:t>
      </w:r>
    </w:p>
    <w:p>
      <w:pPr>
        <w:pStyle w:val="BodyText"/>
        <w:spacing w:line="350" w:lineRule="auto" w:before="126"/>
        <w:ind w:right="1027"/>
        <w:jc w:val="both"/>
      </w:pPr>
      <w:r>
        <w:rPr/>
        <w:t>《深圳证券交易所创业板上市公司规范运作指引》、《公司章程》及《独立董事工作细则》等法律法规及 规章制度的相关规定，忠实勤勉地履行独立董事职责，积极出席报告期内公司召开的相关会议，认真审议 董事会各项议案，对相关事项发表了独立意见，也在公司的制度完善和日常经营决策等方面提出了专业性 建议，</w:t>
      </w:r>
      <w:r>
        <w:rPr>
          <w:spacing w:val="-21"/>
        </w:rPr>
        <w:t> </w:t>
      </w:r>
      <w:r>
        <w:rPr/>
        <w:t>并被公司予以采纳，较好的发挥了独立董事的作用，切实维护了公司和股东尤其是中小股东利益。</w:t>
      </w:r>
    </w:p>
    <w:p>
      <w:pPr>
        <w:spacing w:line="240" w:lineRule="auto" w:before="6"/>
        <w:rPr>
          <w:rFonts w:ascii="宋体" w:hAnsi="宋体" w:cs="宋体" w:eastAsia="宋体" w:hint="default"/>
          <w:sz w:val="16"/>
          <w:szCs w:val="16"/>
        </w:rPr>
      </w:pPr>
    </w:p>
    <w:p>
      <w:pPr>
        <w:pStyle w:val="Heading2"/>
        <w:spacing w:line="240" w:lineRule="auto"/>
        <w:ind w:right="0"/>
        <w:jc w:val="both"/>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1"/>
          <w:szCs w:val="31"/>
        </w:rPr>
      </w:pPr>
    </w:p>
    <w:p>
      <w:pPr>
        <w:spacing w:line="362" w:lineRule="auto" w:before="0"/>
        <w:ind w:left="1553" w:right="42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、董事会战略委员会履职情况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报告期内，董事会战略委员会共召开了一次会议，具体内容如下：</w:t>
      </w:r>
    </w:p>
    <w:p>
      <w:pPr>
        <w:pStyle w:val="BodyText"/>
        <w:spacing w:line="331" w:lineRule="auto" w:before="57"/>
        <w:ind w:right="0" w:firstLine="42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日第三届董事会战略委员会召开第三次会议，与会委员审议并通过了《关于</w:t>
      </w:r>
      <w:r>
        <w:rPr>
          <w:rFonts w:ascii="Times New Roman" w:hAnsi="Times New Roman" w:cs="Times New Roman" w:eastAsia="Times New Roman" w:hint="default"/>
          <w:spacing w:val="-1"/>
        </w:rPr>
        <w:t>2017</w:t>
      </w:r>
      <w:r>
        <w:rPr>
          <w:spacing w:val="-1"/>
        </w:rPr>
        <w:t>年度公司</w:t>
      </w:r>
      <w:r>
        <w:rPr/>
        <w:t> 向银行申请综合授信额度并为其提供担保的议案》。</w:t>
      </w:r>
    </w:p>
    <w:p>
      <w:pPr>
        <w:spacing w:line="362" w:lineRule="auto" w:before="84"/>
        <w:ind w:left="1554" w:right="42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、董事会审计委员会履职情况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报告期内，董事会审计委员会共召开了四次会议，具体内容如下：</w:t>
      </w:r>
    </w:p>
    <w:p>
      <w:pPr>
        <w:pStyle w:val="BodyText"/>
        <w:spacing w:line="328" w:lineRule="auto" w:before="58"/>
        <w:ind w:left="1134" w:right="0"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日第三届董事会审计委员会召开第十次会议，与会委员审议并通过了《关于公司内 部审计部</w:t>
      </w:r>
      <w:r>
        <w:rPr>
          <w:rFonts w:ascii="Times New Roman" w:hAnsi="Times New Roman" w:cs="Times New Roman" w:eastAsia="Times New Roman" w:hint="default"/>
        </w:rPr>
        <w:t>2016</w:t>
      </w:r>
      <w:r>
        <w:rPr/>
        <w:t>年年度工作报告的议案》、《关于公司内部审计部</w:t>
      </w:r>
      <w:r>
        <w:rPr>
          <w:rFonts w:ascii="Times New Roman" w:hAnsi="Times New Roman" w:cs="Times New Roman" w:eastAsia="Times New Roman" w:hint="default"/>
        </w:rPr>
        <w:t>2017</w:t>
      </w:r>
      <w:r>
        <w:rPr/>
        <w:t>年年度工作计划的议案》</w:t>
      </w:r>
      <w:r>
        <w:rPr>
          <w:spacing w:val="-24"/>
        </w:rPr>
        <w:t> </w:t>
      </w:r>
      <w:r>
        <w:rPr/>
        <w:t>；</w:t>
      </w:r>
    </w:p>
    <w:p>
      <w:pPr>
        <w:pStyle w:val="BodyText"/>
        <w:spacing w:line="331" w:lineRule="auto" w:before="63"/>
        <w:ind w:right="1025"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日第三届董事会审计委员会召开第十一次会议，与会委员审议并通过了《关于</w:t>
      </w:r>
      <w:r>
        <w:rPr>
          <w:rFonts w:ascii="Times New Roman" w:hAnsi="Times New Roman" w:cs="Times New Roman" w:eastAsia="Times New Roman" w:hint="default"/>
        </w:rPr>
        <w:t>&lt;</w:t>
      </w:r>
      <w:r>
        <w:rPr/>
        <w:t>公 司内部审计部</w:t>
      </w:r>
      <w:r>
        <w:rPr>
          <w:rFonts w:ascii="Times New Roman" w:hAnsi="Times New Roman" w:cs="Times New Roman" w:eastAsia="Times New Roman" w:hint="default"/>
        </w:rPr>
        <w:t>2017</w:t>
      </w:r>
      <w:r>
        <w:rPr/>
        <w:t>年第一季度工作总结及第二季度工作计划</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2016</w:t>
      </w:r>
      <w:r>
        <w:rPr/>
        <w:t>年年度财务决算 </w:t>
      </w:r>
      <w:r>
        <w:rPr>
          <w:spacing w:val="-1"/>
        </w:rPr>
        <w:t>报告</w:t>
      </w:r>
      <w:r>
        <w:rPr>
          <w:rFonts w:ascii="Times New Roman" w:hAnsi="Times New Roman" w:cs="Times New Roman" w:eastAsia="Times New Roman" w:hint="default"/>
          <w:spacing w:val="-1"/>
        </w:rPr>
        <w:t>&gt;</w:t>
      </w:r>
      <w:r>
        <w:rPr>
          <w:spacing w:val="-1"/>
        </w:rPr>
        <w:t>的议案》、《关于〈公司</w:t>
      </w:r>
      <w:r>
        <w:rPr>
          <w:rFonts w:ascii="Times New Roman" w:hAnsi="Times New Roman" w:cs="Times New Roman" w:eastAsia="Times New Roman" w:hint="default"/>
          <w:spacing w:val="-1"/>
        </w:rPr>
        <w:t>2016</w:t>
      </w:r>
      <w:r>
        <w:rPr>
          <w:spacing w:val="-1"/>
        </w:rPr>
        <w:t>年年度报告〉及其摘要的议案》、《关于〈公司</w:t>
      </w:r>
      <w:r>
        <w:rPr>
          <w:rFonts w:ascii="Times New Roman" w:hAnsi="Times New Roman" w:cs="Times New Roman" w:eastAsia="Times New Roman" w:hint="default"/>
          <w:spacing w:val="-1"/>
        </w:rPr>
        <w:t>2016</w:t>
      </w:r>
      <w:r>
        <w:rPr>
          <w:spacing w:val="-1"/>
        </w:rPr>
        <w:t>年年度审计报告〉</w:t>
      </w:r>
      <w:r>
        <w:rPr>
          <w:spacing w:val="-96"/>
        </w:rPr>
        <w:t> </w:t>
      </w:r>
      <w:r>
        <w:rPr>
          <w:spacing w:val="-96"/>
        </w:rPr>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2016</w:t>
      </w:r>
      <w:r>
        <w:rPr/>
        <w:t>年年度利润分配预案</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2016</w:t>
      </w:r>
      <w:r>
        <w:rPr/>
        <w:t>年度内部控制自我评价报</w:t>
      </w:r>
      <w:r>
        <w:rPr>
          <w:spacing w:val="-67"/>
        </w:rPr>
        <w:t> </w:t>
      </w:r>
      <w:r>
        <w:rPr>
          <w:spacing w:val="-67"/>
        </w:rPr>
      </w:r>
      <w:r>
        <w:rPr/>
        <w:t>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2016</w:t>
      </w:r>
      <w:r>
        <w:rPr/>
        <w:t>年度募集资金存放与使用情况的专项报告</w:t>
      </w:r>
      <w:r>
        <w:rPr>
          <w:rFonts w:ascii="Times New Roman" w:hAnsi="Times New Roman" w:cs="Times New Roman" w:eastAsia="Times New Roman" w:hint="default"/>
        </w:rPr>
        <w:t>&gt;</w:t>
      </w:r>
      <w:r>
        <w:rPr/>
        <w:t>的议案》、《关于公司</w:t>
      </w:r>
      <w:r>
        <w:rPr>
          <w:spacing w:val="-41"/>
        </w:rPr>
        <w:t> </w:t>
      </w:r>
      <w:r>
        <w:rPr>
          <w:rFonts w:ascii="Times New Roman" w:hAnsi="Times New Roman" w:cs="Times New Roman" w:eastAsia="Times New Roman" w:hint="default"/>
        </w:rPr>
        <w:t>2016</w:t>
      </w:r>
      <w:r>
        <w:rPr/>
        <w:t>年 度计提资产减值准备的议案》、《关于广州华炜科技有限公司</w:t>
      </w:r>
      <w:r>
        <w:rPr>
          <w:rFonts w:ascii="Times New Roman" w:hAnsi="Times New Roman" w:cs="Times New Roman" w:eastAsia="Times New Roman" w:hint="default"/>
        </w:rPr>
        <w:t>2016</w:t>
      </w:r>
      <w:r>
        <w:rPr/>
        <w:t>年度业绩承诺实现情况的议案》、《关 于中经汇通电子商务有限公司及汇通宝支付有限责任公司</w:t>
      </w:r>
      <w:r>
        <w:rPr>
          <w:rFonts w:ascii="Times New Roman" w:hAnsi="Times New Roman" w:cs="Times New Roman" w:eastAsia="Times New Roman" w:hint="default"/>
        </w:rPr>
        <w:t>2016</w:t>
      </w:r>
      <w:r>
        <w:rPr/>
        <w:t>年度业绩承诺实现情况的议案》、《关于深 圳市满泰科技发展有限公司</w:t>
      </w:r>
      <w:r>
        <w:rPr>
          <w:rFonts w:ascii="Times New Roman" w:hAnsi="Times New Roman" w:cs="Times New Roman" w:eastAsia="Times New Roman" w:hint="default"/>
        </w:rPr>
        <w:t>2016</w:t>
      </w:r>
      <w:r>
        <w:rPr/>
        <w:t>年度业绩承诺实现情况的议案》</w:t>
      </w:r>
      <w:r>
        <w:rPr>
          <w:spacing w:val="72"/>
        </w:rPr>
        <w:t> </w:t>
      </w:r>
      <w:r>
        <w:rPr/>
        <w:t>、《关于续聘会计师事务所的议案》、</w:t>
      </w:r>
    </w:p>
    <w:p>
      <w:pPr>
        <w:pStyle w:val="BodyText"/>
        <w:spacing w:line="240" w:lineRule="auto" w:before="20"/>
        <w:ind w:right="0"/>
        <w:jc w:val="both"/>
      </w:pPr>
      <w:r>
        <w:rPr/>
        <w:t>《关于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2017</w:t>
      </w:r>
      <w:r>
        <w:rPr/>
        <w:t>年第一季度报告全文</w:t>
      </w:r>
      <w:r>
        <w:rPr>
          <w:rFonts w:ascii="Times New Roman" w:hAnsi="Times New Roman" w:cs="Times New Roman" w:eastAsia="Times New Roman" w:hint="default"/>
        </w:rPr>
        <w:t>&gt;</w:t>
      </w:r>
      <w:r>
        <w:rPr/>
        <w:t>的议案》</w:t>
      </w:r>
      <w:r>
        <w:rPr>
          <w:spacing w:val="-22"/>
        </w:rPr>
        <w:t> </w:t>
      </w:r>
      <w:r>
        <w:rPr/>
        <w:t>；</w:t>
      </w:r>
    </w:p>
    <w:p>
      <w:pPr>
        <w:pStyle w:val="BodyText"/>
        <w:spacing w:line="331" w:lineRule="auto" w:before="150"/>
        <w:ind w:left="1134" w:right="1130" w:firstLine="42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4</w:t>
      </w:r>
      <w:r>
        <w:rPr>
          <w:spacing w:val="-1"/>
        </w:rPr>
        <w:t>日第三届董事会审计委员会召开第十二次会议，与会委员审议并通过了《关于</w:t>
      </w:r>
      <w:r>
        <w:rPr>
          <w:rFonts w:ascii="Times New Roman" w:hAnsi="Times New Roman" w:cs="Times New Roman" w:eastAsia="Times New Roman" w:hint="default"/>
          <w:spacing w:val="-1"/>
        </w:rPr>
        <w:t>&lt;</w:t>
      </w:r>
      <w:r>
        <w:rPr>
          <w:spacing w:val="-1"/>
        </w:rPr>
        <w:t>公司</w:t>
      </w:r>
      <w:r>
        <w:rPr/>
        <w:t> 内部审计部</w:t>
      </w:r>
      <w:r>
        <w:rPr>
          <w:rFonts w:ascii="Times New Roman" w:hAnsi="Times New Roman" w:cs="Times New Roman" w:eastAsia="Times New Roman" w:hint="default"/>
        </w:rPr>
        <w:t>2017</w:t>
      </w:r>
      <w:r>
        <w:rPr/>
        <w:t>年第二季度工作总结及第三季度工作计划</w:t>
      </w:r>
      <w:r>
        <w:rPr>
          <w:rFonts w:ascii="Times New Roman" w:hAnsi="Times New Roman" w:cs="Times New Roman" w:eastAsia="Times New Roman" w:hint="default"/>
        </w:rPr>
        <w:t>&gt;</w:t>
      </w:r>
      <w:r>
        <w:rPr/>
        <w:t>的议案》、《关于〈公司</w:t>
      </w:r>
      <w:r>
        <w:rPr>
          <w:rFonts w:ascii="Times New Roman" w:hAnsi="Times New Roman" w:cs="Times New Roman" w:eastAsia="Times New Roman" w:hint="default"/>
        </w:rPr>
        <w:t>2017</w:t>
      </w:r>
      <w:r>
        <w:rPr/>
        <w:t>年半年度报告〉</w:t>
      </w:r>
      <w:r>
        <w:rPr>
          <w:spacing w:val="-48"/>
        </w:rPr>
        <w:t> </w:t>
      </w:r>
      <w:r>
        <w:rPr>
          <w:spacing w:val="-2"/>
        </w:rPr>
        <w:t>及其摘要的议案》、《关于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2017</w:t>
      </w:r>
      <w:r>
        <w:rPr>
          <w:spacing w:val="-2"/>
        </w:rPr>
        <w:t>年半年度募集资金存放与使用情况的专项报告</w:t>
      </w:r>
      <w:r>
        <w:rPr>
          <w:rFonts w:ascii="Times New Roman" w:hAnsi="Times New Roman" w:cs="Times New Roman" w:eastAsia="Times New Roman" w:hint="default"/>
          <w:spacing w:val="-2"/>
        </w:rPr>
        <w:t>&gt;</w:t>
      </w:r>
      <w:r>
        <w:rPr>
          <w:spacing w:val="-2"/>
        </w:rPr>
        <w:t>的议案》、《关于公</w:t>
      </w:r>
    </w:p>
    <w:p>
      <w:pPr>
        <w:spacing w:after="0" w:line="331"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司会计政策变更的议案》；</w:t>
      </w:r>
    </w:p>
    <w:p>
      <w:pPr>
        <w:pStyle w:val="BodyText"/>
        <w:spacing w:line="328" w:lineRule="auto" w:before="165"/>
        <w:ind w:left="1134" w:right="1127" w:firstLine="420"/>
        <w:jc w:val="left"/>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日第三届董事会审计委员会召开第十三次会议，与会委员审议并通过了《关于</w:t>
      </w:r>
      <w:r>
        <w:rPr>
          <w:rFonts w:ascii="Times New Roman" w:hAnsi="Times New Roman" w:cs="Times New Roman" w:eastAsia="Times New Roman" w:hint="default"/>
          <w:spacing w:val="-1"/>
        </w:rPr>
        <w:t>&lt;</w:t>
      </w:r>
      <w:r>
        <w:rPr>
          <w:spacing w:val="-1"/>
        </w:rPr>
        <w:t>公</w:t>
      </w:r>
      <w:r>
        <w:rPr/>
        <w:t> 司内部审计部</w:t>
      </w:r>
      <w:r>
        <w:rPr>
          <w:rFonts w:ascii="Times New Roman" w:hAnsi="Times New Roman" w:cs="Times New Roman" w:eastAsia="Times New Roman" w:hint="default"/>
        </w:rPr>
        <w:t>2017</w:t>
      </w:r>
      <w:r>
        <w:rPr/>
        <w:t>年第三季度工作总结及第四季度工作计划</w:t>
      </w:r>
      <w:r>
        <w:rPr>
          <w:rFonts w:ascii="Times New Roman" w:hAnsi="Times New Roman" w:cs="Times New Roman" w:eastAsia="Times New Roman" w:hint="default"/>
        </w:rPr>
        <w:t>&gt;</w:t>
      </w:r>
      <w:r>
        <w:rPr/>
        <w:t>的议案</w:t>
      </w:r>
      <w:r>
        <w:rPr>
          <w:spacing w:val="-22"/>
        </w:rPr>
        <w:t> </w:t>
      </w:r>
      <w:r>
        <w:rPr/>
        <w:t>。</w:t>
      </w:r>
    </w:p>
    <w:p>
      <w:pPr>
        <w:spacing w:line="362" w:lineRule="auto" w:before="64"/>
        <w:ind w:left="1553" w:right="42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、董事会提名委员会履职情况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报告期内，董事会提名委员会共召开了一次会议，具体内容如下：</w:t>
      </w:r>
    </w:p>
    <w:p>
      <w:pPr>
        <w:pStyle w:val="BodyText"/>
        <w:spacing w:line="328" w:lineRule="auto" w:before="58"/>
        <w:ind w:left="1134" w:right="0" w:firstLine="42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日第三届董事会提名委员会召开第三次会议，与会委员审议并通过了《关于增补公司第三</w:t>
      </w:r>
      <w:r>
        <w:rPr/>
        <w:t> 届董事会独立董事的议案》</w:t>
      </w:r>
      <w:r>
        <w:rPr>
          <w:spacing w:val="-21"/>
        </w:rPr>
        <w:t> </w:t>
      </w:r>
      <w:r>
        <w:rPr/>
        <w:t>。</w:t>
      </w:r>
    </w:p>
    <w:p>
      <w:pPr>
        <w:pStyle w:val="BodyText"/>
        <w:spacing w:line="374" w:lineRule="auto" w:before="88"/>
        <w:ind w:left="1553" w:right="1118" w:firstLine="2"/>
        <w:jc w:val="left"/>
      </w:pPr>
      <w:r>
        <w:rPr>
          <w:rFonts w:ascii="Times New Roman" w:hAnsi="Times New Roman" w:cs="Times New Roman" w:eastAsia="Times New Roman" w:hint="default"/>
          <w:b/>
          <w:bCs/>
        </w:rPr>
        <w:t>4</w:t>
      </w:r>
      <w:r>
        <w:rPr>
          <w:rFonts w:ascii="宋体" w:hAnsi="宋体" w:cs="宋体" w:eastAsia="宋体" w:hint="default"/>
          <w:b/>
          <w:bCs/>
        </w:rPr>
        <w:t>、董事会薪酬与考核委员会履职情况</w:t>
      </w:r>
      <w:r>
        <w:rPr>
          <w:rFonts w:ascii="宋体" w:hAnsi="宋体" w:cs="宋体" w:eastAsia="宋体" w:hint="default"/>
          <w:b/>
          <w:bCs/>
          <w:w w:val="99"/>
        </w:rPr>
        <w:t> </w:t>
      </w:r>
      <w:r>
        <w:rPr/>
        <w:t>报告期内，董事会薪酬与考核委员会共召开了一次会议，具体内容如下：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日第三届董事会薪酬与考核委员会第三次会议，与会委员审议并通过了《关于限制性股</w:t>
      </w:r>
    </w:p>
    <w:p>
      <w:pPr>
        <w:pStyle w:val="BodyText"/>
        <w:spacing w:line="255" w:lineRule="exact"/>
        <w:ind w:right="0"/>
        <w:jc w:val="left"/>
      </w:pPr>
      <w:r>
        <w:rPr/>
        <w:t>票激励计划第一个解锁期解锁条件成就的议案》、《关于回购注销部分限制性股票的议案》。</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ind w:right="1024" w:firstLine="420"/>
        <w:jc w:val="left"/>
      </w:pPr>
      <w:r>
        <w:rPr/>
        <w:t>公司已建立了完善的企业绩效评价激励体系，公司高级管理人员实行薪酬由基本年薪和浮动奖金两部 分构成，其中基本年薪根据个人工作职务、岗位级别标准按月发放；浮动奖金根据公司经营业绩和个人绩 效考核情况确定。公司董事会薪酬与考核委员会依据董事、监事及高级管理人员职责履行情况及业绩，对 </w:t>
      </w:r>
      <w:r>
        <w:rPr>
          <w:spacing w:val="-3"/>
        </w:rPr>
        <w:t>其进行考评，并依据考评结果提出薪酬方案，董事、监事和高级管理人员的津贴标准由公司股东大会批准。</w:t>
      </w:r>
      <w:r>
        <w:rPr>
          <w:spacing w:val="-90"/>
        </w:rPr>
        <w:t> </w:t>
      </w:r>
      <w:r>
        <w:rPr>
          <w:spacing w:val="-90"/>
        </w:rPr>
      </w:r>
      <w:r>
        <w:rPr/>
        <w:t>报告期内公司召开的第三届董事会第三十一次会议、第三届监事会第二十一次会议审议通过了《关于公司</w:t>
      </w:r>
      <w:r>
        <w:rPr/>
        <w:t> 限制性股票激励计划第一个解锁期解锁条件成就的议案》，同意公司按照《蓝盾信息安全技术股份有限公 司限制性股票激励计划（草案）》的相关规定办理第一个解锁期的解锁相关事宜。本次符合解锁条件的激 励对象共计</w:t>
      </w:r>
      <w:r>
        <w:rPr>
          <w:rFonts w:ascii="Times New Roman" w:hAnsi="Times New Roman" w:cs="Times New Roman" w:eastAsia="Times New Roman" w:hint="default"/>
        </w:rPr>
        <w:t>206</w:t>
      </w:r>
      <w:r>
        <w:rPr/>
        <w:t>人（其中含</w:t>
      </w:r>
      <w:r>
        <w:rPr>
          <w:rFonts w:ascii="宋体" w:hAnsi="宋体" w:cs="宋体" w:eastAsia="宋体" w:hint="default"/>
        </w:rPr>
        <w:t>5</w:t>
      </w:r>
      <w:r>
        <w:rPr/>
        <w:t>名高级管理人员），可申请解锁并上市流通的限制性股票数量为</w:t>
      </w:r>
      <w:r>
        <w:rPr>
          <w:rFonts w:ascii="Times New Roman" w:hAnsi="Times New Roman" w:cs="Times New Roman" w:eastAsia="Times New Roman" w:hint="default"/>
        </w:rPr>
        <w:t>156.20</w:t>
      </w:r>
      <w:r>
        <w:rPr/>
        <w:t>万股。</w:t>
      </w:r>
    </w:p>
    <w:p>
      <w:pPr>
        <w:pStyle w:val="Heading2"/>
        <w:spacing w:line="240" w:lineRule="auto" w:before="190"/>
        <w:ind w:left="1134"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377.079987pt;margin-top:346.639984pt;width:161.2pt;height:15.6pt;mso-position-horizontal-relative:page;mso-position-vertical-relative:page;z-index:-1148920" coordorigin="7542,6933" coordsize="3224,312">
            <v:group style="position:absolute;left:7542;top:6933;width:3134;height:312" coordorigin="7542,6933" coordsize="3134,312">
              <v:shape style="position:absolute;left:7542;top:6933;width:3134;height:312" coordorigin="7542,6933" coordsize="3134,312" path="m7542,7245l10675,7245,10675,6933,7542,6933,7542,7245xe" filled="true" fillcolor="#ffffff" stroked="false">
                <v:path arrowok="t"/>
                <v:fill type="solid"/>
              </v:shape>
              <v:shape style="position:absolute;left:10585;top:699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377.079987pt;margin-top:569.559998pt;width:161.2pt;height:15.6pt;mso-position-horizontal-relative:page;mso-position-vertical-relative:page;z-index:-1148872" coordorigin="7542,11391" coordsize="3224,312">
            <v:group style="position:absolute;left:7542;top:11391;width:3134;height:312" coordorigin="7542,11391" coordsize="3134,312">
              <v:shape style="position:absolute;left:7542;top:11391;width:3134;height:312" coordorigin="7542,11391" coordsize="3134,312" path="m7542,11703l10675,11703,10675,11391,7542,11391,7542,11703xe" filled="true" fillcolor="#ffffff" stroked="false">
                <v:path arrowok="t"/>
                <v:fill type="solid"/>
              </v:shape>
              <v:shape style="position:absolute;left:10585;top:1145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9"/>
        <w:gridCol w:w="3203"/>
        <w:gridCol w:w="3177"/>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3" w:type="dxa"/>
            <w:vMerge w:val="restart"/>
            <w:tcBorders>
              <w:top w:val="single" w:sz="4" w:space="0" w:color="000000"/>
              <w:left w:val="single" w:sz="9" w:space="0" w:color="D2D2D2"/>
              <w:right w:val="single" w:sz="13" w:space="0" w:color="FFFFFF"/>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定性指标以法律法规、战略与运营目标 作为衡量指标。重大缺陷认定标准：严 重违反法律、法规、规章、政府政策、 其他规范性文件等，导致中央政府或监 管机构的调查，并被限令行业退出、吊 销营业执照、强制关闭等。战略与运营 目标或关键</w:t>
            </w:r>
            <w:r>
              <w:rPr>
                <w:rFonts w:ascii="宋体" w:hAnsi="宋体" w:cs="宋体" w:eastAsia="宋体" w:hint="default"/>
                <w:spacing w:val="-12"/>
                <w:sz w:val="18"/>
                <w:szCs w:val="18"/>
              </w:rPr>
              <w:t> </w:t>
            </w:r>
            <w:r>
              <w:rPr>
                <w:rFonts w:ascii="宋体" w:hAnsi="宋体" w:cs="宋体" w:eastAsia="宋体" w:hint="default"/>
                <w:sz w:val="18"/>
                <w:szCs w:val="18"/>
              </w:rPr>
              <w:t>业绩指标的执行不合理，严</w:t>
            </w:r>
            <w:r>
              <w:rPr>
                <w:rFonts w:ascii="宋体" w:hAnsi="宋体" w:cs="宋体" w:eastAsia="宋体" w:hint="default"/>
                <w:sz w:val="18"/>
                <w:szCs w:val="18"/>
              </w:rPr>
              <w:t> 重偏离且存在方向性错误，对战略与运 营目</w:t>
            </w:r>
            <w:r>
              <w:rPr>
                <w:rFonts w:ascii="宋体" w:hAnsi="宋体" w:cs="宋体" w:eastAsia="宋体" w:hint="default"/>
                <w:spacing w:val="-12"/>
                <w:sz w:val="18"/>
                <w:szCs w:val="18"/>
              </w:rPr>
              <w:t> </w:t>
            </w:r>
            <w:r>
              <w:rPr>
                <w:rFonts w:ascii="宋体" w:hAnsi="宋体" w:cs="宋体" w:eastAsia="宋体" w:hint="default"/>
                <w:sz w:val="18"/>
                <w:szCs w:val="18"/>
              </w:rPr>
              <w:t>标的实现产生严重负面作用。重要</w:t>
            </w:r>
            <w:r>
              <w:rPr>
                <w:rFonts w:ascii="宋体" w:hAnsi="宋体" w:cs="宋体" w:eastAsia="宋体" w:hint="default"/>
                <w:sz w:val="18"/>
                <w:szCs w:val="18"/>
              </w:rPr>
              <w:t> </w:t>
            </w:r>
            <w:r>
              <w:rPr>
                <w:rFonts w:ascii="宋体" w:hAnsi="宋体" w:cs="宋体" w:eastAsia="宋体" w:hint="default"/>
                <w:spacing w:val="-4"/>
                <w:sz w:val="18"/>
                <w:szCs w:val="18"/>
              </w:rPr>
              <w:t>缺陷认定标准：违反法律、法规、规章、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政府政策、其他规范性文</w:t>
            </w:r>
            <w:r>
              <w:rPr>
                <w:rFonts w:ascii="宋体" w:hAnsi="宋体" w:cs="宋体" w:eastAsia="宋体" w:hint="default"/>
                <w:spacing w:val="-12"/>
                <w:sz w:val="18"/>
                <w:szCs w:val="18"/>
              </w:rPr>
              <w:t> </w:t>
            </w:r>
            <w:r>
              <w:rPr>
                <w:rFonts w:ascii="宋体" w:hAnsi="宋体" w:cs="宋体" w:eastAsia="宋体" w:hint="default"/>
                <w:sz w:val="18"/>
                <w:szCs w:val="18"/>
              </w:rPr>
              <w:t>件等，导致地</w:t>
            </w:r>
            <w:r>
              <w:rPr>
                <w:rFonts w:ascii="宋体" w:hAnsi="宋体" w:cs="宋体" w:eastAsia="宋体" w:hint="default"/>
                <w:sz w:val="18"/>
                <w:szCs w:val="18"/>
              </w:rPr>
              <w:t> 方政府或监</w:t>
            </w:r>
            <w:r>
              <w:rPr>
                <w:rFonts w:ascii="宋体" w:hAnsi="宋体" w:cs="宋体" w:eastAsia="宋体" w:hint="default"/>
                <w:spacing w:val="-12"/>
                <w:sz w:val="18"/>
                <w:szCs w:val="18"/>
              </w:rPr>
              <w:t> </w:t>
            </w:r>
            <w:r>
              <w:rPr>
                <w:rFonts w:ascii="宋体" w:hAnsi="宋体" w:cs="宋体" w:eastAsia="宋体" w:hint="default"/>
                <w:sz w:val="18"/>
                <w:szCs w:val="18"/>
              </w:rPr>
              <w:t>管机构的调查，并责令停业</w:t>
            </w:r>
            <w:r>
              <w:rPr>
                <w:rFonts w:ascii="宋体" w:hAnsi="宋体" w:cs="宋体" w:eastAsia="宋体" w:hint="default"/>
                <w:sz w:val="18"/>
                <w:szCs w:val="18"/>
              </w:rPr>
              <w:t> 整顿等。战略与运营目标或关键业绩指 标执行不合理，严重偏离，对战略与运 营目标</w:t>
            </w:r>
            <w:r>
              <w:rPr>
                <w:rFonts w:ascii="宋体" w:hAnsi="宋体" w:cs="宋体" w:eastAsia="宋体" w:hint="default"/>
                <w:spacing w:val="-12"/>
                <w:sz w:val="18"/>
                <w:szCs w:val="18"/>
              </w:rPr>
              <w:t> </w:t>
            </w:r>
            <w:r>
              <w:rPr>
                <w:rFonts w:ascii="宋体" w:hAnsi="宋体" w:cs="宋体" w:eastAsia="宋体" w:hint="default"/>
                <w:sz w:val="18"/>
                <w:szCs w:val="18"/>
              </w:rPr>
              <w:t>的实现产生明显的消极作用。一</w:t>
            </w:r>
            <w:r>
              <w:rPr>
                <w:rFonts w:ascii="宋体" w:hAnsi="宋体" w:cs="宋体" w:eastAsia="宋体" w:hint="default"/>
                <w:sz w:val="18"/>
                <w:szCs w:val="18"/>
              </w:rPr>
              <w:t> 般缺陷认定标准：违反法律、法规、规 章政府政策、其他规范性文件等，导致 地方政府或监管机构的调查，并被处以 罚款或罚金。战略与运营目标或关键业 绩的执行存在较小范围的不合理，目标 偏离，对战略与运营目标的实现影响轻 微。</w:t>
            </w:r>
          </w:p>
        </w:tc>
        <w:tc>
          <w:tcPr>
            <w:tcW w:w="3177" w:type="dxa"/>
            <w:vMerge w:val="restart"/>
            <w:tcBorders>
              <w:top w:val="single" w:sz="4" w:space="0" w:color="000000"/>
              <w:left w:val="single" w:sz="13" w:space="0" w:color="FFFFFF"/>
              <w:right w:val="single" w:sz="4" w:space="0" w:color="000000"/>
            </w:tcBorders>
          </w:tcPr>
          <w:p>
            <w:pPr>
              <w:pStyle w:val="TableParagraph"/>
              <w:spacing w:line="316" w:lineRule="auto" w:before="51"/>
              <w:ind w:right="20"/>
              <w:jc w:val="left"/>
              <w:rPr>
                <w:rFonts w:ascii="宋体" w:hAnsi="宋体" w:cs="宋体" w:eastAsia="宋体" w:hint="default"/>
                <w:sz w:val="18"/>
                <w:szCs w:val="18"/>
              </w:rPr>
            </w:pPr>
            <w:r>
              <w:rPr>
                <w:rFonts w:ascii="宋体" w:hAnsi="宋体" w:cs="宋体" w:eastAsia="宋体" w:hint="default"/>
                <w:sz w:val="18"/>
                <w:szCs w:val="18"/>
              </w:rPr>
              <w:t>定性指标以法律法规、战略与运营目标 作为衡量指标。重大缺陷认定标准：严 重违反法律、法规、规章、政府政策、 其他规范性文件等，导致中央政府或监 管机构的调查，并被限令行业退出、吊 销营业执照、强制关闭等。战略与运营 目标或</w:t>
            </w:r>
            <w:r>
              <w:rPr>
                <w:rFonts w:ascii="宋体" w:hAnsi="宋体" w:cs="宋体" w:eastAsia="宋体" w:hint="default"/>
                <w:spacing w:val="-14"/>
                <w:sz w:val="18"/>
                <w:szCs w:val="18"/>
              </w:rPr>
              <w:t> </w:t>
            </w:r>
            <w:r>
              <w:rPr>
                <w:rFonts w:ascii="宋体" w:hAnsi="宋体" w:cs="宋体" w:eastAsia="宋体" w:hint="default"/>
                <w:sz w:val="18"/>
                <w:szCs w:val="18"/>
              </w:rPr>
              <w:t>关键业绩指标的执行不合理，严</w:t>
            </w:r>
            <w:r>
              <w:rPr>
                <w:rFonts w:ascii="宋体" w:hAnsi="宋体" w:cs="宋体" w:eastAsia="宋体" w:hint="default"/>
                <w:sz w:val="18"/>
                <w:szCs w:val="18"/>
              </w:rPr>
              <w:t> 重偏离且存在方向性错误，对战略与运 营目标</w:t>
            </w:r>
            <w:r>
              <w:rPr>
                <w:rFonts w:ascii="宋体" w:hAnsi="宋体" w:cs="宋体" w:eastAsia="宋体" w:hint="default"/>
                <w:spacing w:val="-14"/>
                <w:sz w:val="18"/>
                <w:szCs w:val="18"/>
              </w:rPr>
              <w:t> </w:t>
            </w:r>
            <w:r>
              <w:rPr>
                <w:rFonts w:ascii="宋体" w:hAnsi="宋体" w:cs="宋体" w:eastAsia="宋体" w:hint="default"/>
                <w:sz w:val="18"/>
                <w:szCs w:val="18"/>
              </w:rPr>
              <w:t>的实现产生严重负面作用。重要</w:t>
            </w:r>
            <w:r>
              <w:rPr>
                <w:rFonts w:ascii="宋体" w:hAnsi="宋体" w:cs="宋体" w:eastAsia="宋体" w:hint="default"/>
                <w:sz w:val="18"/>
                <w:szCs w:val="18"/>
              </w:rPr>
              <w:t> 缺陷认定标准：违反法律、法规、规章 政府政策、其他规范性文件等，导致地 方政府或监管机构的调查，并责令停业 整顿等。战略与运营目标或关</w:t>
            </w:r>
            <w:r>
              <w:rPr>
                <w:rFonts w:ascii="宋体" w:hAnsi="宋体" w:cs="宋体" w:eastAsia="宋体" w:hint="default"/>
                <w:spacing w:val="-14"/>
                <w:sz w:val="18"/>
                <w:szCs w:val="18"/>
              </w:rPr>
              <w:t> </w:t>
            </w:r>
            <w:r>
              <w:rPr>
                <w:rFonts w:ascii="宋体" w:hAnsi="宋体" w:cs="宋体" w:eastAsia="宋体" w:hint="default"/>
                <w:sz w:val="18"/>
                <w:szCs w:val="18"/>
              </w:rPr>
              <w:t>键业绩指</w:t>
            </w:r>
            <w:r>
              <w:rPr>
                <w:rFonts w:ascii="宋体" w:hAnsi="宋体" w:cs="宋体" w:eastAsia="宋体" w:hint="default"/>
                <w:sz w:val="18"/>
                <w:szCs w:val="18"/>
              </w:rPr>
              <w:t> 标执行不合理，严重偏离，对战略与运 营目标的实现产生明显的消极作用。一 般缺陷认定标准：违反法律、法规、规 章政府政策、其他规范性文件等，导致 地方政府或监管机构的调查，并被处以 罚款或罚金。战略与运营目标或关键业 绩的执行存在较小范围的不合理，目标 偏离，对战略与运营目标的实现影响轻 微。</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203" w:type="dxa"/>
            <w:vMerge/>
            <w:tcBorders>
              <w:left w:val="single" w:sz="9" w:space="0" w:color="D2D2D2"/>
              <w:right w:val="single" w:sz="13" w:space="0" w:color="FFFFFF"/>
            </w:tcBorders>
          </w:tcPr>
          <w:p>
            <w:pPr/>
          </w:p>
        </w:tc>
        <w:tc>
          <w:tcPr>
            <w:tcW w:w="3177" w:type="dxa"/>
            <w:vMerge/>
            <w:tcBorders>
              <w:left w:val="single" w:sz="13" w:space="0" w:color="FFFFFF"/>
              <w:right w:val="single" w:sz="4" w:space="0" w:color="000000"/>
            </w:tcBorders>
          </w:tcPr>
          <w:p>
            <w:pPr/>
          </w:p>
        </w:tc>
      </w:tr>
      <w:tr>
        <w:trPr>
          <w:trHeight w:val="328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3" w:type="dxa"/>
            <w:vMerge/>
            <w:tcBorders>
              <w:left w:val="single" w:sz="9" w:space="0" w:color="D2D2D2"/>
              <w:bottom w:val="single" w:sz="4" w:space="0" w:color="000000"/>
              <w:right w:val="single" w:sz="13" w:space="0" w:color="FFFFFF"/>
            </w:tcBorders>
          </w:tcPr>
          <w:p>
            <w:pPr/>
          </w:p>
        </w:tc>
        <w:tc>
          <w:tcPr>
            <w:tcW w:w="3177" w:type="dxa"/>
            <w:vMerge/>
            <w:tcBorders>
              <w:left w:val="single" w:sz="13" w:space="0" w:color="FFFFFF"/>
              <w:bottom w:val="single" w:sz="4" w:space="0" w:color="000000"/>
              <w:right w:val="single" w:sz="4" w:space="0" w:color="000000"/>
            </w:tcBorders>
          </w:tcPr>
          <w:p>
            <w:pPr/>
          </w:p>
        </w:tc>
      </w:tr>
      <w:tr>
        <w:trPr>
          <w:trHeight w:val="185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3" w:type="dxa"/>
            <w:vMerge w:val="restart"/>
            <w:tcBorders>
              <w:top w:val="single" w:sz="4" w:space="0" w:color="000000"/>
              <w:left w:val="single" w:sz="9" w:space="0" w:color="D2D2D2"/>
              <w:right w:val="single" w:sz="13" w:space="0" w:color="FFFFFF"/>
            </w:tcBorders>
          </w:tcPr>
          <w:p>
            <w:pPr>
              <w:pStyle w:val="TableParagraph"/>
              <w:spacing w:line="312"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定量标准以利润总额、资产总额、经营 </w:t>
            </w:r>
            <w:r>
              <w:rPr>
                <w:rFonts w:ascii="宋体" w:hAnsi="宋体" w:cs="宋体" w:eastAsia="宋体" w:hint="default"/>
                <w:spacing w:val="-4"/>
                <w:sz w:val="18"/>
                <w:szCs w:val="18"/>
              </w:rPr>
              <w:t>收入作为衡量指标。重大缺陷认定标准：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 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300" w:lineRule="auto" w:before="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合并会计报表主营业务收入或营业收 入的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；重要缺陷认定标准：合并会计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报表利润总额的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 表利润总额的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，合并会计报表资产总</w:t>
            </w:r>
            <w:r>
              <w:rPr>
                <w:rFonts w:ascii="宋体" w:hAnsi="宋体" w:cs="宋体" w:eastAsia="宋体" w:hint="default"/>
                <w:sz w:val="18"/>
                <w:szCs w:val="18"/>
              </w:rPr>
              <w:t> 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错报＜合并会计报表资产总 额的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，合并会计报表主营业务收入或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营业收入的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宋体" w:hAnsi="宋体" w:cs="宋体" w:eastAsia="宋体" w:hint="default"/>
                <w:spacing w:val="-47"/>
                <w:sz w:val="18"/>
                <w:szCs w:val="18"/>
              </w:rPr>
              <w:t> </w:t>
            </w:r>
            <w:r>
              <w:rPr>
                <w:rFonts w:ascii="宋体" w:hAnsi="宋体" w:cs="宋体" w:eastAsia="宋体" w:hint="default"/>
                <w:sz w:val="18"/>
                <w:szCs w:val="18"/>
              </w:rPr>
              <w:t>＜合并会计报表 主营业务收入或营业收入的</w:t>
            </w:r>
            <w:r>
              <w:rPr>
                <w:rFonts w:ascii="宋体" w:hAnsi="宋体" w:cs="宋体" w:eastAsia="宋体" w:hint="default"/>
                <w:spacing w:val="2"/>
                <w:sz w:val="18"/>
                <w:szCs w:val="18"/>
              </w:rPr>
              <w:t> </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；一般缺</w:t>
            </w:r>
            <w:r>
              <w:rPr>
                <w:rFonts w:ascii="宋体" w:hAnsi="宋体" w:cs="宋体" w:eastAsia="宋体" w:hint="default"/>
                <w:sz w:val="18"/>
                <w:szCs w:val="18"/>
              </w:rPr>
              <w:t> 陷认定标准：错报＜合并会计报表利润</w:t>
            </w:r>
          </w:p>
        </w:tc>
        <w:tc>
          <w:tcPr>
            <w:tcW w:w="3177" w:type="dxa"/>
            <w:vMerge w:val="restart"/>
            <w:tcBorders>
              <w:top w:val="single" w:sz="4" w:space="0" w:color="000000"/>
              <w:left w:val="single" w:sz="13" w:space="0" w:color="FFFFFF"/>
              <w:right w:val="single" w:sz="4" w:space="0" w:color="000000"/>
            </w:tcBorders>
          </w:tcPr>
          <w:p>
            <w:pPr>
              <w:pStyle w:val="TableParagraph"/>
              <w:spacing w:line="312" w:lineRule="auto" w:before="51"/>
              <w:ind w:right="20"/>
              <w:jc w:val="both"/>
              <w:rPr>
                <w:rFonts w:ascii="宋体" w:hAnsi="宋体" w:cs="宋体" w:eastAsia="宋体" w:hint="default"/>
                <w:sz w:val="18"/>
                <w:szCs w:val="18"/>
              </w:rPr>
            </w:pPr>
            <w:r>
              <w:rPr>
                <w:rFonts w:ascii="宋体" w:hAnsi="宋体" w:cs="宋体" w:eastAsia="宋体" w:hint="default"/>
                <w:sz w:val="18"/>
                <w:szCs w:val="18"/>
              </w:rPr>
              <w:t>定量标准以利润总额、资产总额、经营 收入作为衡量指标。重大缺陷认定标准 错报</w:t>
            </w:r>
            <w:r>
              <w:rPr>
                <w:rFonts w:ascii="Times New Roman" w:hAnsi="Times New Roman" w:cs="Times New Roman" w:eastAsia="Times New Roman" w:hint="default"/>
                <w:sz w:val="18"/>
                <w:szCs w:val="18"/>
              </w:rPr>
              <w:t>≥ </w:t>
            </w:r>
            <w:r>
              <w:rPr>
                <w:rFonts w:ascii="宋体" w:hAnsi="宋体" w:cs="宋体" w:eastAsia="宋体" w:hint="default"/>
                <w:sz w:val="18"/>
                <w:szCs w:val="18"/>
              </w:rPr>
              <w:t>合并会计报表利润总额的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21"/>
                <w:sz w:val="18"/>
                <w:szCs w:val="18"/>
              </w:rPr>
              <w:t>8%</w:t>
            </w:r>
            <w:r>
              <w:rPr>
                <w:rFonts w:ascii="宋体" w:hAnsi="宋体" w:cs="宋体" w:eastAsia="宋体" w:hint="default"/>
                <w:spacing w:val="-21"/>
                <w:sz w:val="18"/>
                <w:szCs w:val="18"/>
              </w:rPr>
              <w:t>，错</w:t>
            </w:r>
            <w:r>
              <w:rPr>
                <w:rFonts w:ascii="宋体" w:hAnsi="宋体" w:cs="宋体" w:eastAsia="宋体" w:hint="default"/>
                <w:spacing w:val="-41"/>
                <w:sz w:val="18"/>
                <w:szCs w:val="18"/>
              </w:rPr>
              <w:t> </w:t>
            </w:r>
            <w:r>
              <w:rPr>
                <w:rFonts w:ascii="宋体" w:hAnsi="宋体" w:cs="宋体" w:eastAsia="宋体" w:hint="default"/>
                <w:spacing w:val="-1"/>
                <w:w w:val="100"/>
                <w:sz w:val="18"/>
                <w:szCs w:val="18"/>
              </w:rPr>
              <w:t>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合并会计报表资产总额的</w:t>
            </w:r>
            <w:r>
              <w:rPr>
                <w:rFonts w:ascii="宋体" w:hAnsi="宋体" w:cs="宋体" w:eastAsia="宋体" w:hint="default"/>
                <w:spacing w:val="-29"/>
                <w:w w:val="100"/>
                <w:sz w:val="18"/>
                <w:szCs w:val="18"/>
              </w:rPr>
              <w:t> </w:t>
            </w:r>
            <w:r>
              <w:rPr>
                <w:rFonts w:ascii="Times New Roman" w:hAnsi="Times New Roman" w:cs="Times New Roman" w:eastAsia="Times New Roman" w:hint="default"/>
                <w:spacing w:val="-13"/>
                <w:sz w:val="18"/>
                <w:szCs w:val="18"/>
              </w:rPr>
              <w:t>1.5%</w:t>
            </w:r>
            <w:r>
              <w:rPr>
                <w:rFonts w:ascii="宋体" w:hAnsi="宋体" w:cs="宋体" w:eastAsia="宋体" w:hint="default"/>
                <w:spacing w:val="-13"/>
                <w:sz w:val="18"/>
                <w:szCs w:val="18"/>
              </w:rPr>
              <w:t>，错报</w:t>
            </w:r>
          </w:p>
          <w:p>
            <w:pPr>
              <w:pStyle w:val="TableParagraph"/>
              <w:spacing w:line="300" w:lineRule="auto" w:before="3"/>
              <w:ind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合并会计报表主营业务收入或营业收 入的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；重要缺陷认定标准：合并会计 报表利润总额的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w:t>
            </w:r>
            <w:r>
              <w:rPr>
                <w:rFonts w:ascii="宋体" w:hAnsi="宋体" w:cs="宋体" w:eastAsia="宋体" w:hint="default"/>
                <w:spacing w:val="-46"/>
                <w:sz w:val="18"/>
                <w:szCs w:val="18"/>
              </w:rPr>
              <w:t> </w:t>
            </w:r>
            <w:r>
              <w:rPr>
                <w:rFonts w:ascii="宋体" w:hAnsi="宋体" w:cs="宋体" w:eastAsia="宋体" w:hint="default"/>
                <w:sz w:val="18"/>
                <w:szCs w:val="18"/>
              </w:rPr>
              <w:t>会计</w:t>
            </w:r>
            <w:r>
              <w:rPr>
                <w:rFonts w:ascii="宋体" w:hAnsi="宋体" w:cs="宋体" w:eastAsia="宋体" w:hint="default"/>
                <w:sz w:val="18"/>
                <w:szCs w:val="18"/>
              </w:rPr>
              <w:t> 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，合并会计报表资产</w:t>
            </w:r>
            <w:r>
              <w:rPr>
                <w:rFonts w:ascii="宋体" w:hAnsi="宋体" w:cs="宋体" w:eastAsia="宋体" w:hint="default"/>
                <w:sz w:val="18"/>
                <w:szCs w:val="18"/>
              </w:rPr>
              <w:t>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错报＜合并会计报表资产总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，合并会计报表主营业务收入 或营业收入的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错报＜合并会计报表 主营业务收入或营业收入的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w:t>
            </w:r>
            <w:r>
              <w:rPr>
                <w:rFonts w:ascii="宋体" w:hAnsi="宋体" w:cs="宋体" w:eastAsia="宋体" w:hint="default"/>
                <w:sz w:val="18"/>
                <w:szCs w:val="18"/>
              </w:rPr>
              <w:t> 陷认定标准：错报＜合并会计报表利润</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203" w:type="dxa"/>
            <w:vMerge/>
            <w:tcBorders>
              <w:left w:val="single" w:sz="9" w:space="0" w:color="D2D2D2"/>
              <w:right w:val="single" w:sz="13" w:space="0" w:color="FFFFFF"/>
            </w:tcBorders>
          </w:tcPr>
          <w:p>
            <w:pPr/>
          </w:p>
        </w:tc>
        <w:tc>
          <w:tcPr>
            <w:tcW w:w="3177" w:type="dxa"/>
            <w:vMerge/>
            <w:tcBorders>
              <w:left w:val="single" w:sz="13" w:space="0" w:color="FFFFFF"/>
              <w:right w:val="single" w:sz="4" w:space="0" w:color="000000"/>
            </w:tcBorders>
          </w:tcPr>
          <w:p>
            <w:pPr/>
          </w:p>
        </w:tc>
      </w:tr>
      <w:tr>
        <w:trPr>
          <w:trHeight w:val="1858"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3" w:type="dxa"/>
            <w:vMerge/>
            <w:tcBorders>
              <w:left w:val="single" w:sz="9" w:space="0" w:color="D2D2D2"/>
              <w:bottom w:val="single" w:sz="4" w:space="0" w:color="000000"/>
              <w:right w:val="single" w:sz="13" w:space="0" w:color="FFFFFF"/>
            </w:tcBorders>
          </w:tcPr>
          <w:p>
            <w:pPr/>
          </w:p>
        </w:tc>
        <w:tc>
          <w:tcPr>
            <w:tcW w:w="3177" w:type="dxa"/>
            <w:vMerge/>
            <w:tcBorders>
              <w:left w:val="single" w:sz="13" w:space="0" w:color="FFFFFF"/>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194"/>
        <w:gridCol w:w="3186"/>
        <w:gridCol w:w="3189"/>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，错报＜合并会计报表资产总</w:t>
            </w:r>
            <w:r>
              <w:rPr>
                <w:rFonts w:ascii="宋体" w:hAnsi="宋体" w:cs="宋体" w:eastAsia="宋体" w:hint="default"/>
                <w:sz w:val="18"/>
                <w:szCs w:val="18"/>
              </w:rPr>
              <w:t>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，错报＜合并会计报表主营业 务收入或营业收入的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，错报＜合并会计报表资产总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，错报＜合并会计报表主营业务 收入或营业收入的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pacing w:val="-5"/>
                <w:sz w:val="18"/>
                <w:szCs w:val="18"/>
              </w:rPr>
              <w:t>我们认为，蓝盾股份按照《内部会计控制规范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基本规范（试行）》和相关规定于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 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13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35"/>
        <w:jc w:val="center"/>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35"/>
        <w:jc w:val="center"/>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[2018]007334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张晓辉、熊玲</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pStyle w:val="Heading3"/>
        <w:spacing w:line="240" w:lineRule="auto" w:before="134"/>
        <w:ind w:left="1493" w:right="0"/>
        <w:jc w:val="left"/>
        <w:rPr>
          <w:b w:val="0"/>
          <w:bCs w:val="0"/>
        </w:rPr>
      </w:pPr>
      <w:bookmarkStart w:name="（一）审计意见" w:id="157"/>
      <w:bookmarkEnd w:id="157"/>
      <w:r>
        <w:rPr>
          <w:b w:val="0"/>
          <w:bCs w:val="0"/>
        </w:rPr>
      </w:r>
      <w:r>
        <w:rPr>
          <w:w w:val="95"/>
        </w:rPr>
        <w:t>（一）审计意见</w:t>
      </w:r>
      <w:r>
        <w:rPr>
          <w:b w:val="0"/>
          <w:bCs w:val="0"/>
        </w:rPr>
      </w:r>
    </w:p>
    <w:p>
      <w:pPr>
        <w:spacing w:before="51"/>
        <w:ind w:left="149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100" w:bottom="1160" w:left="0" w:right="0"/>
          <w:cols w:num="2" w:equalWidth="0">
            <w:col w:w="2969" w:space="951"/>
            <w:col w:w="7990"/>
          </w:cols>
        </w:sectPr>
      </w:pPr>
    </w:p>
    <w:p>
      <w:pPr>
        <w:spacing w:line="240" w:lineRule="auto" w:before="6"/>
        <w:rPr>
          <w:rFonts w:ascii="宋体" w:hAnsi="宋体" w:cs="宋体" w:eastAsia="宋体" w:hint="default"/>
          <w:sz w:val="13"/>
          <w:szCs w:val="13"/>
        </w:rPr>
      </w:pPr>
    </w:p>
    <w:p>
      <w:pPr>
        <w:pStyle w:val="BodyText"/>
        <w:spacing w:line="338" w:lineRule="auto" w:before="35"/>
        <w:ind w:right="1132" w:firstLine="420"/>
        <w:jc w:val="both"/>
      </w:pPr>
      <w:r>
        <w:rPr/>
        <w:t>我们审计了蓝盾信息安全技术股份有限公司</w:t>
      </w:r>
      <w:r>
        <w:rPr>
          <w:rFonts w:ascii="Times New Roman" w:hAnsi="Times New Roman" w:cs="Times New Roman" w:eastAsia="Times New Roman" w:hint="default"/>
        </w:rPr>
        <w:t>(</w:t>
      </w:r>
      <w:r>
        <w:rPr/>
        <w:t>以下简称蓝盾股份</w:t>
      </w:r>
      <w:r>
        <w:rPr>
          <w:rFonts w:ascii="Times New Roman" w:hAnsi="Times New Roman" w:cs="Times New Roman" w:eastAsia="Times New Roman" w:hint="default"/>
        </w:rPr>
        <w:t>)</w:t>
      </w:r>
      <w:r>
        <w:rPr/>
        <w:t>财务报表，包括</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 </w:t>
      </w:r>
      <w:r>
        <w:rPr>
          <w:spacing w:val="-2"/>
        </w:rPr>
        <w:t>合并及母公司资产负债表，</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5"/>
        </w:rPr>
        <w:t> </w:t>
      </w:r>
      <w:r>
        <w:rPr>
          <w:spacing w:val="-2"/>
        </w:rPr>
        <w:t>年度的合并及母公司利润表、合并及母公司现金流量表、合并及母公司股</w:t>
      </w:r>
      <w:r>
        <w:rPr>
          <w:spacing w:val="-102"/>
        </w:rPr>
        <w:t> </w:t>
      </w:r>
      <w:r>
        <w:rPr>
          <w:spacing w:val="-102"/>
        </w:rPr>
      </w:r>
      <w:r>
        <w:rPr/>
        <w:t>东权益变动表以及相关财务报表附注。</w:t>
      </w:r>
    </w:p>
    <w:p>
      <w:pPr>
        <w:pStyle w:val="BodyText"/>
        <w:spacing w:line="240" w:lineRule="auto" w:before="88"/>
        <w:ind w:left="1553" w:right="0"/>
        <w:jc w:val="left"/>
        <w:rPr>
          <w:rFonts w:ascii="Times New Roman" w:hAnsi="Times New Roman" w:cs="Times New Roman" w:eastAsia="Times New Roman" w:hint="default"/>
        </w:rPr>
      </w:pPr>
      <w:r>
        <w:rPr>
          <w:spacing w:val="-2"/>
        </w:rPr>
        <w:t>我们认为，后附的财务报表在所有重大方面按照企业会计准则的规定编制，公允反映了蓝盾股份</w:t>
      </w:r>
      <w:r>
        <w:rPr>
          <w:spacing w:val="-44"/>
        </w:rPr>
        <w:t> </w:t>
      </w:r>
      <w:r>
        <w:rPr>
          <w:rFonts w:ascii="Times New Roman" w:hAnsi="Times New Roman" w:cs="Times New Roman" w:eastAsia="Times New Roman" w:hint="default"/>
        </w:rPr>
        <w:t>2017</w:t>
      </w:r>
    </w:p>
    <w:p>
      <w:pPr>
        <w:pStyle w:val="BodyText"/>
        <w:spacing w:line="240" w:lineRule="auto" w:before="117"/>
        <w:ind w:right="0"/>
        <w:jc w:val="left"/>
      </w:pP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日的合并及母公司财务状况以及</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年度的合并及母公司经营成果和现金流量。</w:t>
      </w:r>
    </w:p>
    <w:p>
      <w:pPr>
        <w:spacing w:line="391" w:lineRule="auto" w:before="158"/>
        <w:ind w:left="1553" w:right="1122" w:hanging="60"/>
        <w:jc w:val="left"/>
        <w:rPr>
          <w:rFonts w:ascii="宋体" w:hAnsi="宋体" w:cs="宋体" w:eastAsia="宋体" w:hint="default"/>
          <w:sz w:val="21"/>
          <w:szCs w:val="21"/>
        </w:rPr>
      </w:pPr>
      <w:bookmarkStart w:name="（二）形成审计意见的基础" w:id="158"/>
      <w:bookmarkEnd w:id="158"/>
      <w:r>
        <w:rPr/>
      </w: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注册会计师对财务报表审计</w:t>
      </w:r>
      <w:r>
        <w:rPr>
          <w:rFonts w:ascii="宋体" w:hAnsi="宋体" w:cs="宋体" w:eastAsia="宋体" w:hint="default"/>
          <w:sz w:val="21"/>
          <w:szCs w:val="21"/>
        </w:rPr>
      </w:r>
    </w:p>
    <w:p>
      <w:pPr>
        <w:pStyle w:val="BodyText"/>
        <w:spacing w:line="261" w:lineRule="exact"/>
        <w:ind w:right="0"/>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部分进一步阐述了我们在这些准则下的责任。按照中国注册会计师职业道德守则，我们独立于蓝</w:t>
      </w:r>
    </w:p>
    <w:p>
      <w:pPr>
        <w:pStyle w:val="BodyText"/>
        <w:spacing w:line="355" w:lineRule="auto" w:before="118"/>
        <w:ind w:right="0"/>
        <w:jc w:val="left"/>
      </w:pPr>
      <w:r>
        <w:rPr>
          <w:spacing w:val="-1"/>
        </w:rPr>
        <w:t>盾股份，并履行了职业道德方面的其他责任。我们相信，我们获取的审计证据是充分、适当的，为发表审</w:t>
      </w:r>
      <w:r>
        <w:rPr>
          <w:spacing w:val="-83"/>
        </w:rPr>
        <w:t> </w:t>
      </w:r>
      <w:r>
        <w:rPr>
          <w:spacing w:val="-83"/>
        </w:rPr>
      </w:r>
      <w:r>
        <w:rPr/>
        <w:t>计意见提供了基础。</w:t>
      </w:r>
    </w:p>
    <w:p>
      <w:pPr>
        <w:pStyle w:val="BodyText"/>
        <w:spacing w:line="391" w:lineRule="auto" w:before="73"/>
        <w:ind w:left="1553" w:right="0" w:hanging="60"/>
        <w:jc w:val="left"/>
      </w:pPr>
      <w:bookmarkStart w:name="（三）关键审计事项" w:id="159"/>
      <w:bookmarkEnd w:id="159"/>
      <w:r>
        <w:rPr/>
      </w: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BodyText"/>
        <w:spacing w:line="357" w:lineRule="auto" w:before="2"/>
        <w:ind w:right="0"/>
        <w:jc w:val="left"/>
      </w:pPr>
      <w:r>
        <w:rPr>
          <w:spacing w:val="-1"/>
        </w:rPr>
        <w:t>财务报表整体进行审计并形成审计意见为背景，我们不对这些事项单独发表意见。我们确定下列事项是需</w:t>
      </w:r>
      <w:r>
        <w:rPr>
          <w:spacing w:val="-81"/>
        </w:rPr>
        <w:t> </w:t>
      </w:r>
      <w:r>
        <w:rPr>
          <w:spacing w:val="-81"/>
        </w:rPr>
      </w:r>
      <w:r>
        <w:rPr/>
        <w:t>要在审计报告中沟通的关键审计事项。</w:t>
      </w:r>
    </w:p>
    <w:p>
      <w:pPr>
        <w:pStyle w:val="BodyText"/>
        <w:spacing w:line="240" w:lineRule="auto" w:before="70"/>
        <w:ind w:left="189" w:right="7548"/>
        <w:jc w:val="center"/>
      </w:pPr>
      <w:r>
        <w:rPr>
          <w:rFonts w:ascii="Times New Roman" w:hAnsi="Times New Roman" w:cs="Times New Roman" w:eastAsia="Times New Roman" w:hint="default"/>
        </w:rPr>
        <w:t>1</w:t>
      </w:r>
      <w:r>
        <w:rPr/>
        <w:t>、商誉减值</w:t>
      </w:r>
    </w:p>
    <w:p>
      <w:pPr>
        <w:pStyle w:val="BodyText"/>
        <w:spacing w:line="240" w:lineRule="auto" w:before="118"/>
        <w:ind w:left="1553" w:right="0"/>
        <w:jc w:val="left"/>
      </w:pPr>
      <w:r>
        <w:rPr/>
        <w:t>（</w:t>
      </w:r>
      <w:r>
        <w:rPr>
          <w:rFonts w:ascii="Times New Roman" w:hAnsi="Times New Roman" w:cs="Times New Roman" w:eastAsia="Times New Roman" w:hint="default"/>
        </w:rPr>
        <w:t>1</w:t>
      </w:r>
      <w:r>
        <w:rPr/>
        <w:t>）事项描述</w:t>
      </w:r>
    </w:p>
    <w:p>
      <w:pPr>
        <w:pStyle w:val="BodyText"/>
        <w:spacing w:line="338" w:lineRule="auto" w:before="117"/>
        <w:ind w:right="1131" w:firstLine="420"/>
        <w:jc w:val="both"/>
      </w:pPr>
      <w:r>
        <w:rPr/>
        <w:t>如财务报表附注六、注释</w:t>
      </w:r>
      <w:r>
        <w:rPr>
          <w:spacing w:val="-56"/>
        </w:rPr>
        <w:t> </w:t>
      </w:r>
      <w:r>
        <w:rPr>
          <w:rFonts w:ascii="Times New Roman" w:hAnsi="Times New Roman" w:cs="Times New Roman" w:eastAsia="Times New Roman" w:hint="default"/>
        </w:rPr>
        <w:t>16.</w:t>
      </w:r>
      <w:r>
        <w:rPr/>
        <w:t>商誉所述，截止</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日，蓝盾股份合并财务报表中商誉的账 面价值为</w:t>
      </w:r>
      <w:r>
        <w:rPr>
          <w:spacing w:val="-52"/>
        </w:rPr>
        <w:t> </w:t>
      </w:r>
      <w:r>
        <w:rPr>
          <w:rFonts w:ascii="Times New Roman" w:hAnsi="Times New Roman" w:cs="Times New Roman" w:eastAsia="Times New Roman" w:hint="default"/>
        </w:rPr>
        <w:t>1,302,712,584.87 </w:t>
      </w:r>
      <w:r>
        <w:rPr>
          <w:spacing w:val="-3"/>
        </w:rPr>
        <w:t>元。商誉账面价值占总资产的比例为</w:t>
      </w:r>
      <w:r>
        <w:rPr>
          <w:spacing w:val="-52"/>
        </w:rPr>
        <w:t> </w:t>
      </w:r>
      <w:r>
        <w:rPr>
          <w:rFonts w:ascii="Times New Roman" w:hAnsi="Times New Roman" w:cs="Times New Roman" w:eastAsia="Times New Roman" w:hint="default"/>
        </w:rPr>
        <w:t>15.72%,</w:t>
      </w:r>
      <w:r>
        <w:rPr/>
        <w:t>商誉系蓝盾股份非同一控制下合并 </w:t>
      </w:r>
      <w:r>
        <w:rPr>
          <w:spacing w:val="-5"/>
          <w:w w:val="100"/>
        </w:rPr>
        <w:t>广州华炜科技有限公司（以下简称</w:t>
      </w:r>
      <w:r>
        <w:rPr>
          <w:rFonts w:ascii="Times New Roman" w:hAnsi="Times New Roman" w:cs="Times New Roman" w:eastAsia="Times New Roman" w:hint="default"/>
          <w:spacing w:val="-5"/>
          <w:w w:val="100"/>
        </w:rPr>
        <w:t>“</w:t>
      </w:r>
      <w:r>
        <w:rPr>
          <w:spacing w:val="-5"/>
          <w:w w:val="100"/>
        </w:rPr>
        <w:t>华炜科技</w:t>
      </w:r>
      <w:r>
        <w:rPr>
          <w:rFonts w:ascii="Times New Roman" w:hAnsi="Times New Roman" w:cs="Times New Roman" w:eastAsia="Times New Roman" w:hint="default"/>
          <w:spacing w:val="-5"/>
          <w:w w:val="100"/>
        </w:rPr>
        <w:t>”</w:t>
      </w:r>
      <w:r>
        <w:rPr>
          <w:spacing w:val="-5"/>
          <w:w w:val="100"/>
        </w:rPr>
        <w:t>）、中经汇通电子商务有限公司（以下简称</w:t>
      </w:r>
      <w:r>
        <w:rPr>
          <w:rFonts w:ascii="Times New Roman" w:hAnsi="Times New Roman" w:cs="Times New Roman" w:eastAsia="Times New Roman" w:hint="default"/>
          <w:spacing w:val="-5"/>
          <w:w w:val="100"/>
        </w:rPr>
        <w:t>“</w:t>
      </w:r>
      <w:r>
        <w:rPr>
          <w:spacing w:val="-5"/>
          <w:w w:val="100"/>
        </w:rPr>
        <w:t>中经电商</w:t>
      </w:r>
      <w:r>
        <w:rPr>
          <w:rFonts w:ascii="Times New Roman" w:hAnsi="Times New Roman" w:cs="Times New Roman" w:eastAsia="Times New Roman" w:hint="default"/>
          <w:spacing w:val="-5"/>
          <w:w w:val="100"/>
        </w:rPr>
        <w:t>”</w:t>
      </w:r>
      <w:r>
        <w:rPr>
          <w:spacing w:val="-5"/>
          <w:w w:val="100"/>
        </w:rPr>
        <w:t>）、汇</w:t>
      </w:r>
      <w:r>
        <w:rPr>
          <w:spacing w:val="-72"/>
          <w:w w:val="100"/>
        </w:rPr>
        <w:t> </w:t>
      </w:r>
      <w:r>
        <w:rPr>
          <w:spacing w:val="-72"/>
          <w:w w:val="100"/>
        </w:rPr>
      </w:r>
      <w:r>
        <w:rPr>
          <w:spacing w:val="-4"/>
          <w:w w:val="100"/>
        </w:rPr>
        <w:t>通宝支付有限责任公司（以下简称</w:t>
      </w:r>
      <w:r>
        <w:rPr>
          <w:rFonts w:ascii="Times New Roman" w:hAnsi="Times New Roman" w:cs="Times New Roman" w:eastAsia="Times New Roman" w:hint="default"/>
          <w:spacing w:val="-4"/>
          <w:w w:val="100"/>
        </w:rPr>
        <w:t>“</w:t>
      </w:r>
      <w:r>
        <w:rPr>
          <w:spacing w:val="-4"/>
          <w:w w:val="100"/>
        </w:rPr>
        <w:t>汇通宝</w:t>
      </w:r>
      <w:r>
        <w:rPr>
          <w:rFonts w:ascii="Times New Roman" w:hAnsi="Times New Roman" w:cs="Times New Roman" w:eastAsia="Times New Roman" w:hint="default"/>
          <w:spacing w:val="-4"/>
          <w:w w:val="100"/>
        </w:rPr>
        <w:t>”</w:t>
      </w:r>
      <w:r>
        <w:rPr>
          <w:spacing w:val="-4"/>
          <w:w w:val="100"/>
        </w:rPr>
        <w:t>）、广州天锐锋信息科技有限公司（以下简称</w:t>
      </w:r>
      <w:r>
        <w:rPr>
          <w:rFonts w:ascii="Times New Roman" w:hAnsi="Times New Roman" w:cs="Times New Roman" w:eastAsia="Times New Roman" w:hint="default"/>
          <w:spacing w:val="-4"/>
          <w:w w:val="100"/>
        </w:rPr>
        <w:t>“</w:t>
      </w:r>
      <w:r>
        <w:rPr>
          <w:spacing w:val="-4"/>
          <w:w w:val="100"/>
        </w:rPr>
        <w:t>天锐锋</w:t>
      </w:r>
      <w:r>
        <w:rPr>
          <w:rFonts w:ascii="Times New Roman" w:hAnsi="Times New Roman" w:cs="Times New Roman" w:eastAsia="Times New Roman" w:hint="default"/>
          <w:spacing w:val="-4"/>
          <w:w w:val="100"/>
        </w:rPr>
        <w:t>”</w:t>
      </w:r>
      <w:r>
        <w:rPr>
          <w:spacing w:val="-4"/>
          <w:w w:val="100"/>
        </w:rPr>
        <w:t>）和深圳</w:t>
      </w:r>
      <w:r>
        <w:rPr>
          <w:spacing w:val="-101"/>
          <w:w w:val="100"/>
        </w:rPr>
        <w:t> </w:t>
      </w:r>
      <w:r>
        <w:rPr>
          <w:spacing w:val="-101"/>
          <w:w w:val="100"/>
        </w:rPr>
      </w:r>
      <w:r>
        <w:rPr/>
        <w:t>市蓝盾满泰科技发展有限公司（以下简称</w:t>
      </w:r>
      <w:r>
        <w:rPr>
          <w:rFonts w:ascii="Times New Roman" w:hAnsi="Times New Roman" w:cs="Times New Roman" w:eastAsia="Times New Roman" w:hint="default"/>
        </w:rPr>
        <w:t>“</w:t>
      </w:r>
      <w:r>
        <w:rPr/>
        <w:t>满泰科技</w:t>
      </w:r>
      <w:r>
        <w:rPr>
          <w:rFonts w:ascii="Times New Roman" w:hAnsi="Times New Roman" w:cs="Times New Roman" w:eastAsia="Times New Roman" w:hint="default"/>
        </w:rPr>
        <w:t>”</w:t>
      </w:r>
      <w:r>
        <w:rPr/>
        <w:t>）所形成。管理层在进行商誉减值测试时作出了估值</w:t>
      </w:r>
    </w:p>
    <w:p>
      <w:pPr>
        <w:spacing w:after="0" w:line="338" w:lineRule="auto"/>
        <w:jc w:val="both"/>
        <w:sectPr>
          <w:type w:val="continuous"/>
          <w:pgSz w:w="11910" w:h="16840"/>
          <w:pgMar w:top="1100" w:bottom="1160" w:left="0" w:right="0"/>
        </w:sectPr>
      </w:pPr>
    </w:p>
    <w:p>
      <w:pPr>
        <w:spacing w:line="240" w:lineRule="auto" w:before="2"/>
        <w:rPr>
          <w:rFonts w:ascii="宋体" w:hAnsi="宋体" w:cs="宋体" w:eastAsia="宋体" w:hint="default"/>
          <w:sz w:val="19"/>
          <w:szCs w:val="19"/>
        </w:rPr>
      </w:pPr>
    </w:p>
    <w:p>
      <w:pPr>
        <w:pStyle w:val="BodyText"/>
        <w:spacing w:line="357" w:lineRule="auto" w:before="35"/>
        <w:ind w:right="1131"/>
        <w:jc w:val="both"/>
      </w:pPr>
      <w:r>
        <w:rPr>
          <w:spacing w:val="-1"/>
        </w:rPr>
        <w:t>判断，计算中采用的关键指标包括：报告期收入增长率及后续预测期收入增长率、毛利率、折现率等涉及</w:t>
      </w:r>
      <w:r>
        <w:rPr>
          <w:spacing w:val="-84"/>
        </w:rPr>
        <w:t> </w:t>
      </w:r>
      <w:r>
        <w:rPr>
          <w:spacing w:val="-84"/>
        </w:rPr>
      </w:r>
      <w:r>
        <w:rPr>
          <w:spacing w:val="-1"/>
        </w:rPr>
        <w:t>管理层的重大判断。该等估计均存在固有不确定性，受管理层对未来市场以及对经济环境判断的影响，采</w:t>
      </w:r>
      <w:r>
        <w:rPr>
          <w:spacing w:val="-83"/>
        </w:rPr>
        <w:t> </w:t>
      </w:r>
      <w:r>
        <w:rPr>
          <w:spacing w:val="-83"/>
        </w:rPr>
      </w:r>
      <w:r>
        <w:rPr>
          <w:spacing w:val="-1"/>
        </w:rPr>
        <w:t>用不同的估计和假设会对评估的商誉可收回价值有很大的影响。由于商誉金额较大，且减值测试需要管理</w:t>
      </w:r>
      <w:r>
        <w:rPr>
          <w:spacing w:val="-81"/>
        </w:rPr>
        <w:t> </w:t>
      </w:r>
      <w:r>
        <w:rPr>
          <w:spacing w:val="-81"/>
        </w:rPr>
      </w:r>
      <w:r>
        <w:rPr/>
        <w:t>层的重大判断，我们将商誉减值确定为关键审计事项。</w:t>
      </w:r>
    </w:p>
    <w:p>
      <w:pPr>
        <w:pStyle w:val="BodyText"/>
        <w:spacing w:line="240" w:lineRule="auto" w:before="72"/>
        <w:ind w:left="1553" w:right="0"/>
        <w:jc w:val="left"/>
      </w:pPr>
      <w:r>
        <w:rPr/>
        <w:t>（</w:t>
      </w:r>
      <w:r>
        <w:rPr>
          <w:rFonts w:ascii="Times New Roman" w:hAnsi="Times New Roman" w:cs="Times New Roman" w:eastAsia="Times New Roman" w:hint="default"/>
        </w:rPr>
        <w:t>2</w:t>
      </w:r>
      <w:r>
        <w:rPr/>
        <w:t>）审计应对</w:t>
      </w:r>
    </w:p>
    <w:p>
      <w:pPr>
        <w:pStyle w:val="BodyText"/>
        <w:spacing w:line="240" w:lineRule="auto" w:before="157"/>
        <w:ind w:left="1553" w:right="0"/>
        <w:jc w:val="left"/>
      </w:pPr>
      <w:r>
        <w:rPr>
          <w:rFonts w:ascii="Times New Roman" w:hAnsi="Times New Roman" w:cs="Times New Roman" w:eastAsia="Times New Roman" w:hint="default"/>
        </w:rPr>
        <w:t>1</w:t>
      </w:r>
      <w:r>
        <w:rPr/>
        <w:t>）评价与管理层确定商誉可收回金额相关的关键内部控制的设计和运行有效性。</w:t>
      </w:r>
    </w:p>
    <w:p>
      <w:pPr>
        <w:pStyle w:val="BodyText"/>
        <w:spacing w:line="240" w:lineRule="auto" w:before="158"/>
        <w:ind w:left="1553" w:right="0"/>
        <w:jc w:val="left"/>
      </w:pPr>
      <w:r>
        <w:rPr>
          <w:rFonts w:ascii="Times New Roman" w:hAnsi="Times New Roman" w:cs="Times New Roman" w:eastAsia="Times New Roman" w:hint="default"/>
        </w:rPr>
        <w:t>2</w:t>
      </w:r>
      <w:r>
        <w:rPr/>
        <w:t>）复核管理层对资产组的认定和商誉的分摊方法。</w:t>
      </w:r>
    </w:p>
    <w:p>
      <w:pPr>
        <w:pStyle w:val="BodyText"/>
        <w:spacing w:line="338" w:lineRule="auto" w:before="157"/>
        <w:ind w:right="0" w:firstLine="420"/>
        <w:jc w:val="left"/>
      </w:pPr>
      <w:r>
        <w:rPr>
          <w:rFonts w:ascii="Times New Roman" w:hAnsi="Times New Roman" w:cs="Times New Roman" w:eastAsia="Times New Roman" w:hint="default"/>
        </w:rPr>
        <w:t>3</w:t>
      </w:r>
      <w:r>
        <w:rPr/>
        <w:t>）与公司管理层聘请的外部评估机构专家等讨论商誉减值测试过程中所使用的方法、关键评估的假 设、参数的选择、预测未来收入及现金流折现率等的合理性；</w:t>
      </w:r>
    </w:p>
    <w:p>
      <w:pPr>
        <w:pStyle w:val="BodyText"/>
        <w:spacing w:line="336" w:lineRule="auto" w:before="88"/>
        <w:ind w:right="0" w:firstLine="420"/>
        <w:jc w:val="left"/>
      </w:pPr>
      <w:r>
        <w:rPr>
          <w:rFonts w:ascii="Times New Roman" w:hAnsi="Times New Roman" w:cs="Times New Roman" w:eastAsia="Times New Roman" w:hint="default"/>
        </w:rPr>
        <w:t>4</w:t>
      </w:r>
      <w:r>
        <w:rPr/>
        <w:t>）将公司管理层在商誉减值测试过程中使用的关键假设和参数与公司董事会批准的财务预算和报告 日期后签订的协议作对比。</w:t>
      </w:r>
    </w:p>
    <w:p>
      <w:pPr>
        <w:pStyle w:val="BodyText"/>
        <w:spacing w:line="348" w:lineRule="auto" w:before="90"/>
        <w:ind w:right="1131" w:firstLine="420"/>
        <w:jc w:val="both"/>
      </w:pPr>
      <w:r>
        <w:rPr>
          <w:rFonts w:ascii="Times New Roman" w:hAnsi="Times New Roman" w:cs="Times New Roman" w:eastAsia="Times New Roman" w:hint="default"/>
        </w:rPr>
        <w:t>5</w:t>
      </w:r>
      <w:r>
        <w:rPr/>
        <w:t>）将公司管理层在以往年度商誉减值测试过程中所使用的关键假设和参数、预测的未来收入及现金 </w:t>
      </w:r>
      <w:r>
        <w:rPr>
          <w:spacing w:val="-1"/>
        </w:rPr>
        <w:t>流量等，与本年度所使用的关键假设和参数、本年经营业绩等作对比，以评估管理层预测过程的可靠性和</w:t>
      </w:r>
      <w:r>
        <w:rPr>
          <w:spacing w:val="-83"/>
        </w:rPr>
        <w:t> </w:t>
      </w:r>
      <w:r>
        <w:rPr>
          <w:spacing w:val="-83"/>
        </w:rPr>
      </w:r>
      <w:r>
        <w:rPr/>
        <w:t>历史准确性。</w:t>
      </w:r>
    </w:p>
    <w:p>
      <w:pPr>
        <w:pStyle w:val="BodyText"/>
        <w:spacing w:line="338" w:lineRule="auto" w:before="78"/>
        <w:ind w:right="0" w:firstLine="420"/>
        <w:jc w:val="left"/>
      </w:pPr>
      <w:r>
        <w:rPr>
          <w:rFonts w:ascii="Times New Roman" w:hAnsi="Times New Roman" w:cs="Times New Roman" w:eastAsia="Times New Roman" w:hint="default"/>
        </w:rPr>
        <w:t>6</w:t>
      </w:r>
      <w:r>
        <w:rPr/>
        <w:t>）结合同行业标准、宏观经济和所属行业的发展趋势等，评估商誉减值测试过程中所使用的关键假 设和参数的合理性。</w:t>
      </w:r>
    </w:p>
    <w:p>
      <w:pPr>
        <w:pStyle w:val="BodyText"/>
        <w:spacing w:line="336" w:lineRule="auto" w:before="88"/>
        <w:ind w:right="0" w:firstLine="420"/>
        <w:jc w:val="left"/>
      </w:pPr>
      <w:r>
        <w:rPr>
          <w:rFonts w:ascii="Times New Roman" w:hAnsi="Times New Roman" w:cs="Times New Roman" w:eastAsia="Times New Roman" w:hint="default"/>
        </w:rPr>
        <w:t>7</w:t>
      </w:r>
      <w:r>
        <w:rPr/>
        <w:t>）取得管理层在商誉减值测试过程中对所采用的关键假设指标的敏感性分析，并考虑由此对各年度 减值数额所产生的影响以及是否存在管理层偏向的迹象。</w:t>
      </w:r>
    </w:p>
    <w:p>
      <w:pPr>
        <w:pStyle w:val="BodyText"/>
        <w:spacing w:line="240" w:lineRule="auto" w:before="90"/>
        <w:ind w:left="1554" w:right="0"/>
        <w:jc w:val="left"/>
      </w:pPr>
      <w:r>
        <w:rPr>
          <w:rFonts w:ascii="Times New Roman" w:hAnsi="Times New Roman" w:cs="Times New Roman" w:eastAsia="Times New Roman" w:hint="default"/>
        </w:rPr>
        <w:t>8</w:t>
      </w:r>
      <w:r>
        <w:rPr/>
        <w:t>）评价由公司管理层聘请的外部评估机构的独立性、客观性、经验和资质。</w:t>
      </w:r>
    </w:p>
    <w:p>
      <w:pPr>
        <w:pStyle w:val="BodyText"/>
        <w:spacing w:line="338" w:lineRule="auto" w:before="157"/>
        <w:ind w:left="1134" w:right="0" w:firstLine="420"/>
        <w:jc w:val="left"/>
      </w:pPr>
      <w:r>
        <w:rPr>
          <w:rFonts w:ascii="Times New Roman" w:hAnsi="Times New Roman" w:cs="Times New Roman" w:eastAsia="Times New Roman" w:hint="default"/>
        </w:rPr>
        <w:t>9</w:t>
      </w:r>
      <w:r>
        <w:rPr/>
        <w:t>）利用第三方估值专家的工作，基于企业会计准则的要求，协助我们评估管理层选择的估值方法和 采用的主要假设的合理性。</w:t>
      </w:r>
    </w:p>
    <w:p>
      <w:pPr>
        <w:pStyle w:val="BodyText"/>
        <w:spacing w:line="240" w:lineRule="auto" w:before="88"/>
        <w:ind w:left="1554" w:right="0"/>
        <w:jc w:val="left"/>
      </w:pPr>
      <w:r>
        <w:rPr>
          <w:rFonts w:ascii="Times New Roman" w:hAnsi="Times New Roman" w:cs="Times New Roman" w:eastAsia="Times New Roman" w:hint="default"/>
        </w:rPr>
        <w:t>10</w:t>
      </w:r>
      <w:r>
        <w:rPr/>
        <w:t>）测试未来现金流量净现值的计算是否准确。</w:t>
      </w:r>
    </w:p>
    <w:p>
      <w:pPr>
        <w:pStyle w:val="BodyText"/>
        <w:spacing w:line="369" w:lineRule="auto" w:before="157"/>
        <w:ind w:left="1553" w:right="0"/>
        <w:jc w:val="left"/>
      </w:pPr>
      <w:r>
        <w:rPr>
          <w:rFonts w:ascii="Times New Roman" w:hAnsi="Times New Roman" w:cs="Times New Roman" w:eastAsia="Times New Roman" w:hint="default"/>
        </w:rPr>
        <w:t>11</w:t>
      </w:r>
      <w:r>
        <w:rPr/>
        <w:t>）评估管理层于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日对商誉及其减值估计结果、财务报表的披露是否恰当。 </w:t>
      </w:r>
      <w:r>
        <w:rPr>
          <w:spacing w:val="-1"/>
        </w:rPr>
        <w:t>基于已执行的审计工作，我们得出审计结论，管理层在商誉减值测试中判断合理，期末商誉减值金额</w:t>
      </w:r>
    </w:p>
    <w:p>
      <w:pPr>
        <w:pStyle w:val="BodyText"/>
        <w:spacing w:line="240" w:lineRule="auto" w:before="21"/>
        <w:ind w:right="0"/>
        <w:jc w:val="both"/>
      </w:pPr>
      <w:r>
        <w:rPr/>
        <w:t>合理准确。</w:t>
      </w:r>
    </w:p>
    <w:p>
      <w:pPr>
        <w:pStyle w:val="BodyText"/>
        <w:spacing w:line="240" w:lineRule="auto" w:before="172"/>
        <w:ind w:left="1553" w:right="0"/>
        <w:jc w:val="left"/>
      </w:pPr>
      <w:r>
        <w:rPr>
          <w:rFonts w:ascii="Times New Roman" w:hAnsi="Times New Roman" w:cs="Times New Roman" w:eastAsia="Times New Roman" w:hint="default"/>
        </w:rPr>
        <w:t>2</w:t>
      </w:r>
      <w:r>
        <w:rPr/>
        <w:t>、应收账款的减值</w:t>
      </w:r>
    </w:p>
    <w:p>
      <w:pPr>
        <w:pStyle w:val="BodyText"/>
        <w:spacing w:line="240" w:lineRule="auto" w:before="158"/>
        <w:ind w:left="1553" w:right="0"/>
        <w:jc w:val="left"/>
      </w:pPr>
      <w:r>
        <w:rPr/>
        <w:t>（</w:t>
      </w:r>
      <w:r>
        <w:rPr>
          <w:rFonts w:ascii="Times New Roman" w:hAnsi="Times New Roman" w:cs="Times New Roman" w:eastAsia="Times New Roman" w:hint="default"/>
        </w:rPr>
        <w:t>1</w:t>
      </w:r>
      <w:r>
        <w:rPr/>
        <w:t>）事项描述</w:t>
      </w:r>
    </w:p>
    <w:p>
      <w:pPr>
        <w:pStyle w:val="BodyText"/>
        <w:spacing w:line="240" w:lineRule="auto" w:before="158"/>
        <w:ind w:left="1554" w:right="0"/>
        <w:jc w:val="left"/>
      </w:pPr>
      <w:r>
        <w:rPr/>
        <w:t>如财务报表附注六、注释</w:t>
      </w:r>
      <w:r>
        <w:rPr>
          <w:spacing w:val="-41"/>
        </w:rPr>
        <w:t> </w:t>
      </w:r>
      <w:r>
        <w:rPr>
          <w:rFonts w:ascii="Times New Roman" w:hAnsi="Times New Roman" w:cs="Times New Roman" w:eastAsia="Times New Roman" w:hint="default"/>
        </w:rPr>
        <w:t>3.</w:t>
      </w:r>
      <w:r>
        <w:rPr/>
        <w:t>应收账款所述，截止</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日，蓝盾股份应收款项账面余额为</w:t>
      </w:r>
    </w:p>
    <w:p>
      <w:pPr>
        <w:pStyle w:val="BodyText"/>
        <w:spacing w:line="372" w:lineRule="auto" w:before="117"/>
        <w:ind w:left="1554" w:right="0" w:hanging="420"/>
        <w:jc w:val="left"/>
      </w:pPr>
      <w:r>
        <w:rPr/>
        <w:t>人民币</w:t>
      </w:r>
      <w:r>
        <w:rPr>
          <w:spacing w:val="-53"/>
        </w:rPr>
        <w:t> </w:t>
      </w:r>
      <w:r>
        <w:rPr>
          <w:rFonts w:ascii="Times New Roman" w:hAnsi="Times New Roman" w:cs="Times New Roman" w:eastAsia="Times New Roman" w:hint="default"/>
        </w:rPr>
        <w:t>2,101,766,778.19</w:t>
      </w:r>
      <w:r>
        <w:rPr>
          <w:rFonts w:ascii="Times New Roman" w:hAnsi="Times New Roman" w:cs="Times New Roman" w:eastAsia="Times New Roman" w:hint="default"/>
          <w:spacing w:val="-1"/>
        </w:rPr>
        <w:t> </w:t>
      </w:r>
      <w:r>
        <w:rPr/>
        <w:t>元，占资产总额的</w:t>
      </w:r>
      <w:r>
        <w:rPr>
          <w:spacing w:val="-53"/>
        </w:rPr>
        <w:t> </w:t>
      </w:r>
      <w:r>
        <w:rPr>
          <w:rFonts w:ascii="Times New Roman" w:hAnsi="Times New Roman" w:cs="Times New Roman" w:eastAsia="Times New Roman" w:hint="default"/>
        </w:rPr>
        <w:t>25.36%</w:t>
      </w:r>
      <w:r>
        <w:rPr/>
        <w:t>，坏账准备金额为</w:t>
      </w:r>
      <w:r>
        <w:rPr>
          <w:spacing w:val="-54"/>
        </w:rPr>
        <w:t> </w:t>
      </w:r>
      <w:r>
        <w:rPr>
          <w:rFonts w:ascii="Times New Roman" w:hAnsi="Times New Roman" w:cs="Times New Roman" w:eastAsia="Times New Roman" w:hint="default"/>
        </w:rPr>
        <w:t>203,842,681.14 </w:t>
      </w:r>
      <w:r>
        <w:rPr/>
        <w:t>元。</w:t>
      </w:r>
      <w:r>
        <w:rPr>
          <w:spacing w:val="-2"/>
        </w:rPr>
        <w:t> </w:t>
      </w:r>
      <w:r>
        <w:rPr>
          <w:spacing w:val="-1"/>
        </w:rPr>
        <w:t>管理层定期对重大客户进行单独的信用风险评估。对该等评估重点关注客户的历史结算记录及当前支</w:t>
      </w:r>
    </w:p>
    <w:p>
      <w:pPr>
        <w:pStyle w:val="BodyText"/>
        <w:spacing w:line="355" w:lineRule="auto" w:before="19"/>
        <w:ind w:left="1134" w:right="1131"/>
        <w:jc w:val="both"/>
      </w:pPr>
      <w:r>
        <w:rPr>
          <w:spacing w:val="-1"/>
        </w:rPr>
        <w:t>付能力，并考虑客户自身及其所处行业的经济环境的特定信息。对于无须进行单独评估或单独评估未发生</w:t>
      </w:r>
      <w:r>
        <w:rPr>
          <w:spacing w:val="-81"/>
        </w:rPr>
        <w:t> </w:t>
      </w:r>
      <w:r>
        <w:rPr>
          <w:spacing w:val="-81"/>
        </w:rPr>
      </w:r>
      <w:r>
        <w:rPr>
          <w:spacing w:val="-1"/>
        </w:rPr>
        <w:t>减值的应收款项，管理层在考虑该等客户组账龄分析及发生减值损失的历史记录基础上实施了组合减值评</w:t>
      </w:r>
    </w:p>
    <w:p>
      <w:pPr>
        <w:spacing w:after="0" w:line="355" w:lineRule="auto"/>
        <w:jc w:val="both"/>
        <w:sectPr>
          <w:pgSz w:w="11910" w:h="16840"/>
          <w:pgMar w:header="877" w:footer="979" w:top="1100" w:bottom="1160" w:left="0" w:right="0"/>
        </w:sectPr>
      </w:pPr>
    </w:p>
    <w:p>
      <w:pPr>
        <w:spacing w:line="240" w:lineRule="auto" w:before="2"/>
        <w:rPr>
          <w:rFonts w:ascii="宋体" w:hAnsi="宋体" w:cs="宋体" w:eastAsia="宋体" w:hint="default"/>
          <w:sz w:val="19"/>
          <w:szCs w:val="19"/>
        </w:rPr>
      </w:pPr>
    </w:p>
    <w:p>
      <w:pPr>
        <w:pStyle w:val="BodyText"/>
        <w:spacing w:line="240" w:lineRule="auto" w:before="35"/>
        <w:ind w:right="0"/>
        <w:jc w:val="left"/>
      </w:pPr>
      <w:r>
        <w:rPr/>
        <w:t>估。</w:t>
      </w:r>
    </w:p>
    <w:p>
      <w:pPr>
        <w:pStyle w:val="BodyText"/>
        <w:spacing w:line="357" w:lineRule="auto" w:before="174"/>
        <w:ind w:left="1134" w:right="1131" w:firstLine="420"/>
        <w:jc w:val="both"/>
      </w:pPr>
      <w:r>
        <w:rPr>
          <w:spacing w:val="-1"/>
        </w:rPr>
        <w:t>由于应收款项可收回性的确定需要管理层识别已发生减值的项目和客观证据、评估预期未来可获取的</w:t>
      </w:r>
      <w:r>
        <w:rPr/>
        <w:t> </w:t>
      </w:r>
      <w:r>
        <w:rPr>
          <w:spacing w:val="-1"/>
        </w:rPr>
        <w:t>现金流量并确定其现值，涉及管理层运用重大会计估计和判断，且应收款项的可收回性对于财务报表具有</w:t>
      </w:r>
      <w:r>
        <w:rPr>
          <w:spacing w:val="-81"/>
        </w:rPr>
        <w:t> </w:t>
      </w:r>
      <w:r>
        <w:rPr>
          <w:spacing w:val="-81"/>
        </w:rPr>
      </w:r>
      <w:r>
        <w:rPr/>
        <w:t>重要性，因此，我们将应收款项的可收回性认定为关键审计事项。</w:t>
      </w:r>
    </w:p>
    <w:p>
      <w:pPr>
        <w:pStyle w:val="BodyText"/>
        <w:spacing w:line="240" w:lineRule="auto" w:before="70"/>
        <w:ind w:left="1553" w:right="0"/>
        <w:jc w:val="left"/>
      </w:pPr>
      <w:r>
        <w:rPr/>
        <w:t>（</w:t>
      </w:r>
      <w:r>
        <w:rPr>
          <w:rFonts w:ascii="Times New Roman" w:hAnsi="Times New Roman" w:cs="Times New Roman" w:eastAsia="Times New Roman" w:hint="default"/>
        </w:rPr>
        <w:t>2</w:t>
      </w:r>
      <w:r>
        <w:rPr/>
        <w:t>）审计应对</w:t>
      </w:r>
    </w:p>
    <w:p>
      <w:pPr>
        <w:pStyle w:val="BodyText"/>
        <w:spacing w:line="348" w:lineRule="auto" w:before="158"/>
        <w:ind w:right="1131" w:firstLine="420"/>
        <w:jc w:val="both"/>
      </w:pPr>
      <w:r>
        <w:rPr>
          <w:rFonts w:ascii="Times New Roman" w:hAnsi="Times New Roman" w:cs="Times New Roman" w:eastAsia="Times New Roman" w:hint="default"/>
        </w:rPr>
        <w:t>1</w:t>
      </w:r>
      <w:r>
        <w:rPr/>
        <w:t>）我们对与应收款项日常管理及可收回性评估相关的内部控制的设计及运行有效性进行了解、评估 </w:t>
      </w:r>
      <w:r>
        <w:rPr>
          <w:spacing w:val="-1"/>
        </w:rPr>
        <w:t>及测试。这些内部控制包括客户信用风险评估、应收款项收回流程、对触发应收款项减值的事件的识别及</w:t>
      </w:r>
      <w:r>
        <w:rPr>
          <w:spacing w:val="-83"/>
        </w:rPr>
        <w:t> </w:t>
      </w:r>
      <w:r>
        <w:rPr>
          <w:spacing w:val="-83"/>
        </w:rPr>
      </w:r>
      <w:r>
        <w:rPr/>
        <w:t>对坏账准备金额的估计等。</w:t>
      </w:r>
    </w:p>
    <w:p>
      <w:pPr>
        <w:pStyle w:val="BodyText"/>
        <w:spacing w:line="348" w:lineRule="auto" w:before="79"/>
        <w:ind w:right="1131" w:firstLine="420"/>
        <w:jc w:val="both"/>
      </w:pPr>
      <w:r>
        <w:rPr>
          <w:rFonts w:ascii="Times New Roman" w:hAnsi="Times New Roman" w:cs="Times New Roman" w:eastAsia="Times New Roman" w:hint="default"/>
        </w:rPr>
        <w:t>2</w:t>
      </w:r>
      <w:r>
        <w:rPr/>
        <w:t>）我们复核管理层在评估应收款项的可收回性方面的判断及估计，关注管理层是否充分识别已发生 </w:t>
      </w:r>
      <w:r>
        <w:rPr>
          <w:spacing w:val="-1"/>
        </w:rPr>
        <w:t>减值的项目。当中考虑过往的回款模式、实际信用条款的遵守情况，以及我们对经营环境及行业基准的认</w:t>
      </w:r>
      <w:r>
        <w:rPr>
          <w:spacing w:val="-83"/>
        </w:rPr>
        <w:t> </w:t>
      </w:r>
      <w:r>
        <w:rPr>
          <w:spacing w:val="-83"/>
        </w:rPr>
      </w:r>
      <w:r>
        <w:rPr/>
        <w:t>知（特别是帐龄及逾期应收款项）等。</w:t>
      </w:r>
    </w:p>
    <w:p>
      <w:pPr>
        <w:pStyle w:val="BodyText"/>
        <w:spacing w:line="348" w:lineRule="auto" w:before="78"/>
        <w:ind w:right="1131" w:firstLine="420"/>
        <w:jc w:val="both"/>
      </w:pPr>
      <w:r>
        <w:rPr>
          <w:rFonts w:ascii="Times New Roman" w:hAnsi="Times New Roman" w:cs="Times New Roman" w:eastAsia="Times New Roman" w:hint="default"/>
        </w:rPr>
        <w:t>3</w:t>
      </w:r>
      <w:r>
        <w:rPr/>
        <w:t>）我们将前期坏账准备的会计估计与本期实际发生的坏账损失及坏账准备转回情况、坏账准备计提 </w:t>
      </w:r>
      <w:r>
        <w:rPr>
          <w:spacing w:val="-1"/>
        </w:rPr>
        <w:t>情况进行对比，以评估管理层对应收款项可收回性的可靠性和历史准确性，并向管理层询问显著差异的原</w:t>
      </w:r>
      <w:r>
        <w:rPr>
          <w:spacing w:val="-81"/>
        </w:rPr>
        <w:t> </w:t>
      </w:r>
      <w:r>
        <w:rPr>
          <w:spacing w:val="-81"/>
        </w:rPr>
      </w:r>
      <w:r>
        <w:rPr/>
        <w:t>因；</w:t>
      </w:r>
    </w:p>
    <w:p>
      <w:pPr>
        <w:pStyle w:val="BodyText"/>
        <w:spacing w:line="348" w:lineRule="auto" w:before="79"/>
        <w:ind w:left="1134" w:right="1131" w:firstLine="420"/>
        <w:jc w:val="both"/>
      </w:pPr>
      <w:r>
        <w:rPr>
          <w:rFonts w:ascii="Times New Roman" w:hAnsi="Times New Roman" w:cs="Times New Roman" w:eastAsia="Times New Roman" w:hint="default"/>
        </w:rPr>
        <w:t>4</w:t>
      </w:r>
      <w:r>
        <w:rPr/>
        <w:t>）我们从管理层获取了对重大客户信用风险评估的详细分析，对单项金额重大并已单独计提坏账准 </w:t>
      </w:r>
      <w:r>
        <w:rPr>
          <w:spacing w:val="-1"/>
        </w:rPr>
        <w:t>备的应收款项进行了抽样减值测试，复核管理层对预计未来可获得的现金流量做出评估的依据，以核实坏</w:t>
      </w:r>
      <w:r>
        <w:rPr>
          <w:spacing w:val="-81"/>
        </w:rPr>
        <w:t> </w:t>
      </w:r>
      <w:r>
        <w:rPr>
          <w:spacing w:val="-81"/>
        </w:rPr>
      </w:r>
      <w:r>
        <w:rPr/>
        <w:t>账准备的计提时点和金额的合理性。</w:t>
      </w:r>
    </w:p>
    <w:p>
      <w:pPr>
        <w:pStyle w:val="BodyText"/>
        <w:spacing w:line="355" w:lineRule="auto" w:before="79"/>
        <w:ind w:left="1134" w:right="1131" w:firstLine="420"/>
        <w:jc w:val="both"/>
      </w:pPr>
      <w:r>
        <w:rPr>
          <w:spacing w:val="-1"/>
        </w:rPr>
        <w:t>此外，我们抽样检查了管理层未识别出存在潜在减值风险的重大客户，并实施审计程序以测试其可回</w:t>
      </w:r>
      <w:r>
        <w:rPr/>
        <w:t> </w:t>
      </w:r>
      <w:r>
        <w:rPr>
          <w:spacing w:val="-1"/>
        </w:rPr>
        <w:t>收性。我们的程序包括检查交易合同安排、交易进度，查阅客户的公开信息，通过检查对客户的过往收款</w:t>
      </w:r>
      <w:r>
        <w:rPr>
          <w:spacing w:val="-86"/>
        </w:rPr>
        <w:t> </w:t>
      </w:r>
      <w:r>
        <w:rPr>
          <w:spacing w:val="-86"/>
        </w:rPr>
      </w:r>
      <w:r>
        <w:rPr/>
        <w:t>及期后收款情况评估客户是否面临重大财务困难、欠付或拖欠付款等。</w:t>
      </w:r>
    </w:p>
    <w:p>
      <w:pPr>
        <w:pStyle w:val="BodyText"/>
        <w:spacing w:line="338" w:lineRule="auto" w:before="73"/>
        <w:ind w:right="1141" w:firstLine="420"/>
        <w:jc w:val="both"/>
      </w:pPr>
      <w:r>
        <w:rPr>
          <w:rFonts w:ascii="Times New Roman" w:hAnsi="Times New Roman" w:cs="Times New Roman" w:eastAsia="Times New Roman" w:hint="default"/>
        </w:rPr>
        <w:t>5</w:t>
      </w:r>
      <w:r>
        <w:rPr/>
        <w:t>）我们对管理层按照信用风险特征组合计提坏账准备的应收款项进行了减值测试，评价管理层坏账 准备计提的合理性。我们的程序包括：</w:t>
      </w:r>
    </w:p>
    <w:p>
      <w:pPr>
        <w:pStyle w:val="BodyText"/>
        <w:spacing w:line="240" w:lineRule="auto" w:before="86"/>
        <w:ind w:left="1553" w:right="0"/>
        <w:jc w:val="left"/>
      </w:pPr>
      <w:r>
        <w:rPr/>
        <w:t>①结合客户的财务状况和信用等级执行信用风险特征分析；</w:t>
      </w:r>
    </w:p>
    <w:p>
      <w:pPr>
        <w:pStyle w:val="BodyText"/>
        <w:spacing w:line="338" w:lineRule="auto" w:before="174"/>
        <w:ind w:left="1134" w:right="1131" w:firstLine="420"/>
        <w:jc w:val="both"/>
      </w:pPr>
      <w:r>
        <w:rPr/>
        <w:t>②通过查阅有关文件评估应收款项的账龄，账龄超过 </w:t>
      </w:r>
      <w:r>
        <w:rPr>
          <w:rFonts w:ascii="Times New Roman" w:hAnsi="Times New Roman" w:cs="Times New Roman" w:eastAsia="Times New Roman" w:hint="default"/>
        </w:rPr>
        <w:t>90</w:t>
      </w:r>
      <w:r>
        <w:rPr>
          <w:rFonts w:ascii="Times New Roman" w:hAnsi="Times New Roman" w:cs="Times New Roman" w:eastAsia="Times New Roman" w:hint="default"/>
          <w:spacing w:val="29"/>
        </w:rPr>
        <w:t> </w:t>
      </w:r>
      <w:r>
        <w:rPr/>
        <w:t>天而于报告日期后并未收回款项，与管理层 讨论其可收回金额的估计，包括以往这些客户的付款历史；</w:t>
      </w:r>
    </w:p>
    <w:p>
      <w:pPr>
        <w:pStyle w:val="BodyText"/>
        <w:spacing w:line="357" w:lineRule="auto" w:before="86"/>
        <w:ind w:left="1134" w:right="1131" w:firstLine="420"/>
        <w:jc w:val="both"/>
      </w:pPr>
      <w:r>
        <w:rPr>
          <w:spacing w:val="-1"/>
        </w:rPr>
        <w:t>③结合历史收款记录、历史损失率、行业平均坏账准备计提比例评估管理层所采用的坏账准备计提比</w:t>
      </w:r>
      <w:r>
        <w:rPr/>
        <w:t> 例是否适当。</w:t>
      </w:r>
    </w:p>
    <w:p>
      <w:pPr>
        <w:pStyle w:val="BodyText"/>
        <w:spacing w:line="240" w:lineRule="auto" w:before="71"/>
        <w:ind w:left="1554" w:right="0"/>
        <w:jc w:val="left"/>
      </w:pPr>
      <w:r>
        <w:rPr>
          <w:rFonts w:ascii="Times New Roman" w:hAnsi="Times New Roman" w:cs="Times New Roman" w:eastAsia="Times New Roman" w:hint="default"/>
        </w:rPr>
        <w:t>6</w:t>
      </w:r>
      <w:r>
        <w:rPr/>
        <w:t>）我们抽样检查了期后回款情况。</w:t>
      </w:r>
    </w:p>
    <w:p>
      <w:pPr>
        <w:pStyle w:val="BodyText"/>
        <w:spacing w:line="372" w:lineRule="auto" w:before="157"/>
        <w:ind w:left="1554" w:right="1512"/>
        <w:jc w:val="left"/>
      </w:pPr>
      <w:r>
        <w:rPr>
          <w:rFonts w:ascii="Times New Roman" w:hAnsi="Times New Roman" w:cs="Times New Roman" w:eastAsia="Times New Roman" w:hint="default"/>
        </w:rPr>
        <w:t>7</w:t>
      </w:r>
      <w:r>
        <w:rPr/>
        <w:t>）我们评估了管理层于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日对应收款项坏账准备的会计处理及披露。 基于已执行的审计工作，我们认为，管理层对应收款项的可收回性的相关判断及估计是合理的。</w:t>
      </w:r>
    </w:p>
    <w:p>
      <w:pPr>
        <w:pStyle w:val="Heading3"/>
        <w:spacing w:line="240" w:lineRule="auto" w:before="58"/>
        <w:ind w:left="1696" w:right="0"/>
        <w:jc w:val="left"/>
        <w:rPr>
          <w:b w:val="0"/>
          <w:bCs w:val="0"/>
        </w:rPr>
      </w:pPr>
      <w:bookmarkStart w:name="（四）其他信息" w:id="160"/>
      <w:bookmarkEnd w:id="160"/>
      <w:r>
        <w:rPr>
          <w:b w:val="0"/>
          <w:bCs w:val="0"/>
        </w:rPr>
      </w:r>
      <w:r>
        <w:rPr/>
        <w:t>（四）其他信息</w:t>
      </w:r>
      <w:r>
        <w:rPr>
          <w:b w:val="0"/>
          <w:bCs w:val="0"/>
        </w:rPr>
      </w:r>
    </w:p>
    <w:p>
      <w:pPr>
        <w:pStyle w:val="BodyText"/>
        <w:spacing w:line="240" w:lineRule="auto" w:before="172"/>
        <w:ind w:left="1554" w:right="0"/>
        <w:jc w:val="left"/>
      </w:pPr>
      <w:r>
        <w:rPr/>
        <w:t>蓝盾股份管理层对其他信息负责。其他信息包括蓝盾股份 </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年度报告中涵盖的信息，但不包括财</w:t>
      </w:r>
    </w:p>
    <w:p>
      <w:pPr>
        <w:spacing w:after="0" w:line="240" w:lineRule="auto"/>
        <w:jc w:val="left"/>
        <w:sectPr>
          <w:pgSz w:w="11910" w:h="16840"/>
          <w:pgMar w:header="877" w:footer="979" w:top="1100" w:bottom="1160" w:left="0" w:right="0"/>
        </w:sectPr>
      </w:pPr>
    </w:p>
    <w:p>
      <w:pPr>
        <w:spacing w:line="240" w:lineRule="auto" w:before="2"/>
        <w:rPr>
          <w:rFonts w:ascii="宋体" w:hAnsi="宋体" w:cs="宋体" w:eastAsia="宋体" w:hint="default"/>
          <w:sz w:val="19"/>
          <w:szCs w:val="19"/>
        </w:rPr>
      </w:pPr>
    </w:p>
    <w:p>
      <w:pPr>
        <w:pStyle w:val="BodyText"/>
        <w:spacing w:line="391" w:lineRule="auto" w:before="35"/>
        <w:ind w:left="1553" w:right="0" w:hanging="420"/>
        <w:jc w:val="left"/>
      </w:pPr>
      <w:r>
        <w:rPr/>
        <w:t>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391" w:lineRule="auto" w:before="1"/>
        <w:ind w:left="1553" w:right="0" w:hanging="420"/>
        <w:jc w:val="left"/>
      </w:pPr>
      <w:r>
        <w:rPr/>
        <w:t>表或我们在审计过程中了解的情况存在重大不一致或者似乎存在重大错报。 </w:t>
      </w:r>
      <w:r>
        <w:rPr>
          <w:spacing w:val="-1"/>
        </w:rPr>
        <w:t>基于我们已执行的工作，如果我们确定其他信息存在重大错报，我们应当报告该事实。在这方面，我</w:t>
      </w:r>
    </w:p>
    <w:p>
      <w:pPr>
        <w:pStyle w:val="BodyText"/>
        <w:spacing w:line="240" w:lineRule="auto" w:before="1"/>
        <w:ind w:right="0"/>
        <w:jc w:val="left"/>
      </w:pPr>
      <w:r>
        <w:rPr/>
        <w:t>们无任何事项需要报告。</w:t>
      </w:r>
    </w:p>
    <w:p>
      <w:pPr>
        <w:spacing w:line="391" w:lineRule="auto" w:before="174"/>
        <w:ind w:left="1553" w:right="0" w:hanging="60"/>
        <w:jc w:val="left"/>
        <w:rPr>
          <w:rFonts w:ascii="宋体" w:hAnsi="宋体" w:cs="宋体" w:eastAsia="宋体" w:hint="default"/>
          <w:sz w:val="21"/>
          <w:szCs w:val="21"/>
        </w:rPr>
      </w:pPr>
      <w:bookmarkStart w:name="（五）管理层和治理层对财务报表的责任" w:id="161"/>
      <w:bookmarkEnd w:id="161"/>
      <w:r>
        <w:rPr/>
      </w: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1"/>
          <w:sz w:val="21"/>
          <w:szCs w:val="21"/>
        </w:rPr>
        <w:t>蓝盾股份管理层负责按照企业会计准则的规定编制财务报表，使其实现公允反映，并设计、执行和维</w:t>
      </w:r>
    </w:p>
    <w:p>
      <w:pPr>
        <w:pStyle w:val="BodyText"/>
        <w:spacing w:line="391" w:lineRule="auto" w:before="2"/>
        <w:ind w:left="1553" w:right="0" w:hanging="420"/>
        <w:jc w:val="left"/>
      </w:pPr>
      <w:r>
        <w:rPr/>
        <w:t>护必要的内部控制，以使财务报表不存在由于舞弊或错误导致的重大错报。 </w:t>
      </w:r>
      <w:r>
        <w:rPr>
          <w:spacing w:val="-1"/>
        </w:rPr>
        <w:t>在编制财务报表时，蓝盾股份管理层负责评估蓝盾股份的持续经营能力，披露与持续经营相关的事项</w:t>
      </w:r>
    </w:p>
    <w:p>
      <w:pPr>
        <w:pStyle w:val="BodyText"/>
        <w:spacing w:line="391" w:lineRule="auto" w:before="1"/>
        <w:ind w:left="1554" w:right="0" w:hanging="420"/>
        <w:jc w:val="left"/>
      </w:pPr>
      <w:r>
        <w:rPr>
          <w:spacing w:val="-3"/>
        </w:rPr>
        <w:t>（如适用），并运用持续经营假设，除非管理层计划清算蓝盾股份、终止运营或别无其他现实的选择。</w:t>
      </w:r>
      <w:r>
        <w:rPr>
          <w:spacing w:val="-77"/>
        </w:rPr>
        <w:t> </w:t>
      </w:r>
      <w:r>
        <w:rPr>
          <w:spacing w:val="-77"/>
        </w:rPr>
      </w:r>
      <w:r>
        <w:rPr/>
        <w:t>治理层负责监督蓝盾股份的财务报告过程。</w:t>
      </w:r>
    </w:p>
    <w:p>
      <w:pPr>
        <w:spacing w:line="391" w:lineRule="auto" w:before="41"/>
        <w:ind w:left="1553" w:right="0" w:hanging="60"/>
        <w:jc w:val="left"/>
        <w:rPr>
          <w:rFonts w:ascii="宋体" w:hAnsi="宋体" w:cs="宋体" w:eastAsia="宋体" w:hint="default"/>
          <w:sz w:val="21"/>
          <w:szCs w:val="21"/>
        </w:rPr>
      </w:pPr>
      <w:bookmarkStart w:name="（六）注册会计师对财务报表审计的责任" w:id="162"/>
      <w:bookmarkEnd w:id="162"/>
      <w:r>
        <w:rPr/>
      </w: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我们的目标是对财务报表整体是否不存在由于舞弊或错误导致的重大错报获取合理保证，并出具包含</w:t>
      </w:r>
    </w:p>
    <w:p>
      <w:pPr>
        <w:pStyle w:val="BodyText"/>
        <w:spacing w:line="357" w:lineRule="auto" w:before="2"/>
        <w:ind w:right="1131"/>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355" w:lineRule="auto" w:before="71"/>
        <w:ind w:right="1118" w:firstLine="420"/>
        <w:jc w:val="left"/>
      </w:pPr>
      <w:r>
        <w:rPr>
          <w:spacing w:val="-1"/>
        </w:rPr>
        <w:t>在按照审计准则执行审计工作的过程中，我们运用职业判断，并保持职业怀疑。同时，我们也执行以</w:t>
      </w:r>
      <w:r>
        <w:rPr/>
        <w:t> 下工作：</w:t>
      </w:r>
    </w:p>
    <w:p>
      <w:pPr>
        <w:pStyle w:val="BodyText"/>
        <w:spacing w:line="350" w:lineRule="auto" w:before="73"/>
        <w:ind w:left="1134" w:right="0" w:firstLine="420"/>
        <w:jc w:val="left"/>
      </w:pP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w:t>
      </w:r>
      <w:r>
        <w:rPr/>
        <w:t>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BodyText"/>
        <w:spacing w:line="240" w:lineRule="auto" w:before="37"/>
        <w:ind w:left="1553" w:right="0"/>
        <w:jc w:val="left"/>
      </w:pPr>
      <w:r>
        <w:rPr>
          <w:rFonts w:ascii="Times New Roman" w:hAnsi="Times New Roman" w:cs="Times New Roman" w:eastAsia="Times New Roman" w:hint="default"/>
        </w:rPr>
        <w:t>2</w:t>
      </w:r>
      <w:r>
        <w:rPr/>
        <w:t>、评价管理层选用会计政策的恰当性和作出会计估计及相关披露的合理性。</w:t>
      </w:r>
    </w:p>
    <w:p>
      <w:pPr>
        <w:pStyle w:val="BodyText"/>
        <w:spacing w:line="352" w:lineRule="auto" w:before="117"/>
        <w:ind w:left="1134" w:right="1131" w:firstLine="420"/>
        <w:jc w:val="both"/>
      </w:pPr>
      <w:r>
        <w:rPr>
          <w:rFonts w:ascii="Times New Roman" w:hAnsi="Times New Roman" w:cs="Times New Roman" w:eastAsia="Times New Roman" w:hint="default"/>
        </w:rPr>
        <w:t>3</w:t>
      </w:r>
      <w:r>
        <w:rPr/>
        <w:t>、对管理层使用持续经营假设的恰当性得出结论。同时，根据获取的审计证据，就可能导致对蓝盾 </w:t>
      </w:r>
      <w:r>
        <w:rPr>
          <w:spacing w:val="-1"/>
        </w:rPr>
        <w:t>股份持续经营能力产生重大疑虑的事项或情况是否存在重大不确定性得出结论。如果我们得出结论认为存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在重大不确定性，审计准则要求我们在审计报告中提请报告使用者注意财务报表中的相关披露；如果披露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6"/>
        </w:rPr>
        <w:t> </w:t>
      </w:r>
      <w:r>
        <w:rPr>
          <w:spacing w:val="-86"/>
        </w:rPr>
      </w:r>
      <w:r>
        <w:rPr/>
        <w:t>或情况可能导致蓝盾股份不能持续经营。</w:t>
      </w:r>
    </w:p>
    <w:p>
      <w:pPr>
        <w:pStyle w:val="BodyText"/>
        <w:spacing w:line="338" w:lineRule="auto" w:before="34"/>
        <w:ind w:left="1134" w:right="1122" w:firstLine="420"/>
        <w:jc w:val="left"/>
      </w:pPr>
      <w:r>
        <w:rPr>
          <w:rFonts w:ascii="Times New Roman" w:hAnsi="Times New Roman" w:cs="Times New Roman" w:eastAsia="Times New Roman" w:hint="default"/>
          <w:spacing w:val="-3"/>
        </w:rPr>
        <w:t>4</w:t>
      </w:r>
      <w:r>
        <w:rPr>
          <w:spacing w:val="-3"/>
        </w:rPr>
        <w:t>、评价财务报表的总体列报、结构和内容（包括披露），并评价财务报表是否公允反映相关交易和事</w:t>
      </w:r>
      <w:r>
        <w:rPr/>
        <w:t> 项。</w:t>
      </w:r>
    </w:p>
    <w:p>
      <w:pPr>
        <w:pStyle w:val="BodyText"/>
        <w:spacing w:line="336" w:lineRule="auto" w:before="47"/>
        <w:ind w:left="1134" w:right="0" w:firstLine="420"/>
        <w:jc w:val="left"/>
      </w:pPr>
      <w:r>
        <w:rPr>
          <w:rFonts w:ascii="Times New Roman" w:hAnsi="Times New Roman" w:cs="Times New Roman" w:eastAsia="Times New Roman" w:hint="default"/>
        </w:rPr>
        <w:t>5</w:t>
      </w:r>
      <w:r>
        <w:rPr/>
        <w:t>、就蓝盾股份中实体或业务活动的财务信息获取充分、适当的审计证据，以对合并财务报表发表意 见。我们负责指导、监督和执行集团审计，并对审计意见承担全部责任。</w:t>
      </w:r>
    </w:p>
    <w:p>
      <w:pPr>
        <w:spacing w:after="0" w:line="336" w:lineRule="auto"/>
        <w:jc w:val="left"/>
        <w:sectPr>
          <w:pgSz w:w="11910" w:h="16840"/>
          <w:pgMar w:header="877" w:footer="979" w:top="1100" w:bottom="1160" w:left="0" w:right="0"/>
        </w:sectPr>
      </w:pPr>
    </w:p>
    <w:p>
      <w:pPr>
        <w:spacing w:line="240" w:lineRule="auto" w:before="2"/>
        <w:rPr>
          <w:rFonts w:ascii="宋体" w:hAnsi="宋体" w:cs="宋体" w:eastAsia="宋体" w:hint="default"/>
          <w:sz w:val="19"/>
          <w:szCs w:val="19"/>
        </w:rPr>
      </w:pPr>
    </w:p>
    <w:p>
      <w:pPr>
        <w:pStyle w:val="BodyText"/>
        <w:spacing w:line="355" w:lineRule="auto" w:before="35"/>
        <w:ind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357" w:lineRule="auto" w:before="73"/>
        <w:ind w:right="1132" w:firstLine="420"/>
        <w:jc w:val="both"/>
      </w:pPr>
      <w:r>
        <w:rPr>
          <w:spacing w:val="-1"/>
        </w:rPr>
        <w:t>我们还就已遵守与独立性相关的职业道德要求向治理层提供声明，并与治理层沟通可能被合理认为影</w:t>
      </w:r>
      <w:r>
        <w:rPr/>
        <w:t> </w:t>
      </w:r>
      <w:r>
        <w:rPr>
          <w:spacing w:val="-4"/>
        </w:rPr>
        <w:t>响我们独立性的所有关系和其他事项，以及相关的防范措施（如适用）。</w:t>
      </w:r>
    </w:p>
    <w:p>
      <w:pPr>
        <w:pStyle w:val="BodyText"/>
        <w:spacing w:line="357" w:lineRule="auto" w:before="70"/>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pStyle w:val="BodyText"/>
        <w:tabs>
          <w:tab w:pos="5981" w:val="left" w:leader="none"/>
          <w:tab w:pos="6011" w:val="left" w:leader="none"/>
        </w:tabs>
        <w:spacing w:line="362" w:lineRule="auto" w:before="179"/>
        <w:ind w:left="2563" w:right="3606" w:hanging="1010"/>
        <w:jc w:val="left"/>
      </w:pPr>
      <w:r>
        <w:rPr>
          <w:spacing w:val="-1"/>
        </w:rPr>
        <w:t>大华会计师事务所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tab/>
      </w:r>
      <w:r>
        <w:rPr/>
        <w:t>中国注册会计师：张晓辉 中国</w:t>
      </w:r>
      <w:r>
        <w:rPr>
          <w:rFonts w:ascii="Times New Roman" w:hAnsi="Times New Roman" w:cs="Times New Roman" w:eastAsia="Times New Roman" w:hint="default"/>
        </w:rPr>
        <w:t>•</w:t>
      </w:r>
      <w:r>
        <w:rPr/>
        <w:t>北京</w:t>
        <w:tab/>
        <w:tab/>
        <w:t>中国注册会计师：熊玲</w:t>
      </w:r>
    </w:p>
    <w:p>
      <w:pPr>
        <w:pStyle w:val="BodyText"/>
        <w:spacing w:line="240" w:lineRule="auto" w:before="31"/>
        <w:ind w:left="6014" w:right="0"/>
        <w:jc w:val="left"/>
      </w:pPr>
      <w:r>
        <w:rPr/>
        <w:t>二〇一八年四月二十四日</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63"/>
      <w:bookmarkEnd w:id="163"/>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合并资产负债表" w:id="164"/>
      <w:bookmarkEnd w:id="16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61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10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1,666,726,210.53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2,093,269,865.40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15,844,491.80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12,956,308.60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1,897,924,097.05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1,018,355,088.38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1,113,465,705.13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710,114,900.90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34,175,082.12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28,195,485.25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220,761,676.80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121,666,751.24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235,042.74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47,260,052.96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6,052,004.38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4,996,392,359.13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3,990,610,404.15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21,577,630.00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14,262,820.17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2,358,997.59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1,920,674.83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642,990,089.65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550,834,500.79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536,954,990.44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250,666,587.61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407,175,827.11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201,999,807.99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10,425,524.65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8,917,707.68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1,302,712,584.87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809,799,368.13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16,295,877.89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17,055,253.57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46,933,693.56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29,651,435.39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272,340,317.94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416,347,910.96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3,292,588,796.28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2,311,129,874.54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8,288,981,155.41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6,301,740,278.69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1,282,072,500.00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206,868,507.64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27,679,731.27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347,505,504.80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224,560,656.16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823,447,861.62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460,651,715.80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40,405,179.69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29,118,783.40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72,583,297.47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74,971,457.03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26,928,947.18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24,938,372.78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61,213,644.49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132,896,832.88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145,157,916.79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22,947,156.17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3,006,183,359.68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1,722,764,705.49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766,542,810.25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539,644,286.46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299,441,978.63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298,944,366.00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2,719,803.39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4,199,303.16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112,712,861.69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121,488,898.14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12,191,482.13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10,706,162.11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1,193,608,936.09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974,983,015.87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4,199,792,295.77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2,697,747,721.36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1,175,365,904.00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1,175,455,904.00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1,895,409,563.59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1,876,013,533.75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62,331,000.00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-20,542.00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60,018.00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1,410,051.23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893,169.35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32,548,685.53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30,506,420.05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927,544,179.89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551,040,289.22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3,982,961,122.24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3,571,638,334.37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106,227,737.40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32,354,222.96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4,089,188,859.64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3,603,992,557.33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8,288,981,155.41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6,301,740,278.69</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65"/>
      <w:bookmarkEnd w:id="16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183,330,884.71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577,202,370.63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74,831,573.87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154,468,887.84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2,233,887.27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14,306,546.23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3,896,360.70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1,627,613.69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5,151,775.22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5,823,880.07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235,042.74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269,679,524.51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753,429,298.46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3,311,801,823.56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2,471,633,702.47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308,447,945.74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327,370,939.98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266,780,894.07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239,940,389.23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52,410,224.29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66,312,172.18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3,315,420.06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3,876,041.19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11,148,483.37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10,413,381.07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56,310,111.12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318,772,811.87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4,011,214,902.21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3,438,319,437.99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4,280,894,426.72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4,191,748,736.45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4,981,469.40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3,674,420.42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23,730,688.57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27,872,789.53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4,332,524.95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2,560,523.00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4,099,338.44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2,730,355.00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9,008,315.67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14,246,629.42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23,426,815.41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23,207,366.66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49,505,924.56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128,190,576.21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77,501,476.21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270,289,053.21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327,482,660.24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466,542,810.25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319,644,286.46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299,441,978.63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298,944,366.00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40,659,006.88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45,936,899.14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806,643,795.76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664,525,551.60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1,076,932,848.97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992,008,211.84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1,175,365,904.00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1,175,455,904.00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1,881,874,874.33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1,875,757,374.29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62,331,000.00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32,548,685.53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30,506,420.05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163,468,833.89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180,351,826.27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3,203,961,577.75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3,199,740,524.61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4,280,894,426.72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4,191,748,736.45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66"/>
      <w:bookmarkEnd w:id="16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2,216,476,420.87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1,573,504,560.72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2,216,476,420.87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1,573,504,560.72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1,782,592,877.75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1,242,860,565.47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1,009,048,664.86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749,017,784.32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400.699982pt;width:157.7pt;height:19.650pt;mso-position-horizontal-relative:page;mso-position-vertical-relative:page;z-index:-1148848"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1148824"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24,678,994.46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17,140,121.34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141,485,597.61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80,208,718.75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385,838,739.43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291,485,174.82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120,652,761.86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69,056,131.54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100,888,119.53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35,952,634.70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335,373.23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425,424.31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-446,668.47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-32,545.22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-464.00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86,905,605.50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521,124,057.85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331,069,419.56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142,311.68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47,467,748.80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6,501,592.64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5,329,705.76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514,764,776.89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373,207,462.60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73,451,035.77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49,351,458.39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441,313,741.12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323,856,004.21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413,809,537.85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322,894,873.34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27,504,203.27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961,130.87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60,018.00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60,018.00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60,018.00</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60,018.00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441,233,181.12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323,916,022.21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413,728,977.85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322,954,891.34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27,504,203.27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961,130.87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母公司利润表" w:id="167"/>
      <w:bookmarkEnd w:id="16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267,557,673.40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318,532,046.71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73,290,227.37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123,899,331.92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5,956,369.28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6,451,196.16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2,294,737.87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3,996,655.70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121,454,216.13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110,649,157.34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61,443,773.73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34,729,750.96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16,124,707.08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3,558,461.41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37,498,916.21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24,493,825.51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35,247,493.22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36,400,894.54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5,026,058.77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4,816,343.87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19,467,861.73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66,832,043.89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-954,793.07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6,287,661.78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20,422,654.80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60,544,382.11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20,422,654.80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60,544,382.11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20,422,654.80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60,544,382.11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68"/>
      <w:bookmarkEnd w:id="16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5,973,578,853.28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3,987,985,124.45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52,379,062.23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23,181,793.06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69,651,437.86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108,026,636.48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6,095,609,353.37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4,119,193,553.99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5,268,902,761.30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3,250,250,274.95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285,125,282.56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163,782,527.73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285,337,170.65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151,710,891.71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230,892,051.88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210,253,480.56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6,070,257,266.39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3,775,997,174.95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25,352,086.98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343,196,379.04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619,032.17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457,969.53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20,863.33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18,382.00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411,019,895.50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256,416,351.53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807,302,992.08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358,064,590.66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203,677,630.00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322,833,711.72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106,773,670.82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4,490,243.20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1,589,626,947.00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959,515,891.48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-1,178,607,051.50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-703,099,539.95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1,137,910,997.12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2,144,472,500.00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1,542,730,017.86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32,004,127.82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19,648,929.06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2,176,775,527.82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2,700,289,944.04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1,238,562,730.63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709,670,238.23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153,435,542.06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49,302,090.25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106,246,814.42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33,800,256.28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1,498,245,087.11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792,772,584.76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678,530,440.71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1,907,517,359.28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62,951.72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11,757.89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-474,661,572.09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1,547,625,956.26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2,056,075,667.78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508,449,711.52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1,581,414,095.69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2,056,075,667.78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9"/>
      <w:bookmarkEnd w:id="16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384,417,526.09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397,049,830.15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20,400,723.95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16,819,967.87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97,968,355.78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192,236,138.60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502,786,605.82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606,105,936.62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72,686,751.92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144,966,585.44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27,898,204.12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10,522,744.89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39,272,438.99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56,217,789.17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133,689,465.27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215,601,544.66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273,546,860.30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427,308,664.16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229,239,745.52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178,797,272.46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39,031,350.00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49,440,280.00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10,008,960.00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90,474,265.41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117,880,862.36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264,806,100.00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545,001,752.00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356,768,000.00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286,432,000.00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742,048,365.41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1,240,314,614.36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-692,608,085.41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-1,230,305,654.36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1,128,410,997.12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319,102,500.00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2,063,627.94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2,100,828.13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321,166,127.94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1,853,611,825.25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91,314,071.55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23,848,996.93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15,197,256.56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11,676,943.79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252,511,328.11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385,525,940.72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68,654,799.83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1,468,085,884.53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-394,713,540.06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416,577,502.63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576,062,883.15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159,485,380.52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181,349,343.09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576,062,883.15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7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5"/>
          <w:szCs w:val="15"/>
        </w:rPr>
      </w:pPr>
    </w:p>
    <w:p>
      <w:pPr>
        <w:pStyle w:val="Heading3"/>
        <w:spacing w:line="240" w:lineRule="auto" w:before="35"/>
        <w:ind w:left="820" w:right="0"/>
        <w:jc w:val="left"/>
        <w:rPr>
          <w:b w:val="0"/>
          <w:bCs w:val="0"/>
        </w:rPr>
      </w:pPr>
      <w:bookmarkStart w:name="7、合并所有者权益变动表" w:id="170"/>
      <w:bookmarkEnd w:id="17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82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388"/>
        <w:gridCol w:w="1429"/>
        <w:gridCol w:w="425"/>
        <w:gridCol w:w="426"/>
        <w:gridCol w:w="426"/>
        <w:gridCol w:w="1416"/>
        <w:gridCol w:w="1277"/>
        <w:gridCol w:w="850"/>
        <w:gridCol w:w="1134"/>
        <w:gridCol w:w="1134"/>
        <w:gridCol w:w="568"/>
        <w:gridCol w:w="1276"/>
        <w:gridCol w:w="1276"/>
        <w:gridCol w:w="1417"/>
      </w:tblGrid>
      <w:tr>
        <w:trPr>
          <w:trHeight w:val="402" w:hRule="exact"/>
        </w:trPr>
        <w:tc>
          <w:tcPr>
            <w:tcW w:w="2388" w:type="dxa"/>
            <w:vMerge w:val="restart"/>
            <w:tcBorders>
              <w:top w:val="single" w:sz="4" w:space="0" w:color="000000"/>
              <w:left w:val="single" w:sz="4" w:space="0" w:color="000000"/>
              <w:right w:val="single" w:sz="4" w:space="0" w:color="000000"/>
            </w:tcBorders>
            <w:shd w:val="clear" w:color="auto" w:fill="D2D2D2"/>
          </w:tcPr>
          <w:p>
            <w:pPr/>
          </w:p>
        </w:tc>
        <w:tc>
          <w:tcPr>
            <w:tcW w:w="1305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03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8" w:right="9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1277"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39"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2388"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388" w:type="dxa"/>
            <w:vMerge/>
            <w:tcBorders>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2388"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r>
      <w:tr>
        <w:trPr>
          <w:trHeight w:val="184"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1,175,455,904.00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1,876,013,533.75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60,018.00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893,169.35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30,506,420.05</w:t>
            </w:r>
          </w:p>
        </w:tc>
        <w:tc>
          <w:tcPr>
            <w:tcW w:w="568"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551,040,289.22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32,354,222.96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3,603,992,557.33</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1,175,455,904.00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1,876,013,533.75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60,018.00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893,169.35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30,506,420.05</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551,040,289.22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32,354,222.96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3,603,992,557.33</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19,396,029.84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-13,034,280.00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-80,560.00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516,881.88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2,042,265.48</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376,503,890.67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73,873,514.44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485,196,302.31</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-80,560.00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413,809,537.85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27,504,203.27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441,233,181.12</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19,396,029.84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-13,034,280.00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46,369,311.17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78,709,621.01</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46,369,311.17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46,369,311.17</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6,117,500.04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-13,034,280.00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19,061,780.04</w:t>
            </w:r>
          </w:p>
        </w:tc>
      </w:tr>
    </w:tbl>
    <w:p>
      <w:pPr>
        <w:spacing w:after="0" w:line="240" w:lineRule="auto"/>
        <w:jc w:val="right"/>
        <w:rPr>
          <w:rFonts w:ascii="Times New Roman" w:hAnsi="Times New Roman" w:cs="Times New Roman" w:eastAsia="Times New Roman" w:hint="default"/>
          <w:sz w:val="18"/>
          <w:szCs w:val="18"/>
        </w:rPr>
        <w:sectPr>
          <w:headerReference w:type="default" r:id="rId21"/>
          <w:footerReference w:type="default" r:id="rId22"/>
          <w:pgSz w:w="16840" w:h="11910" w:orient="landscape"/>
          <w:pgMar w:header="867" w:footer="979" w:top="1060" w:bottom="1160" w:left="620" w:right="0"/>
        </w:sectPr>
      </w:pPr>
    </w:p>
    <w:p>
      <w:pPr>
        <w:spacing w:line="240" w:lineRule="auto" w:before="4"/>
        <w:rPr>
          <w:rFonts w:ascii="Times New Roman" w:hAnsi="Times New Roman" w:cs="Times New Roman" w:eastAsia="Times New Roman" w:hint="default"/>
          <w:sz w:val="3"/>
          <w:szCs w:val="3"/>
        </w:rPr>
      </w:pPr>
      <w:r>
        <w:rPr/>
        <w:pict>
          <v:group style="position:absolute;margin-left:157.339996pt;margin-top:293.350006pt;width:69.25pt;height:40.9pt;mso-position-horizontal-relative:page;mso-position-vertical-relative:page;z-index:-1148776" coordorigin="3147,5867" coordsize="1385,818">
            <v:group style="position:absolute;left:3158;top:5878;width:2;height:393" coordorigin="3158,5878" coordsize="2,393">
              <v:shape style="position:absolute;left:3158;top:5878;width:2;height:393" coordorigin="3158,5878" coordsize="0,393" path="m3158,5878l3158,6271e" filled="false" stroked="true" strokeweight="1.140pt" strokecolor="#ffffff">
                <v:path arrowok="t"/>
              </v:shape>
            </v:group>
            <v:group style="position:absolute;left:3170;top:5878;width:1362;height:393" coordorigin="3170,5878" coordsize="1362,393">
              <v:shape style="position:absolute;left:3170;top:5878;width:1362;height:393" coordorigin="3170,5878" coordsize="1362,393" path="m3170,6271l4532,6271,4532,5878,3170,5878,3170,6271xe" filled="true" fillcolor="#ffffff" stroked="false">
                <v:path arrowok="t"/>
                <v:fill type="solid"/>
              </v:shape>
            </v:group>
            <v:group style="position:absolute;left:3158;top:6280;width:2;height:393" coordorigin="3158,6280" coordsize="2,393">
              <v:shape style="position:absolute;left:3158;top:6280;width:2;height:393" coordorigin="3158,6280" coordsize="0,393" path="m3158,6280l3158,6673e" filled="false" stroked="true" strokeweight="1.140pt" strokecolor="#ffffff">
                <v:path arrowok="t"/>
              </v:shape>
            </v:group>
            <v:group style="position:absolute;left:3170;top:6280;width:1362;height:393" coordorigin="3170,6280" coordsize="1362,393">
              <v:shape style="position:absolute;left:3170;top:6280;width:1362;height:393" coordorigin="3170,6280" coordsize="1362,393" path="m3170,6673l4532,6673,4532,6280,3170,6280,3170,6673xe" filled="true" fillcolor="#ffffff" stroked="false">
                <v:path arrowok="t"/>
                <v:fill type="solid"/>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2388"/>
        <w:gridCol w:w="1429"/>
        <w:gridCol w:w="425"/>
        <w:gridCol w:w="426"/>
        <w:gridCol w:w="426"/>
        <w:gridCol w:w="1416"/>
        <w:gridCol w:w="1277"/>
        <w:gridCol w:w="850"/>
        <w:gridCol w:w="1134"/>
        <w:gridCol w:w="1134"/>
        <w:gridCol w:w="568"/>
        <w:gridCol w:w="1276"/>
        <w:gridCol w:w="1276"/>
        <w:gridCol w:w="1417"/>
      </w:tblGrid>
      <w:tr>
        <w:trPr>
          <w:trHeight w:val="416" w:hRule="exact"/>
        </w:trPr>
        <w:tc>
          <w:tcPr>
            <w:tcW w:w="2388" w:type="dxa"/>
            <w:vMerge w:val="restart"/>
            <w:tcBorders>
              <w:top w:val="single" w:sz="15" w:space="0" w:color="000000"/>
              <w:left w:val="single" w:sz="4" w:space="0" w:color="000000"/>
              <w:right w:val="single" w:sz="4" w:space="0" w:color="000000"/>
            </w:tcBorders>
            <w:shd w:val="clear" w:color="auto" w:fill="D2D2D2"/>
          </w:tcPr>
          <w:p>
            <w:pPr/>
          </w:p>
        </w:tc>
        <w:tc>
          <w:tcPr>
            <w:tcW w:w="13053"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8"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036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8" w:right="9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1277"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39"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2388"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388" w:type="dxa"/>
            <w:vMerge/>
            <w:tcBorders>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2388"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r>
      <w:tr>
        <w:trPr>
          <w:trHeight w:val="184"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13,278,529.80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13,278,529.80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2,042,265.48</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-37,305,647.18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-35,263,381.70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2,042,265.48</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-2,042,265.48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-35,263,381.70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-35,263,381.70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资本公积转增资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盈余公积转增资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516,881.88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516,881.88</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516,881.88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516,881.88</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1,175,365,904.00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1,895,409,563.59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49,296,720.00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-20,542.00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1,410,051.23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32,548,685.53</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927,544,179.89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106,227,737.40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4,089,188,859.64</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6840" w:h="11910" w:orient="landscape"/>
          <w:pgMar w:footer="979" w:header="867" w:top="1060" w:bottom="1160" w:left="620" w:right="0"/>
        </w:sectPr>
      </w:pPr>
    </w:p>
    <w:p>
      <w:pPr>
        <w:spacing w:line="240" w:lineRule="auto" w:before="4"/>
        <w:rPr>
          <w:rFonts w:ascii="Times New Roman" w:hAnsi="Times New Roman" w:cs="Times New Roman" w:eastAsia="Times New Roman" w:hint="default"/>
          <w:sz w:val="3"/>
          <w:szCs w:val="3"/>
        </w:rPr>
      </w:pPr>
    </w:p>
    <w:p>
      <w:pPr>
        <w:spacing w:line="20" w:lineRule="exact"/>
        <w:ind w:left="7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8"/>
          <w:szCs w:val="28"/>
        </w:rPr>
      </w:pPr>
    </w:p>
    <w:p>
      <w:pPr>
        <w:spacing w:before="44"/>
        <w:ind w:left="8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388"/>
        <w:gridCol w:w="1429"/>
        <w:gridCol w:w="425"/>
        <w:gridCol w:w="426"/>
        <w:gridCol w:w="426"/>
        <w:gridCol w:w="1416"/>
        <w:gridCol w:w="1134"/>
        <w:gridCol w:w="852"/>
        <w:gridCol w:w="1134"/>
        <w:gridCol w:w="1134"/>
        <w:gridCol w:w="566"/>
        <w:gridCol w:w="1276"/>
        <w:gridCol w:w="1276"/>
        <w:gridCol w:w="1418"/>
      </w:tblGrid>
      <w:tr>
        <w:trPr>
          <w:trHeight w:val="402" w:hRule="exact"/>
        </w:trPr>
        <w:tc>
          <w:tcPr>
            <w:tcW w:w="2388" w:type="dxa"/>
            <w:vMerge w:val="restart"/>
            <w:tcBorders>
              <w:top w:val="single" w:sz="4" w:space="0" w:color="000000"/>
              <w:left w:val="single" w:sz="4" w:space="0" w:color="000000"/>
              <w:right w:val="single" w:sz="4" w:space="0" w:color="000000"/>
            </w:tcBorders>
            <w:shd w:val="clear" w:color="auto" w:fill="D2D2D2"/>
          </w:tcPr>
          <w:p>
            <w:pPr/>
          </w:p>
        </w:tc>
        <w:tc>
          <w:tcPr>
            <w:tcW w:w="1291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7"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02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1"/>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1277"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3"/>
              <w:ind w:left="241"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2388"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6"/>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6"/>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6"/>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6"/>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2"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388" w:type="dxa"/>
            <w:vMerge/>
            <w:tcBorders>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2388"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r>
      <w:tr>
        <w:trPr>
          <w:trHeight w:val="184"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970,685,034.00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10,159,168.98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337,868.86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24,451,981.84</w:t>
            </w:r>
          </w:p>
        </w:tc>
        <w:tc>
          <w:tcPr>
            <w:tcW w:w="566"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2"/>
                <w:sz w:val="18"/>
              </w:rPr>
              <w:t>237,111,891.08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18,170,852.54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1,260,916,797.30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970,685,034.00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10,159,168.98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337,868.86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24,451,981.84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2"/>
                <w:sz w:val="18"/>
              </w:rPr>
              <w:t>237,111,891.08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18,170,852.54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1,260,916,797.30</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1" w:right="24"/>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204,770,870.00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1,865,854,364.77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62,331,000.00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60,018.00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555,300.49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6,054,438.21</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313,928,398.14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14,183,370.42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2,343,075,760.03</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60,018.00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322,894,873.34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961,130.87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323,916,022.21</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204,770,870.00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1,865,854,364.77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 w:right="0"/>
              <w:jc w:val="center"/>
              <w:rPr>
                <w:rFonts w:ascii="Times New Roman" w:hAnsi="Times New Roman" w:cs="Times New Roman" w:eastAsia="Times New Roman" w:hint="default"/>
                <w:sz w:val="18"/>
                <w:szCs w:val="18"/>
              </w:rPr>
            </w:pPr>
            <w:r>
              <w:rPr>
                <w:rFonts w:ascii="Times New Roman"/>
                <w:sz w:val="18"/>
              </w:rPr>
              <w:t>62,331,000.00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13,222,239.55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2,021,516,474.32</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196,870,870.00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1,853,602,558.84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13,222,239.55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pacing w:val="-1"/>
                <w:sz w:val="18"/>
              </w:rPr>
              <w:t>2,063,695,668.39</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11,995,646.47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62,331,000.00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-42,435,353.53</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256,159.46</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256,159.46</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2" w:right="0"/>
              <w:jc w:val="center"/>
              <w:rPr>
                <w:rFonts w:ascii="Times New Roman" w:hAnsi="Times New Roman" w:cs="Times New Roman" w:eastAsia="Times New Roman" w:hint="default"/>
                <w:sz w:val="18"/>
                <w:szCs w:val="18"/>
              </w:rPr>
            </w:pPr>
            <w:r>
              <w:rPr>
                <w:rFonts w:ascii="Times New Roman"/>
                <w:sz w:val="18"/>
              </w:rPr>
              <w:t>6,054,438.21</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-8,966,475.20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-2,912,036.99</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6840" w:h="11910" w:orient="landscape"/>
          <w:pgMar w:footer="979" w:header="867" w:top="1060" w:bottom="1220" w:left="620" w:right="0"/>
          <w:pgNumType w:start="101"/>
        </w:sectPr>
      </w:pPr>
    </w:p>
    <w:p>
      <w:pPr>
        <w:spacing w:line="240" w:lineRule="auto" w:before="4"/>
        <w:rPr>
          <w:rFonts w:ascii="Times New Roman" w:hAnsi="Times New Roman" w:cs="Times New Roman" w:eastAsia="Times New Roman" w:hint="default"/>
          <w:sz w:val="3"/>
          <w:szCs w:val="3"/>
        </w:rPr>
      </w:pPr>
      <w:r>
        <w:rPr/>
        <w:pict>
          <v:group style="position:absolute;margin-left:157.339996pt;margin-top:253.150009pt;width:69.25pt;height:40.9pt;mso-position-horizontal-relative:page;mso-position-vertical-relative:page;z-index:-1148728" coordorigin="3147,5063" coordsize="1385,818">
            <v:group style="position:absolute;left:3158;top:5074;width:2;height:393" coordorigin="3158,5074" coordsize="2,393">
              <v:shape style="position:absolute;left:3158;top:5074;width:2;height:393" coordorigin="3158,5074" coordsize="0,393" path="m3158,5074l3158,5467e" filled="false" stroked="true" strokeweight="1.140pt" strokecolor="#ffffff">
                <v:path arrowok="t"/>
              </v:shape>
            </v:group>
            <v:group style="position:absolute;left:3170;top:5074;width:1362;height:393" coordorigin="3170,5074" coordsize="1362,393">
              <v:shape style="position:absolute;left:3170;top:5074;width:1362;height:393" coordorigin="3170,5074" coordsize="1362,393" path="m3170,5467l4532,5467,4532,5074,3170,5074,3170,5467xe" filled="true" fillcolor="#ffffff" stroked="false">
                <v:path arrowok="t"/>
                <v:fill type="solid"/>
              </v:shape>
            </v:group>
            <v:group style="position:absolute;left:3158;top:5476;width:2;height:393" coordorigin="3158,5476" coordsize="2,393">
              <v:shape style="position:absolute;left:3158;top:5476;width:2;height:393" coordorigin="3158,5476" coordsize="0,393" path="m3158,5476l3158,5869e" filled="false" stroked="true" strokeweight="1.140pt" strokecolor="#ffffff">
                <v:path arrowok="t"/>
              </v:shape>
            </v:group>
            <v:group style="position:absolute;left:3170;top:5476;width:1362;height:393" coordorigin="3170,5476" coordsize="1362,393">
              <v:shape style="position:absolute;left:3170;top:5476;width:1362;height:393" coordorigin="3170,5476" coordsize="1362,393" path="m3170,5869l4532,5869,4532,5476,3170,5476,3170,5869xe" filled="true" fillcolor="#ffffff" stroked="false">
                <v:path arrowok="t"/>
                <v:fill type="solid"/>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2388"/>
        <w:gridCol w:w="1429"/>
        <w:gridCol w:w="425"/>
        <w:gridCol w:w="426"/>
        <w:gridCol w:w="426"/>
        <w:gridCol w:w="1416"/>
        <w:gridCol w:w="1134"/>
        <w:gridCol w:w="852"/>
        <w:gridCol w:w="1134"/>
        <w:gridCol w:w="1134"/>
        <w:gridCol w:w="566"/>
        <w:gridCol w:w="1276"/>
        <w:gridCol w:w="1276"/>
        <w:gridCol w:w="1418"/>
      </w:tblGrid>
      <w:tr>
        <w:trPr>
          <w:trHeight w:val="416" w:hRule="exact"/>
        </w:trPr>
        <w:tc>
          <w:tcPr>
            <w:tcW w:w="2388" w:type="dxa"/>
            <w:vMerge w:val="restart"/>
            <w:tcBorders>
              <w:top w:val="single" w:sz="15" w:space="0" w:color="000000"/>
              <w:left w:val="single" w:sz="4" w:space="0" w:color="000000"/>
              <w:right w:val="single" w:sz="4" w:space="0" w:color="000000"/>
            </w:tcBorders>
            <w:shd w:val="clear" w:color="auto" w:fill="D2D2D2"/>
          </w:tcPr>
          <w:p>
            <w:pPr/>
          </w:p>
        </w:tc>
        <w:tc>
          <w:tcPr>
            <w:tcW w:w="12913"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02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2388"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1277"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41"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2388"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2"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388" w:type="dxa"/>
            <w:vMerge/>
            <w:tcBorders>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2388"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r>
      <w:tr>
        <w:trPr>
          <w:trHeight w:val="184"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6,054,438.21</w:t>
            </w:r>
          </w:p>
        </w:tc>
        <w:tc>
          <w:tcPr>
            <w:tcW w:w="566"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-6,054,438.21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-2,912,036.99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-2,912,036.99</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资本公积转增资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盈余公积转增资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555,300.49</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555,300.49</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555,300.49</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555,300.49</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1,175,455,904.00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1,876,013,533.75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62,331,000.00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60,018.00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893,169.35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30,506,420.05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551,040,289.22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32,354,222.96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3,603,992,557.33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620" w:right="0"/>
        </w:sectPr>
      </w:pPr>
    </w:p>
    <w:p>
      <w:pPr>
        <w:spacing w:line="240" w:lineRule="auto" w:before="4"/>
        <w:rPr>
          <w:rFonts w:ascii="Times New Roman" w:hAnsi="Times New Roman" w:cs="Times New Roman" w:eastAsia="Times New Roman" w:hint="default"/>
          <w:sz w:val="3"/>
          <w:szCs w:val="3"/>
        </w:rPr>
      </w:pPr>
    </w:p>
    <w:p>
      <w:pPr>
        <w:spacing w:line="20" w:lineRule="exact"/>
        <w:ind w:left="2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pStyle w:val="Heading3"/>
        <w:spacing w:line="240" w:lineRule="auto" w:before="35"/>
        <w:ind w:left="240" w:right="0"/>
        <w:jc w:val="left"/>
        <w:rPr>
          <w:b w:val="0"/>
          <w:bCs w:val="0"/>
        </w:rPr>
      </w:pPr>
      <w:bookmarkStart w:name="8、母公司所有者权益变动表" w:id="171"/>
      <w:bookmarkEnd w:id="17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671"/>
        <w:gridCol w:w="1429"/>
        <w:gridCol w:w="708"/>
        <w:gridCol w:w="709"/>
        <w:gridCol w:w="709"/>
        <w:gridCol w:w="1418"/>
        <w:gridCol w:w="1276"/>
        <w:gridCol w:w="709"/>
        <w:gridCol w:w="708"/>
        <w:gridCol w:w="1134"/>
        <w:gridCol w:w="1276"/>
        <w:gridCol w:w="1418"/>
      </w:tblGrid>
      <w:tr>
        <w:trPr>
          <w:trHeight w:val="397" w:hRule="exact"/>
        </w:trPr>
        <w:tc>
          <w:tcPr>
            <w:tcW w:w="26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6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79"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57"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2671"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2671"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671"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1,175,455,904.00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1,875,757,374.29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62,331,000.00</w:t>
            </w:r>
          </w:p>
        </w:tc>
        <w:tc>
          <w:tcPr>
            <w:tcW w:w="709" w:type="dxa"/>
            <w:tcBorders>
              <w:top w:val="single" w:sz="18" w:space="0" w:color="D2D2D2"/>
              <w:left w:val="single" w:sz="4" w:space="0" w:color="000000"/>
              <w:bottom w:val="single" w:sz="4" w:space="0" w:color="000000"/>
              <w:right w:val="single" w:sz="4" w:space="0" w:color="000000"/>
            </w:tcBorders>
          </w:tcPr>
          <w:p>
            <w:pPr/>
          </w:p>
        </w:tc>
        <w:tc>
          <w:tcPr>
            <w:tcW w:w="708"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30,506,420.05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180,351,826.27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3,199,740,524.61</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1,175,455,904.00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1,875,757,374.29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62,331,000.00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30,506,420.05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180,351,826.27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3,199,740,524.61</w:t>
            </w:r>
          </w:p>
        </w:tc>
      </w:tr>
      <w:tr>
        <w:trPr>
          <w:trHeight w:val="714"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6,117,500.04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-13,034,280.00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-16,882,992.38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4,221,053.14</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20,422,654.80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20,422,654.80</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6,117,500.04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-13,034,280.00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19,061,780.04</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 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-90,000.00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6,117,500.04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-13,034,280.00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19,061,780.04</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-37,305,647.18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-35,263,381.70</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-2,042,265.48</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-35,263,381.70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-35,263,381.70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2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71"/>
        <w:gridCol w:w="1429"/>
        <w:gridCol w:w="708"/>
        <w:gridCol w:w="709"/>
        <w:gridCol w:w="709"/>
        <w:gridCol w:w="1418"/>
        <w:gridCol w:w="1276"/>
        <w:gridCol w:w="709"/>
        <w:gridCol w:w="708"/>
        <w:gridCol w:w="1134"/>
        <w:gridCol w:w="1276"/>
        <w:gridCol w:w="1418"/>
      </w:tblGrid>
      <w:tr>
        <w:trPr>
          <w:trHeight w:val="412" w:hRule="exact"/>
        </w:trPr>
        <w:tc>
          <w:tcPr>
            <w:tcW w:w="2671" w:type="dxa"/>
            <w:tcBorders>
              <w:top w:val="single" w:sz="15"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26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79"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57"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671"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2671"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671"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22" w:space="0" w:color="D2D2D2"/>
              <w:left w:val="single" w:sz="4" w:space="0" w:color="000000"/>
              <w:bottom w:val="single" w:sz="4" w:space="0" w:color="000000"/>
              <w:right w:val="single" w:sz="4" w:space="0" w:color="000000"/>
            </w:tcBorders>
          </w:tcPr>
          <w:p>
            <w:pPr/>
          </w:p>
        </w:tc>
        <w:tc>
          <w:tcPr>
            <w:tcW w:w="708"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1,175,365,904.00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1,881,874,874.33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49,296,720.00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32,548,685.53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163,468,833.89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3,203,961,577.75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200" w:right="0"/>
        </w:sectPr>
      </w:pPr>
    </w:p>
    <w:p>
      <w:pPr>
        <w:spacing w:line="240" w:lineRule="auto" w:before="4"/>
        <w:rPr>
          <w:rFonts w:ascii="Times New Roman" w:hAnsi="Times New Roman" w:cs="Times New Roman" w:eastAsia="Times New Roman" w:hint="default"/>
          <w:sz w:val="3"/>
          <w:szCs w:val="3"/>
        </w:rPr>
      </w:pPr>
    </w:p>
    <w:p>
      <w:pPr>
        <w:spacing w:line="20" w:lineRule="exact"/>
        <w:ind w:left="2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2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671"/>
        <w:gridCol w:w="1429"/>
        <w:gridCol w:w="708"/>
        <w:gridCol w:w="709"/>
        <w:gridCol w:w="709"/>
        <w:gridCol w:w="1418"/>
        <w:gridCol w:w="1276"/>
        <w:gridCol w:w="709"/>
        <w:gridCol w:w="708"/>
        <w:gridCol w:w="1134"/>
        <w:gridCol w:w="1276"/>
        <w:gridCol w:w="1418"/>
      </w:tblGrid>
      <w:tr>
        <w:trPr>
          <w:trHeight w:val="397" w:hRule="exact"/>
        </w:trPr>
        <w:tc>
          <w:tcPr>
            <w:tcW w:w="26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26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79"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57"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671"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2671"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671"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970,685,034.00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10,159,168.98</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18" w:space="0" w:color="D2D2D2"/>
              <w:left w:val="single" w:sz="4" w:space="0" w:color="000000"/>
              <w:bottom w:val="single" w:sz="4" w:space="0" w:color="000000"/>
              <w:right w:val="single" w:sz="4" w:space="0" w:color="000000"/>
            </w:tcBorders>
          </w:tcPr>
          <w:p>
            <w:pPr/>
          </w:p>
        </w:tc>
        <w:tc>
          <w:tcPr>
            <w:tcW w:w="708" w:type="dxa"/>
            <w:tcBorders>
              <w:top w:val="single" w:sz="18"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24,451,981.84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128,773,919.36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1,134,070,104.18</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970,685,034.00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10,159,168.98</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24,451,981.84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128,773,919.36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1,134,070,104.18</w:t>
            </w:r>
          </w:p>
        </w:tc>
      </w:tr>
      <w:tr>
        <w:trPr>
          <w:trHeight w:val="714"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204,770,870.00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1,865,598,205.31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62,331,000.00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6,054,438.21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51,577,906.91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2,065,670,420.43</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60,544,382.11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60,544,382.11</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204,770,870.00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1,865,598,205.31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62,331,000.00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2,008,038,075.31</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196,870,870.00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1,853,602,558.84</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2,050,473,428.84</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 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11,995,646.47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62,331,000.00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-42,435,353.53</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6,054,438.21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-8,966,475.20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-2,912,036.99</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6,054,438.21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-6,054,438.21</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-2,912,036.99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-2,912,036.99</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2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71"/>
        <w:gridCol w:w="1429"/>
        <w:gridCol w:w="708"/>
        <w:gridCol w:w="709"/>
        <w:gridCol w:w="709"/>
        <w:gridCol w:w="1418"/>
        <w:gridCol w:w="1276"/>
        <w:gridCol w:w="709"/>
        <w:gridCol w:w="708"/>
        <w:gridCol w:w="1134"/>
        <w:gridCol w:w="1276"/>
        <w:gridCol w:w="1418"/>
      </w:tblGrid>
      <w:tr>
        <w:trPr>
          <w:trHeight w:val="412" w:hRule="exact"/>
        </w:trPr>
        <w:tc>
          <w:tcPr>
            <w:tcW w:w="2671" w:type="dxa"/>
            <w:tcBorders>
              <w:top w:val="single" w:sz="15"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26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79"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57"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671"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2671"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671"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22" w:space="0" w:color="D2D2D2"/>
              <w:left w:val="single" w:sz="4" w:space="0" w:color="000000"/>
              <w:bottom w:val="single" w:sz="4" w:space="0" w:color="000000"/>
              <w:right w:val="single" w:sz="4" w:space="0" w:color="000000"/>
            </w:tcBorders>
          </w:tcPr>
          <w:p>
            <w:pPr/>
          </w:p>
        </w:tc>
        <w:tc>
          <w:tcPr>
            <w:tcW w:w="708" w:type="dxa"/>
            <w:tcBorders>
              <w:top w:val="single" w:sz="22"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1,175,455,904.00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1,875,757,374.29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62,331,000.00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30,506,420.05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180,351,826.27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3,199,740,524.61</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2"/>
        <w:spacing w:line="240" w:lineRule="auto" w:before="26"/>
        <w:ind w:right="0"/>
        <w:jc w:val="both"/>
        <w:rPr>
          <w:b w:val="0"/>
          <w:bCs w:val="0"/>
        </w:rPr>
      </w:pPr>
      <w:bookmarkStart w:name="三、公司基本情况" w:id="172"/>
      <w:bookmarkEnd w:id="172"/>
      <w:r>
        <w:rPr>
          <w:b w:val="0"/>
          <w:bCs w:val="0"/>
        </w:rPr>
      </w:r>
      <w:r>
        <w:rPr/>
        <w:t>三、公司基本情况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ind w:left="1553" w:right="1163" w:firstLine="2"/>
        <w:jc w:val="left"/>
      </w:pPr>
      <w:r>
        <w:rPr>
          <w:rFonts w:ascii="宋体" w:hAnsi="宋体" w:cs="宋体" w:eastAsia="宋体" w:hint="default"/>
          <w:b/>
          <w:bCs/>
        </w:rPr>
        <w:t>（一）公司历史沿革</w:t>
      </w:r>
      <w:r>
        <w:rPr>
          <w:rFonts w:ascii="宋体" w:hAnsi="宋体" w:cs="宋体" w:eastAsia="宋体" w:hint="default"/>
          <w:b/>
          <w:bCs/>
          <w:w w:val="99"/>
        </w:rPr>
        <w:t> </w:t>
      </w:r>
      <w:r>
        <w:rPr/>
        <w:t>蓝盾信息安全技术股份有限公司</w:t>
      </w:r>
      <w:r>
        <w:rPr>
          <w:rFonts w:ascii="Times New Roman" w:hAnsi="Times New Roman" w:cs="Times New Roman" w:eastAsia="Times New Roman" w:hint="default"/>
        </w:rPr>
        <w:t>(</w:t>
      </w:r>
      <w:r>
        <w:rPr/>
        <w:t>以下简称公司</w:t>
      </w:r>
      <w:r>
        <w:rPr>
          <w:rFonts w:ascii="Times New Roman" w:hAnsi="Times New Roman" w:cs="Times New Roman" w:eastAsia="Times New Roman" w:hint="default"/>
        </w:rPr>
        <w:t>)</w:t>
      </w:r>
      <w:r>
        <w:rPr/>
        <w:t>，原名广东天海威数码技术有限公司，于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p>
    <w:p>
      <w:pPr>
        <w:pStyle w:val="BodyText"/>
        <w:spacing w:line="331" w:lineRule="auto" w:before="2"/>
        <w:ind w:right="1132"/>
        <w:jc w:val="both"/>
      </w:pPr>
      <w:r>
        <w:rPr>
          <w:rFonts w:ascii="Times New Roman" w:hAnsi="Times New Roman" w:cs="Times New Roman" w:eastAsia="Times New Roman" w:hint="default"/>
          <w:spacing w:val="-2"/>
        </w:rPr>
        <w:t>29</w:t>
      </w:r>
      <w:r>
        <w:rPr>
          <w:spacing w:val="-2"/>
        </w:rPr>
        <w:t>日由广东省工商行政管理局核准注册成立，目前统一社会信用代码为</w:t>
      </w:r>
      <w:r>
        <w:rPr>
          <w:rFonts w:ascii="Times New Roman" w:hAnsi="Times New Roman" w:cs="Times New Roman" w:eastAsia="Times New Roman" w:hint="default"/>
          <w:spacing w:val="-2"/>
        </w:rPr>
        <w:t>91440000707689817C</w:t>
      </w:r>
      <w:r>
        <w:rPr>
          <w:spacing w:val="-2"/>
        </w:rPr>
        <w:t>。公司成立时</w:t>
      </w:r>
      <w:r>
        <w:rPr>
          <w:spacing w:val="-54"/>
        </w:rPr>
        <w:t> </w:t>
      </w:r>
      <w:r>
        <w:rPr>
          <w:spacing w:val="-54"/>
        </w:rPr>
      </w:r>
      <w:r>
        <w:rPr/>
        <w:t>注册资本和实收资本为人民币</w:t>
      </w:r>
      <w:r>
        <w:rPr>
          <w:rFonts w:ascii="Times New Roman" w:hAnsi="Times New Roman" w:cs="Times New Roman" w:eastAsia="Times New Roman" w:hint="default"/>
        </w:rPr>
        <w:t>100.00</w:t>
      </w:r>
      <w:r>
        <w:rPr/>
        <w:t>万元，其中盘绍基以货币出资</w:t>
      </w:r>
      <w:r>
        <w:rPr>
          <w:rFonts w:ascii="Times New Roman" w:hAnsi="Times New Roman" w:cs="Times New Roman" w:eastAsia="Times New Roman" w:hint="default"/>
        </w:rPr>
        <w:t>60.00</w:t>
      </w:r>
      <w:r>
        <w:rPr/>
        <w:t>万元，持股</w:t>
      </w:r>
      <w:r>
        <w:rPr>
          <w:rFonts w:ascii="Times New Roman" w:hAnsi="Times New Roman" w:cs="Times New Roman" w:eastAsia="Times New Roman" w:hint="default"/>
        </w:rPr>
        <w:t>60%</w:t>
      </w:r>
      <w:r>
        <w:rPr/>
        <w:t>，李根森以货币出 资</w:t>
      </w:r>
      <w:r>
        <w:rPr>
          <w:rFonts w:ascii="Times New Roman" w:hAnsi="Times New Roman" w:cs="Times New Roman" w:eastAsia="Times New Roman" w:hint="default"/>
        </w:rPr>
        <w:t>40.00</w:t>
      </w:r>
      <w:r>
        <w:rPr/>
        <w:t>万元，持股</w:t>
      </w:r>
      <w:r>
        <w:rPr>
          <w:rFonts w:ascii="Times New Roman" w:hAnsi="Times New Roman" w:cs="Times New Roman" w:eastAsia="Times New Roman" w:hint="default"/>
        </w:rPr>
        <w:t>40%</w:t>
      </w:r>
      <w:r>
        <w:rPr/>
        <w:t>。</w:t>
      </w:r>
    </w:p>
    <w:p>
      <w:pPr>
        <w:pStyle w:val="BodyText"/>
        <w:spacing w:line="240" w:lineRule="auto" w:before="20"/>
        <w:ind w:left="1554" w:right="0"/>
        <w:jc w:val="left"/>
      </w:pPr>
      <w:r>
        <w:rPr>
          <w:rFonts w:ascii="Times New Roman" w:hAnsi="Times New Roman" w:cs="Times New Roman" w:eastAsia="Times New Roman" w:hint="default"/>
        </w:rPr>
        <w:t>1</w:t>
      </w:r>
      <w:r>
        <w:rPr/>
        <w:t>、股份制改制</w:t>
      </w:r>
    </w:p>
    <w:p>
      <w:pPr>
        <w:pStyle w:val="BodyText"/>
        <w:spacing w:line="328" w:lineRule="auto" w:before="110"/>
        <w:ind w:right="1130"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日，经公司股东会同意，公司以</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日为基准日整体变更为股份有限公司，更名</w:t>
      </w:r>
      <w:r>
        <w:rPr/>
        <w:t> </w:t>
      </w:r>
      <w:r>
        <w:rPr>
          <w:spacing w:val="-1"/>
        </w:rPr>
        <w:t>为蓝盾信息安全技术股份有限公司。改制后公司注册资本为人民币</w:t>
      </w:r>
      <w:r>
        <w:rPr>
          <w:rFonts w:ascii="Times New Roman" w:hAnsi="Times New Roman" w:cs="Times New Roman" w:eastAsia="Times New Roman" w:hint="default"/>
          <w:spacing w:val="-1"/>
        </w:rPr>
        <w:t>6,500.00</w:t>
      </w:r>
      <w:r>
        <w:rPr>
          <w:spacing w:val="-1"/>
        </w:rPr>
        <w:t>万元，股本为人民币</w:t>
      </w:r>
      <w:r>
        <w:rPr>
          <w:rFonts w:ascii="Times New Roman" w:hAnsi="Times New Roman" w:cs="Times New Roman" w:eastAsia="Times New Roman" w:hint="default"/>
          <w:spacing w:val="-1"/>
        </w:rPr>
        <w:t>6,500.00</w:t>
      </w:r>
      <w:r>
        <w:rPr>
          <w:spacing w:val="-1"/>
        </w:rPr>
        <w:t>万</w:t>
      </w:r>
      <w:r>
        <w:rPr>
          <w:spacing w:val="-76"/>
        </w:rPr>
        <w:t> </w:t>
      </w:r>
      <w:r>
        <w:rPr/>
        <w:t>元，业经广东正中珠江会计师事务所有限公司广会所验字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09001820055</w:t>
      </w:r>
      <w:r>
        <w:rPr/>
        <w:t>号验资报告验证确认。</w:t>
      </w:r>
    </w:p>
    <w:p>
      <w:pPr>
        <w:pStyle w:val="BodyText"/>
        <w:spacing w:line="240" w:lineRule="auto" w:before="24"/>
        <w:ind w:left="1553" w:right="0"/>
        <w:jc w:val="left"/>
      </w:pPr>
      <w:r>
        <w:rPr>
          <w:rFonts w:ascii="Times New Roman" w:hAnsi="Times New Roman" w:cs="Times New Roman" w:eastAsia="Times New Roman" w:hint="default"/>
        </w:rPr>
        <w:t>2</w:t>
      </w:r>
      <w:r>
        <w:rPr/>
        <w:t>、股份制改制后第一次增资</w:t>
      </w:r>
    </w:p>
    <w:p>
      <w:pPr>
        <w:pStyle w:val="BodyText"/>
        <w:spacing w:line="331" w:lineRule="auto" w:before="109"/>
        <w:ind w:right="1132"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日，根据股东大会决议及修改后公司章程的规定，公司新增股东增资扩股</w:t>
      </w:r>
      <w:r>
        <w:rPr>
          <w:rFonts w:ascii="Times New Roman" w:hAnsi="Times New Roman" w:cs="Times New Roman" w:eastAsia="Times New Roman" w:hint="default"/>
          <w:spacing w:val="-1"/>
        </w:rPr>
        <w:t>850</w:t>
      </w:r>
      <w:r>
        <w:rPr>
          <w:spacing w:val="-1"/>
        </w:rPr>
        <w:t>万元，增加</w:t>
      </w:r>
      <w:r>
        <w:rPr/>
        <w:t> 注册资本人民币</w:t>
      </w:r>
      <w:r>
        <w:rPr>
          <w:rFonts w:ascii="Times New Roman" w:hAnsi="Times New Roman" w:cs="Times New Roman" w:eastAsia="Times New Roman" w:hint="default"/>
        </w:rPr>
        <w:t>850.00</w:t>
      </w:r>
      <w:r>
        <w:rPr/>
        <w:t>万元。变更后注册资本为人民币</w:t>
      </w:r>
      <w:r>
        <w:rPr>
          <w:rFonts w:ascii="Times New Roman" w:hAnsi="Times New Roman" w:cs="Times New Roman" w:eastAsia="Times New Roman" w:hint="default"/>
        </w:rPr>
        <w:t>7,350.00</w:t>
      </w:r>
      <w:r>
        <w:rPr/>
        <w:t>万元，股本为人民币</w:t>
      </w:r>
      <w:r>
        <w:rPr>
          <w:rFonts w:ascii="Times New Roman" w:hAnsi="Times New Roman" w:cs="Times New Roman" w:eastAsia="Times New Roman" w:hint="default"/>
        </w:rPr>
        <w:t>7,350.00</w:t>
      </w:r>
      <w:r>
        <w:rPr/>
        <w:t>万元，业经广 东正中珠江会计师事务所有限公司广会所验字</w:t>
      </w:r>
      <w:r>
        <w:rPr>
          <w:rFonts w:ascii="Times New Roman" w:hAnsi="Times New Roman" w:cs="Times New Roman" w:eastAsia="Times New Roman" w:hint="default"/>
        </w:rPr>
        <w:t>[2009]09005940018</w:t>
      </w:r>
      <w:r>
        <w:rPr/>
        <w:t>号验资报告验证确认。</w:t>
      </w:r>
    </w:p>
    <w:p>
      <w:pPr>
        <w:pStyle w:val="BodyText"/>
        <w:spacing w:line="240" w:lineRule="auto" w:before="20"/>
        <w:ind w:left="1553" w:right="0"/>
        <w:jc w:val="left"/>
      </w:pPr>
      <w:r>
        <w:rPr>
          <w:rFonts w:ascii="Times New Roman" w:hAnsi="Times New Roman" w:cs="Times New Roman" w:eastAsia="Times New Roman" w:hint="default"/>
        </w:rPr>
        <w:t>3</w:t>
      </w:r>
      <w:r>
        <w:rPr/>
        <w:t>、公司上市</w:t>
      </w:r>
    </w:p>
    <w:p>
      <w:pPr>
        <w:pStyle w:val="BodyText"/>
        <w:spacing w:line="331" w:lineRule="auto" w:before="109"/>
        <w:ind w:right="1132"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日，公司在深圳证券交易所创业板成功上市，共募集资金人民币</w:t>
      </w:r>
      <w:r>
        <w:rPr>
          <w:rFonts w:ascii="Times New Roman" w:hAnsi="Times New Roman" w:cs="Times New Roman" w:eastAsia="Times New Roman" w:hint="default"/>
        </w:rPr>
        <w:t>392,000,000.00</w:t>
      </w:r>
      <w:r>
        <w:rPr/>
        <w:t>元，扣除 发行费用</w:t>
      </w:r>
      <w:r>
        <w:rPr>
          <w:rFonts w:ascii="Times New Roman" w:hAnsi="Times New Roman" w:cs="Times New Roman" w:eastAsia="Times New Roman" w:hint="default"/>
        </w:rPr>
        <w:t>39,243,336.50</w:t>
      </w:r>
      <w:r>
        <w:rPr/>
        <w:t>元，募集资金净额</w:t>
      </w:r>
      <w:r>
        <w:rPr>
          <w:rFonts w:ascii="Times New Roman" w:hAnsi="Times New Roman" w:cs="Times New Roman" w:eastAsia="Times New Roman" w:hint="default"/>
        </w:rPr>
        <w:t>352,756,663.50</w:t>
      </w:r>
      <w:r>
        <w:rPr/>
        <w:t>元。募集资金转增股本人民币</w:t>
      </w:r>
      <w:r>
        <w:rPr>
          <w:rFonts w:ascii="Times New Roman" w:hAnsi="Times New Roman" w:cs="Times New Roman" w:eastAsia="Times New Roman" w:hint="default"/>
        </w:rPr>
        <w:t>2,450.00</w:t>
      </w:r>
      <w:r>
        <w:rPr/>
        <w:t>万元，其余 </w:t>
      </w:r>
      <w:r>
        <w:rPr>
          <w:spacing w:val="-1"/>
        </w:rPr>
        <w:t>资金计入资本公积。变更后的注册资本为人民币</w:t>
      </w:r>
      <w:r>
        <w:rPr>
          <w:rFonts w:ascii="Times New Roman" w:hAnsi="Times New Roman" w:cs="Times New Roman" w:eastAsia="Times New Roman" w:hint="default"/>
          <w:spacing w:val="-1"/>
        </w:rPr>
        <w:t>9,800.00</w:t>
      </w:r>
      <w:r>
        <w:rPr>
          <w:spacing w:val="-1"/>
        </w:rPr>
        <w:t>万元，股本为人民币</w:t>
      </w:r>
      <w:r>
        <w:rPr>
          <w:rFonts w:ascii="Times New Roman" w:hAnsi="Times New Roman" w:cs="Times New Roman" w:eastAsia="Times New Roman" w:hint="default"/>
          <w:spacing w:val="-1"/>
        </w:rPr>
        <w:t>9,800.00</w:t>
      </w:r>
      <w:r>
        <w:rPr>
          <w:spacing w:val="-1"/>
        </w:rPr>
        <w:t>万元，业经北京永拓</w:t>
      </w:r>
      <w:r>
        <w:rPr>
          <w:spacing w:val="-80"/>
        </w:rPr>
        <w:t> </w:t>
      </w:r>
      <w:r>
        <w:rPr>
          <w:spacing w:val="-80"/>
        </w:rPr>
      </w:r>
      <w:r>
        <w:rPr/>
        <w:t>会计师事务所有限责任公司京永验字（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21001</w:t>
      </w:r>
      <w:r>
        <w:rPr/>
        <w:t>号验资报告验证确认。</w:t>
      </w:r>
    </w:p>
    <w:p>
      <w:pPr>
        <w:pStyle w:val="BodyText"/>
        <w:spacing w:line="240" w:lineRule="auto" w:before="21"/>
        <w:ind w:left="1554" w:right="0"/>
        <w:jc w:val="left"/>
      </w:pPr>
      <w:r>
        <w:rPr>
          <w:rFonts w:ascii="Times New Roman" w:hAnsi="Times New Roman" w:cs="Times New Roman" w:eastAsia="Times New Roman" w:hint="default"/>
        </w:rPr>
        <w:t>4</w:t>
      </w:r>
      <w:r>
        <w:rPr/>
        <w:t>、第一次资本公积转增股本</w:t>
      </w:r>
    </w:p>
    <w:p>
      <w:pPr>
        <w:pStyle w:val="BodyText"/>
        <w:spacing w:line="331" w:lineRule="auto" w:before="109"/>
        <w:ind w:right="0"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日，根据股东大会决议及修改后章程的规定，公司申请新增注册资本为人民币</w:t>
      </w:r>
      <w:r>
        <w:rPr>
          <w:rFonts w:ascii="Times New Roman" w:hAnsi="Times New Roman" w:cs="Times New Roman" w:eastAsia="Times New Roman" w:hint="default"/>
          <w:spacing w:val="-1"/>
        </w:rPr>
        <w:t>9,800.00</w:t>
      </w:r>
      <w:r>
        <w:rPr>
          <w:spacing w:val="-1"/>
        </w:rPr>
        <w:t>万</w:t>
      </w:r>
      <w:r>
        <w:rPr/>
        <w:t> 元，以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9,800.00</w:t>
      </w:r>
      <w:r>
        <w:rPr/>
        <w:t>万股为基数，以资本公积向股东每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 本</w:t>
      </w:r>
      <w:r>
        <w:rPr>
          <w:rFonts w:ascii="Times New Roman" w:hAnsi="Times New Roman" w:cs="Times New Roman" w:eastAsia="Times New Roman" w:hint="default"/>
        </w:rPr>
        <w:t>9,800.00</w:t>
      </w:r>
      <w:r>
        <w:rPr/>
        <w:t>万股，每股面值</w:t>
      </w:r>
      <w:r>
        <w:rPr>
          <w:rFonts w:ascii="Times New Roman" w:hAnsi="Times New Roman" w:cs="Times New Roman" w:eastAsia="Times New Roman" w:hint="default"/>
        </w:rPr>
        <w:t>1.00</w:t>
      </w:r>
      <w:r>
        <w:rPr/>
        <w:t>元，合计增加股本</w:t>
      </w:r>
      <w:r>
        <w:rPr>
          <w:rFonts w:ascii="Times New Roman" w:hAnsi="Times New Roman" w:cs="Times New Roman" w:eastAsia="Times New Roman" w:hint="default"/>
        </w:rPr>
        <w:t>9,800.00</w:t>
      </w:r>
      <w:r>
        <w:rPr/>
        <w:t>万元，转增股本后公司总股本变更为</w:t>
      </w:r>
      <w:r>
        <w:rPr>
          <w:rFonts w:ascii="Times New Roman" w:hAnsi="Times New Roman" w:cs="Times New Roman" w:eastAsia="Times New Roman" w:hint="default"/>
        </w:rPr>
        <w:t>19,600.00</w:t>
      </w:r>
      <w:r>
        <w:rPr/>
        <w:t>万 元，业经大华会计师事务所（特殊普通合伙）大华验字</w:t>
      </w:r>
      <w:r>
        <w:rPr>
          <w:rFonts w:ascii="Times New Roman" w:hAnsi="Times New Roman" w:cs="Times New Roman" w:eastAsia="Times New Roman" w:hint="default"/>
        </w:rPr>
        <w:t>[2013]000235</w:t>
      </w:r>
      <w:r>
        <w:rPr/>
        <w:t>号验资报告验证确认。</w:t>
      </w:r>
    </w:p>
    <w:p>
      <w:pPr>
        <w:pStyle w:val="BodyText"/>
        <w:spacing w:line="331" w:lineRule="auto" w:before="20"/>
        <w:ind w:left="1554" w:right="0"/>
        <w:jc w:val="left"/>
      </w:pPr>
      <w:r>
        <w:rPr>
          <w:rFonts w:ascii="Times New Roman" w:hAnsi="Times New Roman" w:cs="Times New Roman" w:eastAsia="Times New Roman" w:hint="default"/>
        </w:rPr>
        <w:t>5</w:t>
      </w:r>
      <w:r>
        <w:rPr/>
        <w:t>、第一次发行股份和支付现金购买资产并募集配套资金 </w:t>
      </w:r>
      <w:r>
        <w:rPr>
          <w:spacing w:val="-1"/>
        </w:rPr>
        <w:t>根据公司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日召开的第二届董事会第二十二次会议、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19</w:t>
      </w:r>
      <w:r>
        <w:rPr>
          <w:spacing w:val="-1"/>
        </w:rPr>
        <w:t>日召开的</w:t>
      </w:r>
      <w:r>
        <w:rPr>
          <w:rFonts w:ascii="Times New Roman" w:hAnsi="Times New Roman" w:cs="Times New Roman" w:eastAsia="Times New Roman" w:hint="default"/>
          <w:spacing w:val="-1"/>
        </w:rPr>
        <w:t>2014</w:t>
      </w:r>
      <w:r>
        <w:rPr>
          <w:spacing w:val="-1"/>
        </w:rPr>
        <w:t>年第五次</w:t>
      </w:r>
    </w:p>
    <w:p>
      <w:pPr>
        <w:pStyle w:val="BodyText"/>
        <w:spacing w:line="348" w:lineRule="auto" w:before="20"/>
        <w:ind w:right="1132"/>
        <w:jc w:val="both"/>
      </w:pPr>
      <w:r>
        <w:rPr>
          <w:spacing w:val="-1"/>
        </w:rPr>
        <w:t>临时股东大会通过的《蓝盾信息安全技术股份有限公司发行股份及支付现金购买资产并募集配套资金暨关</w:t>
      </w:r>
      <w:r>
        <w:rPr>
          <w:spacing w:val="-81"/>
        </w:rPr>
        <w:t> </w:t>
      </w:r>
      <w:r>
        <w:rPr>
          <w:spacing w:val="-81"/>
        </w:rPr>
      </w:r>
      <w:r>
        <w:rPr/>
        <w:t>联交易报告书（草案）》及修订稿，公司申请非公开发行股票并增加注册资本人民币</w:t>
      </w:r>
      <w:r>
        <w:rPr>
          <w:rFonts w:ascii="Times New Roman" w:hAnsi="Times New Roman" w:cs="Times New Roman" w:eastAsia="Times New Roman" w:hint="default"/>
        </w:rPr>
        <w:t>24,610,235.00</w:t>
      </w:r>
      <w:r>
        <w:rPr/>
        <w:t>元。</w:t>
      </w:r>
    </w:p>
    <w:p>
      <w:pPr>
        <w:pStyle w:val="BodyText"/>
        <w:spacing w:line="331" w:lineRule="auto" w:before="5"/>
        <w:ind w:right="1118"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日，中国证监会出具《关于核准蓝盾信息安全技术股份有限公司向张远鹏等发行股份购 </w:t>
      </w:r>
      <w:r>
        <w:rPr>
          <w:spacing w:val="-2"/>
        </w:rPr>
        <w:t>买资产并募集配套资金的批复》（证监许可</w:t>
      </w:r>
      <w:r>
        <w:rPr>
          <w:rFonts w:ascii="Times New Roman" w:hAnsi="Times New Roman" w:cs="Times New Roman" w:eastAsia="Times New Roman" w:hint="default"/>
          <w:spacing w:val="-2"/>
        </w:rPr>
        <w:t>[2015]356</w:t>
      </w:r>
      <w:r>
        <w:rPr>
          <w:spacing w:val="-2"/>
        </w:rPr>
        <w:t>号），核准公司发行股份及支付现金购买广州华炜科</w:t>
      </w:r>
      <w:r>
        <w:rPr>
          <w:spacing w:val="-62"/>
        </w:rPr>
        <w:t> </w:t>
      </w:r>
      <w:r>
        <w:rPr>
          <w:spacing w:val="-62"/>
        </w:rPr>
      </w:r>
      <w:r>
        <w:rPr/>
        <w:t>技股份有限公司</w:t>
      </w:r>
      <w:r>
        <w:rPr>
          <w:rFonts w:ascii="Times New Roman" w:hAnsi="Times New Roman" w:cs="Times New Roman" w:eastAsia="Times New Roman" w:hint="default"/>
        </w:rPr>
        <w:t>100.00%</w:t>
      </w:r>
      <w:r>
        <w:rPr/>
        <w:t>股权并募集配套资金，公司本次合计发行</w:t>
      </w:r>
      <w:r>
        <w:rPr>
          <w:rFonts w:ascii="Times New Roman" w:hAnsi="Times New Roman" w:cs="Times New Roman" w:eastAsia="Times New Roman" w:hint="default"/>
        </w:rPr>
        <w:t>24,610,235</w:t>
      </w:r>
      <w:r>
        <w:rPr>
          <w:rFonts w:ascii="Times New Roman" w:hAnsi="Times New Roman" w:cs="Times New Roman" w:eastAsia="Times New Roman" w:hint="default"/>
          <w:spacing w:val="31"/>
        </w:rPr>
        <w:t> </w:t>
      </w:r>
      <w:r>
        <w:rPr/>
        <w:t>股，公司总股本增加至 </w:t>
      </w:r>
      <w:r>
        <w:rPr>
          <w:rFonts w:ascii="Times New Roman" w:hAnsi="Times New Roman" w:cs="Times New Roman" w:eastAsia="Times New Roman" w:hint="default"/>
        </w:rPr>
        <w:t>220,610,235</w:t>
      </w:r>
      <w:r>
        <w:rPr/>
        <w:t>股。以上新增股本业经大华会计师事务所（特殊普通合伙）大华验字</w:t>
      </w:r>
      <w:r>
        <w:rPr>
          <w:rFonts w:ascii="Times New Roman" w:hAnsi="Times New Roman" w:cs="Times New Roman" w:eastAsia="Times New Roman" w:hint="default"/>
        </w:rPr>
        <w:t>[2015]000201</w:t>
      </w:r>
      <w:r>
        <w:rPr/>
        <w:t>号验资报告 验证确认。</w:t>
      </w:r>
    </w:p>
    <w:p>
      <w:pPr>
        <w:spacing w:after="0" w:line="331" w:lineRule="auto"/>
        <w:jc w:val="left"/>
        <w:sectPr>
          <w:headerReference w:type="default" r:id="rId25"/>
          <w:footerReference w:type="default" r:id="rId26"/>
          <w:pgSz w:w="11910" w:h="16840"/>
          <w:pgMar w:header="877" w:footer="979" w:top="1100" w:bottom="1160" w:left="0" w:right="0"/>
          <w:pgNumType w:start="107"/>
        </w:sectPr>
      </w:pPr>
    </w:p>
    <w:p>
      <w:pPr>
        <w:spacing w:line="240" w:lineRule="auto" w:before="7"/>
        <w:rPr>
          <w:rFonts w:ascii="宋体" w:hAnsi="宋体" w:cs="宋体" w:eastAsia="宋体" w:hint="default"/>
          <w:sz w:val="27"/>
          <w:szCs w:val="27"/>
        </w:rPr>
      </w:pPr>
    </w:p>
    <w:p>
      <w:pPr>
        <w:pStyle w:val="BodyText"/>
        <w:spacing w:line="240" w:lineRule="auto" w:before="35"/>
        <w:ind w:left="1553" w:right="0"/>
        <w:jc w:val="left"/>
      </w:pPr>
      <w:r>
        <w:rPr>
          <w:rFonts w:ascii="Times New Roman" w:hAnsi="Times New Roman" w:cs="Times New Roman" w:eastAsia="Times New Roman" w:hint="default"/>
        </w:rPr>
        <w:t>6</w:t>
      </w:r>
      <w:r>
        <w:rPr/>
        <w:t>、第二次资本公积转增股本</w:t>
      </w:r>
    </w:p>
    <w:p>
      <w:pPr>
        <w:pStyle w:val="BodyText"/>
        <w:spacing w:line="331" w:lineRule="auto" w:before="109"/>
        <w:ind w:right="1121"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年度股东大会，审议通过了《公司</w:t>
      </w:r>
      <w:r>
        <w:rPr>
          <w:rFonts w:ascii="Times New Roman" w:hAnsi="Times New Roman" w:cs="Times New Roman" w:eastAsia="Times New Roman" w:hint="default"/>
        </w:rPr>
        <w:t>2014</w:t>
      </w:r>
      <w:r>
        <w:rPr/>
        <w:t>年年度利润分配预案》，以公司 </w:t>
      </w:r>
      <w:r>
        <w:rPr>
          <w:spacing w:val="-2"/>
        </w:rPr>
        <w:t>分红前总股本</w:t>
      </w:r>
      <w:r>
        <w:rPr>
          <w:rFonts w:ascii="Times New Roman" w:hAnsi="Times New Roman" w:cs="Times New Roman" w:eastAsia="Times New Roman" w:hint="default"/>
          <w:spacing w:val="-2"/>
        </w:rPr>
        <w:t>220,610,235</w:t>
      </w:r>
      <w:r>
        <w:rPr>
          <w:spacing w:val="-2"/>
        </w:rPr>
        <w:t>股为基数，向全体股东每</w:t>
      </w:r>
      <w:r>
        <w:rPr>
          <w:rFonts w:ascii="Times New Roman" w:hAnsi="Times New Roman" w:cs="Times New Roman" w:eastAsia="Times New Roman" w:hint="default"/>
          <w:spacing w:val="-2"/>
        </w:rPr>
        <w:t>10</w:t>
      </w:r>
      <w:r>
        <w:rPr>
          <w:spacing w:val="-2"/>
        </w:rPr>
        <w:t>股派现金股利</w:t>
      </w:r>
      <w:r>
        <w:rPr>
          <w:rFonts w:ascii="Times New Roman" w:hAnsi="Times New Roman" w:cs="Times New Roman" w:eastAsia="Times New Roman" w:hint="default"/>
          <w:spacing w:val="-2"/>
        </w:rPr>
        <w:t>0.1</w:t>
      </w:r>
      <w:r>
        <w:rPr>
          <w:spacing w:val="-2"/>
        </w:rPr>
        <w:t>元人民币（含税），同时，以资本公</w:t>
      </w:r>
      <w:r>
        <w:rPr>
          <w:spacing w:val="-77"/>
        </w:rPr>
        <w:t> </w:t>
      </w:r>
      <w:r>
        <w:rPr>
          <w:spacing w:val="-77"/>
        </w:rPr>
      </w:r>
      <w:r>
        <w:rPr/>
        <w:t>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股。本次利润分配方案实施后，公司总股本变更为</w:t>
      </w:r>
      <w:r>
        <w:rPr>
          <w:rFonts w:ascii="Times New Roman" w:hAnsi="Times New Roman" w:cs="Times New Roman" w:eastAsia="Times New Roman" w:hint="default"/>
        </w:rPr>
        <w:t>485,342,517</w:t>
      </w:r>
      <w:r>
        <w:rPr/>
        <w:t>股。新增股本 业经中审华寅五洲会计师事务所（特殊普通合伙）</w:t>
      </w:r>
      <w:r>
        <w:rPr>
          <w:rFonts w:ascii="Times New Roman" w:hAnsi="Times New Roman" w:cs="Times New Roman" w:eastAsia="Times New Roman" w:hint="default"/>
        </w:rPr>
        <w:t>CHW</w:t>
      </w:r>
      <w:r>
        <w:rPr/>
        <w:t>证验字</w:t>
      </w:r>
      <w:r>
        <w:rPr>
          <w:rFonts w:ascii="Times New Roman" w:hAnsi="Times New Roman" w:cs="Times New Roman" w:eastAsia="Times New Roman" w:hint="default"/>
        </w:rPr>
        <w:t>[2015]0097</w:t>
      </w:r>
      <w:r>
        <w:rPr/>
        <w:t>号验资报告验证确认。</w:t>
      </w:r>
    </w:p>
    <w:p>
      <w:pPr>
        <w:pStyle w:val="BodyText"/>
        <w:spacing w:line="240" w:lineRule="auto" w:before="21"/>
        <w:ind w:left="1553" w:right="0"/>
        <w:jc w:val="left"/>
      </w:pPr>
      <w:r>
        <w:rPr>
          <w:rFonts w:ascii="Times New Roman" w:hAnsi="Times New Roman" w:cs="Times New Roman" w:eastAsia="Times New Roman" w:hint="default"/>
        </w:rPr>
        <w:t>7</w:t>
      </w:r>
      <w:r>
        <w:rPr/>
        <w:t>、第三次资本公积转增股本</w:t>
      </w:r>
    </w:p>
    <w:p>
      <w:pPr>
        <w:pStyle w:val="BodyText"/>
        <w:spacing w:line="331" w:lineRule="auto" w:before="109"/>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2015</w:t>
      </w:r>
      <w:r>
        <w:rPr/>
        <w:t>年第三次临时股东大会，审议通过了《关于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2015</w:t>
      </w:r>
      <w:r>
        <w:rPr>
          <w:rFonts w:ascii="Times New Roman" w:hAnsi="Times New Roman" w:cs="Times New Roman" w:eastAsia="Times New Roman" w:hint="default"/>
          <w:spacing w:val="30"/>
        </w:rPr>
        <w:t> </w:t>
      </w:r>
      <w:r>
        <w:rPr/>
        <w:t>年半年度利润分 </w:t>
      </w:r>
      <w:r>
        <w:rPr>
          <w:spacing w:val="-1"/>
        </w:rPr>
        <w:t>配预案</w:t>
      </w:r>
      <w:r>
        <w:rPr>
          <w:rFonts w:ascii="Times New Roman" w:hAnsi="Times New Roman" w:cs="Times New Roman" w:eastAsia="Times New Roman" w:hint="default"/>
          <w:spacing w:val="-1"/>
        </w:rPr>
        <w:t>&gt;</w:t>
      </w:r>
      <w:r>
        <w:rPr>
          <w:spacing w:val="-1"/>
        </w:rPr>
        <w:t>的议案》，以截至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日公司总股本</w:t>
      </w:r>
      <w:r>
        <w:rPr>
          <w:rFonts w:ascii="Times New Roman" w:hAnsi="Times New Roman" w:cs="Times New Roman" w:eastAsia="Times New Roman" w:hint="default"/>
          <w:spacing w:val="-1"/>
        </w:rPr>
        <w:t>485,342,517</w:t>
      </w:r>
      <w:r>
        <w:rPr>
          <w:spacing w:val="-1"/>
        </w:rPr>
        <w:t>股为基数，向全体股东每</w:t>
      </w:r>
      <w:r>
        <w:rPr>
          <w:rFonts w:ascii="Times New Roman" w:hAnsi="Times New Roman" w:cs="Times New Roman" w:eastAsia="Times New Roman" w:hint="default"/>
          <w:spacing w:val="-1"/>
        </w:rPr>
        <w:t>10</w:t>
      </w:r>
      <w:r>
        <w:rPr>
          <w:spacing w:val="-1"/>
        </w:rPr>
        <w:t>股送红股</w:t>
      </w:r>
      <w:r>
        <w:rPr>
          <w:rFonts w:ascii="Times New Roman" w:hAnsi="Times New Roman" w:cs="Times New Roman" w:eastAsia="Times New Roman" w:hint="default"/>
          <w:spacing w:val="-1"/>
        </w:rPr>
        <w:t>1</w:t>
      </w:r>
      <w:r>
        <w:rPr>
          <w:spacing w:val="-1"/>
        </w:rPr>
        <w:t>股，</w:t>
      </w:r>
      <w:r>
        <w:rPr>
          <w:spacing w:val="-92"/>
        </w:rPr>
        <w:t> </w:t>
      </w:r>
      <w:r>
        <w:rPr/>
        <w:t>派发现金红利</w:t>
      </w:r>
      <w:r>
        <w:rPr>
          <w:rFonts w:ascii="Times New Roman" w:hAnsi="Times New Roman" w:cs="Times New Roman" w:eastAsia="Times New Roman" w:hint="default"/>
        </w:rPr>
        <w:t>0.25</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股，公司送股及转增股本 </w:t>
      </w:r>
      <w:r>
        <w:rPr>
          <w:rFonts w:ascii="Times New Roman" w:hAnsi="Times New Roman" w:cs="Times New Roman" w:eastAsia="Times New Roman" w:hint="default"/>
        </w:rPr>
        <w:t>485,342,517</w:t>
      </w:r>
      <w:r>
        <w:rPr/>
        <w:t>股。以上送股及转增方案实施后，公司总股本将增加至</w:t>
      </w:r>
      <w:r>
        <w:rPr>
          <w:rFonts w:ascii="Times New Roman" w:hAnsi="Times New Roman" w:cs="Times New Roman" w:eastAsia="Times New Roman" w:hint="default"/>
        </w:rPr>
        <w:t>970,685,034</w:t>
      </w:r>
      <w:r>
        <w:rPr/>
        <w:t>股。新增股本业经中审华寅 五洲会计师事务所（特殊普通合伙）</w:t>
      </w:r>
      <w:r>
        <w:rPr>
          <w:rFonts w:ascii="Times New Roman" w:hAnsi="Times New Roman" w:cs="Times New Roman" w:eastAsia="Times New Roman" w:hint="default"/>
        </w:rPr>
        <w:t>CHW</w:t>
      </w:r>
      <w:r>
        <w:rPr/>
        <w:t>证验字</w:t>
      </w:r>
      <w:r>
        <w:rPr>
          <w:rFonts w:ascii="Times New Roman" w:hAnsi="Times New Roman" w:cs="Times New Roman" w:eastAsia="Times New Roman" w:hint="default"/>
        </w:rPr>
        <w:t>[2015]0098</w:t>
      </w:r>
      <w:r>
        <w:rPr/>
        <w:t>号验资报告验证确认。</w:t>
      </w:r>
    </w:p>
    <w:p>
      <w:pPr>
        <w:pStyle w:val="BodyText"/>
        <w:spacing w:line="328" w:lineRule="auto" w:before="21"/>
        <w:ind w:left="1553" w:right="0"/>
        <w:jc w:val="left"/>
      </w:pPr>
      <w:r>
        <w:rPr>
          <w:rFonts w:ascii="Times New Roman" w:hAnsi="Times New Roman" w:cs="Times New Roman" w:eastAsia="Times New Roman" w:hint="default"/>
        </w:rPr>
        <w:t>8</w:t>
      </w:r>
      <w:r>
        <w:rPr/>
        <w:t>、第二次发行股票即实施股权激励授予限制性股票 </w:t>
      </w:r>
      <w:r>
        <w:rPr>
          <w:spacing w:val="-1"/>
        </w:rPr>
        <w:t>根据公司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日召开的</w:t>
      </w:r>
      <w:r>
        <w:rPr>
          <w:rFonts w:ascii="Times New Roman" w:hAnsi="Times New Roman" w:cs="Times New Roman" w:eastAsia="Times New Roman" w:hint="default"/>
          <w:spacing w:val="-1"/>
        </w:rPr>
        <w:t>2016</w:t>
      </w:r>
      <w:r>
        <w:rPr>
          <w:spacing w:val="-1"/>
        </w:rPr>
        <w:t>年度第三次临时股东大会决议、</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召开的第三届董事会</w:t>
      </w:r>
    </w:p>
    <w:p>
      <w:pPr>
        <w:pStyle w:val="BodyText"/>
        <w:spacing w:line="333" w:lineRule="auto" w:before="23"/>
        <w:ind w:right="1024"/>
        <w:jc w:val="left"/>
      </w:pPr>
      <w:r>
        <w:rPr>
          <w:spacing w:val="-3"/>
        </w:rPr>
        <w:t>第十三次（临时）会议决议，公司已符合《蓝盾信息安全技术股份有限公司限制性股票激励计划（草案）》</w:t>
      </w:r>
      <w:r>
        <w:rPr>
          <w:spacing w:val="-94"/>
        </w:rPr>
        <w:t> </w:t>
      </w:r>
      <w:r>
        <w:rPr>
          <w:spacing w:val="-94"/>
        </w:rPr>
      </w:r>
      <w:r>
        <w:rPr/>
        <w:t>规定的各项授予条件，以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日作为蓝盾股份限制性股票激励计划的授予日，向蓝盾股份</w:t>
      </w:r>
      <w:r>
        <w:rPr>
          <w:rFonts w:ascii="Times New Roman" w:hAnsi="Times New Roman" w:cs="Times New Roman" w:eastAsia="Times New Roman" w:hint="default"/>
        </w:rPr>
        <w:t>290</w:t>
      </w:r>
      <w:r>
        <w:rPr/>
        <w:t>名激 励对象授予</w:t>
      </w:r>
      <w:r>
        <w:rPr>
          <w:rFonts w:ascii="Times New Roman" w:hAnsi="Times New Roman" w:cs="Times New Roman" w:eastAsia="Times New Roman" w:hint="default"/>
        </w:rPr>
        <w:t>800</w:t>
      </w:r>
      <w:r>
        <w:rPr/>
        <w:t>万股，限制性股票每股面值为人民币</w:t>
      </w:r>
      <w:r>
        <w:rPr>
          <w:rFonts w:ascii="Times New Roman" w:hAnsi="Times New Roman" w:cs="Times New Roman" w:eastAsia="Times New Roman" w:hint="default"/>
        </w:rPr>
        <w:t>1.00</w:t>
      </w:r>
      <w:r>
        <w:rPr/>
        <w:t>元，发行价格为每股人民币</w:t>
      </w:r>
      <w:r>
        <w:rPr>
          <w:rFonts w:ascii="Times New Roman" w:hAnsi="Times New Roman" w:cs="Times New Roman" w:eastAsia="Times New Roman" w:hint="default"/>
        </w:rPr>
        <w:t>7.89</w:t>
      </w:r>
      <w:r>
        <w:rPr/>
        <w:t>元。公司实际共收 到</w:t>
      </w:r>
      <w:r>
        <w:rPr>
          <w:rFonts w:ascii="Times New Roman" w:hAnsi="Times New Roman" w:cs="Times New Roman" w:eastAsia="Times New Roman" w:hint="default"/>
        </w:rPr>
        <w:t>214</w:t>
      </w:r>
      <w:r>
        <w:rPr/>
        <w:t>名激励对象认购限制性股票款</w:t>
      </w:r>
      <w:r>
        <w:rPr>
          <w:rFonts w:ascii="Times New Roman" w:hAnsi="Times New Roman" w:cs="Times New Roman" w:eastAsia="Times New Roman" w:hint="default"/>
        </w:rPr>
        <w:t>62,331,000.00</w:t>
      </w:r>
      <w:r>
        <w:rPr/>
        <w:t>元，出资方式为货币资金，本次募集资金新增股本 </w:t>
      </w:r>
      <w:r>
        <w:rPr>
          <w:rFonts w:ascii="Times New Roman" w:hAnsi="Times New Roman" w:cs="Times New Roman" w:eastAsia="Times New Roman" w:hint="default"/>
          <w:spacing w:val="-2"/>
        </w:rPr>
        <w:t>7,900,000.00</w:t>
      </w:r>
      <w:r>
        <w:rPr>
          <w:spacing w:val="-2"/>
        </w:rPr>
        <w:t>元。实际非公开发行限制性股票</w:t>
      </w:r>
      <w:r>
        <w:rPr>
          <w:rFonts w:ascii="Times New Roman" w:hAnsi="Times New Roman" w:cs="Times New Roman" w:eastAsia="Times New Roman" w:hint="default"/>
          <w:spacing w:val="-2"/>
        </w:rPr>
        <w:t>7,900,000</w:t>
      </w:r>
      <w:r>
        <w:rPr>
          <w:spacing w:val="-2"/>
        </w:rPr>
        <w:t>股，公司总股本增加至</w:t>
      </w:r>
      <w:r>
        <w:rPr>
          <w:rFonts w:ascii="Times New Roman" w:hAnsi="Times New Roman" w:cs="Times New Roman" w:eastAsia="Times New Roman" w:hint="default"/>
          <w:spacing w:val="-2"/>
        </w:rPr>
        <w:t>978,585,034</w:t>
      </w:r>
      <w:r>
        <w:rPr>
          <w:spacing w:val="-2"/>
        </w:rPr>
        <w:t>股。以上新增股本</w:t>
      </w:r>
      <w:r>
        <w:rPr>
          <w:spacing w:val="-61"/>
        </w:rPr>
        <w:t> </w:t>
      </w:r>
      <w:r>
        <w:rPr>
          <w:spacing w:val="-61"/>
        </w:rPr>
      </w:r>
      <w:r>
        <w:rPr/>
        <w:t>业经大华会计师事务所（特殊普通合伙）大华验字</w:t>
      </w:r>
      <w:r>
        <w:rPr>
          <w:rFonts w:ascii="Times New Roman" w:hAnsi="Times New Roman" w:cs="Times New Roman" w:eastAsia="Times New Roman" w:hint="default"/>
        </w:rPr>
        <w:t>[2016]000360</w:t>
      </w:r>
      <w:r>
        <w:rPr/>
        <w:t>号验资报告验证确认。</w:t>
      </w:r>
    </w:p>
    <w:p>
      <w:pPr>
        <w:pStyle w:val="BodyText"/>
        <w:spacing w:line="331" w:lineRule="auto" w:before="18"/>
        <w:ind w:left="1553" w:right="1198"/>
        <w:jc w:val="left"/>
      </w:pPr>
      <w:r>
        <w:rPr>
          <w:rFonts w:ascii="Times New Roman" w:hAnsi="Times New Roman" w:cs="Times New Roman" w:eastAsia="Times New Roman" w:hint="default"/>
        </w:rPr>
        <w:t>9</w:t>
      </w:r>
      <w:r>
        <w:rPr/>
        <w:t>、第三次发行股份和支付现金购买资产并募集配套资金 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日召开的第三届董事会第三次（临时）会议决议、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2015</w:t>
      </w:r>
      <w:r>
        <w:rPr/>
        <w:t>年</w:t>
      </w:r>
    </w:p>
    <w:p>
      <w:pPr>
        <w:pStyle w:val="BodyText"/>
        <w:spacing w:line="348" w:lineRule="auto" w:before="20"/>
        <w:ind w:right="1303"/>
        <w:jc w:val="left"/>
      </w:pPr>
      <w:r>
        <w:rPr/>
        <w:t>第四次临时股东大会通过的蓝盾信息安全技术股份有限公司发行股份及支付现金购买资产并募集配套资 金暨关联交易方案，公司申请非公开发行股票并增加注册资本人民币</w:t>
      </w:r>
      <w:r>
        <w:rPr>
          <w:rFonts w:ascii="Times New Roman" w:hAnsi="Times New Roman" w:cs="Times New Roman" w:eastAsia="Times New Roman" w:hint="default"/>
        </w:rPr>
        <w:t>112,515,042.00</w:t>
      </w:r>
      <w:r>
        <w:rPr/>
        <w:t>元。</w:t>
      </w:r>
    </w:p>
    <w:p>
      <w:pPr>
        <w:pStyle w:val="BodyText"/>
        <w:spacing w:line="331" w:lineRule="auto" w:before="5"/>
        <w:ind w:right="0" w:firstLine="42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日，中国证监会出具《关于核准蓝盾信息安全技术股份有限公司向中经汇通有限责任公 </w:t>
      </w:r>
      <w:r>
        <w:rPr>
          <w:spacing w:val="-2"/>
        </w:rPr>
        <w:t>司发行股份购买资产并募集配套资金的批复》（证监许可</w:t>
      </w:r>
      <w:r>
        <w:rPr>
          <w:rFonts w:ascii="Times New Roman" w:hAnsi="Times New Roman" w:cs="Times New Roman" w:eastAsia="Times New Roman" w:hint="default"/>
          <w:spacing w:val="-2"/>
        </w:rPr>
        <w:t>[2016]616</w:t>
      </w:r>
      <w:r>
        <w:rPr>
          <w:spacing w:val="-2"/>
        </w:rPr>
        <w:t>号），核准公司向中经汇通有限责任公</w:t>
      </w:r>
      <w:r>
        <w:rPr>
          <w:spacing w:val="-63"/>
        </w:rPr>
        <w:t> </w:t>
      </w:r>
      <w:r>
        <w:rPr>
          <w:spacing w:val="-63"/>
        </w:rPr>
      </w:r>
      <w:r>
        <w:rPr>
          <w:spacing w:val="-1"/>
        </w:rPr>
        <w:t>司发行</w:t>
      </w:r>
      <w:r>
        <w:rPr>
          <w:rFonts w:ascii="Times New Roman" w:hAnsi="Times New Roman" w:cs="Times New Roman" w:eastAsia="Times New Roman" w:hint="default"/>
          <w:spacing w:val="-1"/>
        </w:rPr>
        <w:t>112,515,042</w:t>
      </w:r>
      <w:r>
        <w:rPr>
          <w:spacing w:val="-1"/>
        </w:rPr>
        <w:t>股股份购买相关资产，核准公司非公开发行股份募集配套资金不超过</w:t>
      </w:r>
      <w:r>
        <w:rPr>
          <w:rFonts w:ascii="Times New Roman" w:hAnsi="Times New Roman" w:cs="Times New Roman" w:eastAsia="Times New Roman" w:hint="default"/>
          <w:spacing w:val="-1"/>
        </w:rPr>
        <w:t>11</w:t>
      </w:r>
      <w:r>
        <w:rPr>
          <w:spacing w:val="-1"/>
        </w:rPr>
        <w:t>亿元。公司股份</w:t>
      </w:r>
      <w:r>
        <w:rPr>
          <w:spacing w:val="-79"/>
        </w:rPr>
        <w:t> </w:t>
      </w:r>
      <w:r>
        <w:rPr>
          <w:spacing w:val="-79"/>
        </w:rPr>
      </w:r>
      <w:r>
        <w:rPr>
          <w:spacing w:val="-1"/>
        </w:rPr>
        <w:t>支付发行人民币普通股</w:t>
      </w:r>
      <w:r>
        <w:rPr>
          <w:rFonts w:ascii="Times New Roman" w:hAnsi="Times New Roman" w:cs="Times New Roman" w:eastAsia="Times New Roman" w:hint="default"/>
          <w:spacing w:val="-1"/>
        </w:rPr>
        <w:t>112,515,042</w:t>
      </w:r>
      <w:r>
        <w:rPr>
          <w:spacing w:val="-1"/>
        </w:rPr>
        <w:t>股，同时非公开向鹏华资产管理（深圳）有限公司、西部利得基金管理</w:t>
      </w:r>
      <w:r>
        <w:rPr>
          <w:spacing w:val="-81"/>
        </w:rPr>
        <w:t> </w:t>
      </w:r>
      <w:r>
        <w:rPr>
          <w:spacing w:val="-81"/>
        </w:rPr>
      </w:r>
      <w:r>
        <w:rPr/>
        <w:t>有限公司、财通基金管理有限公司、汇添富基金管理股份有限公司发行股票</w:t>
      </w:r>
      <w:r>
        <w:rPr>
          <w:rFonts w:ascii="Times New Roman" w:hAnsi="Times New Roman" w:cs="Times New Roman" w:eastAsia="Times New Roman" w:hint="default"/>
        </w:rPr>
        <w:t>84,355,828</w:t>
      </w:r>
      <w:r>
        <w:rPr/>
        <w:t>股，本次发行股份 使公司总股本增加至</w:t>
      </w:r>
      <w:r>
        <w:rPr>
          <w:rFonts w:ascii="Times New Roman" w:hAnsi="Times New Roman" w:cs="Times New Roman" w:eastAsia="Times New Roman" w:hint="default"/>
        </w:rPr>
        <w:t>1,175,455,904</w:t>
      </w:r>
      <w:r>
        <w:rPr/>
        <w:t>股。以上新增股本业经中审华寅五洲会计师事务所（特殊普通合伙）审 验并分别于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日出具</w:t>
      </w:r>
      <w:r>
        <w:rPr>
          <w:rFonts w:ascii="Times New Roman" w:hAnsi="Times New Roman" w:cs="Times New Roman" w:eastAsia="Times New Roman" w:hint="default"/>
        </w:rPr>
        <w:t>CHW</w:t>
      </w:r>
      <w:r>
        <w:rPr/>
        <w:t>证验字</w:t>
      </w:r>
      <w:r>
        <w:rPr>
          <w:rFonts w:ascii="Times New Roman" w:hAnsi="Times New Roman" w:cs="Times New Roman" w:eastAsia="Times New Roman" w:hint="default"/>
        </w:rPr>
        <w:t>[2016]0036</w:t>
      </w:r>
      <w:r>
        <w:rPr/>
        <w:t>号验资报告、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日出具</w:t>
      </w:r>
      <w:r>
        <w:rPr>
          <w:rFonts w:ascii="Times New Roman" w:hAnsi="Times New Roman" w:cs="Times New Roman" w:eastAsia="Times New Roman" w:hint="default"/>
        </w:rPr>
        <w:t>CHW</w:t>
      </w:r>
      <w:r>
        <w:rPr/>
        <w:t>证验字 </w:t>
      </w:r>
      <w:r>
        <w:rPr>
          <w:rFonts w:ascii="Times New Roman" w:hAnsi="Times New Roman" w:cs="Times New Roman" w:eastAsia="Times New Roman" w:hint="default"/>
        </w:rPr>
        <w:t>[2016]0050</w:t>
      </w:r>
      <w:r>
        <w:rPr/>
        <w:t>号验资报告确认。</w:t>
      </w:r>
    </w:p>
    <w:p>
      <w:pPr>
        <w:pStyle w:val="BodyText"/>
        <w:spacing w:line="240" w:lineRule="auto" w:before="21"/>
        <w:ind w:left="1553" w:right="0"/>
        <w:jc w:val="left"/>
      </w:pPr>
      <w:r>
        <w:rPr>
          <w:rFonts w:ascii="Times New Roman" w:hAnsi="Times New Roman" w:cs="Times New Roman" w:eastAsia="Times New Roman" w:hint="default"/>
        </w:rPr>
        <w:t>10</w:t>
      </w:r>
      <w:r>
        <w:rPr/>
        <w:t>、第一次股票回购</w:t>
      </w:r>
    </w:p>
    <w:p>
      <w:pPr>
        <w:pStyle w:val="BodyText"/>
        <w:spacing w:line="328" w:lineRule="auto" w:before="110"/>
        <w:ind w:left="1134" w:right="1197"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日公司召开的第三届董事会第三十一次会议决议审议通过的《关于回购注销部分限制性 股票的议案》，因激励对象中徐伟程、陈燕华、段叶华、黄玲、汤琦、胡忠祥、张荣兴、姜林等</w:t>
      </w:r>
      <w:r>
        <w:rPr>
          <w:rFonts w:ascii="Times New Roman" w:hAnsi="Times New Roman" w:cs="Times New Roman" w:eastAsia="Times New Roman" w:hint="default"/>
        </w:rPr>
        <w:t>8</w:t>
      </w:r>
      <w:r>
        <w:rPr/>
        <w:t>人因个</w:t>
      </w:r>
    </w:p>
    <w:p>
      <w:pPr>
        <w:spacing w:after="0" w:line="32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31" w:lineRule="auto" w:before="35"/>
        <w:ind w:right="1132"/>
        <w:jc w:val="both"/>
      </w:pPr>
      <w:r>
        <w:rPr>
          <w:spacing w:val="-1"/>
        </w:rPr>
        <w:t>人原因已离职，不符合激励条件，公司对上述</w:t>
      </w:r>
      <w:r>
        <w:rPr>
          <w:rFonts w:ascii="Times New Roman" w:hAnsi="Times New Roman" w:cs="Times New Roman" w:eastAsia="Times New Roman" w:hint="default"/>
          <w:spacing w:val="-1"/>
        </w:rPr>
        <w:t>8</w:t>
      </w:r>
      <w:r>
        <w:rPr>
          <w:spacing w:val="-1"/>
        </w:rPr>
        <w:t>人已获授权但尚未解锁的限制性股票合计</w:t>
      </w:r>
      <w:r>
        <w:rPr>
          <w:rFonts w:ascii="Times New Roman" w:hAnsi="Times New Roman" w:cs="Times New Roman" w:eastAsia="Times New Roman" w:hint="default"/>
          <w:spacing w:val="-1"/>
        </w:rPr>
        <w:t>9</w:t>
      </w:r>
      <w:r>
        <w:rPr>
          <w:spacing w:val="-1"/>
        </w:rPr>
        <w:t>万股进行回购注</w:t>
      </w:r>
      <w:r>
        <w:rPr>
          <w:spacing w:val="-83"/>
        </w:rPr>
        <w:t> </w:t>
      </w:r>
      <w:r>
        <w:rPr>
          <w:spacing w:val="-83"/>
        </w:rPr>
      </w:r>
      <w:r>
        <w:rPr>
          <w:spacing w:val="-1"/>
        </w:rPr>
        <w:t>销。</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日，公司已在中国证券登记结算有限责任公司深圳分公司完成上述限制性股票的回购和注</w:t>
      </w:r>
      <w:r>
        <w:rPr>
          <w:spacing w:val="-82"/>
        </w:rPr>
        <w:t> </w:t>
      </w:r>
      <w:r>
        <w:rPr>
          <w:spacing w:val="-82"/>
        </w:rPr>
      </w:r>
      <w:r>
        <w:rPr/>
        <w:t>销登记手续。本次股票回购注销后，公司总股本减少至</w:t>
      </w:r>
      <w:r>
        <w:rPr>
          <w:rFonts w:ascii="Times New Roman" w:hAnsi="Times New Roman" w:cs="Times New Roman" w:eastAsia="Times New Roman" w:hint="default"/>
        </w:rPr>
        <w:t>1,175,365,904.00</w:t>
      </w:r>
      <w:r>
        <w:rPr/>
        <w:t>股。</w:t>
      </w:r>
    </w:p>
    <w:p>
      <w:pPr>
        <w:pStyle w:val="BodyText"/>
        <w:spacing w:line="240" w:lineRule="auto" w:before="21"/>
        <w:ind w:left="1553" w:right="0"/>
        <w:jc w:val="left"/>
      </w:pPr>
      <w:r>
        <w:rPr/>
        <w:t>公司法定代表人为柯宗贵，注册地址为广州市天河区天慧路</w:t>
      </w:r>
      <w:r>
        <w:rPr>
          <w:rFonts w:ascii="Times New Roman" w:hAnsi="Times New Roman" w:cs="Times New Roman" w:eastAsia="Times New Roman" w:hint="default"/>
        </w:rPr>
        <w:t>16</w:t>
      </w:r>
      <w:r>
        <w:rPr/>
        <w:t>号。</w:t>
      </w:r>
    </w:p>
    <w:p>
      <w:pPr>
        <w:spacing w:line="240" w:lineRule="auto" w:before="6"/>
        <w:rPr>
          <w:rFonts w:ascii="宋体" w:hAnsi="宋体" w:cs="宋体" w:eastAsia="宋体" w:hint="default"/>
          <w:sz w:val="17"/>
          <w:szCs w:val="17"/>
        </w:rPr>
      </w:pPr>
    </w:p>
    <w:p>
      <w:pPr>
        <w:pStyle w:val="Heading3"/>
        <w:spacing w:line="240" w:lineRule="auto"/>
        <w:ind w:left="1556" w:right="0"/>
        <w:jc w:val="left"/>
        <w:rPr>
          <w:b w:val="0"/>
          <w:bCs w:val="0"/>
        </w:rPr>
      </w:pPr>
      <w:r>
        <w:rPr/>
        <w:t>（二）公司业务性质和主要经营活动</w:t>
      </w:r>
      <w:r>
        <w:rPr>
          <w:b w:val="0"/>
          <w:bCs w:val="0"/>
        </w:rPr>
      </w:r>
    </w:p>
    <w:p>
      <w:pPr>
        <w:pStyle w:val="BodyText"/>
        <w:spacing w:line="240" w:lineRule="auto" w:before="126"/>
        <w:ind w:left="1553" w:right="0"/>
        <w:jc w:val="left"/>
      </w:pPr>
      <w:r>
        <w:rPr>
          <w:rFonts w:ascii="Times New Roman" w:hAnsi="Times New Roman" w:cs="Times New Roman" w:eastAsia="Times New Roman" w:hint="default"/>
        </w:rPr>
        <w:t>1</w:t>
      </w:r>
      <w:r>
        <w:rPr/>
        <w:t>、公司属于信息技术业。</w:t>
      </w:r>
    </w:p>
    <w:p>
      <w:pPr>
        <w:pStyle w:val="BodyText"/>
        <w:spacing w:line="340" w:lineRule="auto" w:before="109"/>
        <w:ind w:right="1093" w:firstLine="420"/>
        <w:jc w:val="left"/>
      </w:pPr>
      <w:r>
        <w:rPr>
          <w:rFonts w:ascii="Times New Roman" w:hAnsi="Times New Roman" w:cs="Times New Roman" w:eastAsia="Times New Roman" w:hint="default"/>
          <w:spacing w:val="-2"/>
        </w:rPr>
        <w:t>2</w:t>
      </w:r>
      <w:r>
        <w:rPr>
          <w:spacing w:val="-2"/>
        </w:rPr>
        <w:t>、经营范围：计算机软、硬件开发</w:t>
      </w:r>
      <w:r>
        <w:rPr>
          <w:rFonts w:ascii="Times New Roman" w:hAnsi="Times New Roman" w:cs="Times New Roman" w:eastAsia="Times New Roman" w:hint="default"/>
          <w:spacing w:val="-2"/>
        </w:rPr>
        <w:t>;</w:t>
      </w:r>
      <w:r>
        <w:rPr>
          <w:spacing w:val="-2"/>
        </w:rPr>
        <w:t>计算机信息系统集成、布线</w:t>
      </w:r>
      <w:r>
        <w:rPr>
          <w:rFonts w:ascii="Times New Roman" w:hAnsi="Times New Roman" w:cs="Times New Roman" w:eastAsia="Times New Roman" w:hint="default"/>
          <w:spacing w:val="-2"/>
        </w:rPr>
        <w:t>,</w:t>
      </w:r>
      <w:r>
        <w:rPr>
          <w:spacing w:val="-2"/>
        </w:rPr>
        <w:t>承接网络工程建设项目</w:t>
      </w:r>
      <w:r>
        <w:rPr>
          <w:rFonts w:ascii="Times New Roman" w:hAnsi="Times New Roman" w:cs="Times New Roman" w:eastAsia="Times New Roman" w:hint="default"/>
          <w:spacing w:val="-2"/>
        </w:rPr>
        <w:t>,</w:t>
      </w:r>
      <w:r>
        <w:rPr>
          <w:spacing w:val="-2"/>
        </w:rPr>
        <w:t>信息技术、数</w:t>
      </w:r>
      <w:r>
        <w:rPr/>
        <w:t> 码技术开发、服务</w:t>
      </w:r>
      <w:r>
        <w:rPr>
          <w:rFonts w:ascii="Times New Roman" w:hAnsi="Times New Roman" w:cs="Times New Roman" w:eastAsia="Times New Roman" w:hint="default"/>
        </w:rPr>
        <w:t>,</w:t>
      </w:r>
      <w:r>
        <w:rPr/>
        <w:t>计算机网络技术服务</w:t>
      </w:r>
      <w:r>
        <w:rPr>
          <w:rFonts w:ascii="Times New Roman" w:hAnsi="Times New Roman" w:cs="Times New Roman" w:eastAsia="Times New Roman" w:hint="default"/>
        </w:rPr>
        <w:t>,</w:t>
      </w:r>
      <w:r>
        <w:rPr/>
        <w:t>网络安全信息咨询；计算机信息安全设备制造；监控系统工程安 装服务；保安监控及防盗报警系统工程服务；计算机网络系统工程服务；安全技术防范系统设计、施工、 </w:t>
      </w:r>
      <w:r>
        <w:rPr>
          <w:spacing w:val="-2"/>
        </w:rPr>
        <w:t>维修</w:t>
      </w:r>
      <w:r>
        <w:rPr>
          <w:rFonts w:ascii="Times New Roman" w:hAnsi="Times New Roman" w:cs="Times New Roman" w:eastAsia="Times New Roman" w:hint="default"/>
          <w:spacing w:val="-2"/>
        </w:rPr>
        <w:t>;</w:t>
      </w:r>
      <w:r>
        <w:rPr>
          <w:spacing w:val="-2"/>
        </w:rPr>
        <w:t>安全系统监控服务；科技信息咨询服务；网络技术的研究、开发；计算机整机制造；计算机零部件制</w:t>
      </w:r>
      <w:r>
        <w:rPr>
          <w:spacing w:val="-92"/>
        </w:rPr>
        <w:t> </w:t>
      </w:r>
      <w:r>
        <w:rPr>
          <w:spacing w:val="-92"/>
        </w:rPr>
      </w:r>
      <w:r>
        <w:rPr>
          <w:spacing w:val="-1"/>
        </w:rPr>
        <w:t>造；计算机电源制造；计算机外围设备制造；计算机应用电子设备制造；计算机房维护服务；计算机及通</w:t>
      </w:r>
      <w:r>
        <w:rPr>
          <w:spacing w:val="-83"/>
        </w:rPr>
        <w:t> </w:t>
      </w:r>
      <w:r>
        <w:rPr>
          <w:spacing w:val="-83"/>
        </w:rPr>
      </w:r>
      <w:r>
        <w:rPr>
          <w:spacing w:val="-1"/>
        </w:rPr>
        <w:t>讯设备租赁；计算机技术开发、技术服务；计算机房设计服务；计算机信息安全产品设计；计算机和辅助</w:t>
      </w:r>
      <w:r>
        <w:rPr>
          <w:spacing w:val="-83"/>
        </w:rPr>
        <w:t> </w:t>
      </w:r>
      <w:r>
        <w:rPr>
          <w:spacing w:val="-83"/>
        </w:rPr>
      </w:r>
      <w:r>
        <w:rPr/>
        <w:t>设备修理；电子产品设计服务；安全技术防范产品制造；</w:t>
      </w:r>
      <w:r>
        <w:rPr>
          <w:rFonts w:ascii="Times New Roman" w:hAnsi="Times New Roman" w:cs="Times New Roman" w:eastAsia="Times New Roman" w:hint="default"/>
        </w:rPr>
        <w:t>(</w:t>
      </w:r>
      <w:r>
        <w:rPr/>
        <w:t>具体经营范围以章程内实际记载为准</w:t>
      </w:r>
      <w:r>
        <w:rPr>
          <w:rFonts w:ascii="Times New Roman" w:hAnsi="Times New Roman" w:cs="Times New Roman" w:eastAsia="Times New Roman" w:hint="default"/>
        </w:rPr>
        <w:t>)</w:t>
      </w:r>
      <w:r>
        <w:rPr/>
        <w:t>。</w:t>
      </w:r>
    </w:p>
    <w:p>
      <w:pPr>
        <w:pStyle w:val="BodyText"/>
        <w:spacing w:line="331" w:lineRule="auto" w:before="11"/>
        <w:ind w:left="1554" w:right="5922"/>
        <w:jc w:val="left"/>
      </w:pPr>
      <w:r>
        <w:rPr>
          <w:rFonts w:ascii="Times New Roman" w:hAnsi="Times New Roman" w:cs="Times New Roman" w:eastAsia="Times New Roman" w:hint="default"/>
        </w:rPr>
        <w:t>3</w:t>
      </w:r>
      <w:r>
        <w:rPr/>
        <w:t>、主要产品和劳务 公司的业务主要涉及信息安全领域，主要包括：</w:t>
      </w:r>
    </w:p>
    <w:p>
      <w:pPr>
        <w:pStyle w:val="BodyText"/>
        <w:spacing w:line="340" w:lineRule="auto" w:before="45"/>
        <w:ind w:left="1134" w:right="1133" w:firstLine="420"/>
        <w:jc w:val="both"/>
      </w:pPr>
      <w:r>
        <w:rPr/>
        <w:t>（</w:t>
      </w:r>
      <w:r>
        <w:rPr>
          <w:rFonts w:ascii="Times New Roman" w:hAnsi="Times New Roman" w:cs="Times New Roman" w:eastAsia="Times New Roman" w:hint="default"/>
        </w:rPr>
        <w:t>1</w:t>
      </w:r>
      <w:r>
        <w:rPr/>
        <w:t>）安全产品：应用于计算机网络环境中，能够针对网络和系统提供保护和控制，保证网络和系统 </w:t>
      </w:r>
      <w:r>
        <w:rPr>
          <w:spacing w:val="-1"/>
        </w:rPr>
        <w:t>的完整性、可用性的产品。包括防火墙、入侵检测系统、安全扫描系统、安全审计等自行研发的信息安全</w:t>
      </w:r>
      <w:r>
        <w:rPr>
          <w:spacing w:val="-83"/>
        </w:rPr>
        <w:t> </w:t>
      </w:r>
      <w:r>
        <w:rPr>
          <w:spacing w:val="-83"/>
        </w:rPr>
      </w:r>
      <w:r>
        <w:rPr/>
        <w:t>产品。</w:t>
      </w:r>
    </w:p>
    <w:p>
      <w:pPr>
        <w:pStyle w:val="BodyText"/>
        <w:spacing w:line="328" w:lineRule="auto" w:before="36"/>
        <w:ind w:left="1134" w:right="0" w:firstLine="420"/>
        <w:jc w:val="left"/>
      </w:pPr>
      <w:r>
        <w:rPr/>
        <w:t>（</w:t>
      </w:r>
      <w:r>
        <w:rPr>
          <w:rFonts w:ascii="Times New Roman" w:hAnsi="Times New Roman" w:cs="Times New Roman" w:eastAsia="Times New Roman" w:hint="default"/>
        </w:rPr>
        <w:t>2</w:t>
      </w:r>
      <w:r>
        <w:rPr/>
        <w:t>）安全集成：基于客户个性化需求，设置或组建信息安全系统。安全集成所需的安全产品及其配 套组件或产品可由公司提供或向第三方采购，安全集成一般需要较长的安装与测试过程。</w:t>
      </w:r>
    </w:p>
    <w:p>
      <w:pPr>
        <w:pStyle w:val="BodyText"/>
        <w:spacing w:line="240" w:lineRule="auto" w:before="48"/>
        <w:ind w:left="1554" w:right="0"/>
        <w:jc w:val="left"/>
      </w:pPr>
      <w:r>
        <w:rPr/>
        <w:t>（</w:t>
      </w:r>
      <w:r>
        <w:rPr>
          <w:rFonts w:ascii="Times New Roman" w:hAnsi="Times New Roman" w:cs="Times New Roman" w:eastAsia="Times New Roman" w:hint="default"/>
        </w:rPr>
        <w:t>3</w:t>
      </w:r>
      <w:r>
        <w:rPr/>
        <w:t>）安全服务：安全服务指为客户提供的信息安全培训、信息安全等级测评等服务。</w:t>
      </w:r>
    </w:p>
    <w:p>
      <w:pPr>
        <w:pStyle w:val="BodyText"/>
        <w:spacing w:line="343" w:lineRule="auto" w:before="109"/>
        <w:ind w:left="1134" w:right="1131" w:firstLine="420"/>
        <w:jc w:val="both"/>
      </w:pPr>
      <w:r>
        <w:rPr/>
        <w:t>（</w:t>
      </w:r>
      <w:r>
        <w:rPr>
          <w:rFonts w:ascii="Times New Roman" w:hAnsi="Times New Roman" w:cs="Times New Roman" w:eastAsia="Times New Roman" w:hint="default"/>
        </w:rPr>
        <w:t>4</w:t>
      </w:r>
      <w:r>
        <w:rPr/>
        <w:t>）电磁安防产品：由通用电磁防护产品和专业特种电磁防护产品构成。通用电磁防护产品主要针 </w:t>
      </w:r>
      <w:r>
        <w:rPr>
          <w:spacing w:val="-1"/>
        </w:rPr>
        <w:t>对民用领域，在公司全资子公司广州华炜科技有限公司业务板块中占比较低；公司全资子公司广州华炜科</w:t>
      </w:r>
      <w:r>
        <w:rPr>
          <w:spacing w:val="-81"/>
        </w:rPr>
        <w:t> </w:t>
      </w:r>
      <w:r>
        <w:rPr>
          <w:spacing w:val="-81"/>
        </w:rPr>
      </w:r>
      <w:r>
        <w:rPr>
          <w:spacing w:val="-1"/>
        </w:rPr>
        <w:t>技有限公司主要专注于为如军工及航空航天、轨道交通、通信系统等专业特种业领域的特殊应用而开发的</w:t>
      </w:r>
      <w:r>
        <w:rPr>
          <w:spacing w:val="-81"/>
        </w:rPr>
        <w:t> </w:t>
      </w:r>
      <w:r>
        <w:rPr>
          <w:spacing w:val="-81"/>
        </w:rPr>
      </w:r>
      <w:r>
        <w:rPr/>
        <w:t>定制产品。</w:t>
      </w:r>
    </w:p>
    <w:p>
      <w:pPr>
        <w:pStyle w:val="BodyText"/>
        <w:spacing w:line="240" w:lineRule="auto" w:before="34"/>
        <w:ind w:left="1554" w:right="0"/>
        <w:jc w:val="left"/>
      </w:pPr>
      <w:r>
        <w:rPr/>
        <w:t>（</w:t>
      </w:r>
      <w:r>
        <w:rPr>
          <w:rFonts w:ascii="Times New Roman" w:hAnsi="Times New Roman" w:cs="Times New Roman" w:eastAsia="Times New Roman" w:hint="default"/>
        </w:rPr>
        <w:t>5</w:t>
      </w:r>
      <w:r>
        <w:rPr/>
        <w:t>）电磁安防工程：根据专业电磁安防整体解决方案，进行工程施工。</w:t>
      </w:r>
    </w:p>
    <w:p>
      <w:pPr>
        <w:pStyle w:val="BodyText"/>
        <w:spacing w:line="328" w:lineRule="auto" w:before="110"/>
        <w:ind w:left="1134" w:right="0" w:firstLine="420"/>
        <w:jc w:val="left"/>
      </w:pPr>
      <w:r>
        <w:rPr/>
        <w:t>（</w:t>
      </w:r>
      <w:r>
        <w:rPr>
          <w:rFonts w:ascii="Times New Roman" w:hAnsi="Times New Roman" w:cs="Times New Roman" w:eastAsia="Times New Roman" w:hint="default"/>
        </w:rPr>
        <w:t>6</w:t>
      </w:r>
      <w:r>
        <w:rPr/>
        <w:t>）电磁安防服务：根据专业特种行业领域内客户的特点、个性化需求和特殊应用环境，既提供特 种产品定制，又提供特种工程服务，提供一揽子的电磁安防整体解决方案。</w:t>
      </w:r>
    </w:p>
    <w:p>
      <w:pPr>
        <w:pStyle w:val="BodyText"/>
        <w:spacing w:line="331" w:lineRule="auto" w:before="47"/>
        <w:ind w:left="1134" w:right="0" w:firstLine="420"/>
        <w:jc w:val="left"/>
      </w:pPr>
      <w:r>
        <w:rPr/>
        <w:t>（</w:t>
      </w:r>
      <w:r>
        <w:rPr>
          <w:rFonts w:ascii="Times New Roman" w:hAnsi="Times New Roman" w:cs="Times New Roman" w:eastAsia="Times New Roman" w:hint="default"/>
        </w:rPr>
        <w:t>7</w:t>
      </w:r>
      <w:r>
        <w:rPr/>
        <w:t>）系统服务：利用自身支付清算技术和平台向客户提供清分结算服务，按照交易金额的一定比例 收取的清分结算手续费。</w:t>
      </w:r>
    </w:p>
    <w:p>
      <w:pPr>
        <w:pStyle w:val="BodyText"/>
        <w:spacing w:line="340" w:lineRule="auto" w:before="45"/>
        <w:ind w:left="1134" w:right="1023" w:firstLine="420"/>
        <w:jc w:val="left"/>
      </w:pPr>
      <w:r>
        <w:rPr/>
        <w:t>（</w:t>
      </w:r>
      <w:r>
        <w:rPr>
          <w:rFonts w:ascii="Times New Roman" w:hAnsi="Times New Roman" w:cs="Times New Roman" w:eastAsia="Times New Roman" w:hint="default"/>
        </w:rPr>
        <w:t>8</w:t>
      </w:r>
      <w:r>
        <w:rPr/>
        <w:t>）电商运营服务：利用自身电子商务平台，为合作商户进行推广运营收取中间差价形成的佣金服 </w:t>
      </w:r>
      <w:r>
        <w:rPr>
          <w:spacing w:val="-3"/>
        </w:rPr>
        <w:t>务费收入。主要是为油品零售商户进行推广运营获取的服务费收入，除油品零售商户外，还为商场、超市、</w:t>
      </w:r>
      <w:r>
        <w:rPr>
          <w:spacing w:val="-95"/>
        </w:rPr>
        <w:t> </w:t>
      </w:r>
      <w:r>
        <w:rPr>
          <w:spacing w:val="-95"/>
        </w:rPr>
      </w:r>
      <w:r>
        <w:rPr/>
        <w:t>餐饮、汽车等其他商户提供推广运营服务。</w:t>
      </w:r>
    </w:p>
    <w:p>
      <w:pPr>
        <w:pStyle w:val="Heading3"/>
        <w:spacing w:line="240" w:lineRule="auto" w:before="156"/>
        <w:ind w:left="1556" w:right="0"/>
        <w:jc w:val="left"/>
        <w:rPr>
          <w:b w:val="0"/>
          <w:bCs w:val="0"/>
        </w:rPr>
      </w:pPr>
      <w:r>
        <w:rPr/>
        <w:t>（三）财务报表的批准报出</w:t>
      </w:r>
      <w:r>
        <w:rPr>
          <w:b w:val="0"/>
          <w:bCs w:val="0"/>
        </w:rPr>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b/>
          <w:bCs/>
          <w:sz w:val="27"/>
          <w:szCs w:val="27"/>
        </w:rPr>
      </w:pPr>
      <w:r>
        <w:rPr/>
        <w:pict>
          <v:shape style="position:absolute;margin-left:56.34pt;margin-top:112.019981pt;width:483.15pt;height:625.4pt;mso-position-horizontal-relative:page;mso-position-vertical-relative:page;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0"/>
                    <w:gridCol w:w="1452"/>
                    <w:gridCol w:w="992"/>
                    <w:gridCol w:w="1844"/>
                    <w:gridCol w:w="1842"/>
                  </w:tblGrid>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级次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广州蓝盾数据安全科技创新有限公司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一级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68.00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68.00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福建中经汇通有限责任公司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p>
    <w:p>
      <w:pPr>
        <w:pStyle w:val="BodyText"/>
        <w:spacing w:line="328" w:lineRule="auto" w:before="35"/>
        <w:ind w:left="1553" w:right="4243"/>
        <w:jc w:val="left"/>
      </w:pPr>
      <w:r>
        <w:rPr/>
        <w:t>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日批准报出。 本期纳入合并财务报表范围的主体共</w:t>
      </w:r>
      <w:r>
        <w:rPr>
          <w:rFonts w:ascii="Times New Roman" w:hAnsi="Times New Roman" w:cs="Times New Roman" w:eastAsia="Times New Roman" w:hint="default"/>
        </w:rPr>
        <w:t>36</w:t>
      </w:r>
      <w:r>
        <w:rPr/>
        <w:t>户，除本公司外具体包括：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5"/>
        <w:ind w:left="1554" w:right="0"/>
        <w:jc w:val="left"/>
      </w:pPr>
      <w:r>
        <w:rPr/>
        <w:t>子公司的持股比例不同于表决权比例的原因、以及持有半数或以下表决权但仍控制被投资单位的依据</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5" w:lineRule="auto" w:before="35"/>
        <w:ind w:left="1553" w:right="3403" w:hanging="420"/>
        <w:jc w:val="left"/>
      </w:pPr>
      <w:r>
        <w:rPr/>
        <w:pict>
          <v:shape style="position:absolute;margin-left:56.34pt;margin-top:59.973698pt;width:483.15pt;height:174.3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1"/>
                    <w:gridCol w:w="4820"/>
                  </w:tblGrid>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广州蓝盾数据安全科技创新有限公司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p>
              </w:txbxContent>
            </v:textbox>
            <w10:wrap type="none"/>
          </v:shape>
        </w:pict>
      </w:r>
      <w:r>
        <w:rPr/>
        <w:t>说明详见第十一节</w:t>
      </w:r>
      <w:r>
        <w:rPr>
          <w:spacing w:val="-22"/>
        </w:rPr>
        <w:t> </w:t>
      </w:r>
      <w:r>
        <w:rPr/>
        <w:t>九、</w:t>
      </w:r>
      <w:r>
        <w:rPr>
          <w:rFonts w:ascii="Times New Roman" w:hAnsi="Times New Roman" w:cs="Times New Roman" w:eastAsia="Times New Roman" w:hint="default"/>
        </w:rPr>
        <w:t>1</w:t>
      </w:r>
      <w:r>
        <w:rPr/>
        <w:t>、在子公司中权益。 本期纳入合并财务报表范围的主体较上期相比，增加</w:t>
      </w:r>
      <w:r>
        <w:rPr>
          <w:rFonts w:ascii="Times New Roman" w:hAnsi="Times New Roman" w:cs="Times New Roman" w:eastAsia="Times New Roman" w:hint="default"/>
        </w:rPr>
        <w:t>9</w:t>
      </w:r>
      <w:r>
        <w:rPr/>
        <w:t>户，减少</w:t>
      </w:r>
      <w:r>
        <w:rPr>
          <w:rFonts w:ascii="Times New Roman" w:hAnsi="Times New Roman" w:cs="Times New Roman" w:eastAsia="Times New Roman" w:hint="default"/>
        </w:rPr>
        <w:t>2</w:t>
      </w:r>
      <w:r>
        <w:rPr/>
        <w:t>户，其中： </w:t>
      </w:r>
      <w:r>
        <w:rPr>
          <w:rFonts w:ascii="Times New Roman" w:hAnsi="Times New Roman" w:cs="Times New Roman" w:eastAsia="Times New Roman" w:hint="default"/>
        </w:rPr>
        <w:t>1</w:t>
      </w:r>
      <w:r>
        <w:rPr/>
        <w:t>、本期新纳入合并范围的子公司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1554" w:right="0"/>
        <w:jc w:val="left"/>
      </w:pPr>
      <w:r>
        <w:rPr>
          <w:rFonts w:ascii="Times New Roman" w:hAnsi="Times New Roman" w:cs="Times New Roman" w:eastAsia="Times New Roman" w:hint="default"/>
        </w:rPr>
        <w:t>2</w:t>
      </w:r>
      <w:r>
        <w:rPr/>
        <w:t>、本期不再纳入合并范围的子公司</w:t>
      </w:r>
    </w:p>
    <w:p>
      <w:pPr>
        <w:spacing w:line="240" w:lineRule="auto" w:before="9"/>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4821"/>
        <w:gridCol w:w="4820"/>
      </w:tblGrid>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新疆丝路蓝盾教育科技有限公司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股权转让</w:t>
            </w:r>
          </w:p>
        </w:tc>
      </w:tr>
      <w:tr>
        <w:trPr>
          <w:trHeight w:val="34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西安市中盾信息安全技术有限公司</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pStyle w:val="BodyText"/>
        <w:spacing w:line="240" w:lineRule="auto" w:before="75"/>
        <w:ind w:left="1554" w:right="0"/>
        <w:jc w:val="left"/>
      </w:pPr>
      <w:r>
        <w:rPr/>
        <w:t>合并范围变更主体的具体信息详见第十一节</w:t>
      </w:r>
      <w:r>
        <w:rPr>
          <w:spacing w:val="-21"/>
        </w:rPr>
        <w:t> </w:t>
      </w:r>
      <w:r>
        <w:rPr/>
        <w:t>八、合并范围的变更。</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财务报表的编制基础" w:id="173"/>
      <w:bookmarkEnd w:id="17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编制基础" w:id="174"/>
      <w:bookmarkEnd w:id="17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right="1130" w:firstLine="420"/>
        <w:jc w:val="both"/>
      </w:pPr>
      <w:r>
        <w:rPr>
          <w:spacing w:val="-1"/>
        </w:rPr>
        <w:t>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基本准则》和具体企业会计</w:t>
      </w:r>
      <w:r>
        <w:rPr/>
        <w:t> 准则、企业会计准则应用指南、企业会计准则解释及其他相关规定（以下合称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）进行确认 </w:t>
      </w:r>
      <w:r>
        <w:rPr>
          <w:spacing w:val="-1"/>
        </w:rPr>
        <w:t>和计量，在此基础上，结合中国证券监督管理委员会《公开发行证券的公司信息披露编报规则第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3"/>
        </w:rPr>
        <w:t> </w:t>
      </w:r>
      <w:r>
        <w:rPr/>
        <w:t>财务报告的一般规定》（</w:t>
      </w:r>
      <w:r>
        <w:rPr>
          <w:rFonts w:ascii="Times New Roman" w:hAnsi="Times New Roman" w:cs="Times New Roman" w:eastAsia="Times New Roman" w:hint="default"/>
        </w:rPr>
        <w:t>2014</w:t>
      </w:r>
      <w:r>
        <w:rPr/>
        <w:t>年修订）的规定，编制财务报表。</w:t>
      </w:r>
    </w:p>
    <w:p>
      <w:pPr>
        <w:spacing w:line="240" w:lineRule="auto" w:before="10"/>
        <w:rPr>
          <w:rFonts w:ascii="宋体" w:hAnsi="宋体" w:cs="宋体" w:eastAsia="宋体" w:hint="default"/>
          <w:sz w:val="17"/>
          <w:szCs w:val="17"/>
        </w:rPr>
      </w:pPr>
    </w:p>
    <w:p>
      <w:pPr>
        <w:pStyle w:val="Heading3"/>
        <w:spacing w:line="240" w:lineRule="auto"/>
        <w:ind w:left="1133" w:right="0"/>
        <w:jc w:val="left"/>
        <w:rPr>
          <w:b w:val="0"/>
          <w:bCs w:val="0"/>
        </w:rPr>
      </w:pPr>
      <w:bookmarkStart w:name="2、持续经营" w:id="175"/>
      <w:bookmarkEnd w:id="17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1134" w:right="1131" w:firstLine="420"/>
        <w:jc w:val="both"/>
      </w:pPr>
      <w:r>
        <w:rPr>
          <w:spacing w:val="-1"/>
        </w:rPr>
        <w:t>公司对报告期末起</w:t>
      </w:r>
      <w:r>
        <w:rPr>
          <w:rFonts w:ascii="Times New Roman" w:hAnsi="Times New Roman" w:cs="Times New Roman" w:eastAsia="Times New Roman" w:hint="default"/>
          <w:spacing w:val="-1"/>
        </w:rPr>
        <w:t>12</w:t>
      </w:r>
      <w:r>
        <w:rPr>
          <w:spacing w:val="-1"/>
        </w:rPr>
        <w:t>个月的持续经营能力进行了评价，未发现对持续经营能力产生重大怀疑的事项或</w:t>
      </w:r>
      <w:r>
        <w:rPr/>
        <w:t> 情况。因此，本财务报表系在持续经营假设的基础上编制。</w:t>
      </w: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bookmarkStart w:name="五、重要会计政策及会计估计" w:id="176"/>
      <w:bookmarkEnd w:id="17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1"/>
        <w:rPr>
          <w:rFonts w:ascii="宋体" w:hAnsi="宋体" w:cs="宋体" w:eastAsia="宋体" w:hint="default"/>
          <w:sz w:val="13"/>
          <w:szCs w:val="13"/>
        </w:rPr>
      </w:pPr>
    </w:p>
    <w:p>
      <w:pPr>
        <w:pStyle w:val="BodyText"/>
        <w:spacing w:line="348" w:lineRule="auto"/>
        <w:ind w:right="1131" w:firstLine="420"/>
        <w:jc w:val="both"/>
      </w:pPr>
      <w:r>
        <w:rPr>
          <w:spacing w:val="-1"/>
        </w:rPr>
        <w:t>公司下列重要会计政策、会计估计根据企业会计准则制定。未提及的业务按企业会计准则中相关会计</w:t>
      </w:r>
      <w:r>
        <w:rPr/>
        <w:t> 政策执行。</w:t>
      </w:r>
    </w:p>
    <w:p>
      <w:pPr>
        <w:spacing w:after="0" w:line="348" w:lineRule="auto"/>
        <w:jc w:val="both"/>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both"/>
        <w:rPr>
          <w:b w:val="0"/>
          <w:bCs w:val="0"/>
        </w:rPr>
      </w:pPr>
      <w:bookmarkStart w:name="1、遵循企业会计准则的声明" w:id="177"/>
      <w:bookmarkEnd w:id="17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0" w:firstLine="420"/>
        <w:jc w:val="left"/>
      </w:pPr>
      <w:r>
        <w:rPr>
          <w:spacing w:val="-1"/>
        </w:rPr>
        <w:t>公司所编制的财务报表符合企业会计准则的要求，真实、完整地反映了报告期公司的财务状况、经营</w:t>
      </w:r>
      <w:r>
        <w:rPr/>
        <w:t> 成果、现金流量等有关信息。</w:t>
      </w:r>
    </w:p>
    <w:p>
      <w:pPr>
        <w:spacing w:line="240" w:lineRule="auto" w:before="6"/>
        <w:rPr>
          <w:rFonts w:ascii="宋体" w:hAnsi="宋体" w:cs="宋体" w:eastAsia="宋体" w:hint="default"/>
          <w:sz w:val="18"/>
          <w:szCs w:val="18"/>
        </w:rPr>
      </w:pPr>
    </w:p>
    <w:p>
      <w:pPr>
        <w:pStyle w:val="Heading3"/>
        <w:spacing w:line="240" w:lineRule="auto"/>
        <w:ind w:left="1133" w:right="0"/>
        <w:jc w:val="both"/>
        <w:rPr>
          <w:b w:val="0"/>
          <w:bCs w:val="0"/>
        </w:rPr>
      </w:pPr>
      <w:bookmarkStart w:name="2、会计期间" w:id="178"/>
      <w:bookmarkEnd w:id="17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1"/>
          <w:szCs w:val="31"/>
        </w:rPr>
      </w:pPr>
    </w:p>
    <w:p>
      <w:pPr>
        <w:pStyle w:val="BodyText"/>
        <w:spacing w:line="240" w:lineRule="auto"/>
        <w:ind w:left="155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bookmarkStart w:name="3、营业周期" w:id="179"/>
      <w:bookmarkEnd w:id="17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1554" w:right="0"/>
        <w:jc w:val="left"/>
      </w:pPr>
      <w:r>
        <w:rPr/>
        <w:t>本公司营业周期为</w:t>
      </w:r>
      <w:r>
        <w:rPr>
          <w:rFonts w:ascii="Times New Roman" w:hAnsi="Times New Roman" w:cs="Times New Roman" w:eastAsia="Times New Roman" w:hint="default"/>
        </w:rPr>
        <w:t>12</w:t>
      </w:r>
      <w:r>
        <w:rPr/>
        <w:t>个月。</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bookmarkStart w:name="4、记账本位币" w:id="180"/>
      <w:bookmarkEnd w:id="18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1"/>
          <w:szCs w:val="31"/>
        </w:rPr>
      </w:pPr>
    </w:p>
    <w:p>
      <w:pPr>
        <w:pStyle w:val="BodyText"/>
        <w:spacing w:line="350" w:lineRule="auto"/>
        <w:ind w:left="1134" w:right="0" w:firstLine="420"/>
        <w:jc w:val="left"/>
      </w:pPr>
      <w:r>
        <w:rPr>
          <w:spacing w:val="-1"/>
        </w:rPr>
        <w:t>采用人民币为记账本位币。境外子公司以其经营所处的主要经济环境中的货币为记账本位币，编制财</w:t>
      </w:r>
      <w:r>
        <w:rPr/>
        <w:t> 务报表时折算为人民币。</w:t>
      </w:r>
    </w:p>
    <w:p>
      <w:pPr>
        <w:spacing w:line="240" w:lineRule="auto" w:before="3"/>
        <w:rPr>
          <w:rFonts w:ascii="宋体" w:hAnsi="宋体" w:cs="宋体" w:eastAsia="宋体" w:hint="default"/>
          <w:sz w:val="18"/>
          <w:szCs w:val="18"/>
        </w:rPr>
      </w:pPr>
    </w:p>
    <w:p>
      <w:pPr>
        <w:pStyle w:val="Heading3"/>
        <w:spacing w:line="240" w:lineRule="auto"/>
        <w:ind w:right="0"/>
        <w:jc w:val="both"/>
        <w:rPr>
          <w:b w:val="0"/>
          <w:bCs w:val="0"/>
        </w:rPr>
      </w:pPr>
      <w:bookmarkStart w:name="5、同一控制下和非同一控制下企业合并的会计处理方法" w:id="181"/>
      <w:bookmarkEnd w:id="18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1"/>
          <w:szCs w:val="31"/>
        </w:rPr>
      </w:pPr>
    </w:p>
    <w:p>
      <w:pPr>
        <w:pStyle w:val="Heading3"/>
        <w:spacing w:line="331" w:lineRule="auto"/>
        <w:ind w:right="0" w:firstLine="422"/>
        <w:jc w:val="left"/>
        <w:rPr>
          <w:b w:val="0"/>
          <w:bCs w:val="0"/>
        </w:rPr>
      </w:pPr>
      <w:r>
        <w:rPr>
          <w:rFonts w:ascii="Times New Roman" w:hAnsi="Times New Roman" w:cs="Times New Roman" w:eastAsia="Times New Roman" w:hint="default"/>
          <w:w w:val="95"/>
        </w:rPr>
        <w:t>1.</w:t>
      </w:r>
      <w:r>
        <w:rPr>
          <w:w w:val="95"/>
        </w:rPr>
        <w:t>分步实现企业合并过程中的各项交易的条款、条件以及经济影响符合以下一种或多种情况，将多次</w:t>
      </w:r>
      <w:r>
        <w:rPr>
          <w:spacing w:val="-77"/>
          <w:w w:val="95"/>
        </w:rPr>
        <w:t> </w:t>
      </w:r>
      <w:r>
        <w:rPr>
          <w:spacing w:val="-77"/>
          <w:w w:val="95"/>
        </w:rPr>
      </w:r>
      <w:r>
        <w:rPr/>
        <w:t>交易事项作为一揽子交易进行会计处理</w:t>
      </w:r>
      <w:r>
        <w:rPr>
          <w:b w:val="0"/>
          <w:bCs w:val="0"/>
        </w:rPr>
      </w:r>
    </w:p>
    <w:p>
      <w:pPr>
        <w:pStyle w:val="BodyText"/>
        <w:spacing w:line="240" w:lineRule="auto" w:before="46"/>
        <w:ind w:left="155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9"/>
        <w:ind w:left="155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9"/>
        <w:ind w:left="155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10"/>
        <w:ind w:left="1554" w:right="0"/>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328" w:lineRule="auto" w:before="109"/>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公司在企业合并中取得的资产和负债，按照合并日在被合并方资产、负债（包括最终控制方收购被合</w:t>
      </w:r>
    </w:p>
    <w:p>
      <w:pPr>
        <w:pStyle w:val="BodyText"/>
        <w:spacing w:line="348" w:lineRule="auto" w:before="48"/>
        <w:ind w:left="1134" w:right="1131"/>
        <w:jc w:val="both"/>
      </w:pPr>
      <w:r>
        <w:rPr>
          <w:spacing w:val="-1"/>
        </w:rPr>
        <w:t>并方而形成的商誉）在最终控制方合并财务报表中的账面价值计量。在合并中取得的净资产账面价值与支</w:t>
      </w:r>
      <w:r>
        <w:rPr>
          <w:spacing w:val="-81"/>
        </w:rPr>
        <w:t> </w:t>
      </w:r>
      <w:r>
        <w:rPr>
          <w:spacing w:val="-81"/>
        </w:rPr>
      </w:r>
      <w:r>
        <w:rPr>
          <w:spacing w:val="-1"/>
        </w:rPr>
        <w:t>付的合并对价账面价值（或发行股份面值总额）的差额，调整资本公积中的股本溢价，资本公积中的股本</w:t>
      </w:r>
      <w:r>
        <w:rPr>
          <w:spacing w:val="-85"/>
        </w:rPr>
        <w:t> </w:t>
      </w:r>
      <w:r>
        <w:rPr>
          <w:spacing w:val="-85"/>
        </w:rPr>
      </w:r>
      <w:r>
        <w:rPr/>
        <w:t>溢价不足冲减的，调整留存收益。</w:t>
      </w:r>
    </w:p>
    <w:p>
      <w:pPr>
        <w:pStyle w:val="BodyText"/>
        <w:spacing w:line="348" w:lineRule="auto" w:before="31"/>
        <w:ind w:left="1134" w:right="0" w:firstLine="420"/>
        <w:jc w:val="left"/>
      </w:pPr>
      <w:r>
        <w:rPr>
          <w:spacing w:val="-1"/>
        </w:rPr>
        <w:t>如果存在或有对价并需要确认预计负债或资产，该预计负债或资产金额与后续或有对价结算金额的差</w:t>
      </w:r>
      <w:r>
        <w:rPr/>
        <w:t> 额，调整资本公积（资本溢价或股本溢价），资本公积不足的，调整留存收益。</w:t>
      </w:r>
    </w:p>
    <w:p>
      <w:pPr>
        <w:pStyle w:val="BodyText"/>
        <w:spacing w:line="350" w:lineRule="auto" w:before="30"/>
        <w:ind w:left="1134" w:right="1131" w:firstLine="420"/>
        <w:jc w:val="both"/>
      </w:pPr>
      <w:r>
        <w:rPr>
          <w:spacing w:val="-1"/>
        </w:rPr>
        <w:t>对于通过多次交易最终实现企业合并的，属于一揽子交易的，将各项交易作为一项取得控制权的交易</w:t>
      </w:r>
      <w:r>
        <w:rPr/>
        <w:t> </w:t>
      </w:r>
      <w:r>
        <w:rPr>
          <w:spacing w:val="-1"/>
        </w:rPr>
        <w:t>进行会计处理；不属于一揽子交易的，在取得控制权日，长期股权投资初始投资成本，与达到合并前的长</w:t>
      </w:r>
      <w:r>
        <w:rPr>
          <w:spacing w:val="-86"/>
        </w:rPr>
        <w:t> </w:t>
      </w:r>
      <w:r>
        <w:rPr>
          <w:spacing w:val="-86"/>
        </w:rPr>
      </w:r>
      <w:r>
        <w:rPr>
          <w:spacing w:val="-1"/>
        </w:rPr>
        <w:t>期股权投资账面价值加上合并日进一步取得股份新支付对价的账面价值之和的差额，调整资本公积；资本</w:t>
      </w:r>
      <w:r>
        <w:rPr>
          <w:spacing w:val="-81"/>
        </w:rPr>
        <w:t> </w:t>
      </w:r>
      <w:r>
        <w:rPr>
          <w:spacing w:val="-81"/>
        </w:rPr>
      </w:r>
      <w:r>
        <w:rPr>
          <w:spacing w:val="-1"/>
        </w:rPr>
        <w:t>公积不足冲减的，调整留存收益。对于合并日之前持有的股权投资，因采用权益法核算或金融工具确认和</w:t>
      </w:r>
      <w:r>
        <w:rPr>
          <w:spacing w:val="-83"/>
        </w:rPr>
        <w:t> </w:t>
      </w:r>
      <w:r>
        <w:rPr>
          <w:spacing w:val="-83"/>
        </w:rPr>
      </w:r>
      <w:r>
        <w:rPr>
          <w:spacing w:val="-1"/>
        </w:rPr>
        <w:t>计量准则核算而确认的其他综合收益，暂不进行会计处理，直至处置该项投资时采用与被投资单位直接处</w:t>
      </w:r>
    </w:p>
    <w:p>
      <w:pPr>
        <w:spacing w:after="0" w:line="350"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50" w:lineRule="auto" w:before="35"/>
        <w:ind w:right="1110"/>
        <w:jc w:val="both"/>
      </w:pPr>
      <w:r>
        <w:rPr/>
        <w:t>置相关资产或负债相同的基础进行会计处理；因采用权益法核算而确认的被投资单位净资产中除净损益、 </w:t>
      </w:r>
      <w:r>
        <w:rPr>
          <w:spacing w:val="-1"/>
        </w:rPr>
        <w:t>其他综合收益和利润分配以外的所有者权益其他变动，暂不进行会计处理，直至处置该项投资时转入当期</w:t>
      </w:r>
      <w:r>
        <w:rPr>
          <w:spacing w:val="-81"/>
        </w:rPr>
        <w:t> </w:t>
      </w:r>
      <w:r>
        <w:rPr>
          <w:spacing w:val="-81"/>
        </w:rPr>
      </w:r>
      <w:r>
        <w:rPr/>
        <w:t>损益。</w:t>
      </w:r>
    </w:p>
    <w:p>
      <w:pPr>
        <w:spacing w:line="328" w:lineRule="auto" w:before="28"/>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购买日是指公司实际取得对被购买方控制权的日期，即被购买方的净资产或生产经营决策的控制权转</w:t>
      </w:r>
    </w:p>
    <w:p>
      <w:pPr>
        <w:pStyle w:val="BodyText"/>
        <w:spacing w:line="240" w:lineRule="auto" w:before="48"/>
        <w:ind w:right="0"/>
        <w:jc w:val="left"/>
      </w:pPr>
      <w:r>
        <w:rPr/>
        <w:t>移给公司的日期。同时满足下列条件时，公司一般认为实现了控制权的转移：</w:t>
      </w:r>
    </w:p>
    <w:p>
      <w:pPr>
        <w:pStyle w:val="BodyText"/>
        <w:spacing w:line="240" w:lineRule="auto" w:before="124"/>
        <w:ind w:left="1553" w:right="0"/>
        <w:jc w:val="left"/>
      </w:pPr>
      <w:r>
        <w:rPr/>
        <w:t>①企业合并合同或协议已获公司内部权力机构通过。</w:t>
      </w:r>
    </w:p>
    <w:p>
      <w:pPr>
        <w:pStyle w:val="BodyText"/>
        <w:spacing w:line="240" w:lineRule="auto" w:before="124"/>
        <w:ind w:left="1553" w:right="0"/>
        <w:jc w:val="left"/>
      </w:pPr>
      <w:r>
        <w:rPr/>
        <w:t>②企业合并事项需要经过国家有关主管部门审批的，已获得批准。</w:t>
      </w:r>
    </w:p>
    <w:p>
      <w:pPr>
        <w:pStyle w:val="BodyText"/>
        <w:spacing w:line="240" w:lineRule="auto" w:before="126"/>
        <w:ind w:left="1553" w:right="0"/>
        <w:jc w:val="left"/>
      </w:pPr>
      <w:r>
        <w:rPr/>
        <w:t>③已办理了必要的财产权转移手续。</w:t>
      </w:r>
    </w:p>
    <w:p>
      <w:pPr>
        <w:pStyle w:val="BodyText"/>
        <w:spacing w:line="240" w:lineRule="auto" w:before="124"/>
        <w:ind w:left="1553" w:right="0"/>
        <w:jc w:val="left"/>
      </w:pPr>
      <w:r>
        <w:rPr/>
        <w:t>④公司已支付了合并价款的大部分，并且有能力、有计划支付剩余款项。</w:t>
      </w:r>
    </w:p>
    <w:p>
      <w:pPr>
        <w:pStyle w:val="BodyText"/>
        <w:spacing w:line="350" w:lineRule="auto" w:before="124"/>
        <w:ind w:left="1553" w:right="0"/>
        <w:jc w:val="left"/>
      </w:pPr>
      <w:r>
        <w:rPr/>
        <w:t>⑤公司实际上已经控制了被购买方的财务和经营政策，并享有相应的利益、承担相应的风险。 </w:t>
      </w:r>
      <w:r>
        <w:rPr>
          <w:spacing w:val="-1"/>
        </w:rPr>
        <w:t>公司在购买日对作为企业合并对价付出的资产、发生或承担的负债按照公允价值计量，公允价值与其</w:t>
      </w:r>
    </w:p>
    <w:p>
      <w:pPr>
        <w:pStyle w:val="BodyText"/>
        <w:spacing w:line="348" w:lineRule="auto" w:before="28"/>
        <w:ind w:left="1553" w:right="0" w:hanging="420"/>
        <w:jc w:val="left"/>
      </w:pPr>
      <w:r>
        <w:rPr/>
        <w:t>账面价值的差额，计入当期损益。 </w:t>
      </w:r>
      <w:r>
        <w:rPr>
          <w:spacing w:val="-1"/>
        </w:rPr>
        <w:t>公司对合并成本大于合并中取得的被购买方可辨认净资产公允价值份额的差额，确认为商誉；合并成</w:t>
      </w:r>
    </w:p>
    <w:p>
      <w:pPr>
        <w:pStyle w:val="BodyText"/>
        <w:spacing w:line="348" w:lineRule="auto" w:before="31"/>
        <w:ind w:left="1553" w:right="0" w:hanging="420"/>
        <w:jc w:val="left"/>
      </w:pPr>
      <w:r>
        <w:rPr/>
        <w:t>本小于合并中取得的被购买方可辨认净资产公允价值份额的差额，经复核后，计入当期损益。 </w:t>
      </w:r>
      <w:r>
        <w:rPr>
          <w:spacing w:val="-1"/>
        </w:rPr>
        <w:t>通过多次交换交易分步实现的非同一控制下企业合并，属于一揽子交易的，将各项交易作为一项取得</w:t>
      </w:r>
    </w:p>
    <w:p>
      <w:pPr>
        <w:pStyle w:val="BodyText"/>
        <w:spacing w:line="350" w:lineRule="auto" w:before="30"/>
        <w:ind w:right="0"/>
        <w:jc w:val="left"/>
      </w:pPr>
      <w:r>
        <w:rPr>
          <w:spacing w:val="-1"/>
        </w:rPr>
        <w:t>控制权的交易进行会计处理；不属于一揽子交易的，合并日之前持有的股权投资采用权益法核算的，以购</w:t>
      </w:r>
      <w:r>
        <w:rPr>
          <w:spacing w:val="-83"/>
        </w:rPr>
        <w:t> </w:t>
      </w:r>
      <w:r>
        <w:rPr>
          <w:spacing w:val="-83"/>
        </w:rPr>
      </w:r>
      <w:r>
        <w:rPr/>
        <w:t>买日之前所持被购买方的股权投资的账面价值与购买日新增投资成本之和，作为该项投资的初始投资成 </w:t>
      </w:r>
      <w:r>
        <w:rPr>
          <w:spacing w:val="-1"/>
        </w:rPr>
        <w:t>本；购买日之前持有的股权投资因采用权益法核算而确认的其他综合收益，在处置该项投资时采用与被投</w:t>
      </w:r>
      <w:r>
        <w:rPr>
          <w:spacing w:val="-81"/>
        </w:rPr>
        <w:t> </w:t>
      </w:r>
      <w:r>
        <w:rPr>
          <w:spacing w:val="-81"/>
        </w:rPr>
      </w:r>
      <w:r>
        <w:rPr>
          <w:spacing w:val="-1"/>
        </w:rPr>
        <w:t>资单位直接处置相关资产或负债相同的基础进行会计处理。合并日之前持有的股权投资采用金融工具确认</w:t>
      </w:r>
      <w:r>
        <w:rPr>
          <w:spacing w:val="-81"/>
        </w:rPr>
        <w:t> </w:t>
      </w:r>
      <w:r>
        <w:rPr>
          <w:spacing w:val="-81"/>
        </w:rPr>
      </w:r>
      <w:r>
        <w:rPr>
          <w:spacing w:val="-1"/>
        </w:rPr>
        <w:t>和计量准则核算的，以该股权投资在合并日的公允价值加上新增投资成本之和，作为合并日的初始投资成</w:t>
      </w:r>
      <w:r>
        <w:rPr>
          <w:spacing w:val="-81"/>
        </w:rPr>
        <w:t> </w:t>
      </w:r>
      <w:r>
        <w:rPr>
          <w:spacing w:val="-81"/>
        </w:rPr>
      </w:r>
      <w:r>
        <w:rPr>
          <w:spacing w:val="-1"/>
        </w:rPr>
        <w:t>本。原持有股权的公允价值与账面价值之间的差额以及原计入其他综合收益的累计公允价值变动应全部转</w:t>
      </w:r>
      <w:r>
        <w:rPr>
          <w:spacing w:val="-81"/>
        </w:rPr>
        <w:t> </w:t>
      </w:r>
      <w:r>
        <w:rPr>
          <w:spacing w:val="-81"/>
        </w:rPr>
      </w:r>
      <w:r>
        <w:rPr/>
        <w:t>入合并日当期的投资收益。</w:t>
      </w:r>
    </w:p>
    <w:p>
      <w:pPr>
        <w:spacing w:line="328" w:lineRule="auto" w:before="29"/>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w w:val="99"/>
          <w:sz w:val="21"/>
          <w:szCs w:val="21"/>
        </w:rPr>
        <w:t> </w:t>
      </w:r>
      <w:r>
        <w:rPr>
          <w:rFonts w:ascii="宋体" w:hAnsi="宋体" w:cs="宋体" w:eastAsia="宋体" w:hint="default"/>
          <w:spacing w:val="-1"/>
          <w:sz w:val="21"/>
          <w:szCs w:val="21"/>
        </w:rPr>
        <w:t>为企业合并发生的审计、法律服务、评估咨询等中介费用以及其他直接相关费用，于发生时计入当期</w:t>
      </w:r>
    </w:p>
    <w:p>
      <w:pPr>
        <w:pStyle w:val="BodyText"/>
        <w:spacing w:line="240" w:lineRule="auto" w:before="47"/>
        <w:ind w:right="0"/>
        <w:jc w:val="left"/>
      </w:pPr>
      <w:r>
        <w:rPr/>
        <w:t>损益；为企业合并而发行权益性证券的交易费用，可直接归属于权益性交易的从权益中扣减。</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6、合并财务报表的编制方法" w:id="182"/>
      <w:bookmarkEnd w:id="18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1553" w:right="1118" w:firstLine="2"/>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公司合并财务报表的合并范围以控制为基础确定，所有子公司（包括公司所控制的单独主体）均纳入</w:t>
      </w:r>
    </w:p>
    <w:p>
      <w:pPr>
        <w:pStyle w:val="BodyText"/>
        <w:spacing w:line="240" w:lineRule="auto" w:before="47"/>
        <w:ind w:right="0"/>
        <w:jc w:val="left"/>
      </w:pPr>
      <w:r>
        <w:rPr/>
        <w:t>合并财务报表。</w:t>
      </w:r>
    </w:p>
    <w:p>
      <w:pPr>
        <w:pStyle w:val="BodyText"/>
        <w:spacing w:line="328" w:lineRule="auto" w:before="126"/>
        <w:ind w:left="1553" w:right="1118" w:firstLine="2"/>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公司以自身和各子公司的财务报表为基础，根据其他有关资料，编制合并财务报表。公司编制合并财</w:t>
      </w:r>
    </w:p>
    <w:p>
      <w:pPr>
        <w:pStyle w:val="BodyText"/>
        <w:spacing w:line="240" w:lineRule="auto" w:before="47"/>
        <w:ind w:right="0"/>
        <w:jc w:val="left"/>
      </w:pPr>
      <w:r>
        <w:rPr/>
        <w:t>务报表，将整个企业集团视为一个会计主体，依据相关企业会计准则的确认、计量和列报要求，按照统一</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left="1553" w:right="0" w:hanging="420"/>
        <w:jc w:val="left"/>
      </w:pPr>
      <w:r>
        <w:rPr/>
        <w:t>的会计政策，反映本企业集团整体财务状况、经营成果和现金流量。 </w:t>
      </w:r>
      <w:r>
        <w:rPr>
          <w:spacing w:val="-1"/>
        </w:rPr>
        <w:t>所有纳入合并财务报表合并范围的子公司所采用的会计政策、会计期间与公司一致，如子公司采用的</w:t>
      </w:r>
    </w:p>
    <w:p>
      <w:pPr>
        <w:pStyle w:val="BodyText"/>
        <w:spacing w:line="350" w:lineRule="auto" w:before="31"/>
        <w:ind w:right="1133"/>
        <w:jc w:val="both"/>
      </w:pPr>
      <w:r>
        <w:rPr>
          <w:spacing w:val="-1"/>
        </w:rPr>
        <w:t>会计政策、会计期间与公司不一致的，在编制合并财务报表时，按公司的会计政策、会计期间进行必要的</w:t>
      </w:r>
      <w:r>
        <w:rPr>
          <w:spacing w:val="-86"/>
        </w:rPr>
        <w:t> </w:t>
      </w:r>
      <w:r>
        <w:rPr>
          <w:spacing w:val="-86"/>
        </w:rPr>
      </w:r>
      <w:r>
        <w:rPr/>
        <w:t>调整。</w:t>
      </w:r>
    </w:p>
    <w:p>
      <w:pPr>
        <w:pStyle w:val="BodyText"/>
        <w:spacing w:line="350" w:lineRule="auto" w:before="28"/>
        <w:ind w:right="1131" w:firstLine="420"/>
        <w:jc w:val="both"/>
      </w:pPr>
      <w:r>
        <w:rPr>
          <w:spacing w:val="-1"/>
        </w:rPr>
        <w:t>合并财务报表时抵销公司与各子公司、各子公司相互之间发生的内部交易对合并资产负债表、合并利</w:t>
      </w:r>
      <w:r>
        <w:rPr/>
        <w:t> </w:t>
      </w:r>
      <w:r>
        <w:rPr>
          <w:spacing w:val="-1"/>
        </w:rPr>
        <w:t>润表、合并现金流量表、合并股东权益变动表的影响。如果站在企业集团合并财务报表角度与以公司或子</w:t>
      </w:r>
      <w:r>
        <w:rPr>
          <w:spacing w:val="-83"/>
        </w:rPr>
        <w:t> </w:t>
      </w:r>
      <w:r>
        <w:rPr>
          <w:spacing w:val="-83"/>
        </w:rPr>
      </w:r>
      <w:r>
        <w:rPr/>
        <w:t>公司为会计主体对同一交易的认定不同时，从企业集团的角度对该交易予以调整。</w:t>
      </w:r>
    </w:p>
    <w:p>
      <w:pPr>
        <w:pStyle w:val="BodyText"/>
        <w:spacing w:line="350" w:lineRule="auto" w:before="28"/>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50" w:lineRule="auto" w:before="28"/>
        <w:ind w:right="1131" w:firstLine="420"/>
        <w:jc w:val="both"/>
      </w:pPr>
      <w:r>
        <w:rPr>
          <w:spacing w:val="-1"/>
        </w:rPr>
        <w:t>对于同一控制下企业合并取得的子公司，以其资产、负债（包括最终控制方收购该子公司而形成的商</w:t>
      </w:r>
      <w:r>
        <w:rPr/>
        <w:t> 誉）在最终控制方财务报表中的账面价值为基础对其财务报表进行调整。</w:t>
      </w:r>
    </w:p>
    <w:p>
      <w:pPr>
        <w:pStyle w:val="BodyText"/>
        <w:spacing w:line="348" w:lineRule="auto" w:before="28"/>
        <w:ind w:right="1132" w:firstLine="420"/>
        <w:jc w:val="both"/>
      </w:pPr>
      <w:r>
        <w:rPr>
          <w:spacing w:val="-1"/>
        </w:rPr>
        <w:t>对于非同一控制下企业合并取得的子公司，以购买日可辨认净资产公允价值为基础对其财务报表进行</w:t>
      </w:r>
      <w:r>
        <w:rPr/>
        <w:t> 调整。</w:t>
      </w:r>
    </w:p>
    <w:p>
      <w:pPr>
        <w:pStyle w:val="BodyText"/>
        <w:spacing w:line="328" w:lineRule="auto" w:before="31"/>
        <w:ind w:left="1553"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350" w:lineRule="auto" w:before="47"/>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350" w:lineRule="auto" w:before="28"/>
        <w:ind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348" w:lineRule="auto" w:before="29"/>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350" w:lineRule="auto" w:before="31"/>
        <w:ind w:right="1024" w:firstLine="420"/>
        <w:jc w:val="left"/>
      </w:pPr>
      <w:r>
        <w:rPr/>
        <w:t>因追加投资等原因能够对非同一控制下的被投资方实施控制的，对于购买日之前持有的被购买方的股 </w:t>
      </w:r>
      <w:r>
        <w:rPr>
          <w:spacing w:val="-3"/>
        </w:rPr>
        <w:t>权，公司按照该股权在购买日的公允价值进行重新计量，公允价值与其账面价值的差额计入当期投资收益。</w:t>
      </w:r>
      <w:r>
        <w:rPr>
          <w:spacing w:val="-92"/>
        </w:rPr>
        <w:t> </w:t>
      </w:r>
      <w:r>
        <w:rPr>
          <w:spacing w:val="-92"/>
        </w:rPr>
      </w:r>
      <w:r>
        <w:rPr/>
        <w:t>购买日之前持有的被购买方的股权涉及权益法核算下的其他综合收益以及除净损益、其他综合收益和利润</w:t>
      </w:r>
      <w:r>
        <w:rPr/>
        <w:t> 分配之外的其他所有者权益变动的，与其相关的其他综合收益、其他所有者权益变动转为购买日所属当期 投资收益，由于被投资方重新计量设定受益计划净负债或净资产变动而产生的其他综合收益除外。</w:t>
      </w:r>
    </w:p>
    <w:p>
      <w:pPr>
        <w:pStyle w:val="BodyText"/>
        <w:spacing w:line="240" w:lineRule="auto" w:before="28"/>
        <w:ind w:left="1553" w:right="0"/>
        <w:jc w:val="left"/>
      </w:pPr>
      <w:r>
        <w:rPr/>
        <w:t>（</w:t>
      </w:r>
      <w:r>
        <w:rPr>
          <w:rFonts w:ascii="Times New Roman" w:hAnsi="Times New Roman" w:cs="Times New Roman" w:eastAsia="Times New Roman" w:hint="default"/>
        </w:rPr>
        <w:t>2</w:t>
      </w:r>
      <w:r>
        <w:rPr/>
        <w:t>）处置子公司或业务</w:t>
      </w:r>
    </w:p>
    <w:p>
      <w:pPr>
        <w:pStyle w:val="BodyText"/>
        <w:spacing w:line="328" w:lineRule="auto" w:before="110"/>
        <w:ind w:left="1553" w:right="0"/>
        <w:jc w:val="left"/>
      </w:pPr>
      <w:r>
        <w:rPr>
          <w:rFonts w:ascii="Times New Roman" w:hAnsi="Times New Roman" w:cs="Times New Roman" w:eastAsia="Times New Roman" w:hint="default"/>
        </w:rPr>
        <w:t>1</w:t>
      </w:r>
      <w:r>
        <w:rPr/>
        <w:t>）一般处理方法 </w:t>
      </w:r>
      <w:r>
        <w:rPr>
          <w:spacing w:val="-1"/>
        </w:rPr>
        <w:t>在报告期内，公司处置子公司或业务，则该子公司或业务期初至处置日的收入、费用、利润纳入合并</w:t>
      </w:r>
    </w:p>
    <w:p>
      <w:pPr>
        <w:spacing w:after="0" w:line="32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left="1553" w:right="0" w:hanging="420"/>
        <w:jc w:val="left"/>
      </w:pPr>
      <w:r>
        <w:rPr/>
        <w:t>利润表；该子公司或业务期初至处置日的现金流量纳入合并现金流量表。 </w:t>
      </w:r>
      <w:r>
        <w:rPr>
          <w:spacing w:val="-1"/>
        </w:rPr>
        <w:t>因处置部分股权投资或其他原因丧失了对被投资方控制权时，对于处置后的剩余股权投资，公司按照</w:t>
      </w:r>
    </w:p>
    <w:p>
      <w:pPr>
        <w:pStyle w:val="BodyText"/>
        <w:spacing w:line="350" w:lineRule="auto" w:before="31"/>
        <w:ind w:right="1131"/>
        <w:jc w:val="both"/>
      </w:pPr>
      <w:r>
        <w:rPr>
          <w:spacing w:val="-1"/>
        </w:rPr>
        <w:t>其在丧失控制权日的公允价值进行重新计量。处置股权取得的对价与剩余股权公允价值之和，减去按原持</w:t>
      </w:r>
      <w:r>
        <w:rPr>
          <w:spacing w:val="-81"/>
        </w:rPr>
        <w:t> </w:t>
      </w:r>
      <w:r>
        <w:rPr>
          <w:spacing w:val="-81"/>
        </w:rPr>
      </w:r>
      <w:r>
        <w:rPr>
          <w:spacing w:val="-1"/>
        </w:rPr>
        <w:t>股比例计算应享有原有子公司自购买日或合并日开始持续计算的净资产的份额与商誉之和的差额，计入丧</w:t>
      </w:r>
      <w:r>
        <w:rPr>
          <w:spacing w:val="-81"/>
        </w:rPr>
        <w:t> </w:t>
      </w:r>
      <w:r>
        <w:rPr>
          <w:spacing w:val="-81"/>
        </w:rPr>
      </w:r>
      <w:r>
        <w:rPr>
          <w:spacing w:val="-1"/>
        </w:rPr>
        <w:t>失控制权当期的投资收益。与原有子公司股权投资相关的其他综合收益或除净损益、其他综合收益及利润</w:t>
      </w:r>
      <w:r>
        <w:rPr>
          <w:spacing w:val="-81"/>
        </w:rPr>
        <w:t> </w:t>
      </w:r>
      <w:r>
        <w:rPr>
          <w:spacing w:val="-81"/>
        </w:rPr>
      </w:r>
      <w:r>
        <w:rPr>
          <w:spacing w:val="-1"/>
        </w:rPr>
        <w:t>分配之外的其他所有者权益变动，在丧失控制权时转为当期投资收益，由于被投资方重新计量设定受益计</w:t>
      </w:r>
      <w:r>
        <w:rPr>
          <w:spacing w:val="-81"/>
        </w:rPr>
        <w:t> </w:t>
      </w:r>
      <w:r>
        <w:rPr>
          <w:spacing w:val="-81"/>
        </w:rPr>
      </w:r>
      <w:r>
        <w:rPr/>
        <w:t>划净负债或净资产变动而产生的其他综合收益除外。</w:t>
      </w:r>
    </w:p>
    <w:p>
      <w:pPr>
        <w:pStyle w:val="BodyText"/>
        <w:spacing w:line="331" w:lineRule="auto" w:before="28"/>
        <w:ind w:left="1553" w:right="0"/>
        <w:jc w:val="left"/>
      </w:pPr>
      <w:r>
        <w:rPr>
          <w:rFonts w:ascii="Times New Roman" w:hAnsi="Times New Roman" w:cs="Times New Roman" w:eastAsia="Times New Roman" w:hint="default"/>
        </w:rPr>
        <w:t>2</w:t>
      </w:r>
      <w:r>
        <w:rPr/>
        <w:t>）分步处置子公司 </w:t>
      </w:r>
      <w:r>
        <w:rPr>
          <w:spacing w:val="-1"/>
        </w:rPr>
        <w:t>通过多次交易分步处置对子公司股权投资直至丧失控制权的，处置对子公司股权投资的各项交易的条</w:t>
      </w:r>
    </w:p>
    <w:p>
      <w:pPr>
        <w:pStyle w:val="BodyText"/>
        <w:spacing w:line="348" w:lineRule="auto" w:before="45"/>
        <w:ind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331" w:lineRule="auto" w:before="31"/>
        <w:ind w:left="1553" w:right="3829"/>
        <w:jc w:val="left"/>
      </w:pP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50" w:lineRule="auto" w:before="20"/>
        <w:ind w:left="1134" w:right="1131" w:firstLine="420"/>
        <w:jc w:val="both"/>
      </w:pPr>
      <w:r>
        <w:rPr>
          <w:spacing w:val="-1"/>
        </w:rPr>
        <w:t>处置对子公司股权投资直至丧失控制权的各项交易属于一揽子交易的，公司将各项交易作为一项处置</w:t>
      </w:r>
      <w:r>
        <w:rPr/>
        <w:t> </w:t>
      </w:r>
      <w:r>
        <w:rPr>
          <w:spacing w:val="-1"/>
        </w:rPr>
        <w:t>子公司并丧失控制权的交易进行会计处理；但是，在丧失控制权之前每一次处置价款与处置投资对应的享</w:t>
      </w:r>
      <w:r>
        <w:rPr>
          <w:spacing w:val="-81"/>
        </w:rPr>
        <w:t> </w:t>
      </w:r>
      <w:r>
        <w:rPr>
          <w:spacing w:val="-81"/>
        </w:rPr>
      </w:r>
      <w:r>
        <w:rPr>
          <w:spacing w:val="-1"/>
        </w:rPr>
        <w:t>有该子公司净资产份额的差额，在合并财务报表中确认为其他综合收益，在丧失控制权时一并转入丧失控</w:t>
      </w:r>
      <w:r>
        <w:rPr>
          <w:spacing w:val="-81"/>
        </w:rPr>
        <w:t> </w:t>
      </w:r>
      <w:r>
        <w:rPr>
          <w:spacing w:val="-81"/>
        </w:rPr>
      </w:r>
      <w:r>
        <w:rPr/>
        <w:t>制权当期的损益。</w:t>
      </w:r>
    </w:p>
    <w:p>
      <w:pPr>
        <w:pStyle w:val="BodyText"/>
        <w:spacing w:line="350" w:lineRule="auto" w:before="28"/>
        <w:ind w:left="1134"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31" w:lineRule="auto" w:before="28"/>
        <w:ind w:left="1554" w:right="0"/>
        <w:jc w:val="left"/>
      </w:pPr>
      <w:r>
        <w:rPr/>
        <w:t>（</w:t>
      </w:r>
      <w:r>
        <w:rPr>
          <w:rFonts w:ascii="Times New Roman" w:hAnsi="Times New Roman" w:cs="Times New Roman" w:eastAsia="Times New Roman" w:hint="default"/>
        </w:rPr>
        <w:t>3</w:t>
      </w:r>
      <w:r>
        <w:rPr/>
        <w:t>）购买子公司少数股权 </w:t>
      </w:r>
      <w:r>
        <w:rPr>
          <w:spacing w:val="-1"/>
        </w:rPr>
        <w:t>公司因购买少数股权新取得的长期股权投资与按照新增持股比例计算应享有子公司自购买日（或合并</w:t>
      </w:r>
    </w:p>
    <w:p>
      <w:pPr>
        <w:pStyle w:val="BodyText"/>
        <w:spacing w:line="348" w:lineRule="auto" w:before="45"/>
        <w:ind w:left="1134" w:right="1131"/>
        <w:jc w:val="both"/>
      </w:pPr>
      <w:r>
        <w:rPr>
          <w:spacing w:val="-1"/>
        </w:rPr>
        <w:t>日）开始持续计算的净资产份额之间的差额，调整合并资产负债表中的资本公积中的股本溢价，资本公积</w:t>
      </w:r>
      <w:r>
        <w:rPr>
          <w:spacing w:val="-83"/>
        </w:rPr>
        <w:t> </w:t>
      </w:r>
      <w:r>
        <w:rPr>
          <w:spacing w:val="-83"/>
        </w:rPr>
      </w:r>
      <w:r>
        <w:rPr/>
        <w:t>中的股本溢价不足冲减的，调整留存收益。</w:t>
      </w:r>
    </w:p>
    <w:p>
      <w:pPr>
        <w:pStyle w:val="BodyText"/>
        <w:spacing w:line="328" w:lineRule="auto" w:before="31"/>
        <w:ind w:left="1554" w:right="1302"/>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w:t>
      </w:r>
    </w:p>
    <w:p>
      <w:pPr>
        <w:pStyle w:val="BodyText"/>
        <w:spacing w:line="350" w:lineRule="auto" w:before="47"/>
        <w:ind w:left="1134" w:right="1132"/>
        <w:jc w:val="both"/>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4"/>
        <w:rPr>
          <w:rFonts w:ascii="宋体" w:hAnsi="宋体" w:cs="宋体" w:eastAsia="宋体" w:hint="default"/>
          <w:sz w:val="18"/>
          <w:szCs w:val="18"/>
        </w:rPr>
      </w:pPr>
    </w:p>
    <w:p>
      <w:pPr>
        <w:pStyle w:val="Heading3"/>
        <w:spacing w:line="240" w:lineRule="auto"/>
        <w:ind w:right="0"/>
        <w:jc w:val="both"/>
        <w:rPr>
          <w:b w:val="0"/>
          <w:bCs w:val="0"/>
        </w:rPr>
      </w:pPr>
      <w:bookmarkStart w:name="7、合营安排分类及共同经营会计处理方法" w:id="183"/>
      <w:bookmarkEnd w:id="18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宋体" w:hAnsi="宋体" w:cs="宋体" w:eastAsia="宋体" w:hint="default"/>
          <w:b/>
          <w:bCs/>
          <w:sz w:val="31"/>
          <w:szCs w:val="31"/>
        </w:rPr>
      </w:pPr>
    </w:p>
    <w:p>
      <w:pPr>
        <w:pStyle w:val="BodyText"/>
        <w:spacing w:line="328" w:lineRule="auto"/>
        <w:ind w:left="1554" w:right="0" w:firstLine="2"/>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1"/>
        </w:rPr>
        <w:t>公司根据合营安排的结构、法律形式以及合营安排中约定的条款、其他相关事实和情况等因素，将合</w:t>
      </w:r>
    </w:p>
    <w:p>
      <w:pPr>
        <w:spacing w:after="0" w:line="32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left="1553" w:right="0" w:hanging="420"/>
        <w:jc w:val="left"/>
      </w:pPr>
      <w:r>
        <w:rPr/>
        <w:t>营安排分为共同经营和合营企业。 </w:t>
      </w:r>
      <w:r>
        <w:rPr>
          <w:spacing w:val="-1"/>
        </w:rPr>
        <w:t>未通过单独主体达成的合营安排，划分为共同经营；通过单独主体达成的合营安排，通常划分为合营</w:t>
      </w:r>
    </w:p>
    <w:p>
      <w:pPr>
        <w:pStyle w:val="BodyText"/>
        <w:spacing w:line="240" w:lineRule="auto" w:before="31"/>
        <w:ind w:right="0"/>
        <w:jc w:val="left"/>
      </w:pPr>
      <w:r>
        <w:rPr/>
        <w:t>企业；但有确凿证据表明满足下列任一条件并且符合相关法律法规规定的合营安排划分为共同经营：</w:t>
      </w:r>
    </w:p>
    <w:p>
      <w:pPr>
        <w:pStyle w:val="BodyText"/>
        <w:spacing w:line="240" w:lineRule="auto" w:before="125"/>
        <w:ind w:left="1553" w:right="0"/>
        <w:jc w:val="left"/>
      </w:pPr>
      <w:r>
        <w:rPr/>
        <w:t>（</w:t>
      </w:r>
      <w:r>
        <w:rPr>
          <w:rFonts w:ascii="宋体" w:hAnsi="宋体" w:cs="宋体" w:eastAsia="宋体" w:hint="default"/>
        </w:rPr>
        <w:t>1</w:t>
      </w:r>
      <w:r>
        <w:rPr/>
        <w:t>）合营安排的法律形式表明，合营方对该安排中的相关资产和负债分别享有权利和承担义务。</w:t>
      </w:r>
    </w:p>
    <w:p>
      <w:pPr>
        <w:pStyle w:val="BodyText"/>
        <w:spacing w:line="240" w:lineRule="auto" w:before="124"/>
        <w:ind w:left="1554" w:right="0"/>
        <w:jc w:val="left"/>
      </w:pPr>
      <w:r>
        <w:rPr/>
        <w:t>（</w:t>
      </w:r>
      <w:r>
        <w:rPr>
          <w:rFonts w:ascii="宋体" w:hAnsi="宋体" w:cs="宋体" w:eastAsia="宋体" w:hint="default"/>
        </w:rPr>
        <w:t>2</w:t>
      </w:r>
      <w:r>
        <w:rPr/>
        <w:t>）合营安排的合同条款约定，合营方对该安排中的相关资产和负债分别享有权利和承担义务。</w:t>
      </w:r>
    </w:p>
    <w:p>
      <w:pPr>
        <w:pStyle w:val="BodyText"/>
        <w:spacing w:line="348" w:lineRule="auto" w:before="126"/>
        <w:ind w:left="1134" w:right="1197" w:firstLine="420"/>
        <w:jc w:val="left"/>
      </w:pPr>
      <w:r>
        <w:rPr/>
        <w:t>（</w:t>
      </w:r>
      <w:r>
        <w:rPr>
          <w:rFonts w:ascii="宋体" w:hAnsi="宋体" w:cs="宋体" w:eastAsia="宋体" w:hint="default"/>
        </w:rPr>
        <w:t>3</w:t>
      </w:r>
      <w:r>
        <w:rPr/>
        <w:t>）其他相关事实和情况表明，合营方对该安排中的相关资产和负债分别享有权利和承担义务，如 合营方享有与合营安排相关的几乎所有产出，并且该安排中负债的清偿持续依赖于合营方的支持。</w:t>
      </w:r>
    </w:p>
    <w:p>
      <w:pPr>
        <w:spacing w:line="331" w:lineRule="auto" w:before="30"/>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公司确认共同经营中利益份额中与公司相关的下列项目，并按照相关企业会计准则的规定进行会计处</w:t>
      </w:r>
    </w:p>
    <w:p>
      <w:pPr>
        <w:pStyle w:val="BodyText"/>
        <w:spacing w:line="240" w:lineRule="auto" w:before="45"/>
        <w:ind w:left="1134" w:right="0"/>
        <w:jc w:val="left"/>
      </w:pPr>
      <w:r>
        <w:rPr/>
        <w:t>理：</w:t>
      </w:r>
    </w:p>
    <w:p>
      <w:pPr>
        <w:pStyle w:val="BodyText"/>
        <w:spacing w:line="240" w:lineRule="auto" w:before="124"/>
        <w:ind w:left="1554"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10"/>
        <w:ind w:left="1553"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09"/>
        <w:ind w:left="1553"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9"/>
        <w:ind w:left="1553"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28" w:lineRule="auto" w:before="110"/>
        <w:ind w:left="1554" w:right="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1"/>
        </w:rPr>
        <w:t>公司向共同经营投出或出售资产等（该资产构成业务的除外），在该资产等由共同经营出售给第三方</w:t>
      </w:r>
    </w:p>
    <w:p>
      <w:pPr>
        <w:pStyle w:val="BodyText"/>
        <w:spacing w:line="350" w:lineRule="auto" w:before="47"/>
        <w:ind w:left="1134" w:right="0"/>
        <w:jc w:val="left"/>
      </w:pPr>
      <w:r>
        <w:rPr>
          <w:spacing w:val="-1"/>
        </w:rPr>
        <w:t>之前，仅确认因该交易产生的损益中归属于共同经营其他参与方的部分。投出或出售的资产发生符合《企</w:t>
      </w:r>
      <w:r>
        <w:rPr>
          <w:spacing w:val="-83"/>
        </w:rPr>
        <w:t> </w:t>
      </w:r>
      <w:r>
        <w:rPr>
          <w:spacing w:val="-83"/>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资产减值》等规定的资产减值损失的，公司全额确认该损失。</w:t>
      </w:r>
    </w:p>
    <w:p>
      <w:pPr>
        <w:pStyle w:val="BodyText"/>
        <w:spacing w:line="340" w:lineRule="auto" w:before="2"/>
        <w:ind w:right="0" w:firstLine="420"/>
        <w:jc w:val="left"/>
      </w:pPr>
      <w:r>
        <w:rPr>
          <w:spacing w:val="-1"/>
        </w:rPr>
        <w:t>公司自共同经营购买资产等（该资产构成业务的除外），在将该资产等出售给第三方之前，仅确认因</w:t>
      </w:r>
      <w:r>
        <w:rPr/>
        <w:t> 该交易产生的损益中归属于共同经营其他参与方的部分。购入的资产发生符合《企业会计准则第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 </w:t>
      </w:r>
      <w:r>
        <w:rPr/>
        <w:t>资产减值》等规定的资产减值损失的，公司按承担的份额确认该部分损失。</w:t>
      </w:r>
    </w:p>
    <w:p>
      <w:pPr>
        <w:pStyle w:val="BodyText"/>
        <w:spacing w:line="348" w:lineRule="auto" w:before="36"/>
        <w:ind w:right="1093" w:firstLine="420"/>
        <w:jc w:val="left"/>
      </w:pPr>
      <w:r>
        <w:rPr/>
        <w:t>公司对共同经营不享有共同控制，如果公司享有该共同经营相关资产且承担该共同经营相关负债的， 仍按上述原则进行会计处理，否则，应当按照相关企业会计准则的规定进行会计处理。</w:t>
      </w:r>
    </w:p>
    <w:p>
      <w:pPr>
        <w:spacing w:line="240" w:lineRule="auto" w:before="7"/>
        <w:rPr>
          <w:rFonts w:ascii="宋体" w:hAnsi="宋体" w:cs="宋体" w:eastAsia="宋体" w:hint="default"/>
          <w:sz w:val="18"/>
          <w:szCs w:val="18"/>
        </w:rPr>
      </w:pPr>
    </w:p>
    <w:p>
      <w:pPr>
        <w:pStyle w:val="Heading3"/>
        <w:spacing w:line="240" w:lineRule="auto"/>
        <w:ind w:left="1133" w:right="0"/>
        <w:jc w:val="left"/>
        <w:rPr>
          <w:b w:val="0"/>
          <w:bCs w:val="0"/>
        </w:rPr>
      </w:pPr>
      <w:bookmarkStart w:name="8、现金及现金等价物的确定标准" w:id="184"/>
      <w:bookmarkEnd w:id="18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1553" w:right="0"/>
        <w:jc w:val="left"/>
      </w:pPr>
      <w:r>
        <w:rPr/>
        <w:t>在编制现金流量表时，将公司库存现金以及可以随时用于支付的存款确认为现金。将同时具备期限短</w:t>
      </w:r>
    </w:p>
    <w:p>
      <w:pPr>
        <w:pStyle w:val="BodyText"/>
        <w:spacing w:line="348" w:lineRule="auto" w:before="124"/>
        <w:ind w:right="0"/>
        <w:jc w:val="left"/>
      </w:pPr>
      <w:r>
        <w:rPr>
          <w:spacing w:val="-1"/>
        </w:rPr>
        <w:t>（一般从购买日起三个月内到期）、流动性强、易于转换为已知金额的现金、价值变动风险很小四个条件</w:t>
      </w:r>
      <w:r>
        <w:rPr>
          <w:spacing w:val="-86"/>
        </w:rPr>
        <w:t> </w:t>
      </w:r>
      <w:r>
        <w:rPr>
          <w:spacing w:val="-86"/>
        </w:rPr>
      </w:r>
      <w:r>
        <w:rPr/>
        <w:t>的投资，确定为现金等价物。</w:t>
      </w:r>
    </w:p>
    <w:p>
      <w:pPr>
        <w:spacing w:line="240" w:lineRule="auto" w:before="7"/>
        <w:rPr>
          <w:rFonts w:ascii="宋体" w:hAnsi="宋体" w:cs="宋体" w:eastAsia="宋体" w:hint="default"/>
          <w:sz w:val="18"/>
          <w:szCs w:val="18"/>
        </w:rPr>
      </w:pPr>
    </w:p>
    <w:p>
      <w:pPr>
        <w:pStyle w:val="Heading3"/>
        <w:spacing w:line="240" w:lineRule="auto"/>
        <w:ind w:left="1133" w:right="0"/>
        <w:jc w:val="left"/>
        <w:rPr>
          <w:b w:val="0"/>
          <w:bCs w:val="0"/>
        </w:rPr>
      </w:pPr>
      <w:bookmarkStart w:name="9、外币业务和外币报表折算" w:id="185"/>
      <w:bookmarkEnd w:id="18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left="1553" w:right="1118" w:firstLine="2"/>
        <w:jc w:val="left"/>
      </w:pP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 </w:t>
      </w:r>
      <w:r>
        <w:rPr>
          <w:spacing w:val="-1"/>
        </w:rPr>
        <w:t>资产负债表日，外币货币性项目按资产负债表日即期汇率折算，由此产生的汇兑差额，除属于与购建</w:t>
      </w:r>
    </w:p>
    <w:p>
      <w:pPr>
        <w:pStyle w:val="BodyText"/>
        <w:spacing w:line="240" w:lineRule="auto" w:before="31"/>
        <w:ind w:right="0"/>
        <w:jc w:val="left"/>
      </w:pPr>
      <w:r>
        <w:rPr/>
        <w:t>符合资本化条件的资产相关的外币专门借款产生的汇兑差额按照借款费用资本化的原则处理外，均计入当</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131"/>
        <w:jc w:val="both"/>
      </w:pPr>
      <w:r>
        <w:rPr>
          <w:spacing w:val="-1"/>
        </w:rPr>
        <w:t>期损益。以历史成本计量的外币非货币性项目，仍采用交易发生日的即期汇率折算，不改变其记账本位币</w:t>
      </w:r>
      <w:r>
        <w:rPr>
          <w:spacing w:val="-83"/>
        </w:rPr>
        <w:t> </w:t>
      </w:r>
      <w:r>
        <w:rPr>
          <w:spacing w:val="-83"/>
        </w:rPr>
      </w:r>
      <w:r>
        <w:rPr/>
        <w:t>金额。</w:t>
      </w:r>
    </w:p>
    <w:p>
      <w:pPr>
        <w:pStyle w:val="BodyText"/>
        <w:spacing w:line="348" w:lineRule="auto" w:before="31"/>
        <w:ind w:right="1131" w:firstLine="420"/>
        <w:jc w:val="both"/>
      </w:pPr>
      <w:r>
        <w:rPr>
          <w:spacing w:val="-1"/>
        </w:rPr>
        <w:t>以公允价值计量的外币非货币性项目，采用公允价值确定日的即期汇率折算，由此产生的汇兑差额作</w:t>
      </w:r>
      <w:r>
        <w:rPr/>
        <w:t> </w:t>
      </w:r>
      <w:r>
        <w:rPr>
          <w:spacing w:val="-1"/>
        </w:rPr>
        <w:t>为公允价值变动损益计入当期损益。如属于可供出售外币非货币性项目的，形成的汇兑差额计入其他综合</w:t>
      </w:r>
      <w:r>
        <w:rPr>
          <w:spacing w:val="-81"/>
        </w:rPr>
        <w:t> </w:t>
      </w:r>
      <w:r>
        <w:rPr>
          <w:spacing w:val="-81"/>
        </w:rPr>
      </w:r>
      <w:r>
        <w:rPr/>
        <w:t>收益。</w:t>
      </w:r>
    </w:p>
    <w:p>
      <w:pPr>
        <w:spacing w:line="328" w:lineRule="auto" w:before="31"/>
        <w:ind w:left="1553" w:right="121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331" w:lineRule="auto" w:before="23"/>
        <w:ind w:right="1226"/>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 汇率折算。按照上述折算产生的外币财务报表折算差额计入其他综合收益。</w:t>
      </w:r>
    </w:p>
    <w:p>
      <w:pPr>
        <w:pStyle w:val="BodyText"/>
        <w:spacing w:line="350" w:lineRule="auto" w:before="45"/>
        <w:ind w:right="1131" w:firstLine="420"/>
        <w:jc w:val="both"/>
      </w:pPr>
      <w:r>
        <w:rPr>
          <w:spacing w:val="-1"/>
        </w:rPr>
        <w:t>处置境外经营时，将资产负债表中其他综合收益项目中列示的、与该境外经营相关的外币财务报表折</w:t>
      </w:r>
      <w:r>
        <w:rPr/>
        <w:t> </w:t>
      </w:r>
      <w:r>
        <w:rPr>
          <w:spacing w:val="-1"/>
        </w:rPr>
        <w:t>算差额，自其他综合收益项目转入处置当期损益；在处置部分股权投资或其他原因导致持有境外经营权益</w:t>
      </w:r>
      <w:r>
        <w:rPr>
          <w:spacing w:val="-81"/>
        </w:rPr>
        <w:t> </w:t>
      </w:r>
      <w:r>
        <w:rPr>
          <w:spacing w:val="-81"/>
        </w:rPr>
      </w:r>
      <w:r>
        <w:rPr>
          <w:spacing w:val="-1"/>
        </w:rPr>
        <w:t>比例降低但不丧失对境外经营控制权时，与该境外经营处置部分相关的外币报表折算差额将归属于少数股</w:t>
      </w:r>
      <w:r>
        <w:rPr>
          <w:spacing w:val="-81"/>
        </w:rPr>
        <w:t> </w:t>
      </w:r>
      <w:r>
        <w:rPr>
          <w:spacing w:val="-81"/>
        </w:rPr>
      </w:r>
      <w:r>
        <w:rPr>
          <w:spacing w:val="-1"/>
        </w:rPr>
        <w:t>东权益，不转入当期损益。在处置境外经营为联营企业或合营企业的部分股权时，与该境外经营相关的外</w:t>
      </w:r>
      <w:r>
        <w:rPr>
          <w:spacing w:val="-83"/>
        </w:rPr>
        <w:t> </w:t>
      </w:r>
      <w:r>
        <w:rPr>
          <w:spacing w:val="-83"/>
        </w:rPr>
      </w:r>
      <w:r>
        <w:rPr/>
        <w:t>币报表折算差额，按处置该境外经营的比例转入处置当期损益。</w:t>
      </w:r>
    </w:p>
    <w:p>
      <w:pPr>
        <w:spacing w:line="240" w:lineRule="auto" w:before="5"/>
        <w:rPr>
          <w:rFonts w:ascii="宋体" w:hAnsi="宋体" w:cs="宋体" w:eastAsia="宋体" w:hint="default"/>
          <w:sz w:val="18"/>
          <w:szCs w:val="18"/>
        </w:rPr>
      </w:pPr>
    </w:p>
    <w:p>
      <w:pPr>
        <w:pStyle w:val="Heading3"/>
        <w:spacing w:line="240" w:lineRule="auto"/>
        <w:ind w:left="1133" w:right="0"/>
        <w:jc w:val="left"/>
        <w:rPr>
          <w:b w:val="0"/>
          <w:bCs w:val="0"/>
        </w:rPr>
      </w:pPr>
      <w:bookmarkStart w:name="10、金融工具" w:id="186"/>
      <w:bookmarkEnd w:id="18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1554" w:right="0"/>
        <w:jc w:val="left"/>
      </w:pPr>
      <w:r>
        <w:rPr/>
        <w:t>金融工具包括金融资产、金融负债和权益工具。</w:t>
      </w:r>
    </w:p>
    <w:p>
      <w:pPr>
        <w:pStyle w:val="BodyText"/>
        <w:spacing w:line="328" w:lineRule="auto" w:before="125"/>
        <w:ind w:left="1554" w:right="0" w:firstLine="2"/>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公司根据所发行金融工具的合同条款及其所反映的经济实质而非仅以法律形式，结合取得持有金融资</w:t>
      </w:r>
    </w:p>
    <w:p>
      <w:pPr>
        <w:pStyle w:val="BodyText"/>
        <w:spacing w:line="348" w:lineRule="auto" w:before="48"/>
        <w:ind w:left="1134" w:right="1131"/>
        <w:jc w:val="both"/>
      </w:pPr>
      <w:r>
        <w:rPr>
          <w:spacing w:val="-1"/>
        </w:rPr>
        <w:t>产和承担金融负债的目的，在初始确认时将金融资产和金融负债分为不同类别：以公允价值计量且其变动</w:t>
      </w:r>
      <w:r>
        <w:rPr>
          <w:spacing w:val="-81"/>
        </w:rPr>
        <w:t> </w:t>
      </w:r>
      <w:r>
        <w:rPr>
          <w:spacing w:val="-81"/>
        </w:rPr>
      </w:r>
      <w:r>
        <w:rPr>
          <w:spacing w:val="-1"/>
        </w:rPr>
        <w:t>计入当期损益的金融资产（或金融负债）；持有至到期投资；应收款项；可供出售金融资产；其他金融负</w:t>
      </w:r>
      <w:r>
        <w:rPr>
          <w:spacing w:val="-83"/>
        </w:rPr>
        <w:t> </w:t>
      </w:r>
      <w:r>
        <w:rPr>
          <w:spacing w:val="-83"/>
        </w:rPr>
      </w:r>
      <w:r>
        <w:rPr/>
        <w:t>债等。</w:t>
      </w:r>
    </w:p>
    <w:p>
      <w:pPr>
        <w:pStyle w:val="Heading3"/>
        <w:spacing w:line="240" w:lineRule="auto" w:before="31"/>
        <w:ind w:left="1556"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28" w:lineRule="auto" w:before="109"/>
        <w:ind w:left="1553"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BodyText"/>
        <w:spacing w:line="348" w:lineRule="auto" w:before="48"/>
        <w:ind w:left="1553" w:right="3403" w:hanging="420"/>
        <w:jc w:val="left"/>
      </w:pPr>
      <w:r>
        <w:rPr/>
        <w:t>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28" w:lineRule="auto" w:before="5"/>
        <w:ind w:left="1134" w:right="1215" w:firstLine="420"/>
        <w:jc w:val="both"/>
      </w:pPr>
      <w:r>
        <w:rPr>
          <w:rFonts w:ascii="Times New Roman" w:hAnsi="Times New Roman" w:cs="Times New Roman" w:eastAsia="Times New Roman" w:hint="default"/>
        </w:rPr>
        <w:t>2</w:t>
      </w:r>
      <w:r>
        <w:rPr/>
        <w:t>）属于进行集中管理的可辨认金融工具组合的一部分，且有客观证据表明公司近期采用短期获利方 式对该组合进行管理；</w:t>
      </w:r>
    </w:p>
    <w:p>
      <w:pPr>
        <w:pStyle w:val="BodyText"/>
        <w:spacing w:line="340" w:lineRule="auto" w:before="47"/>
        <w:ind w:left="1134" w:right="1197" w:firstLine="420"/>
        <w:jc w:val="left"/>
      </w:pPr>
      <w:r>
        <w:rPr>
          <w:rFonts w:ascii="Times New Roman" w:hAnsi="Times New Roman" w:cs="Times New Roman" w:eastAsia="Times New Roman" w:hint="default"/>
        </w:rPr>
        <w:t>3</w:t>
      </w:r>
      <w:r>
        <w:rPr/>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BodyText"/>
        <w:spacing w:line="240" w:lineRule="auto" w:before="36"/>
        <w:ind w:left="1554" w:right="0"/>
        <w:jc w:val="left"/>
      </w:pPr>
      <w:r>
        <w:rPr/>
        <w:t>只有符合以下条件之一，金融资产或金融负债才可在初始计量时指定为以公允价值计量且其变动计入</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t>损益的金融资产或金融负债：</w:t>
      </w:r>
    </w:p>
    <w:p>
      <w:pPr>
        <w:pStyle w:val="BodyText"/>
        <w:spacing w:line="331" w:lineRule="auto" w:before="124"/>
        <w:ind w:right="1215" w:firstLine="42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 在确认或计量方面不一致的情况；</w:t>
      </w:r>
    </w:p>
    <w:p>
      <w:pPr>
        <w:pStyle w:val="BodyText"/>
        <w:spacing w:line="328" w:lineRule="auto" w:before="45"/>
        <w:ind w:right="1215" w:firstLine="420"/>
        <w:jc w:val="both"/>
      </w:pPr>
      <w:r>
        <w:rPr>
          <w:rFonts w:ascii="Times New Roman" w:hAnsi="Times New Roman" w:cs="Times New Roman" w:eastAsia="Times New Roman" w:hint="default"/>
        </w:rPr>
        <w:t>2</w:t>
      </w:r>
      <w:r>
        <w:rPr/>
        <w:t>）风险管理或投资策略的正式书面文件已载明，该金融资产组合、该金融负债组合、或该金融资产 和金融负债组合，以公允价值为基础进行管理、评价并向关键管理人员报告；</w:t>
      </w:r>
    </w:p>
    <w:p>
      <w:pPr>
        <w:pStyle w:val="BodyText"/>
        <w:spacing w:line="328" w:lineRule="auto" w:before="48"/>
        <w:ind w:right="1215" w:firstLine="42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 变，或所嵌入的衍生工具明显不应当从相关混合工具中分拆；</w:t>
      </w:r>
    </w:p>
    <w:p>
      <w:pPr>
        <w:pStyle w:val="BodyText"/>
        <w:spacing w:line="331" w:lineRule="auto" w:before="47"/>
        <w:ind w:right="1215" w:firstLine="420"/>
        <w:jc w:val="both"/>
      </w:pPr>
      <w:r>
        <w:rPr>
          <w:rFonts w:ascii="Times New Roman" w:hAnsi="Times New Roman" w:cs="Times New Roman" w:eastAsia="Times New Roman" w:hint="default"/>
        </w:rPr>
        <w:t>4</w:t>
      </w:r>
      <w:r>
        <w:rPr/>
        <w:t>）包含需要分拆但无法在取得时或后续的资产负债表日对其进行单独计量的嵌入衍生工具的混合工 具。</w:t>
      </w:r>
    </w:p>
    <w:p>
      <w:pPr>
        <w:pStyle w:val="BodyText"/>
        <w:spacing w:line="350" w:lineRule="auto" w:before="45"/>
        <w:ind w:left="1134" w:right="1131" w:firstLine="420"/>
        <w:jc w:val="both"/>
      </w:pPr>
      <w:r>
        <w:rPr>
          <w:spacing w:val="-1"/>
        </w:rPr>
        <w:t>公司对以公允价值计量且其变动计入当期损益的金融资产或金融负债，在取得时以公允价值（扣除已</w:t>
      </w:r>
      <w:r>
        <w:rPr/>
        <w:t> </w:t>
      </w:r>
      <w:r>
        <w:rPr>
          <w:spacing w:val="-1"/>
        </w:rPr>
        <w:t>宣告但尚未发放的现金股利或已到付息期但尚未领取的债券利息）作为初始确认金额，相关的交易费用计</w:t>
      </w:r>
      <w:r>
        <w:rPr>
          <w:spacing w:val="-81"/>
        </w:rPr>
        <w:t> </w:t>
      </w:r>
      <w:r>
        <w:rPr>
          <w:spacing w:val="-81"/>
        </w:rPr>
      </w:r>
      <w:r>
        <w:rPr>
          <w:spacing w:val="-1"/>
        </w:rPr>
        <w:t>入当期损益。持有期间将取得的利息或现金股利确认为投资收益，期末将公允价值变动计入当期损益。处</w:t>
      </w:r>
      <w:r>
        <w:rPr>
          <w:spacing w:val="-83"/>
        </w:rPr>
        <w:t> </w:t>
      </w:r>
      <w:r>
        <w:rPr>
          <w:spacing w:val="-83"/>
        </w:rPr>
      </w:r>
      <w:r>
        <w:rPr/>
        <w:t>置时，其公允价值与初始入账金额之间的差额确认为投资收益，同时调整公允价值变动损益。</w:t>
      </w:r>
    </w:p>
    <w:p>
      <w:pPr>
        <w:pStyle w:val="BodyText"/>
        <w:spacing w:line="331" w:lineRule="auto" w:before="28"/>
        <w:ind w:left="1553" w:right="2773"/>
        <w:jc w:val="left"/>
      </w:pPr>
      <w:r>
        <w:rPr/>
        <w:t>（</w:t>
      </w: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BodyText"/>
        <w:spacing w:line="350" w:lineRule="auto" w:before="45"/>
        <w:ind w:right="1131" w:firstLine="420"/>
        <w:jc w:val="both"/>
      </w:pPr>
      <w:r>
        <w:rPr>
          <w:spacing w:val="-1"/>
        </w:rPr>
        <w:t>公司对外销售商品或提供劳务形成的应收债权，以及公司持有的其他企业的债权（不包括在活跃市场</w:t>
      </w:r>
      <w:r>
        <w:rPr/>
        <w:t> </w:t>
      </w:r>
      <w:r>
        <w:rPr>
          <w:spacing w:val="-1"/>
        </w:rPr>
        <w:t>上有报价的债务工具），包括应收账款、其他应收款、应收票据、预付账款等，以向购货方应收的合同或</w:t>
      </w:r>
      <w:r>
        <w:rPr>
          <w:spacing w:val="-83"/>
        </w:rPr>
        <w:t> </w:t>
      </w:r>
      <w:r>
        <w:rPr>
          <w:spacing w:val="-83"/>
        </w:rPr>
      </w:r>
      <w:r>
        <w:rPr/>
        <w:t>协议价款作为初始确认金额；具有融资性质的，按其现值进行初始确认。</w:t>
      </w:r>
    </w:p>
    <w:p>
      <w:pPr>
        <w:pStyle w:val="BodyText"/>
        <w:spacing w:line="240" w:lineRule="auto" w:before="28"/>
        <w:ind w:left="1553" w:right="0"/>
        <w:jc w:val="left"/>
      </w:pPr>
      <w:r>
        <w:rPr/>
        <w:t>收回或处置时，将取得的价款与该应收款项账面价值之间的差额计入当期损益。</w:t>
      </w:r>
    </w:p>
    <w:p>
      <w:pPr>
        <w:pStyle w:val="BodyText"/>
        <w:spacing w:line="331" w:lineRule="auto" w:before="124"/>
        <w:ind w:left="1553" w:right="0"/>
        <w:jc w:val="left"/>
      </w:pPr>
      <w:r>
        <w:rPr/>
        <w:t>（</w:t>
      </w:r>
      <w:r>
        <w:rPr>
          <w:rFonts w:ascii="Times New Roman" w:hAnsi="Times New Roman" w:cs="Times New Roman" w:eastAsia="Times New Roman" w:hint="default"/>
        </w:rPr>
        <w:t>3</w:t>
      </w:r>
      <w:r>
        <w:rPr/>
        <w:t>）持有至到期投资 </w:t>
      </w:r>
      <w:r>
        <w:rPr>
          <w:spacing w:val="-1"/>
        </w:rPr>
        <w:t>持有至到期投资是指到期日固定、回收金额固定或可确定，且公司有明确意图和能力持有至到期的非</w:t>
      </w:r>
    </w:p>
    <w:p>
      <w:pPr>
        <w:pStyle w:val="BodyText"/>
        <w:spacing w:line="348" w:lineRule="auto" w:before="45"/>
        <w:ind w:left="1553" w:right="1118" w:hanging="420"/>
        <w:jc w:val="left"/>
      </w:pPr>
      <w:r>
        <w:rPr/>
        <w:t>衍生金融资产。 </w:t>
      </w:r>
      <w:r>
        <w:rPr>
          <w:spacing w:val="-1"/>
        </w:rPr>
        <w:t>公司对持有至到期投资，在取得时按公允价值（扣除已到付息期但尚未领取的债券利息）和相关交易</w:t>
      </w:r>
    </w:p>
    <w:p>
      <w:pPr>
        <w:pStyle w:val="BodyText"/>
        <w:spacing w:line="348" w:lineRule="auto" w:before="31"/>
        <w:ind w:right="1131"/>
        <w:jc w:val="both"/>
      </w:pPr>
      <w:r>
        <w:rPr>
          <w:spacing w:val="-1"/>
        </w:rPr>
        <w:t>费用之和作为初始确认金额。持有期间按照摊余成本和实际利率计算确认利息收入，计入投资收益。实际</w:t>
      </w:r>
      <w:r>
        <w:rPr>
          <w:spacing w:val="-83"/>
        </w:rPr>
        <w:t> </w:t>
      </w:r>
      <w:r>
        <w:rPr>
          <w:spacing w:val="-83"/>
        </w:rPr>
      </w:r>
      <w:r>
        <w:rPr>
          <w:spacing w:val="-1"/>
        </w:rPr>
        <w:t>利率在取得时确定，在该预期存续期间或适用的更短期间内保持不变。处置时，将所取得价款与该投资账</w:t>
      </w:r>
      <w:r>
        <w:rPr>
          <w:spacing w:val="-83"/>
        </w:rPr>
        <w:t> </w:t>
      </w:r>
      <w:r>
        <w:rPr>
          <w:spacing w:val="-83"/>
        </w:rPr>
      </w:r>
      <w:r>
        <w:rPr/>
        <w:t>面价值之间的差额计入投资收益。</w:t>
      </w:r>
    </w:p>
    <w:p>
      <w:pPr>
        <w:pStyle w:val="BodyText"/>
        <w:spacing w:line="350" w:lineRule="auto" w:before="31"/>
        <w:ind w:right="0" w:firstLine="420"/>
        <w:jc w:val="left"/>
      </w:pPr>
      <w:r>
        <w:rPr>
          <w:spacing w:val="-1"/>
        </w:rPr>
        <w:t>如果持有至到期投资处置或重分类为其他类金融资产的金额，相对于公司全部持有至到期投资在出售</w:t>
      </w:r>
      <w:r>
        <w:rPr/>
        <w:t> 或重分类前的总额较大，在处置或重分类后应立即将其剩余的持有至到期投资重分类为可供出售金融资 </w:t>
      </w:r>
      <w:r>
        <w:rPr>
          <w:spacing w:val="-1"/>
        </w:rPr>
        <w:t>产；重分类日，该投资的账面价值与其公允价值之间的差额计入其他综合收益，在该可供出售金融资产发</w:t>
      </w:r>
      <w:r>
        <w:rPr>
          <w:spacing w:val="-83"/>
        </w:rPr>
        <w:t> </w:t>
      </w:r>
      <w:r>
        <w:rPr>
          <w:spacing w:val="-83"/>
        </w:rPr>
      </w:r>
      <w:r>
        <w:rPr/>
        <w:t>生减值或终止确认时转出，计入当期损益。但是，遇到下列情况可以除外：</w:t>
      </w:r>
    </w:p>
    <w:p>
      <w:pPr>
        <w:pStyle w:val="BodyText"/>
        <w:spacing w:line="331" w:lineRule="auto" w:before="28"/>
        <w:ind w:right="1130" w:firstLine="420"/>
        <w:jc w:val="both"/>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，且市场利率变化对该项</w:t>
      </w:r>
      <w:r>
        <w:rPr/>
        <w:t> 投资的公允价值没有显著影响。</w:t>
      </w:r>
    </w:p>
    <w:p>
      <w:pPr>
        <w:pStyle w:val="BodyText"/>
        <w:spacing w:line="240" w:lineRule="auto" w:before="46"/>
        <w:ind w:left="1554"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109"/>
        <w:ind w:left="1553"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left="1553" w:right="0"/>
        <w:jc w:val="left"/>
      </w:pPr>
      <w:r>
        <w:rPr/>
        <w:t>（</w:t>
      </w:r>
      <w:r>
        <w:rPr>
          <w:rFonts w:ascii="Times New Roman" w:hAnsi="Times New Roman" w:cs="Times New Roman" w:eastAsia="Times New Roman" w:hint="default"/>
        </w:rPr>
        <w:t>4</w:t>
      </w:r>
      <w:r>
        <w:rPr/>
        <w:t>）可供出售金融资产 </w:t>
      </w:r>
      <w:r>
        <w:rPr>
          <w:spacing w:val="-1"/>
        </w:rPr>
        <w:t>可供出售金融资产，是指初始确认时即指定为可供出售的非衍生金融资产，以及除其他金融资产类别</w:t>
      </w:r>
    </w:p>
    <w:p>
      <w:pPr>
        <w:pStyle w:val="BodyText"/>
        <w:spacing w:line="350" w:lineRule="auto" w:before="48"/>
        <w:ind w:left="1553" w:right="0" w:hanging="420"/>
        <w:jc w:val="left"/>
      </w:pPr>
      <w:r>
        <w:rPr/>
        <w:t>以外的金融资产。 </w:t>
      </w:r>
      <w:r>
        <w:rPr>
          <w:spacing w:val="-1"/>
        </w:rPr>
        <w:t>公司对可供出售金融资产，在取得时按公允价值（扣除已宣告但尚未发放的现金股利或已到付息期但</w:t>
      </w:r>
    </w:p>
    <w:p>
      <w:pPr>
        <w:pStyle w:val="BodyText"/>
        <w:spacing w:line="350" w:lineRule="auto" w:before="28"/>
        <w:ind w:right="1130"/>
        <w:jc w:val="both"/>
      </w:pPr>
      <w:r>
        <w:rPr>
          <w:spacing w:val="-1"/>
        </w:rPr>
        <w:t>尚未领取的债券利息）和相关交易费用之和作为初始确认金额。持有期间将取得的利息或现金股利确认为</w:t>
      </w:r>
      <w:r>
        <w:rPr>
          <w:spacing w:val="-81"/>
        </w:rPr>
        <w:t> </w:t>
      </w:r>
      <w:r>
        <w:rPr>
          <w:spacing w:val="-81"/>
        </w:rPr>
      </w:r>
      <w:r>
        <w:rPr>
          <w:spacing w:val="-1"/>
        </w:rPr>
        <w:t>投资收益。可供出售金融资产的公允价值变动形成的利得或损失，除减值损失和外币货币性金融资产形成</w:t>
      </w:r>
      <w:r>
        <w:rPr>
          <w:spacing w:val="-81"/>
        </w:rPr>
        <w:t> </w:t>
      </w:r>
      <w:r>
        <w:rPr>
          <w:spacing w:val="-81"/>
        </w:rPr>
      </w:r>
      <w:r>
        <w:rPr>
          <w:spacing w:val="-1"/>
        </w:rPr>
        <w:t>的汇兑差额外，直接计入其他综合收益。处置可供出售金融资产时，将取得的价款与该金融资产账面价值</w:t>
      </w:r>
      <w:r>
        <w:rPr>
          <w:spacing w:val="-83"/>
        </w:rPr>
        <w:t> </w:t>
      </w:r>
      <w:r>
        <w:rPr>
          <w:spacing w:val="-83"/>
        </w:rPr>
      </w:r>
      <w:r>
        <w:rPr>
          <w:spacing w:val="-1"/>
        </w:rPr>
        <w:t>之间的差额，计入投资损益；同时，将原直接计入其他综合收益的公允价值变动累计额对应处置部分的金</w:t>
      </w:r>
      <w:r>
        <w:rPr>
          <w:spacing w:val="-82"/>
        </w:rPr>
        <w:t> </w:t>
      </w:r>
      <w:r>
        <w:rPr>
          <w:spacing w:val="-82"/>
        </w:rPr>
      </w:r>
      <w:r>
        <w:rPr/>
        <w:t>额转出，计入投资损益。</w:t>
      </w:r>
    </w:p>
    <w:p>
      <w:pPr>
        <w:pStyle w:val="BodyText"/>
        <w:spacing w:line="348" w:lineRule="auto" w:before="28"/>
        <w:ind w:right="0" w:firstLine="420"/>
        <w:jc w:val="left"/>
      </w:pPr>
      <w:r>
        <w:rPr>
          <w:spacing w:val="-1"/>
        </w:rPr>
        <w:t>公司对在活跃市场中没有报价且其公允价值不能可靠计量的权益工具投资，以及与该权益工具挂钩并</w:t>
      </w:r>
      <w:r>
        <w:rPr/>
        <w:t> 须通过交付该权益工具结算的衍生金融资产，按照成本计量。</w:t>
      </w:r>
    </w:p>
    <w:p>
      <w:pPr>
        <w:pStyle w:val="BodyText"/>
        <w:spacing w:line="336" w:lineRule="auto" w:before="31"/>
        <w:ind w:left="1553" w:right="1118"/>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1"/>
        </w:rPr>
        <w:t>公司发生金融资产转移时，如已将金融资产所有权上几乎所有的风险和报酬转移给转入方，则终止确</w:t>
      </w:r>
    </w:p>
    <w:p>
      <w:pPr>
        <w:pStyle w:val="BodyText"/>
        <w:spacing w:line="348" w:lineRule="auto" w:before="40"/>
        <w:ind w:left="1553" w:right="0"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348" w:lineRule="auto" w:before="32"/>
        <w:ind w:right="1131"/>
        <w:jc w:val="both"/>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30"/>
        <w:ind w:left="1553" w:right="0"/>
        <w:jc w:val="left"/>
      </w:pPr>
      <w:r>
        <w:rPr/>
        <w:t>（</w:t>
      </w:r>
      <w:r>
        <w:rPr>
          <w:rFonts w:ascii="Times New Roman" w:hAnsi="Times New Roman" w:cs="Times New Roman" w:eastAsia="Times New Roman" w:hint="default"/>
        </w:rPr>
        <w:t>1</w:t>
      </w:r>
      <w:r>
        <w:rPr/>
        <w:t>）所转移金融资产的账面价值；</w:t>
      </w:r>
    </w:p>
    <w:p>
      <w:pPr>
        <w:pStyle w:val="BodyText"/>
        <w:spacing w:line="328" w:lineRule="auto" w:before="110"/>
        <w:ind w:right="1198"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350" w:lineRule="auto" w:before="47"/>
        <w:ind w:right="0"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28"/>
        <w:ind w:left="1553" w:right="0"/>
        <w:jc w:val="left"/>
      </w:pPr>
      <w:r>
        <w:rPr/>
        <w:t>（</w:t>
      </w:r>
      <w:r>
        <w:rPr>
          <w:rFonts w:ascii="Times New Roman" w:hAnsi="Times New Roman" w:cs="Times New Roman" w:eastAsia="Times New Roman" w:hint="default"/>
        </w:rPr>
        <w:t>1</w:t>
      </w:r>
      <w:r>
        <w:rPr/>
        <w:t>）终止确认部分的账面价值；</w:t>
      </w:r>
    </w:p>
    <w:p>
      <w:pPr>
        <w:pStyle w:val="BodyText"/>
        <w:spacing w:line="331" w:lineRule="auto" w:before="109"/>
        <w:ind w:right="1198"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340" w:lineRule="auto" w:before="45"/>
        <w:ind w:left="1553" w:right="0"/>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金融负债的现时义务全部或部分已经解除的，则终止确认该金融负债或其一部分；公司若与债权人签</w:t>
      </w:r>
    </w:p>
    <w:p>
      <w:pPr>
        <w:pStyle w:val="BodyText"/>
        <w:spacing w:line="350" w:lineRule="auto" w:before="36"/>
        <w:ind w:right="1131"/>
        <w:jc w:val="both"/>
      </w:pPr>
      <w:r>
        <w:rPr>
          <w:spacing w:val="-1"/>
        </w:rPr>
        <w:t>定协议，以承担新金融负债方式替换现存金融负债，且新金融负债与现存金融负债的合同条款实质上不同</w:t>
      </w:r>
      <w:r>
        <w:rPr>
          <w:spacing w:val="-81"/>
        </w:rPr>
        <w:t> </w:t>
      </w:r>
      <w:r>
        <w:rPr>
          <w:spacing w:val="-81"/>
        </w:rPr>
      </w:r>
      <w:r>
        <w:rPr/>
        <w:t>的，则终止确认现存金融负债，并同时确认新金融负债。</w:t>
      </w:r>
    </w:p>
    <w:p>
      <w:pPr>
        <w:pStyle w:val="BodyText"/>
        <w:spacing w:line="348" w:lineRule="auto" w:before="29"/>
        <w:ind w:left="1134" w:right="0" w:firstLine="420"/>
        <w:jc w:val="left"/>
      </w:pPr>
      <w:r>
        <w:rPr>
          <w:spacing w:val="-1"/>
        </w:rPr>
        <w:t>对现存金融负债全部或部分合同条款作出实质性修改的，则终止确认现存金融负债或其一部分，同时</w:t>
      </w:r>
      <w:r>
        <w:rPr/>
        <w:t> 将修改条款后的金融负债确认为一项新金融负债。</w:t>
      </w:r>
    </w:p>
    <w:p>
      <w:pPr>
        <w:spacing w:after="0" w:line="34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0" w:firstLine="420"/>
        <w:jc w:val="left"/>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348" w:lineRule="auto" w:before="31"/>
        <w:ind w:right="1131" w:firstLine="420"/>
        <w:jc w:val="both"/>
      </w:pPr>
      <w:r>
        <w:rPr>
          <w:spacing w:val="-1"/>
        </w:rPr>
        <w:t>公司若回购部分金融负债的，在回购日按照继续确认部分与终止确认部分的相对公允价值，将该金融</w:t>
      </w:r>
      <w:r>
        <w:rPr/>
        <w:t> </w:t>
      </w:r>
      <w:r>
        <w:rPr>
          <w:spacing w:val="-1"/>
        </w:rPr>
        <w:t>负债整体的账面价值进行分配。分配给终止确认部分的账面价值与支付的对价（包括转出的非现金资产或</w:t>
      </w:r>
      <w:r>
        <w:rPr>
          <w:spacing w:val="-81"/>
        </w:rPr>
        <w:t> </w:t>
      </w:r>
      <w:r>
        <w:rPr>
          <w:spacing w:val="-81"/>
        </w:rPr>
      </w:r>
      <w:r>
        <w:rPr/>
        <w:t>承担的新金融负债）之间的差额，计入当期损益。</w:t>
      </w:r>
    </w:p>
    <w:p>
      <w:pPr>
        <w:spacing w:line="328" w:lineRule="auto" w:before="31"/>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存在活跃市场的金融资产或金融负债，以活跃市场的报价确定其公允价值；活跃市场的报价包括易于</w:t>
      </w:r>
    </w:p>
    <w:p>
      <w:pPr>
        <w:pStyle w:val="BodyText"/>
        <w:spacing w:line="350" w:lineRule="auto" w:before="47"/>
        <w:ind w:right="1133"/>
        <w:jc w:val="both"/>
      </w:pPr>
      <w:r>
        <w:rPr>
          <w:spacing w:val="-1"/>
        </w:rPr>
        <w:t>且可定期从交易所、交易商、经纪人、行业集团、定价机构或监管机构等获得相关资产或负债的报价，且</w:t>
      </w:r>
      <w:r>
        <w:rPr>
          <w:spacing w:val="-83"/>
        </w:rPr>
        <w:t> </w:t>
      </w:r>
      <w:r>
        <w:rPr>
          <w:spacing w:val="-83"/>
        </w:rPr>
      </w:r>
      <w:r>
        <w:rPr/>
        <w:t>能代表在公平交易基础上实际并经常发生的市场交易。</w:t>
      </w:r>
    </w:p>
    <w:p>
      <w:pPr>
        <w:pStyle w:val="BodyText"/>
        <w:spacing w:line="348" w:lineRule="auto" w:before="28"/>
        <w:ind w:left="1553" w:right="0"/>
        <w:jc w:val="left"/>
      </w:pPr>
      <w:r>
        <w:rPr/>
        <w:t>初始取得或衍生的金融资产或承担的金融负债，以市场交易价格作为确定其公允价值的基础。 </w:t>
      </w:r>
      <w:r>
        <w:rPr>
          <w:spacing w:val="-1"/>
        </w:rPr>
        <w:t>不存在活跃市场的金融资产或金融负债，采用估值技术确定其公允价值。在估值时，公司采用在当前</w:t>
      </w:r>
    </w:p>
    <w:p>
      <w:pPr>
        <w:pStyle w:val="BodyText"/>
        <w:spacing w:line="348" w:lineRule="auto" w:before="31"/>
        <w:ind w:right="1130"/>
        <w:jc w:val="both"/>
      </w:pPr>
      <w:r>
        <w:rPr>
          <w:spacing w:val="-1"/>
        </w:rPr>
        <w:t>情况下适用并且有足够可利用数据和其他信息支持的估值技术，选择与市场参与者在相关资产或负债的交</w:t>
      </w:r>
      <w:r>
        <w:rPr>
          <w:spacing w:val="-80"/>
        </w:rPr>
        <w:t> </w:t>
      </w:r>
      <w:r>
        <w:rPr>
          <w:spacing w:val="-80"/>
        </w:rPr>
      </w:r>
      <w:r>
        <w:rPr>
          <w:spacing w:val="-1"/>
        </w:rPr>
        <w:t>易中所考虑的资产或负债特征相一致的输入值，并尽可能优先使用相关可观察输入值。在相关可观察输入</w:t>
      </w:r>
      <w:r>
        <w:rPr>
          <w:spacing w:val="-81"/>
        </w:rPr>
        <w:t> </w:t>
      </w:r>
      <w:r>
        <w:rPr>
          <w:spacing w:val="-81"/>
        </w:rPr>
      </w:r>
      <w:r>
        <w:rPr/>
        <w:t>值无法取得或取得不切实可行的情况下，使用不可观察输入值。</w:t>
      </w:r>
    </w:p>
    <w:p>
      <w:pPr>
        <w:spacing w:line="328" w:lineRule="auto" w:before="31"/>
        <w:ind w:left="1553" w:right="130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z w:val="21"/>
          <w:szCs w:val="21"/>
        </w:rPr>
        <w:t>资产负债表日对以公允价值计量且其变动计入当期损益的金融资产以外的金融资产的账面价值进行</w:t>
      </w:r>
    </w:p>
    <w:p>
      <w:pPr>
        <w:pStyle w:val="BodyText"/>
        <w:spacing w:line="350" w:lineRule="auto" w:before="47"/>
        <w:ind w:left="1553" w:right="4663" w:hanging="420"/>
        <w:jc w:val="left"/>
      </w:pPr>
      <w:r>
        <w:rPr/>
        <w:t>检查，如有客观证据表明该金融资产发生减值的，计提减值准备。 金融资产发生减值的客观证据，包括但不限于：</w:t>
      </w:r>
    </w:p>
    <w:p>
      <w:pPr>
        <w:pStyle w:val="BodyText"/>
        <w:spacing w:line="240" w:lineRule="auto" w:before="28"/>
        <w:ind w:left="1553"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109"/>
        <w:ind w:left="1553"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110"/>
        <w:ind w:left="1553"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109"/>
        <w:ind w:left="1554"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109"/>
        <w:ind w:left="1554"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43" w:lineRule="auto" w:before="110"/>
        <w:ind w:left="1134" w:right="1092" w:firstLine="420"/>
        <w:jc w:val="left"/>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 </w:t>
      </w:r>
      <w:r>
        <w:rPr>
          <w:spacing w:val="-1"/>
        </w:rPr>
        <w:t>体评价后发现，该组金融资产自初始确认以来的预计未来现金流量确已减少且可计量，如该组金融资产的</w:t>
      </w:r>
      <w:r>
        <w:rPr>
          <w:spacing w:val="-81"/>
        </w:rPr>
        <w:t> </w:t>
      </w:r>
      <w:r>
        <w:rPr>
          <w:spacing w:val="-81"/>
        </w:rPr>
      </w:r>
      <w:r>
        <w:rPr/>
        <w:t>债务人支付能力逐步恶化，或债务人所在国家或地区失业率提高、担保物在其所在地区的价格明显下降、 所处行业不景气等；</w:t>
      </w:r>
    </w:p>
    <w:p>
      <w:pPr>
        <w:pStyle w:val="BodyText"/>
        <w:spacing w:line="328" w:lineRule="auto" w:before="34"/>
        <w:ind w:left="1134" w:right="1197" w:firstLine="420"/>
        <w:jc w:val="left"/>
      </w:pPr>
      <w:r>
        <w:rPr/>
        <w:t>（</w:t>
      </w:r>
      <w:r>
        <w:rPr>
          <w:rFonts w:ascii="Times New Roman" w:hAnsi="Times New Roman" w:cs="Times New Roman" w:eastAsia="Times New Roman" w:hint="default"/>
        </w:rPr>
        <w:t>7</w:t>
      </w:r>
      <w:r>
        <w:rPr/>
        <w:t>）权益工具发行方经营所处的技术、市场、经济或法律环境等发生重大不利变化，使权益工具投 资人可能无法收回投资成本；</w:t>
      </w:r>
    </w:p>
    <w:p>
      <w:pPr>
        <w:pStyle w:val="BodyText"/>
        <w:spacing w:line="328" w:lineRule="auto" w:before="48"/>
        <w:ind w:left="1554" w:right="4977"/>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31" w:lineRule="auto" w:before="47"/>
        <w:ind w:left="1554" w:right="0"/>
        <w:jc w:val="left"/>
      </w:pPr>
      <w:r>
        <w:rPr/>
        <w:t>（</w:t>
      </w:r>
      <w:r>
        <w:rPr>
          <w:rFonts w:ascii="Times New Roman" w:hAnsi="Times New Roman" w:cs="Times New Roman" w:eastAsia="Times New Roman" w:hint="default"/>
        </w:rPr>
        <w:t>1</w:t>
      </w:r>
      <w:r>
        <w:rPr/>
        <w:t>）可供出售金融资产减值准备 </w:t>
      </w:r>
      <w:r>
        <w:rPr>
          <w:spacing w:val="-1"/>
        </w:rPr>
        <w:t>公司于资产负债表日对各项可供出售权益工具投资单独进行检查，若该权益工具投资于资产负债表日</w:t>
      </w:r>
    </w:p>
    <w:p>
      <w:pPr>
        <w:pStyle w:val="BodyText"/>
        <w:spacing w:line="240" w:lineRule="auto" w:before="45"/>
        <w:ind w:left="1134" w:right="0"/>
        <w:jc w:val="both"/>
      </w:pPr>
      <w:r>
        <w:rPr/>
        <w:t>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）或低于其成本持续时间超过一年（含一年）的，则表明其发生</w:t>
      </w:r>
    </w:p>
    <w:p>
      <w:pPr>
        <w:spacing w:after="0" w:line="240"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left="1134" w:right="1197"/>
        <w:jc w:val="left"/>
      </w:pPr>
      <w:r>
        <w:rPr/>
        <w:t>减值；若该权益工具投资于资产负债表日的公允价值低于其成本超过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 公司会综合考虑其他相关因素诸如价格波动率等，判断该权益工具投资是否发生减值。</w:t>
      </w:r>
    </w:p>
    <w:p>
      <w:pPr>
        <w:pStyle w:val="BodyText"/>
        <w:spacing w:line="350" w:lineRule="auto" w:before="48"/>
        <w:ind w:left="1134" w:right="1131" w:firstLine="420"/>
        <w:jc w:val="both"/>
      </w:pPr>
      <w:r>
        <w:rPr>
          <w:spacing w:val="-1"/>
        </w:rPr>
        <w:t>上段所述成本按照可供出售权益工具投资的初始取得成本扣除已收回本金和已摊销金额、原已计入损</w:t>
      </w:r>
      <w:r>
        <w:rPr/>
        <w:t> </w:t>
      </w:r>
      <w:r>
        <w:rPr>
          <w:spacing w:val="-1"/>
        </w:rPr>
        <w:t>益的减值损失确定；不存在活跃市场的可供出售权益工具投资的公允价值，按照类似金融资产当时市场收</w:t>
      </w:r>
      <w:r>
        <w:rPr>
          <w:spacing w:val="-81"/>
        </w:rPr>
        <w:t> </w:t>
      </w:r>
      <w:r>
        <w:rPr>
          <w:spacing w:val="-81"/>
        </w:rPr>
      </w:r>
      <w:r>
        <w:rPr>
          <w:spacing w:val="-1"/>
        </w:rPr>
        <w:t>益率对未来现金流量折现确定的现值确定；在活跃市场有报价的可供出售权益工具投资的公允价值根据证</w:t>
      </w:r>
      <w:r>
        <w:rPr>
          <w:spacing w:val="-81"/>
        </w:rPr>
        <w:t> </w:t>
      </w:r>
      <w:r>
        <w:rPr>
          <w:spacing w:val="-81"/>
        </w:rPr>
      </w:r>
      <w:r>
        <w:rPr>
          <w:spacing w:val="-1"/>
        </w:rPr>
        <w:t>券交易所期末收盘价确定，除非该项可供出售权益工具投资存在限售期。对于存在限售期的可供出售权益</w:t>
      </w:r>
      <w:r>
        <w:rPr>
          <w:spacing w:val="-81"/>
        </w:rPr>
        <w:t> </w:t>
      </w:r>
      <w:r>
        <w:rPr>
          <w:spacing w:val="-81"/>
        </w:rPr>
      </w:r>
      <w:r>
        <w:rPr>
          <w:spacing w:val="-1"/>
        </w:rPr>
        <w:t>工具投资，按照证券交易所期末收盘价扣除市场参与者因承担指定期间内无法在公开市场上出售该权益工</w:t>
      </w:r>
      <w:r>
        <w:rPr>
          <w:spacing w:val="-81"/>
        </w:rPr>
        <w:t> </w:t>
      </w:r>
      <w:r>
        <w:rPr>
          <w:spacing w:val="-81"/>
        </w:rPr>
      </w:r>
      <w:r>
        <w:rPr/>
        <w:t>具的风险而要求获得的补偿金额后确定。</w:t>
      </w:r>
    </w:p>
    <w:p>
      <w:pPr>
        <w:pStyle w:val="BodyText"/>
        <w:spacing w:line="350" w:lineRule="auto" w:before="29"/>
        <w:ind w:left="1134" w:right="1118" w:firstLine="420"/>
        <w:jc w:val="left"/>
      </w:pPr>
      <w:r>
        <w:rPr>
          <w:spacing w:val="-1"/>
        </w:rPr>
        <w:t>可供出售金融资产发生减值时，即使该金融资产没有终止确认，公司将原直接计入其他综合收益的因</w:t>
      </w:r>
      <w:r>
        <w:rPr/>
        <w:t> </w:t>
      </w:r>
      <w:r>
        <w:rPr>
          <w:spacing w:val="-1"/>
        </w:rPr>
        <w:t>公允价值下降形成的累计损失从其他综合收益转出，计入当期损益。该转出的累计损失，等于可供出售金</w:t>
      </w:r>
      <w:r>
        <w:rPr>
          <w:spacing w:val="-83"/>
        </w:rPr>
        <w:t> </w:t>
      </w:r>
      <w:r>
        <w:rPr>
          <w:spacing w:val="-83"/>
        </w:rPr>
      </w:r>
      <w:r>
        <w:rPr/>
        <w:t>融资产的初始取得成本扣除已收回本金和已摊余金额、当前公允价值和原已计入损益的减值损失后的余 额。</w:t>
      </w:r>
    </w:p>
    <w:p>
      <w:pPr>
        <w:pStyle w:val="BodyText"/>
        <w:spacing w:line="350" w:lineRule="auto" w:before="28"/>
        <w:ind w:left="1134" w:right="1131"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r>
        <w:rPr>
          <w:spacing w:val="-81"/>
        </w:rPr>
        <w:t> </w:t>
      </w:r>
      <w:r>
        <w:rPr>
          <w:spacing w:val="-81"/>
        </w:rPr>
      </w: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BodyText"/>
        <w:spacing w:line="328" w:lineRule="auto" w:before="29"/>
        <w:ind w:left="1554" w:right="0"/>
        <w:jc w:val="left"/>
      </w:pPr>
      <w:r>
        <w:rPr/>
        <w:t>（</w:t>
      </w:r>
      <w:r>
        <w:rPr>
          <w:rFonts w:ascii="Times New Roman" w:hAnsi="Times New Roman" w:cs="Times New Roman" w:eastAsia="Times New Roman" w:hint="default"/>
        </w:rPr>
        <w:t>2</w:t>
      </w:r>
      <w:r>
        <w:rPr/>
        <w:t>）持有至到期投资减值准备 </w:t>
      </w:r>
      <w:r>
        <w:rPr>
          <w:spacing w:val="-1"/>
        </w:rPr>
        <w:t>对于持有至到期投资，有客观证据表明其发生了减值的，根据其账面价值与预计未来现金流量现值之</w:t>
      </w:r>
    </w:p>
    <w:p>
      <w:pPr>
        <w:pStyle w:val="BodyText"/>
        <w:spacing w:line="350" w:lineRule="auto" w:before="47"/>
        <w:ind w:left="1134" w:right="0"/>
        <w:jc w:val="left"/>
      </w:pPr>
      <w:r>
        <w:rPr>
          <w:spacing w:val="-1"/>
        </w:rPr>
        <w:t>间差额计算确认减值损失；计提后如有证据表明其价值已恢复，原确认的减值损失可予以转回，记入当期</w:t>
      </w:r>
      <w:r>
        <w:rPr>
          <w:spacing w:val="-83"/>
        </w:rPr>
        <w:t> </w:t>
      </w:r>
      <w:r>
        <w:rPr>
          <w:spacing w:val="-83"/>
        </w:rPr>
      </w:r>
      <w:r>
        <w:rPr/>
        <w:t>损益，但该转回的账面价值不超过假定不计提减值准备情况下该金融资产在转回日的摊余成本。</w:t>
      </w:r>
    </w:p>
    <w:p>
      <w:pPr>
        <w:spacing w:line="328" w:lineRule="auto" w:before="28"/>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金融资产和金融负债在资产负债表内分别列示，没有相互抵销。但是，同时满足下列条件的，以相互</w:t>
      </w:r>
    </w:p>
    <w:p>
      <w:pPr>
        <w:pStyle w:val="BodyText"/>
        <w:spacing w:line="240" w:lineRule="auto" w:before="48"/>
        <w:ind w:left="1134" w:right="0"/>
        <w:jc w:val="left"/>
      </w:pPr>
      <w:r>
        <w:rPr/>
        <w:t>抵销后的净额在资产负债表内列示：</w:t>
      </w:r>
    </w:p>
    <w:p>
      <w:pPr>
        <w:pStyle w:val="BodyText"/>
        <w:spacing w:line="240" w:lineRule="auto" w:before="124"/>
        <w:ind w:left="1554" w:right="0"/>
        <w:jc w:val="left"/>
      </w:pPr>
      <w:r>
        <w:rPr/>
        <w:t>（</w:t>
      </w:r>
      <w:r>
        <w:rPr>
          <w:rFonts w:ascii="Times New Roman" w:hAnsi="Times New Roman" w:cs="Times New Roman" w:eastAsia="Times New Roman" w:hint="default"/>
        </w:rPr>
        <w:t>1</w:t>
      </w:r>
      <w:r>
        <w:rPr/>
        <w:t>）公司具有抵销已确认金额的法定权利，且该种法定权利是当前可执行的；</w:t>
      </w:r>
    </w:p>
    <w:p>
      <w:pPr>
        <w:pStyle w:val="BodyText"/>
        <w:spacing w:line="240" w:lineRule="auto" w:before="109"/>
        <w:ind w:left="1554" w:right="0"/>
        <w:jc w:val="left"/>
      </w:pPr>
      <w:r>
        <w:rPr/>
        <w:t>（</w:t>
      </w:r>
      <w:r>
        <w:rPr>
          <w:rFonts w:ascii="Times New Roman" w:hAnsi="Times New Roman" w:cs="Times New Roman" w:eastAsia="Times New Roman" w:hint="default"/>
        </w:rPr>
        <w:t>2</w:t>
      </w:r>
      <w:r>
        <w:rPr/>
        <w:t>）公司计划以净额结算，或同时变现该金融资产和清偿该金融负债。</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11、应收款项" w:id="187"/>
      <w:bookmarkEnd w:id="18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8"/>
      <w:bookmarkEnd w:id="18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单项金额重大的应收款项是指单项金额超过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的应收账款和单项金额超过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元的其他应收款。</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after="0" w:line="316"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b/>
          <w:bCs/>
          <w:sz w:val="20"/>
          <w:szCs w:val="20"/>
        </w:rPr>
      </w:pPr>
    </w:p>
    <w:p>
      <w:pPr>
        <w:pStyle w:val="Heading3"/>
        <w:spacing w:line="240" w:lineRule="auto" w:before="35"/>
        <w:ind w:left="1133" w:right="0"/>
        <w:jc w:val="left"/>
        <w:rPr>
          <w:b w:val="0"/>
          <w:bCs w:val="0"/>
        </w:rPr>
      </w:pPr>
      <w:bookmarkStart w:name="（2）按信用风险特征组合计提坏账准备的应收款项" w:id="189"/>
      <w:bookmarkEnd w:id="18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1"/>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低风险组合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90"/>
      <w:bookmarkEnd w:id="19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存在客观证据表明公司将无法按应收款项的原有条款收回款 项，如客户公司财务状况恶化、涉及诉讼且金额不属于重大 的应收款项。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对应收票据、预付款项、应收利息、长期应收款等其他应收 款项，根据其未来现金流量现值低于其账面价值的差额计提 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91"/>
      <w:bookmarkEnd w:id="191"/>
      <w:r>
        <w:rPr>
          <w:b w:val="0"/>
          <w:bCs w:val="0"/>
        </w:rPr>
      </w: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left="1553" w:right="0" w:firstLine="2"/>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存货是指公司在日常活动中持有以备出售的产成品或商品、处在生产过程中的在产品、在生产过程或</w:t>
      </w:r>
    </w:p>
    <w:p>
      <w:pPr>
        <w:pStyle w:val="BodyText"/>
        <w:spacing w:line="240" w:lineRule="auto" w:before="45"/>
        <w:ind w:right="0"/>
        <w:jc w:val="left"/>
      </w:pPr>
      <w:r>
        <w:rPr/>
        <w:t>提供劳务过程中耗用的材料和物料等。主要包括原材料、在产品、库存商品、发出商品等。</w:t>
      </w:r>
    </w:p>
    <w:p>
      <w:pPr>
        <w:pStyle w:val="Heading3"/>
        <w:spacing w:line="240" w:lineRule="auto" w:before="124"/>
        <w:ind w:left="1556" w:right="0"/>
        <w:jc w:val="left"/>
        <w:rPr>
          <w:b w:val="0"/>
          <w:bCs w:val="0"/>
        </w:rPr>
      </w:pPr>
      <w:r>
        <w:rPr>
          <w:rFonts w:ascii="Times New Roman" w:hAnsi="Times New Roman" w:cs="Times New Roman" w:eastAsia="Times New Roman" w:hint="default"/>
        </w:rPr>
        <w:t>2.</w:t>
      </w:r>
      <w:r>
        <w:rPr/>
        <w:t>存货的计价方法</w:t>
      </w:r>
      <w:r>
        <w:rPr>
          <w:b w:val="0"/>
          <w:bCs w:val="0"/>
        </w:rPr>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b/>
          <w:bCs/>
          <w:sz w:val="27"/>
          <w:szCs w:val="27"/>
        </w:rPr>
      </w:pPr>
    </w:p>
    <w:p>
      <w:pPr>
        <w:pStyle w:val="BodyText"/>
        <w:spacing w:line="348" w:lineRule="auto" w:before="35"/>
        <w:ind w:right="0" w:firstLine="420"/>
        <w:jc w:val="left"/>
      </w:pPr>
      <w:r>
        <w:rPr>
          <w:spacing w:val="-1"/>
        </w:rPr>
        <w:t>存货在取得时，按成本进行初始计量，包括采购成本、加工成本和其他成本。存货发出时按月末一次</w:t>
      </w:r>
      <w:r>
        <w:rPr/>
        <w:t> 加权平均法计价。</w:t>
      </w:r>
    </w:p>
    <w:p>
      <w:pPr>
        <w:spacing w:line="331" w:lineRule="auto" w:before="31"/>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期末对存货进行全面清查后，按存货的成本与可变现净值孰低提取或调整存货跌价准备。产成品、库</w:t>
      </w:r>
    </w:p>
    <w:p>
      <w:pPr>
        <w:pStyle w:val="BodyText"/>
        <w:spacing w:line="350" w:lineRule="auto" w:before="45"/>
        <w:ind w:right="1131"/>
        <w:jc w:val="both"/>
      </w:pPr>
      <w:r>
        <w:rPr>
          <w:spacing w:val="-1"/>
        </w:rPr>
        <w:t>存商品和用于出售的材料等直接用于出售的商品存货，在正常生产经营过程中，以该存货的估计售价减去</w:t>
      </w:r>
      <w:r>
        <w:rPr>
          <w:spacing w:val="-81"/>
        </w:rPr>
        <w:t> </w:t>
      </w:r>
      <w:r>
        <w:rPr>
          <w:spacing w:val="-81"/>
        </w:rPr>
      </w:r>
      <w:r>
        <w:rPr>
          <w:spacing w:val="-1"/>
        </w:rPr>
        <w:t>估计的销售费用和相关税费后的金额，确定其可变现净值；需要经过加工的材料存货，在正常生产经营过</w:t>
      </w:r>
      <w:r>
        <w:rPr>
          <w:spacing w:val="-83"/>
        </w:rPr>
        <w:t> </w:t>
      </w:r>
      <w:r>
        <w:rPr>
          <w:spacing w:val="-83"/>
        </w:rPr>
      </w:r>
      <w:r>
        <w:rPr>
          <w:spacing w:val="-1"/>
        </w:rPr>
        <w:t>程中，以所生产的产成品的估计售价减去至完工时估计将要发生的成本、估计的销售费用和相关税费后的</w:t>
      </w:r>
      <w:r>
        <w:rPr>
          <w:spacing w:val="-81"/>
        </w:rPr>
        <w:t> </w:t>
      </w:r>
      <w:r>
        <w:rPr>
          <w:spacing w:val="-81"/>
        </w:rPr>
      </w:r>
      <w:r>
        <w:rPr>
          <w:spacing w:val="-1"/>
        </w:rPr>
        <w:t>金额，确定其可变现净值；为执行销售合同或者劳务合同而持有的存货，其可变现净值以合同价格为基础</w:t>
      </w:r>
      <w:r>
        <w:rPr>
          <w:spacing w:val="-83"/>
        </w:rPr>
        <w:t> </w:t>
      </w:r>
      <w:r>
        <w:rPr>
          <w:spacing w:val="-83"/>
        </w:rPr>
      </w:r>
      <w:r>
        <w:rPr>
          <w:spacing w:val="-1"/>
        </w:rPr>
        <w:t>计算，若持有存货的数量多于销售合同订购数量的，超出部分的存货的可变现净值以一般销售价格为基础</w:t>
      </w:r>
      <w:r>
        <w:rPr>
          <w:spacing w:val="-81"/>
        </w:rPr>
        <w:t> </w:t>
      </w:r>
      <w:r>
        <w:rPr>
          <w:spacing w:val="-81"/>
        </w:rPr>
      </w:r>
      <w:r>
        <w:rPr/>
        <w:t>计算。</w:t>
      </w:r>
    </w:p>
    <w:p>
      <w:pPr>
        <w:pStyle w:val="BodyText"/>
        <w:spacing w:line="350" w:lineRule="auto" w:before="28"/>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350" w:lineRule="auto" w:before="28"/>
        <w:ind w:right="0" w:firstLine="420"/>
        <w:jc w:val="left"/>
      </w:pPr>
      <w:r>
        <w:rPr>
          <w:spacing w:val="-1"/>
        </w:rPr>
        <w:t>以前减记存货价值的影响因素已经消失的，减记的金额予以恢复，并在原已计提的存货跌价准备金额</w:t>
      </w:r>
      <w:r>
        <w:rPr/>
        <w:t> 内转回，转回的金额计入当期损益。</w:t>
      </w:r>
    </w:p>
    <w:p>
      <w:pPr>
        <w:pStyle w:val="BodyText"/>
        <w:spacing w:line="328" w:lineRule="auto" w:before="28"/>
        <w:ind w:left="1553" w:right="1040" w:firstLine="2"/>
        <w:jc w:val="left"/>
      </w:pPr>
      <w:r>
        <w:rPr>
          <w:rFonts w:ascii="Times New Roman" w:hAnsi="Times New Roman" w:cs="Times New Roman" w:eastAsia="Times New Roman" w:hint="default"/>
          <w:b/>
          <w:bCs/>
        </w:rPr>
        <w:t>4.</w:t>
      </w:r>
      <w:r>
        <w:rPr>
          <w:rFonts w:ascii="宋体" w:hAnsi="宋体" w:cs="宋体" w:eastAsia="宋体" w:hint="default"/>
          <w:b/>
          <w:bCs/>
        </w:rPr>
        <w:t>存货的盘存制度</w:t>
      </w:r>
      <w:r>
        <w:rPr>
          <w:rFonts w:ascii="宋体" w:hAnsi="宋体" w:cs="宋体" w:eastAsia="宋体" w:hint="default"/>
          <w:b/>
          <w:bCs/>
          <w:spacing w:val="1"/>
          <w:w w:val="99"/>
        </w:rPr>
        <w:t> </w:t>
      </w:r>
      <w:r>
        <w:rPr/>
        <w:t>采用永续盘存制，并且定期对存货进行盘点</w:t>
      </w:r>
      <w:r>
        <w:rPr>
          <w:rFonts w:ascii="Times New Roman" w:hAnsi="Times New Roman" w:cs="Times New Roman" w:eastAsia="Times New Roman" w:hint="default"/>
        </w:rPr>
        <w:t>,</w:t>
      </w:r>
      <w:r>
        <w:rPr/>
        <w:t>盘点结果如与账面记录不符，根据管理权限报经批准后，</w:t>
      </w:r>
    </w:p>
    <w:p>
      <w:pPr>
        <w:pStyle w:val="BodyText"/>
        <w:spacing w:line="240" w:lineRule="auto" w:before="24"/>
        <w:ind w:right="0"/>
        <w:jc w:val="left"/>
      </w:pPr>
      <w:r>
        <w:rPr/>
        <w:t>在年终结账前处理完毕，计入当期损益。</w:t>
      </w:r>
    </w:p>
    <w:p>
      <w:pPr>
        <w:pStyle w:val="Heading3"/>
        <w:spacing w:line="240" w:lineRule="auto" w:before="124"/>
        <w:ind w:left="1556" w:right="0"/>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109"/>
        <w:ind w:left="1553"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10"/>
        <w:ind w:left="1553" w:right="0"/>
        <w:jc w:val="left"/>
      </w:pPr>
      <w:r>
        <w:rPr/>
        <w:t>（</w:t>
      </w:r>
      <w:r>
        <w:rPr>
          <w:rFonts w:ascii="Times New Roman" w:hAnsi="Times New Roman" w:cs="Times New Roman" w:eastAsia="Times New Roman" w:hint="default"/>
        </w:rPr>
        <w:t>2</w:t>
      </w:r>
      <w:r>
        <w:rPr/>
        <w:t>）包装物采用一次转销法。</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bookmarkStart w:name="13、长期股权投资" w:id="192"/>
      <w:bookmarkEnd w:id="192"/>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6"/>
        <w:rPr>
          <w:rFonts w:ascii="宋体" w:hAnsi="宋体" w:cs="宋体" w:eastAsia="宋体" w:hint="default"/>
          <w:b/>
          <w:bCs/>
          <w:sz w:val="31"/>
          <w:szCs w:val="31"/>
        </w:rPr>
      </w:pPr>
    </w:p>
    <w:p>
      <w:pPr>
        <w:pStyle w:val="Heading3"/>
        <w:spacing w:line="240" w:lineRule="auto"/>
        <w:ind w:left="1556" w:right="0"/>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31" w:lineRule="auto" w:before="109"/>
        <w:ind w:right="0" w:firstLine="420"/>
        <w:jc w:val="left"/>
      </w:pPr>
      <w:r>
        <w:rPr>
          <w:spacing w:val="-1"/>
        </w:rPr>
        <w:t>（</w:t>
      </w:r>
      <w:r>
        <w:rPr>
          <w:rFonts w:ascii="Times New Roman" w:hAnsi="Times New Roman" w:cs="Times New Roman" w:eastAsia="Times New Roman" w:hint="default"/>
          <w:spacing w:val="-1"/>
        </w:rPr>
        <w:t>1</w:t>
      </w:r>
      <w:r>
        <w:rPr>
          <w:spacing w:val="-1"/>
        </w:rPr>
        <w:t>）企业合并形成的长期股权投资，具体会计政策详见本附注五</w:t>
      </w:r>
      <w:r>
        <w:rPr>
          <w:rFonts w:ascii="Times New Roman" w:hAnsi="Times New Roman" w:cs="Times New Roman" w:eastAsia="Times New Roman" w:hint="default"/>
          <w:spacing w:val="-1"/>
        </w:rPr>
        <w:t>5</w:t>
      </w:r>
      <w:r>
        <w:rPr>
          <w:spacing w:val="-1"/>
        </w:rPr>
        <w:t>、同一控制下和非同一控制下企业</w:t>
      </w:r>
      <w:r>
        <w:rPr/>
        <w:t> 合并的会计处理方法。</w:t>
      </w:r>
    </w:p>
    <w:p>
      <w:pPr>
        <w:pStyle w:val="BodyText"/>
        <w:spacing w:line="328" w:lineRule="auto" w:before="45"/>
        <w:ind w:left="1553" w:right="0"/>
        <w:jc w:val="left"/>
      </w:pPr>
      <w:r>
        <w:rPr/>
        <w:t>（</w:t>
      </w:r>
      <w:r>
        <w:rPr>
          <w:rFonts w:ascii="Times New Roman" w:hAnsi="Times New Roman" w:cs="Times New Roman" w:eastAsia="Times New Roman" w:hint="default"/>
        </w:rPr>
        <w:t>2</w:t>
      </w:r>
      <w:r>
        <w:rPr/>
        <w:t>）其他方式取得的长期股权投资 </w:t>
      </w:r>
      <w:r>
        <w:rPr>
          <w:spacing w:val="-1"/>
        </w:rPr>
        <w:t>以支付现金方式取得的长期股权投资，按照实际支付的购买价款作为初始投资成本。初始投资成本包</w:t>
      </w:r>
    </w:p>
    <w:p>
      <w:pPr>
        <w:pStyle w:val="BodyText"/>
        <w:spacing w:line="348" w:lineRule="auto" w:before="48"/>
        <w:ind w:left="1553" w:right="0" w:hanging="420"/>
        <w:jc w:val="left"/>
      </w:pPr>
      <w:r>
        <w:rPr/>
        <w:t>括与取得长期股权投资直接相关的费用、税金及其他必要支出。 </w:t>
      </w:r>
      <w:r>
        <w:rPr>
          <w:spacing w:val="-1"/>
        </w:rPr>
        <w:t>以发行权益性证券取得的长期股权投资，按照发行权益性证券的公允价值作为初始投资成本；发行或</w:t>
      </w:r>
    </w:p>
    <w:p>
      <w:pPr>
        <w:pStyle w:val="BodyText"/>
        <w:spacing w:line="350" w:lineRule="auto" w:before="30"/>
        <w:ind w:left="1553" w:right="0" w:hanging="420"/>
        <w:jc w:val="left"/>
      </w:pPr>
      <w:r>
        <w:rPr/>
        <w:t>取得自身权益工具时发生的交易费用，可直接归属于权益性交易的从权益中扣减。 </w:t>
      </w:r>
      <w:r>
        <w:rPr>
          <w:spacing w:val="-1"/>
        </w:rPr>
        <w:t>在非货币性资产交换具备商业实质和换入资产或换出资产的公允价值能够可靠计量的前提下，非货币</w:t>
      </w:r>
    </w:p>
    <w:p>
      <w:pPr>
        <w:pStyle w:val="BodyText"/>
        <w:spacing w:line="348" w:lineRule="auto" w:before="28"/>
        <w:ind w:right="1131"/>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p>
    <w:p>
      <w:pPr>
        <w:spacing w:after="0" w:line="348"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50" w:lineRule="auto" w:before="35"/>
        <w:ind w:left="1553" w:right="2983" w:hanging="420"/>
        <w:jc w:val="left"/>
        <w:rPr>
          <w:rFonts w:ascii="宋体" w:hAnsi="宋体" w:cs="宋体" w:eastAsia="宋体" w:hint="default"/>
        </w:rPr>
      </w:pPr>
      <w:r>
        <w:rPr/>
        <w:t>相关税费作为换入长期股权投资的初始投资成本。 通过债务重组取得的长期股权投资，其初始投资成本按照公允价值为基础确定。 </w:t>
      </w:r>
      <w:r>
        <w:rPr>
          <w:rFonts w:ascii="Times New Roman" w:hAnsi="Times New Roman" w:cs="Times New Roman" w:eastAsia="Times New Roman" w:hint="default"/>
          <w:b/>
          <w:bCs/>
        </w:rPr>
        <w:t>2.</w:t>
      </w:r>
      <w:r>
        <w:rPr>
          <w:rFonts w:ascii="宋体" w:hAnsi="宋体" w:cs="宋体" w:eastAsia="宋体" w:hint="default"/>
          <w:b/>
          <w:bCs/>
        </w:rPr>
        <w:t>后续计量及损益确认</w:t>
      </w:r>
      <w:r>
        <w:rPr>
          <w:rFonts w:ascii="宋体" w:hAnsi="宋体" w:cs="宋体" w:eastAsia="宋体" w:hint="default"/>
        </w:rPr>
      </w:r>
    </w:p>
    <w:p>
      <w:pPr>
        <w:pStyle w:val="BodyText"/>
        <w:spacing w:line="328" w:lineRule="auto" w:before="2"/>
        <w:ind w:left="1553" w:right="1118"/>
        <w:jc w:val="left"/>
      </w:pPr>
      <w:r>
        <w:rPr/>
        <w:t>（</w:t>
      </w:r>
      <w:r>
        <w:rPr>
          <w:rFonts w:ascii="Times New Roman" w:hAnsi="Times New Roman" w:cs="Times New Roman" w:eastAsia="Times New Roman" w:hint="default"/>
        </w:rPr>
        <w:t>1</w:t>
      </w:r>
      <w:r>
        <w:rPr/>
        <w:t>）成本法 </w:t>
      </w:r>
      <w:r>
        <w:rPr>
          <w:spacing w:val="-1"/>
        </w:rPr>
        <w:t>公司能够对被投资单位实施控制的长期股权投资采用成本法核算，并按照初始投资成本计价，追加或</w:t>
      </w:r>
    </w:p>
    <w:p>
      <w:pPr>
        <w:pStyle w:val="BodyText"/>
        <w:spacing w:line="348" w:lineRule="auto" w:before="48"/>
        <w:ind w:left="1553" w:right="0" w:hanging="420"/>
        <w:jc w:val="left"/>
      </w:pPr>
      <w:r>
        <w:rPr/>
        <w:t>收回投资调整长期股权投资的成本。 </w:t>
      </w:r>
      <w:r>
        <w:rPr>
          <w:spacing w:val="-1"/>
        </w:rPr>
        <w:t>除取得投资时实际支付的价款或对价中包含的已宣告但尚未发放的现金股利或利润外，公司按照享有</w:t>
      </w:r>
    </w:p>
    <w:p>
      <w:pPr>
        <w:pStyle w:val="BodyText"/>
        <w:spacing w:line="240" w:lineRule="auto" w:before="30"/>
        <w:ind w:right="0"/>
        <w:jc w:val="left"/>
      </w:pPr>
      <w:r>
        <w:rPr/>
        <w:t>被投资单位宣告分派的现金股利或利润确认为当期投资收益。</w:t>
      </w:r>
    </w:p>
    <w:p>
      <w:pPr>
        <w:pStyle w:val="BodyText"/>
        <w:spacing w:line="328" w:lineRule="auto" w:before="126"/>
        <w:ind w:left="1553" w:right="1118"/>
        <w:jc w:val="left"/>
      </w:pPr>
      <w:r>
        <w:rPr/>
        <w:t>（</w:t>
      </w:r>
      <w:r>
        <w:rPr>
          <w:rFonts w:ascii="Times New Roman" w:hAnsi="Times New Roman" w:cs="Times New Roman" w:eastAsia="Times New Roman" w:hint="default"/>
        </w:rPr>
        <w:t>2</w:t>
      </w:r>
      <w:r>
        <w:rPr/>
        <w:t>）权益法 </w:t>
      </w:r>
      <w:r>
        <w:rPr>
          <w:spacing w:val="-1"/>
        </w:rPr>
        <w:t>公司对联营企业和合营企业的长期股权投资采用权益法核算；对于其中一部分通过风险投资机构、共</w:t>
      </w:r>
    </w:p>
    <w:p>
      <w:pPr>
        <w:pStyle w:val="BodyText"/>
        <w:spacing w:line="350" w:lineRule="auto" w:before="47"/>
        <w:ind w:right="0"/>
        <w:jc w:val="left"/>
      </w:pPr>
      <w:r>
        <w:rPr>
          <w:spacing w:val="-1"/>
        </w:rPr>
        <w:t>同基金、信托公司或包括投连险基金在内的类似主体间接持有的联营企业的权益性投资，采用公允价值计</w:t>
      </w:r>
      <w:r>
        <w:rPr>
          <w:spacing w:val="-81"/>
        </w:rPr>
        <w:t> </w:t>
      </w:r>
      <w:r>
        <w:rPr>
          <w:spacing w:val="-81"/>
        </w:rPr>
      </w:r>
      <w:r>
        <w:rPr/>
        <w:t>量且其变动计入损益。</w:t>
      </w:r>
    </w:p>
    <w:p>
      <w:pPr>
        <w:pStyle w:val="BodyText"/>
        <w:spacing w:line="350" w:lineRule="auto" w:before="28"/>
        <w:ind w:right="1132" w:firstLine="420"/>
        <w:jc w:val="both"/>
      </w:pPr>
      <w:r>
        <w:rPr>
          <w:spacing w:val="-1"/>
        </w:rPr>
        <w:t>长期股权投资的初始投资成本大于投资时应享有被投资单位可辨认净资产公允价值份额的差额，不调</w:t>
      </w:r>
      <w:r>
        <w:rPr/>
        <w:t> </w:t>
      </w:r>
      <w:r>
        <w:rPr>
          <w:spacing w:val="-1"/>
        </w:rPr>
        <w:t>整长期股权投资的初始投资成本；初始投资成本小于投资时应享有被投资单位可辨认净资产公允价值份额</w:t>
      </w:r>
      <w:r>
        <w:rPr>
          <w:spacing w:val="-81"/>
        </w:rPr>
        <w:t> </w:t>
      </w:r>
      <w:r>
        <w:rPr>
          <w:spacing w:val="-81"/>
        </w:rPr>
      </w:r>
      <w:r>
        <w:rPr/>
        <w:t>的差额，计入当期损益。</w:t>
      </w:r>
    </w:p>
    <w:p>
      <w:pPr>
        <w:pStyle w:val="BodyText"/>
        <w:spacing w:line="350" w:lineRule="auto" w:before="28"/>
        <w:ind w:right="1110" w:firstLine="420"/>
        <w:jc w:val="both"/>
      </w:pPr>
      <w:r>
        <w:rPr/>
        <w:t>公司取得长期股权投资后，按照应享有或应分担的被投资单位实现的净损益和其他综合收益的份额， </w:t>
      </w:r>
      <w:r>
        <w:rPr>
          <w:spacing w:val="-1"/>
        </w:rPr>
        <w:t>分别确认投资收益和其他综合收益，同时调整长期股权投资的账面价值；并按照被投资单位宣告分派的利</w:t>
      </w:r>
      <w:r>
        <w:rPr>
          <w:spacing w:val="-81"/>
        </w:rPr>
        <w:t> </w:t>
      </w:r>
      <w:r>
        <w:rPr>
          <w:spacing w:val="-81"/>
        </w:rPr>
      </w:r>
      <w:r>
        <w:rPr>
          <w:spacing w:val="-1"/>
        </w:rPr>
        <w:t>润或现金股利计算应享有的部分，相应减少长期股权投资的账面价值；对于被投资单位除净损益、其他综</w:t>
      </w:r>
      <w:r>
        <w:rPr>
          <w:spacing w:val="-83"/>
        </w:rPr>
        <w:t> </w:t>
      </w:r>
      <w:r>
        <w:rPr>
          <w:spacing w:val="-83"/>
        </w:rPr>
      </w:r>
      <w:r>
        <w:rPr/>
        <w:t>合收益和利润分配以外所有者权益的其他变动，调整长期股权投资的账面价值并计入所有者权益。</w:t>
      </w:r>
    </w:p>
    <w:p>
      <w:pPr>
        <w:pStyle w:val="BodyText"/>
        <w:spacing w:line="350" w:lineRule="auto" w:before="28"/>
        <w:ind w:right="1131" w:firstLine="420"/>
        <w:jc w:val="both"/>
      </w:pPr>
      <w:r>
        <w:rPr>
          <w:spacing w:val="-1"/>
        </w:rPr>
        <w:t>公司在确认应享有被投资单位净损益的份额时，以取得投资时被投资单位各项可辨认资产等的公允价</w:t>
      </w:r>
      <w:r>
        <w:rPr/>
        <w:t> </w:t>
      </w:r>
      <w:r>
        <w:rPr>
          <w:spacing w:val="-1"/>
        </w:rPr>
        <w:t>值为基础，对被投资单位的净利润进行调整后确认。公司与联营企业、合营企业之间发生的未实现内部交</w:t>
      </w:r>
      <w:r>
        <w:rPr>
          <w:spacing w:val="-83"/>
        </w:rPr>
        <w:t> </w:t>
      </w:r>
      <w:r>
        <w:rPr>
          <w:spacing w:val="-83"/>
        </w:rPr>
      </w:r>
      <w:r>
        <w:rPr/>
        <w:t>易损益按照应享有的比例计算归属于公司的部分予以抵销，在此基础上确认投资损益。</w:t>
      </w:r>
    </w:p>
    <w:p>
      <w:pPr>
        <w:pStyle w:val="BodyText"/>
        <w:spacing w:line="350" w:lineRule="auto" w:before="28"/>
        <w:ind w:right="1131" w:firstLine="420"/>
        <w:jc w:val="both"/>
      </w:pPr>
      <w:r>
        <w:rPr>
          <w:spacing w:val="-1"/>
        </w:rPr>
        <w:t>公司确认应分担被投资单位发生的亏损时，按照以下顺序进行处理：首先，冲减长期股权投资的账面</w:t>
      </w:r>
      <w:r>
        <w:rPr/>
        <w:t> </w:t>
      </w:r>
      <w:r>
        <w:rPr>
          <w:spacing w:val="-1"/>
        </w:rPr>
        <w:t>价值。其次，长期股权投资的账面价值不足以冲减的，以其他实质上构成对被投资单位净投资的长期权益</w:t>
      </w:r>
      <w:r>
        <w:rPr>
          <w:spacing w:val="-83"/>
        </w:rPr>
        <w:t> </w:t>
      </w:r>
      <w:r>
        <w:rPr>
          <w:spacing w:val="-83"/>
        </w:rPr>
      </w:r>
      <w:r>
        <w:rPr>
          <w:spacing w:val="-1"/>
        </w:rPr>
        <w:t>账面价值为限继续确认投资损失，冲减长期应收项目等的账面价值。最后，经过上述处理，按照投资合同</w:t>
      </w:r>
      <w:r>
        <w:rPr>
          <w:spacing w:val="-86"/>
        </w:rPr>
        <w:t> </w:t>
      </w:r>
      <w:r>
        <w:rPr>
          <w:spacing w:val="-86"/>
        </w:rPr>
      </w:r>
      <w:r>
        <w:rPr/>
        <w:t>或协议约定企业仍承担额外义务的，按预计承担的义务确认预计负债，计入当期投资损失。</w:t>
      </w:r>
    </w:p>
    <w:p>
      <w:pPr>
        <w:pStyle w:val="BodyText"/>
        <w:spacing w:line="348" w:lineRule="auto" w:before="29"/>
        <w:ind w:right="1131" w:firstLine="420"/>
        <w:jc w:val="both"/>
      </w:pPr>
      <w:r>
        <w:rPr>
          <w:spacing w:val="-1"/>
        </w:rPr>
        <w:t>被投资单位以后期间实现盈利的，公司在扣除未确认的亏损分担额后，按与上述相反的顺序处理，减</w:t>
      </w:r>
      <w:r>
        <w:rPr/>
        <w:t> </w:t>
      </w:r>
      <w:r>
        <w:rPr>
          <w:spacing w:val="-1"/>
        </w:rPr>
        <w:t>记已确认预计负债的账面余额、恢复其他实质上构成对被投资单位净投资的长期权益及长期股权投资的账</w:t>
      </w:r>
      <w:r>
        <w:rPr>
          <w:spacing w:val="-81"/>
        </w:rPr>
        <w:t> </w:t>
      </w:r>
      <w:r>
        <w:rPr>
          <w:spacing w:val="-81"/>
        </w:rPr>
      </w:r>
      <w:r>
        <w:rPr/>
        <w:t>面价值后，恢复确认投资收益。</w:t>
      </w:r>
    </w:p>
    <w:p>
      <w:pPr>
        <w:pStyle w:val="Heading3"/>
        <w:spacing w:line="240" w:lineRule="auto" w:before="31"/>
        <w:ind w:left="1556" w:right="0"/>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31" w:lineRule="auto" w:before="109"/>
        <w:ind w:left="1553" w:right="0"/>
        <w:jc w:val="left"/>
      </w:pPr>
      <w:r>
        <w:rPr/>
        <w:t>（</w:t>
      </w:r>
      <w:r>
        <w:rPr>
          <w:rFonts w:ascii="Times New Roman" w:hAnsi="Times New Roman" w:cs="Times New Roman" w:eastAsia="Times New Roman" w:hint="default"/>
        </w:rPr>
        <w:t>1</w:t>
      </w:r>
      <w:r>
        <w:rPr/>
        <w:t>）公允价值计量转权益法核算 </w:t>
      </w:r>
      <w:r>
        <w:rPr>
          <w:spacing w:val="-1"/>
        </w:rPr>
        <w:t>公司原持有的对被投资单位不具有控制、共同控制或重大影响的按金融工具确认和计量准则进行会计</w:t>
      </w:r>
    </w:p>
    <w:p>
      <w:pPr>
        <w:pStyle w:val="BodyText"/>
        <w:spacing w:line="348" w:lineRule="auto" w:before="46"/>
        <w:ind w:right="1093"/>
        <w:jc w:val="left"/>
      </w:pPr>
      <w:r>
        <w:rPr/>
        <w:t>处理的权益性投资，因追加投资等原因能够对被投资单位施加重大影响或实施共同控制但不构成控制的， </w:t>
      </w:r>
      <w:r>
        <w:rPr>
          <w:spacing w:val="-1"/>
        </w:rPr>
        <w:t>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金融工具确认和计量》确定的原持有的股权投资的公允价值加上新增投资</w:t>
      </w:r>
    </w:p>
    <w:p>
      <w:pPr>
        <w:spacing w:after="0" w:line="34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left="1553" w:right="0" w:hanging="420"/>
        <w:jc w:val="left"/>
      </w:pPr>
      <w:r>
        <w:rPr/>
        <w:t>成本之和，作为改按权益法核算的初始投资成本。 </w:t>
      </w:r>
      <w:r>
        <w:rPr>
          <w:spacing w:val="-1"/>
        </w:rPr>
        <w:t>原持有的股权投资分类为可供出售金融资产的，其公允价值与账面价值之间的差额，以及原计入其他</w:t>
      </w:r>
    </w:p>
    <w:p>
      <w:pPr>
        <w:pStyle w:val="BodyText"/>
        <w:spacing w:line="350" w:lineRule="auto" w:before="31"/>
        <w:ind w:left="1553" w:right="1303" w:hanging="420"/>
        <w:jc w:val="left"/>
      </w:pPr>
      <w:r>
        <w:rPr/>
        <w:t>综合收益的累计公允价值变动转入改按权益法核算的当期损益。 按权益法核算的初始投资成本小于按照追加投资后全新的持股比例计算确定的应享有被投资单位在</w:t>
      </w:r>
    </w:p>
    <w:p>
      <w:pPr>
        <w:pStyle w:val="BodyText"/>
        <w:spacing w:line="350" w:lineRule="auto" w:before="28"/>
        <w:ind w:right="1131"/>
        <w:jc w:val="both"/>
      </w:pPr>
      <w:r>
        <w:rPr>
          <w:spacing w:val="-1"/>
        </w:rPr>
        <w:t>追加投资日可辨认净资产公允价值份额之间的差额，调整长期股权投资的账面价值，并计入当期营业外收</w:t>
      </w:r>
      <w:r>
        <w:rPr>
          <w:spacing w:val="-81"/>
        </w:rPr>
        <w:t> </w:t>
      </w:r>
      <w:r>
        <w:rPr>
          <w:spacing w:val="-81"/>
        </w:rPr>
      </w:r>
      <w:r>
        <w:rPr/>
        <w:t>入。</w:t>
      </w:r>
    </w:p>
    <w:p>
      <w:pPr>
        <w:pStyle w:val="BodyText"/>
        <w:spacing w:line="328" w:lineRule="auto" w:before="28"/>
        <w:ind w:left="1554" w:right="0"/>
        <w:jc w:val="left"/>
      </w:pPr>
      <w:r>
        <w:rPr/>
        <w:t>（</w:t>
      </w:r>
      <w:r>
        <w:rPr>
          <w:rFonts w:ascii="Times New Roman" w:hAnsi="Times New Roman" w:cs="Times New Roman" w:eastAsia="Times New Roman" w:hint="default"/>
        </w:rPr>
        <w:t>2</w:t>
      </w:r>
      <w:r>
        <w:rPr/>
        <w:t>）公允价值计量或权益法核算转成本法核算 </w:t>
      </w:r>
      <w:r>
        <w:rPr>
          <w:spacing w:val="-1"/>
        </w:rPr>
        <w:t>公司原持有的对被投资单位不具有控制、共同控制或重大影响的按金融工具确认和计量准则进行会计</w:t>
      </w:r>
    </w:p>
    <w:p>
      <w:pPr>
        <w:pStyle w:val="BodyText"/>
        <w:spacing w:line="348" w:lineRule="auto" w:before="48"/>
        <w:ind w:left="1134" w:right="1131"/>
        <w:jc w:val="both"/>
      </w:pPr>
      <w:r>
        <w:rPr>
          <w:spacing w:val="-1"/>
        </w:rPr>
        <w:t>处理的权益性投资，或原持有对联营企业、合营企业的长期股权投资，因追加投资等原因能够对非同一控</w:t>
      </w:r>
      <w:r>
        <w:rPr>
          <w:spacing w:val="-83"/>
        </w:rPr>
        <w:t> </w:t>
      </w:r>
      <w:r>
        <w:rPr>
          <w:spacing w:val="-83"/>
        </w:rPr>
      </w:r>
      <w:r>
        <w:rPr>
          <w:spacing w:val="-1"/>
        </w:rPr>
        <w:t>制下的被投资单位实施控制的，在编制个别财务报表时，按照原持有的股权投资账面价值加上新增投资成</w:t>
      </w:r>
      <w:r>
        <w:rPr>
          <w:spacing w:val="-81"/>
        </w:rPr>
        <w:t> </w:t>
      </w:r>
      <w:r>
        <w:rPr>
          <w:spacing w:val="-81"/>
        </w:rPr>
      </w:r>
      <w:r>
        <w:rPr/>
        <w:t>本之和，作为改按成本法核算的初始投资成本。</w:t>
      </w:r>
    </w:p>
    <w:p>
      <w:pPr>
        <w:pStyle w:val="BodyText"/>
        <w:spacing w:line="348" w:lineRule="auto" w:before="31"/>
        <w:ind w:left="1134" w:right="0" w:firstLine="420"/>
        <w:jc w:val="left"/>
      </w:pPr>
      <w:r>
        <w:rPr>
          <w:spacing w:val="-1"/>
        </w:rPr>
        <w:t>购买日之前持有的股权投资因采用权益法核算而确认的其他综合收益，在处置该项投资时采用与被投</w:t>
      </w:r>
      <w:r>
        <w:rPr/>
        <w:t> 资单位直接处置相关资产或负债相同的基础进行会计处理。</w:t>
      </w:r>
    </w:p>
    <w:p>
      <w:pPr>
        <w:pStyle w:val="BodyText"/>
        <w:spacing w:line="331" w:lineRule="auto" w:before="30"/>
        <w:ind w:right="0" w:firstLine="420"/>
        <w:jc w:val="left"/>
      </w:pPr>
      <w:r>
        <w:rPr>
          <w:spacing w:val="-1"/>
        </w:rPr>
        <w:t>购买日之前持有的股权投资按照《企业会计准则第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w:t>
      </w:r>
      <w:r>
        <w:rPr/>
        <w:t> 计处理的，原计入其他综合收益的累计公允价值变动在改按成本法核算时转入当期损益。</w:t>
      </w:r>
    </w:p>
    <w:p>
      <w:pPr>
        <w:pStyle w:val="BodyText"/>
        <w:spacing w:line="328" w:lineRule="auto" w:before="45"/>
        <w:ind w:left="1553" w:right="0"/>
        <w:jc w:val="left"/>
      </w:pPr>
      <w:r>
        <w:rPr/>
        <w:t>（</w:t>
      </w:r>
      <w:r>
        <w:rPr>
          <w:rFonts w:ascii="Times New Roman" w:hAnsi="Times New Roman" w:cs="Times New Roman" w:eastAsia="Times New Roman" w:hint="default"/>
        </w:rPr>
        <w:t>3</w:t>
      </w:r>
      <w:r>
        <w:rPr/>
        <w:t>）权益法核算转公允价值计量 </w:t>
      </w:r>
      <w:r>
        <w:rPr>
          <w:spacing w:val="-1"/>
        </w:rPr>
        <w:t>公司因处置部分股权投资等原因丧失了对被投资单位的共同控制或重大影响的，处置后的剩余股权改</w:t>
      </w:r>
    </w:p>
    <w:p>
      <w:pPr>
        <w:pStyle w:val="BodyText"/>
        <w:spacing w:line="328" w:lineRule="auto" w:before="48"/>
        <w:ind w:left="1134" w:right="1130"/>
        <w:jc w:val="both"/>
      </w:pPr>
      <w:r>
        <w:rPr>
          <w:spacing w:val="-1"/>
        </w:rPr>
        <w:t>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金融工具确认和计量》核算，其在丧失共同控制或重大影响之日的公允价值</w:t>
      </w:r>
      <w:r>
        <w:rPr>
          <w:spacing w:val="-83"/>
        </w:rPr>
        <w:t> </w:t>
      </w:r>
      <w:r>
        <w:rPr>
          <w:spacing w:val="-83"/>
        </w:rPr>
      </w:r>
      <w:r>
        <w:rPr/>
        <w:t>与账面价值之间的差额计入当期损益。</w:t>
      </w:r>
    </w:p>
    <w:p>
      <w:pPr>
        <w:pStyle w:val="BodyText"/>
        <w:spacing w:line="350" w:lineRule="auto" w:before="47"/>
        <w:ind w:left="1134" w:right="0" w:firstLine="420"/>
        <w:jc w:val="left"/>
      </w:pPr>
      <w:r>
        <w:rPr>
          <w:spacing w:val="-1"/>
        </w:rPr>
        <w:t>原股权投资因采用权益法核算而确认的其他综合收益，在终止采用权益法核算时采用与被投资单位直</w:t>
      </w:r>
      <w:r>
        <w:rPr/>
        <w:t> 接处置相关资产或负债相同的基础进行会计处理。</w:t>
      </w:r>
    </w:p>
    <w:p>
      <w:pPr>
        <w:pStyle w:val="BodyText"/>
        <w:spacing w:line="328" w:lineRule="auto" w:before="28"/>
        <w:ind w:left="1554" w:right="0"/>
        <w:jc w:val="left"/>
      </w:pPr>
      <w:r>
        <w:rPr/>
        <w:t>（</w:t>
      </w:r>
      <w:r>
        <w:rPr>
          <w:rFonts w:ascii="Times New Roman" w:hAnsi="Times New Roman" w:cs="Times New Roman" w:eastAsia="Times New Roman" w:hint="default"/>
        </w:rPr>
        <w:t>4</w:t>
      </w:r>
      <w:r>
        <w:rPr/>
        <w:t>）成本法转权益法 </w:t>
      </w:r>
      <w:r>
        <w:rPr>
          <w:spacing w:val="-1"/>
        </w:rPr>
        <w:t>公司因处置部分权益性投资等原因丧失了对被投资单位的控制的，在编制个别财务报表时，处置后的</w:t>
      </w:r>
    </w:p>
    <w:p>
      <w:pPr>
        <w:pStyle w:val="BodyText"/>
        <w:spacing w:line="348" w:lineRule="auto" w:before="48"/>
        <w:ind w:left="1134" w:right="1131"/>
        <w:jc w:val="both"/>
      </w:pPr>
      <w:r>
        <w:rPr>
          <w:spacing w:val="-1"/>
        </w:rPr>
        <w:t>剩余股权能够对被投资单位实施共同控制或施加重大影响的，改按权益法核算，并对该剩余股权视同自取</w:t>
      </w:r>
      <w:r>
        <w:rPr>
          <w:spacing w:val="-81"/>
        </w:rPr>
        <w:t> </w:t>
      </w:r>
      <w:r>
        <w:rPr>
          <w:spacing w:val="-81"/>
        </w:rPr>
      </w:r>
      <w:r>
        <w:rPr/>
        <w:t>得时即采用权益法核算进行调整。</w:t>
      </w:r>
    </w:p>
    <w:p>
      <w:pPr>
        <w:pStyle w:val="BodyText"/>
        <w:spacing w:line="331" w:lineRule="auto" w:before="30"/>
        <w:ind w:left="1554" w:right="0"/>
        <w:jc w:val="left"/>
      </w:pPr>
      <w:r>
        <w:rPr/>
        <w:t>（</w:t>
      </w:r>
      <w:r>
        <w:rPr>
          <w:rFonts w:ascii="Times New Roman" w:hAnsi="Times New Roman" w:cs="Times New Roman" w:eastAsia="Times New Roman" w:hint="default"/>
        </w:rPr>
        <w:t>5</w:t>
      </w:r>
      <w:r>
        <w:rPr/>
        <w:t>）成本法转公允价值计量 </w:t>
      </w:r>
      <w:r>
        <w:rPr>
          <w:spacing w:val="-1"/>
        </w:rPr>
        <w:t>公司因处置部分权益性投资等原因丧失了对被投资单位的控制的，在编制个别财务报表时，处置后的</w:t>
      </w:r>
    </w:p>
    <w:p>
      <w:pPr>
        <w:pStyle w:val="BodyText"/>
        <w:spacing w:line="328" w:lineRule="auto" w:before="45"/>
        <w:ind w:right="1110"/>
        <w:jc w:val="both"/>
      </w:pPr>
      <w:r>
        <w:rPr>
          <w:spacing w:val="-1"/>
        </w:rPr>
        <w:t>剩余股权不能对被投资单位实施共同控制或施加重大影响的，改按《企业会计准则第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w:t>
      </w:r>
      <w:r>
        <w:rPr>
          <w:spacing w:val="-81"/>
        </w:rPr>
        <w:t> </w:t>
      </w:r>
      <w:r>
        <w:rPr/>
        <w:t>认和计量》的有关规定进行会计处理，其在丧失控制之日的公允价值与账面价值间的差额计入当期损益。</w:t>
      </w:r>
    </w:p>
    <w:p>
      <w:pPr>
        <w:spacing w:line="328" w:lineRule="auto" w:before="48"/>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1"/>
          <w:sz w:val="21"/>
          <w:szCs w:val="21"/>
        </w:rPr>
        <w:t>处置长期股权投资，其账面价值与实际取得价款之间的差额，应当计入当期损益。采用权益法核算的</w:t>
      </w:r>
    </w:p>
    <w:p>
      <w:pPr>
        <w:pStyle w:val="BodyText"/>
        <w:spacing w:line="350" w:lineRule="auto" w:before="47"/>
        <w:ind w:left="1134" w:right="1131"/>
        <w:jc w:val="both"/>
      </w:pP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BodyText"/>
        <w:spacing w:line="240" w:lineRule="auto" w:before="28"/>
        <w:ind w:left="1554" w:right="0"/>
        <w:jc w:val="left"/>
      </w:pPr>
      <w:r>
        <w:rPr/>
        <w:t>处置对子公司股权投资的各项交易的条款、条件以及经济影响符合以下一种或多种情况，将多次交易</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事项作为一揽子交易进行会计处理：</w:t>
      </w:r>
    </w:p>
    <w:p>
      <w:pPr>
        <w:pStyle w:val="BodyText"/>
        <w:spacing w:line="240" w:lineRule="auto" w:before="124"/>
        <w:ind w:left="1553"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10"/>
        <w:ind w:left="1553"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9"/>
        <w:ind w:left="1553"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31" w:lineRule="auto" w:before="109"/>
        <w:ind w:left="1553" w:right="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1"/>
        </w:rPr>
        <w:t>因处置部分股权投资或其他原因丧失了对原有子公司控制权的，不属于一揽子交易的，区分个别财务</w:t>
      </w:r>
    </w:p>
    <w:p>
      <w:pPr>
        <w:pStyle w:val="BodyText"/>
        <w:spacing w:line="240" w:lineRule="auto" w:before="45"/>
        <w:ind w:right="0"/>
        <w:jc w:val="left"/>
      </w:pPr>
      <w:r>
        <w:rPr/>
        <w:t>报表和合并财务报表进行相关会计处理：</w:t>
      </w:r>
    </w:p>
    <w:p>
      <w:pPr>
        <w:pStyle w:val="BodyText"/>
        <w:spacing w:line="340" w:lineRule="auto" w:before="124"/>
        <w:ind w:right="0" w:firstLine="420"/>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 </w:t>
      </w:r>
      <w:r>
        <w:rPr>
          <w:spacing w:val="-1"/>
        </w:rPr>
        <w:t>处置后的剩余股权能够对被投资单位实施共同控制或施加重大影响的，改按权益法核算，并对该剩余股权</w:t>
      </w:r>
      <w:r>
        <w:rPr>
          <w:spacing w:val="-81"/>
        </w:rPr>
        <w:t> </w:t>
      </w:r>
      <w:r>
        <w:rPr>
          <w:spacing w:val="-81"/>
        </w:rPr>
      </w:r>
      <w:r>
        <w:rPr>
          <w:spacing w:val="-1"/>
        </w:rPr>
        <w:t>视同自取得时即采用权益法核算进行调整；处置后的剩余股权不能对被投资单位实施共同控制或施加重大</w:t>
      </w:r>
      <w:r>
        <w:rPr>
          <w:spacing w:val="-81"/>
        </w:rPr>
        <w:t> </w:t>
      </w:r>
      <w:r>
        <w:rPr>
          <w:spacing w:val="-81"/>
        </w:rPr>
      </w:r>
      <w:r>
        <w:rPr>
          <w:spacing w:val="-1"/>
        </w:rPr>
        <w:t>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w:t>
      </w:r>
      <w:r>
        <w:rPr>
          <w:spacing w:val="-86"/>
        </w:rPr>
        <w:t> </w:t>
      </w:r>
      <w:r>
        <w:rPr>
          <w:spacing w:val="-86"/>
        </w:rPr>
      </w:r>
      <w:r>
        <w:rPr/>
        <w:t>之日的公允价值与账面价值间的差额计入当期损益。</w:t>
      </w:r>
    </w:p>
    <w:p>
      <w:pPr>
        <w:pStyle w:val="BodyText"/>
        <w:spacing w:line="345" w:lineRule="auto" w:before="36"/>
        <w:ind w:left="1134" w:right="1092" w:firstLine="42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 资相应对享有子公司自购买日或合并日开始持续计算的净资产份额之间的差额，调整资本公积（股本溢 </w:t>
      </w:r>
      <w:r>
        <w:rPr>
          <w:spacing w:val="-1"/>
        </w:rPr>
        <w:t>价），资本公积不足冲减的，调整留存收益；在丧失对子公司控制权时，对于剩余股权，按照其在丧失控</w:t>
      </w:r>
      <w:r>
        <w:rPr>
          <w:spacing w:val="-83"/>
        </w:rPr>
        <w:t> </w:t>
      </w:r>
      <w:r>
        <w:rPr>
          <w:spacing w:val="-83"/>
        </w:rPr>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BodyText"/>
        <w:spacing w:line="348" w:lineRule="auto" w:before="32"/>
        <w:ind w:right="0" w:firstLine="420"/>
        <w:jc w:val="left"/>
      </w:pPr>
      <w:r>
        <w:rPr>
          <w:spacing w:val="-1"/>
        </w:rPr>
        <w:t>处置对子公司股权投资直至丧失控制权的各项交易属于一揽子交易的，将各项交易作为一项处置子公</w:t>
      </w:r>
      <w:r>
        <w:rPr/>
        <w:t> 司股权投资并丧失控制权的交易进行会计处理，区分个别财务报表和合并财务报表进行相关会计处理：</w:t>
      </w:r>
    </w:p>
    <w:p>
      <w:pPr>
        <w:pStyle w:val="BodyText"/>
        <w:spacing w:line="328" w:lineRule="auto" w:before="31"/>
        <w:ind w:right="1198" w:firstLine="420"/>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 价值之间的差额，确认为其他综合收益，在丧失控制权时一并转入丧失控制权当期的损益。</w:t>
      </w:r>
    </w:p>
    <w:p>
      <w:pPr>
        <w:pStyle w:val="BodyText"/>
        <w:spacing w:line="331" w:lineRule="auto" w:before="47"/>
        <w:ind w:right="1198" w:firstLine="420"/>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 份额的差额，确认为其他综合收益，在丧失控制权时一并转入丧失控制权当期的损益。</w:t>
      </w:r>
    </w:p>
    <w:p>
      <w:pPr>
        <w:spacing w:line="328" w:lineRule="auto" w:before="45"/>
        <w:ind w:left="1553" w:right="130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z w:val="21"/>
          <w:szCs w:val="21"/>
        </w:rPr>
        <w:t>如果公司按照相关约定与其他参与方集体控制某项安排，并且对该安排回报具有重大影响的活动决</w:t>
      </w:r>
    </w:p>
    <w:p>
      <w:pPr>
        <w:pStyle w:val="BodyText"/>
        <w:spacing w:line="348" w:lineRule="auto" w:before="48"/>
        <w:ind w:right="0"/>
        <w:jc w:val="left"/>
      </w:pPr>
      <w:r>
        <w:rPr>
          <w:spacing w:val="-1"/>
        </w:rPr>
        <w:t>策，需要经过分享控制权的参与方一致同意时才存在，则视为公司与其他参与方共同控制某项安排，该安</w:t>
      </w:r>
      <w:r>
        <w:rPr>
          <w:spacing w:val="-83"/>
        </w:rPr>
        <w:t> </w:t>
      </w:r>
      <w:r>
        <w:rPr>
          <w:spacing w:val="-83"/>
        </w:rPr>
      </w:r>
      <w:r>
        <w:rPr/>
        <w:t>排即属于合营安排。</w:t>
      </w:r>
    </w:p>
    <w:p>
      <w:pPr>
        <w:pStyle w:val="BodyText"/>
        <w:spacing w:line="350" w:lineRule="auto" w:before="30"/>
        <w:ind w:right="1110" w:firstLine="420"/>
        <w:jc w:val="both"/>
      </w:pPr>
      <w:r>
        <w:rPr>
          <w:spacing w:val="-1"/>
        </w:rPr>
        <w:t>合营安排通过单独主体达成的，根据相关约定判断公司对该单独主体的净资产享有权利时，将该单独</w:t>
      </w:r>
      <w:r>
        <w:rPr/>
        <w:t> 主体作为合营企业，采用权益法核算。若根据相关约定判断公司并非对该单独主体的净资产享有权利时， </w:t>
      </w:r>
      <w:r>
        <w:rPr>
          <w:spacing w:val="-1"/>
        </w:rPr>
        <w:t>该单独主体作为共同经营，公司确认与共同经营利益份额相关的项目，并按照相关企业会计准则的规定进</w:t>
      </w:r>
      <w:r>
        <w:rPr>
          <w:spacing w:val="-81"/>
        </w:rPr>
        <w:t> </w:t>
      </w:r>
      <w:r>
        <w:rPr>
          <w:spacing w:val="-81"/>
        </w:rPr>
      </w:r>
      <w:r>
        <w:rPr/>
        <w:t>行会计处理。</w:t>
      </w:r>
    </w:p>
    <w:p>
      <w:pPr>
        <w:pStyle w:val="BodyText"/>
        <w:spacing w:line="348" w:lineRule="auto" w:before="29"/>
        <w:ind w:right="0" w:firstLine="420"/>
        <w:jc w:val="left"/>
      </w:pPr>
      <w:r>
        <w:rPr>
          <w:spacing w:val="-1"/>
        </w:rPr>
        <w:t>重大影响，是指投资方对被投资单位的财务和经营政策有参与决策的权力，但并不能够控制或者与其</w:t>
      </w:r>
      <w:r>
        <w:rPr/>
        <w:t> </w:t>
      </w:r>
      <w:r>
        <w:rPr>
          <w:spacing w:val="-1"/>
        </w:rPr>
        <w:t>他方一起共同控制这些政策的制定。公司通过以下一种或多种情形，并综合考虑所有事实和情况后，判断</w:t>
      </w:r>
    </w:p>
    <w:p>
      <w:pPr>
        <w:spacing w:after="0" w:line="34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right="1027"/>
        <w:jc w:val="left"/>
      </w:pPr>
      <w:r>
        <w:rPr/>
        <w:t>对被投资单位具有重大影响。（</w:t>
      </w:r>
      <w:r>
        <w:rPr>
          <w:rFonts w:ascii="Times New Roman" w:hAnsi="Times New Roman" w:cs="Times New Roman" w:eastAsia="Times New Roman" w:hint="default"/>
        </w:rPr>
        <w:t>1</w:t>
      </w:r>
      <w:r>
        <w:rPr/>
        <w:t>）在被投资单位的董事会或类似权力机构中派有代表；（</w:t>
      </w:r>
      <w:r>
        <w:rPr>
          <w:rFonts w:ascii="Times New Roman" w:hAnsi="Times New Roman" w:cs="Times New Roman" w:eastAsia="Times New Roman" w:hint="default"/>
        </w:rPr>
        <w:t>2</w:t>
      </w:r>
      <w:r>
        <w:rPr/>
        <w:t>）参与被投资 </w:t>
      </w:r>
      <w:r>
        <w:rPr>
          <w:spacing w:val="-3"/>
        </w:rPr>
        <w:t>单位财务和经营政策制定过程；（</w:t>
      </w:r>
      <w:r>
        <w:rPr>
          <w:rFonts w:ascii="Times New Roman" w:hAnsi="Times New Roman" w:cs="Times New Roman" w:eastAsia="Times New Roman" w:hint="default"/>
          <w:spacing w:val="-3"/>
        </w:rPr>
        <w:t>3</w:t>
      </w:r>
      <w:r>
        <w:rPr>
          <w:spacing w:val="-3"/>
        </w:rPr>
        <w:t>）与被投资单位之间发生重要交易；（</w:t>
      </w:r>
      <w:r>
        <w:rPr>
          <w:rFonts w:ascii="Times New Roman" w:hAnsi="Times New Roman" w:cs="Times New Roman" w:eastAsia="Times New Roman" w:hint="default"/>
          <w:spacing w:val="-3"/>
        </w:rPr>
        <w:t>4</w:t>
      </w:r>
      <w:r>
        <w:rPr>
          <w:spacing w:val="-3"/>
        </w:rPr>
        <w:t>）向被投资单位派出管理人员；</w:t>
      </w:r>
    </w:p>
    <w:p>
      <w:pPr>
        <w:pStyle w:val="BodyText"/>
        <w:spacing w:line="240" w:lineRule="auto" w:before="24"/>
        <w:ind w:right="0"/>
        <w:jc w:val="left"/>
      </w:pPr>
      <w:r>
        <w:rPr/>
        <w:t>（</w:t>
      </w:r>
      <w:r>
        <w:rPr>
          <w:rFonts w:ascii="Times New Roman" w:hAnsi="Times New Roman" w:cs="Times New Roman" w:eastAsia="Times New Roman" w:hint="default"/>
        </w:rPr>
        <w:t>5</w:t>
      </w:r>
      <w:r>
        <w:rPr/>
        <w:t>）向被投资单位提供关键技术资料。</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bookmarkStart w:name="14、投资性房地产" w:id="193"/>
      <w:bookmarkEnd w:id="193"/>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40" w:lineRule="auto" w:before="89"/>
        <w:ind w:left="1554" w:right="0"/>
        <w:jc w:val="left"/>
      </w:pPr>
      <w:r>
        <w:rPr/>
        <w:t>投资性房地产的预计使用寿命、净残值率及年折旧（摊销）率列示如下：</w:t>
      </w:r>
    </w:p>
    <w:p>
      <w:pPr>
        <w:spacing w:line="240" w:lineRule="auto" w:before="12"/>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2553"/>
        <w:gridCol w:w="2410"/>
        <w:gridCol w:w="2410"/>
        <w:gridCol w:w="2268"/>
      </w:tblGrid>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预计净残值率</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年折旧（摊销）率（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2.00</w:t>
            </w:r>
          </w:p>
        </w:tc>
      </w:tr>
      <w:tr>
        <w:trPr>
          <w:trHeight w:val="348"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固定资产" w:id="194"/>
      <w:bookmarkEnd w:id="194"/>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1"/>
          <w:szCs w:val="31"/>
        </w:rPr>
      </w:pPr>
    </w:p>
    <w:p>
      <w:pPr>
        <w:pStyle w:val="BodyText"/>
        <w:spacing w:line="348" w:lineRule="auto"/>
        <w:ind w:left="1134" w:right="0" w:firstLine="420"/>
        <w:jc w:val="left"/>
      </w:pPr>
      <w:r>
        <w:rPr>
          <w:spacing w:val="-1"/>
        </w:rPr>
        <w:t>固定资产指为生产商品、提供劳务、出租或经营管理而持有，并且使用寿命超过一个会计年度的有形</w:t>
      </w:r>
      <w:r>
        <w:rPr/>
        <w:t> 资产。固定资产在同时满足下列条件时予以确认：</w:t>
      </w:r>
    </w:p>
    <w:p>
      <w:pPr>
        <w:pStyle w:val="BodyText"/>
        <w:spacing w:line="240" w:lineRule="auto" w:before="71"/>
        <w:ind w:left="1554" w:right="0"/>
        <w:jc w:val="left"/>
      </w:pP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49"/>
        <w:ind w:left="1554" w:right="0"/>
        <w:jc w:val="left"/>
      </w:pPr>
      <w:r>
        <w:rPr>
          <w:rFonts w:ascii="Times New Roman" w:hAnsi="Times New Roman" w:cs="Times New Roman" w:eastAsia="Times New Roman" w:hint="default"/>
        </w:rPr>
        <w:t>2</w:t>
      </w:r>
      <w:r>
        <w:rPr/>
        <w:t>）该固定资产的成本能够可靠地计量。</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7"/>
      <w:bookmarkEnd w:id="19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1554" w:right="0"/>
        <w:jc w:val="left"/>
      </w:pPr>
      <w:r>
        <w:rPr/>
        <w:t>当公司租入的固定资产符合下列一项或数项标准时，确认为融资租入固定资产：</w:t>
      </w:r>
    </w:p>
    <w:p>
      <w:pPr>
        <w:pStyle w:val="BodyText"/>
        <w:spacing w:line="240" w:lineRule="auto" w:before="165"/>
        <w:ind w:left="1553" w:right="0"/>
        <w:jc w:val="left"/>
      </w:pPr>
      <w:r>
        <w:rPr>
          <w:rFonts w:ascii="Times New Roman" w:hAnsi="Times New Roman" w:cs="Times New Roman" w:eastAsia="Times New Roman" w:hint="default"/>
        </w:rPr>
        <w:t>1</w:t>
      </w:r>
      <w:r>
        <w:rPr/>
        <w:t>）在租赁期届满时，租赁资产的所有权转移给公司。</w:t>
      </w:r>
    </w:p>
    <w:p>
      <w:pPr>
        <w:pStyle w:val="BodyText"/>
        <w:spacing w:line="240" w:lineRule="auto" w:before="149"/>
        <w:ind w:left="1553" w:right="0"/>
        <w:jc w:val="left"/>
      </w:pPr>
      <w:r>
        <w:rPr>
          <w:rFonts w:ascii="Times New Roman" w:hAnsi="Times New Roman" w:cs="Times New Roman" w:eastAsia="Times New Roman" w:hint="default"/>
        </w:rPr>
        <w:t>2</w:t>
      </w:r>
      <w:r>
        <w:rPr/>
        <w:t>）公司有购买租赁资产的选择权，所订立的购买价款预计将远低于行使选择权时租赁资产的公允价</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值，因而在租赁开始日就可以合理确定公司将会行使这种选择权。</w:t>
      </w:r>
    </w:p>
    <w:p>
      <w:pPr>
        <w:pStyle w:val="BodyText"/>
        <w:spacing w:line="240" w:lineRule="auto" w:before="165"/>
        <w:ind w:left="1553" w:right="0"/>
        <w:jc w:val="left"/>
      </w:pP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48"/>
        <w:ind w:left="1553" w:right="0"/>
        <w:jc w:val="left"/>
      </w:pPr>
      <w:r>
        <w:rPr>
          <w:rFonts w:ascii="Times New Roman" w:hAnsi="Times New Roman" w:cs="Times New Roman" w:eastAsia="Times New Roman" w:hint="default"/>
        </w:rPr>
        <w:t>4</w:t>
      </w:r>
      <w:r>
        <w:rPr/>
        <w:t>）公司在租赁开始日的最低租赁付款额现值，几乎相当于租赁开始日租赁资产公允价值。</w:t>
      </w:r>
    </w:p>
    <w:p>
      <w:pPr>
        <w:pStyle w:val="BodyText"/>
        <w:spacing w:line="345" w:lineRule="auto" w:before="150"/>
        <w:ind w:left="1134" w:right="1118" w:firstLine="420"/>
        <w:jc w:val="left"/>
      </w:pPr>
      <w:r>
        <w:rPr>
          <w:rFonts w:ascii="Times New Roman" w:hAnsi="Times New Roman" w:cs="Times New Roman" w:eastAsia="Times New Roman" w:hint="default"/>
        </w:rPr>
        <w:t>5</w:t>
      </w:r>
      <w:r>
        <w:rPr/>
        <w:t>）租赁资产性质特殊，如果不作较大改造，只有公司才能使用。融资租赁租入的固定资产，按租赁 </w:t>
      </w:r>
      <w:r>
        <w:rPr>
          <w:spacing w:val="-1"/>
        </w:rPr>
        <w:t>开始日租赁资产公允价值与最低租赁付款额的现值两者中较低者，作为入账价值。最低租赁付款额作为长</w:t>
      </w:r>
      <w:r>
        <w:rPr>
          <w:spacing w:val="-81"/>
        </w:rPr>
        <w:t> </w:t>
      </w:r>
      <w:r>
        <w:rPr>
          <w:spacing w:val="-81"/>
        </w:rPr>
      </w:r>
      <w:r>
        <w:rPr>
          <w:spacing w:val="-1"/>
        </w:rPr>
        <w:t>期应付款的入账价值，其差额作为未确认融资费用。在租赁谈判和签订租赁合同过程中发生的，可归属于</w:t>
      </w:r>
      <w:r>
        <w:rPr>
          <w:spacing w:val="-83"/>
        </w:rPr>
        <w:t> </w:t>
      </w:r>
      <w:r>
        <w:rPr>
          <w:spacing w:val="-83"/>
        </w:rPr>
      </w:r>
      <w:r>
        <w:rPr>
          <w:spacing w:val="-1"/>
        </w:rPr>
        <w:t>租赁项目的手续费、律师费、差旅费、印花税等初始直接费用，计入租入资产价值。未确认融资费用在租</w:t>
      </w:r>
      <w:r>
        <w:rPr>
          <w:spacing w:val="-83"/>
        </w:rPr>
        <w:t> </w:t>
      </w:r>
      <w:r>
        <w:rPr>
          <w:spacing w:val="-83"/>
        </w:rPr>
      </w:r>
      <w:r>
        <w:rPr>
          <w:spacing w:val="-1"/>
        </w:rPr>
        <w:t>赁期内各个期间采用实际利率法进行分摊。公司采用与自有固定资产相一致的折旧政策计提融资租入固定</w:t>
      </w:r>
      <w:r>
        <w:rPr>
          <w:spacing w:val="-80"/>
        </w:rPr>
        <w:t> </w:t>
      </w:r>
      <w:r>
        <w:rPr>
          <w:spacing w:val="-80"/>
        </w:rPr>
      </w:r>
      <w:r>
        <w:rPr>
          <w:spacing w:val="-1"/>
        </w:rPr>
        <w:t>资产折旧。能够合理确定租赁期届满时取得租赁资产所有权的，在租赁资产使用寿命内计提折旧。无法合</w:t>
      </w:r>
      <w:r>
        <w:rPr>
          <w:spacing w:val="-83"/>
        </w:rPr>
        <w:t> </w:t>
      </w:r>
      <w:r>
        <w:rPr>
          <w:spacing w:val="-83"/>
        </w:rPr>
      </w:r>
      <w:r>
        <w:rPr>
          <w:spacing w:val="-1"/>
        </w:rPr>
        <w:t>理确定租赁期届满时能够取得租赁资产所有权的，在租赁期与租赁资产使用寿命两者中较短的期间内计提</w:t>
      </w:r>
      <w:r>
        <w:rPr>
          <w:spacing w:val="-81"/>
        </w:rPr>
        <w:t> </w:t>
      </w:r>
      <w:r>
        <w:rPr>
          <w:spacing w:val="-81"/>
        </w:rPr>
      </w:r>
      <w:r>
        <w:rPr/>
        <w:t>折旧。</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bookmarkStart w:name="16、在建工程" w:id="198"/>
      <w:bookmarkEnd w:id="198"/>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7"/>
        <w:rPr>
          <w:rFonts w:ascii="宋体" w:hAnsi="宋体" w:cs="宋体" w:eastAsia="宋体" w:hint="default"/>
          <w:b/>
          <w:bCs/>
          <w:sz w:val="31"/>
          <w:szCs w:val="31"/>
        </w:rPr>
      </w:pPr>
    </w:p>
    <w:p>
      <w:pPr>
        <w:pStyle w:val="BodyText"/>
        <w:spacing w:line="328" w:lineRule="auto"/>
        <w:ind w:left="1554" w:right="0" w:firstLine="2"/>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spacing w:val="-1"/>
        </w:rPr>
        <w:t>公司自行建造的在建工程按实际成本计价，实际成本由建造该项资产达到预定可使用状态前所发生的</w:t>
      </w:r>
    </w:p>
    <w:p>
      <w:pPr>
        <w:pStyle w:val="BodyText"/>
        <w:spacing w:line="350" w:lineRule="auto" w:before="47"/>
        <w:ind w:left="1134" w:right="1133"/>
        <w:jc w:val="both"/>
      </w:pPr>
      <w:r>
        <w:rPr>
          <w:spacing w:val="-1"/>
        </w:rPr>
        <w:t>必要支出构成，包括工程用物资成本、人工成本、交纳的相关税费、应予资本化的借款费用以及应分摊的</w:t>
      </w:r>
      <w:r>
        <w:rPr>
          <w:spacing w:val="-86"/>
        </w:rPr>
        <w:t> </w:t>
      </w:r>
      <w:r>
        <w:rPr>
          <w:spacing w:val="-86"/>
        </w:rPr>
      </w:r>
      <w:r>
        <w:rPr/>
        <w:t>间接费用等。</w:t>
      </w:r>
    </w:p>
    <w:p>
      <w:pPr>
        <w:spacing w:line="328" w:lineRule="auto" w:before="28"/>
        <w:ind w:left="1553" w:right="109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BodyText"/>
        <w:spacing w:line="348" w:lineRule="auto" w:before="48"/>
        <w:ind w:right="1131"/>
        <w:jc w:val="both"/>
      </w:pPr>
      <w:r>
        <w:rPr>
          <w:spacing w:val="-1"/>
        </w:rPr>
        <w:t>所建造的在建工程已达到预定可使用状态，但尚未办理竣工决算的，自达到预定可使用状态之日起，根据</w:t>
      </w:r>
      <w:r>
        <w:rPr>
          <w:spacing w:val="-83"/>
        </w:rPr>
        <w:t> </w:t>
      </w:r>
      <w:r>
        <w:rPr>
          <w:spacing w:val="-83"/>
        </w:rPr>
      </w:r>
      <w:r>
        <w:rPr>
          <w:spacing w:val="-1"/>
        </w:rPr>
        <w:t>工程预算、造价或者工程实际成本等，按估计的价值转入固定资产，并按公司固定资产折旧政策计提固定</w:t>
      </w:r>
      <w:r>
        <w:rPr>
          <w:spacing w:val="-83"/>
        </w:rPr>
        <w:t> </w:t>
      </w:r>
      <w:r>
        <w:rPr>
          <w:spacing w:val="-83"/>
        </w:rPr>
      </w:r>
      <w:r>
        <w:rPr/>
        <w:t>资产的折旧，待办理竣工决算后，再按实际成本调整原来的暂估价值，但不调整原已计提的折旧额。</w:t>
      </w:r>
    </w:p>
    <w:p>
      <w:pPr>
        <w:spacing w:line="240" w:lineRule="auto" w:before="7"/>
        <w:rPr>
          <w:rFonts w:ascii="宋体" w:hAnsi="宋体" w:cs="宋体" w:eastAsia="宋体" w:hint="default"/>
          <w:sz w:val="18"/>
          <w:szCs w:val="18"/>
        </w:rPr>
      </w:pPr>
    </w:p>
    <w:p>
      <w:pPr>
        <w:pStyle w:val="Heading3"/>
        <w:spacing w:line="240" w:lineRule="auto"/>
        <w:ind w:left="1133" w:right="0"/>
        <w:jc w:val="left"/>
        <w:rPr>
          <w:b w:val="0"/>
          <w:bCs w:val="0"/>
        </w:rPr>
      </w:pPr>
      <w:bookmarkStart w:name="17、借款费用" w:id="199"/>
      <w:bookmarkEnd w:id="199"/>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6"/>
        <w:rPr>
          <w:rFonts w:ascii="宋体" w:hAnsi="宋体" w:cs="宋体" w:eastAsia="宋体" w:hint="default"/>
          <w:b/>
          <w:bCs/>
          <w:sz w:val="31"/>
          <w:szCs w:val="31"/>
        </w:rPr>
      </w:pPr>
    </w:p>
    <w:p>
      <w:pPr>
        <w:spacing w:line="328" w:lineRule="auto" w:before="0"/>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公司发生的借款费用，可直接归属于符合资本化条件的资产的购建或者生产的，予以资本化，计入相</w:t>
      </w:r>
    </w:p>
    <w:p>
      <w:pPr>
        <w:pStyle w:val="BodyText"/>
        <w:spacing w:line="350" w:lineRule="auto" w:before="47"/>
        <w:ind w:left="1553" w:right="0"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348" w:lineRule="auto" w:before="28"/>
        <w:ind w:left="1554" w:right="6132" w:hanging="420"/>
        <w:jc w:val="left"/>
      </w:pPr>
      <w:r>
        <w:rPr/>
        <w:t>售状态的固定资产、投资性房地产和存货等资产。 借款费用同时满足下列条件时开始资本化：</w:t>
      </w:r>
    </w:p>
    <w:p>
      <w:pPr>
        <w:pStyle w:val="BodyText"/>
        <w:spacing w:line="328" w:lineRule="auto" w:before="32"/>
        <w:ind w:left="1134" w:right="1197"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47"/>
        <w:ind w:left="155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10"/>
        <w:ind w:left="155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spacing w:line="328" w:lineRule="auto" w:before="35"/>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before="48"/>
        <w:ind w:right="0"/>
        <w:jc w:val="both"/>
      </w:pPr>
      <w:r>
        <w:rPr/>
        <w:t>包括在内。</w:t>
      </w:r>
    </w:p>
    <w:p>
      <w:pPr>
        <w:pStyle w:val="BodyText"/>
        <w:spacing w:line="348" w:lineRule="auto" w:before="125"/>
        <w:ind w:left="1553"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before="31"/>
        <w:ind w:right="0"/>
        <w:jc w:val="both"/>
      </w:pPr>
      <w:r>
        <w:rPr/>
        <w:t>止资本化。</w:t>
      </w:r>
    </w:p>
    <w:p>
      <w:pPr>
        <w:pStyle w:val="BodyText"/>
        <w:spacing w:line="348" w:lineRule="auto" w:before="124"/>
        <w:ind w:left="1134"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BodyText"/>
        <w:spacing w:line="328" w:lineRule="auto" w:before="31"/>
        <w:ind w:left="1554" w:right="1197" w:firstLine="2"/>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350" w:lineRule="auto" w:before="23"/>
        <w:ind w:left="1134"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331" w:lineRule="auto" w:before="28"/>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BodyText"/>
        <w:spacing w:line="348" w:lineRule="auto" w:before="45"/>
        <w:ind w:left="1134" w:right="1092"/>
        <w:jc w:val="left"/>
      </w:pPr>
      <w:r>
        <w:rPr/>
        <w:t>投资收益）及其辅助费用在所购建或者生产的符合资本化条件的资产达到预定可使用或者可销售状态前， 予以资本化。</w:t>
      </w:r>
    </w:p>
    <w:p>
      <w:pPr>
        <w:pStyle w:val="BodyText"/>
        <w:spacing w:line="348" w:lineRule="auto" w:before="32"/>
        <w:ind w:left="1134" w:right="0" w:firstLine="420"/>
        <w:jc w:val="left"/>
      </w:pPr>
      <w:r>
        <w:rPr>
          <w:spacing w:val="-1"/>
        </w:rPr>
        <w:t>根据累计资产支出超过专门借款部分的资产支出加权平均数乘以所占用一般借款的资本化率，计算确</w:t>
      </w:r>
      <w:r>
        <w:rPr/>
        <w:t> 定一般借款应予资本化的利息金额。资本化率根据一般借款加权平均利率计算确定。</w:t>
      </w:r>
    </w:p>
    <w:p>
      <w:pPr>
        <w:pStyle w:val="BodyText"/>
        <w:spacing w:line="350" w:lineRule="auto" w:before="30"/>
        <w:ind w:right="1118" w:firstLine="420"/>
        <w:jc w:val="left"/>
      </w:pPr>
      <w:r>
        <w:rPr>
          <w:spacing w:val="-1"/>
        </w:rPr>
        <w:t>借款存在折价或者溢价的，按照实际利率法确定每一会计期间应摊销的折价或者溢价金额，调整每期</w:t>
      </w:r>
      <w:r>
        <w:rPr/>
        <w:t> 利息金额。</w:t>
      </w:r>
    </w:p>
    <w:p>
      <w:pPr>
        <w:spacing w:line="240" w:lineRule="auto" w:before="4"/>
        <w:rPr>
          <w:rFonts w:ascii="宋体" w:hAnsi="宋体" w:cs="宋体" w:eastAsia="宋体" w:hint="default"/>
          <w:sz w:val="18"/>
          <w:szCs w:val="18"/>
        </w:rPr>
      </w:pPr>
    </w:p>
    <w:p>
      <w:pPr>
        <w:pStyle w:val="Heading3"/>
        <w:spacing w:line="240" w:lineRule="auto"/>
        <w:ind w:left="1133" w:right="0"/>
        <w:jc w:val="both"/>
        <w:rPr>
          <w:b w:val="0"/>
          <w:bCs w:val="0"/>
        </w:rPr>
      </w:pPr>
      <w:bookmarkStart w:name="18、无形资产" w:id="200"/>
      <w:bookmarkEnd w:id="200"/>
      <w:r>
        <w:rPr>
          <w:b w:val="0"/>
          <w:bCs w:val="0"/>
        </w:rPr>
      </w:r>
      <w:r>
        <w:rPr>
          <w:rFonts w:ascii="Times New Roman" w:hAnsi="Times New Roman" w:cs="Times New Roman" w:eastAsia="Times New Roman" w:hint="default"/>
        </w:rPr>
        <w:t>18</w:t>
      </w:r>
      <w:r>
        <w:rPr/>
        <w:t>、无形资产</w:t>
      </w:r>
      <w:r>
        <w:rPr>
          <w:b w:val="0"/>
          <w:bCs w:val="0"/>
        </w:rPr>
      </w:r>
    </w:p>
    <w:p>
      <w:pPr>
        <w:spacing w:line="702" w:lineRule="exact" w:before="6"/>
        <w:ind w:left="1554" w:right="0" w:hanging="420"/>
        <w:jc w:val="left"/>
        <w:rPr>
          <w:rFonts w:ascii="宋体" w:hAnsi="宋体" w:cs="宋体" w:eastAsia="宋体" w:hint="default"/>
          <w:sz w:val="21"/>
          <w:szCs w:val="21"/>
        </w:rPr>
      </w:pPr>
      <w:bookmarkStart w:name="（1）计价方法、使用寿命、减值测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1"/>
          <w:sz w:val="21"/>
          <w:szCs w:val="21"/>
        </w:rPr>
        <w:t>无形资产是指公司拥有或者控制的没有实物形态的可辨认非货币性资产，包括土地使用权、软件、商</w:t>
      </w:r>
    </w:p>
    <w:p>
      <w:pPr>
        <w:pStyle w:val="BodyText"/>
        <w:spacing w:line="240" w:lineRule="auto" w:before="14"/>
        <w:ind w:left="1134" w:right="0"/>
        <w:jc w:val="both"/>
      </w:pPr>
      <w:r>
        <w:rPr/>
        <w:t>标权、专利技术等。</w:t>
      </w:r>
    </w:p>
    <w:p>
      <w:pPr>
        <w:spacing w:line="338" w:lineRule="auto" w:before="126"/>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18"/>
          <w:szCs w:val="18"/>
        </w:rPr>
        <w:t>1</w:t>
      </w:r>
      <w:r>
        <w:rPr>
          <w:rFonts w:ascii="宋体" w:hAnsi="宋体" w:cs="宋体" w:eastAsia="宋体" w:hint="default"/>
          <w:b/>
          <w:bCs/>
          <w:sz w:val="21"/>
          <w:szCs w:val="21"/>
        </w:rPr>
        <w:t>.</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外购无形资产的成本，包括购买价款、相关税费以及直接归属于使该项资产达到预定用途所发生的其</w:t>
      </w:r>
    </w:p>
    <w:p>
      <w:pPr>
        <w:pStyle w:val="BodyText"/>
        <w:spacing w:line="350" w:lineRule="auto" w:before="38"/>
        <w:ind w:left="1134" w:right="0"/>
        <w:jc w:val="left"/>
      </w:pPr>
      <w:r>
        <w:rPr>
          <w:spacing w:val="-1"/>
        </w:rPr>
        <w:t>他支出。购买无形资产的价款超过正常信用条件延期支付，实质上具有融资性质的，无形资产的成本以购</w:t>
      </w:r>
      <w:r>
        <w:rPr>
          <w:spacing w:val="-82"/>
        </w:rPr>
        <w:t> </w:t>
      </w:r>
      <w:r>
        <w:rPr>
          <w:spacing w:val="-82"/>
        </w:rPr>
      </w:r>
      <w:r>
        <w:rPr/>
        <w:t>买价款的现值为基础确定。</w:t>
      </w:r>
    </w:p>
    <w:p>
      <w:pPr>
        <w:pStyle w:val="BodyText"/>
        <w:spacing w:line="348" w:lineRule="auto" w:before="28"/>
        <w:ind w:left="1134" w:right="0" w:firstLine="420"/>
        <w:jc w:val="left"/>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348" w:lineRule="auto" w:before="31"/>
        <w:ind w:left="1134" w:right="0" w:firstLine="420"/>
        <w:jc w:val="left"/>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p>
    <w:p>
      <w:pPr>
        <w:spacing w:after="0" w:line="34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0"/>
        <w:jc w:val="left"/>
      </w:pP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350" w:lineRule="auto" w:before="31"/>
        <w:ind w:right="1131"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350" w:lineRule="auto" w:before="28"/>
        <w:ind w:right="1132"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spacing w:line="338" w:lineRule="auto" w:before="28"/>
        <w:ind w:left="1554" w:right="1302" w:hanging="59"/>
        <w:jc w:val="left"/>
        <w:rPr>
          <w:rFonts w:ascii="宋体" w:hAnsi="宋体" w:cs="宋体" w:eastAsia="宋体" w:hint="default"/>
          <w:sz w:val="21"/>
          <w:szCs w:val="21"/>
        </w:rPr>
      </w:pPr>
      <w:r>
        <w:rPr>
          <w:rFonts w:ascii="Times New Roman" w:hAnsi="Times New Roman" w:cs="Times New Roman" w:eastAsia="Times New Roman" w:hint="default"/>
          <w:b/>
          <w:bCs/>
          <w:sz w:val="18"/>
          <w:szCs w:val="18"/>
        </w:rPr>
        <w:t>2</w:t>
      </w:r>
      <w:r>
        <w:rPr>
          <w:rFonts w:ascii="宋体" w:hAnsi="宋体" w:cs="宋体" w:eastAsia="宋体" w:hint="default"/>
          <w:b/>
          <w:bCs/>
          <w:sz w:val="21"/>
          <w:szCs w:val="21"/>
        </w:rPr>
        <w:t>.</w:t>
      </w:r>
      <w:r>
        <w:rPr>
          <w:rFonts w:ascii="宋体" w:hAnsi="宋体" w:cs="宋体" w:eastAsia="宋体" w:hint="default"/>
          <w:b/>
          <w:bCs/>
          <w:sz w:val="21"/>
          <w:szCs w:val="21"/>
        </w:rPr>
        <w:t>无形资产的后续计量</w:t>
      </w:r>
      <w:r>
        <w:rPr>
          <w:rFonts w:ascii="宋体" w:hAnsi="宋体" w:cs="宋体" w:eastAsia="宋体" w:hint="default"/>
          <w:b/>
          <w:bCs/>
          <w:w w:val="99"/>
          <w:sz w:val="21"/>
          <w:szCs w:val="21"/>
        </w:rPr>
        <w:t> </w:t>
      </w:r>
      <w:r>
        <w:rPr>
          <w:rFonts w:ascii="宋体" w:hAnsi="宋体" w:cs="宋体" w:eastAsia="宋体" w:hint="default"/>
          <w:sz w:val="21"/>
          <w:szCs w:val="21"/>
        </w:rPr>
        <w:t>公司在取得无形资产时分析判断其使用寿命，划分为使用寿命有限和使用寿命不确定的无形资产。</w:t>
      </w:r>
    </w:p>
    <w:p>
      <w:pPr>
        <w:pStyle w:val="BodyText"/>
        <w:spacing w:line="348" w:lineRule="auto" w:before="38"/>
        <w:ind w:left="1553" w:right="0"/>
        <w:jc w:val="left"/>
      </w:pPr>
      <w:r>
        <w:rPr/>
        <w:t>（</w:t>
      </w:r>
      <w:r>
        <w:rPr>
          <w:rFonts w:ascii="宋体" w:hAnsi="宋体" w:cs="宋体" w:eastAsia="宋体" w:hint="default"/>
        </w:rPr>
        <w:t>1</w:t>
      </w:r>
      <w:r>
        <w:rPr/>
        <w:t>）使用寿命有限的无形资产 </w:t>
      </w:r>
      <w:r>
        <w:rPr>
          <w:spacing w:val="-1"/>
        </w:rPr>
        <w:t>对于使用寿命有限的无形资产，在为企业带来经济利益的期限内按直线法摊销。使用寿命有限的无形</w:t>
      </w:r>
    </w:p>
    <w:p>
      <w:pPr>
        <w:pStyle w:val="BodyText"/>
        <w:spacing w:line="240" w:lineRule="auto" w:before="31"/>
        <w:ind w:right="0"/>
        <w:jc w:val="left"/>
      </w:pPr>
      <w:r>
        <w:rPr/>
        <w:t>资产预计寿命及依据如下：</w:t>
      </w:r>
    </w:p>
    <w:p>
      <w:pPr>
        <w:spacing w:line="240" w:lineRule="auto" w:before="10"/>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3262"/>
        <w:gridCol w:w="3118"/>
        <w:gridCol w:w="3261"/>
      </w:tblGrid>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软件及软件著作权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宋体" w:hAnsi="宋体" w:cs="宋体" w:eastAsia="宋体" w:hint="default"/>
                <w:sz w:val="18"/>
                <w:szCs w:val="18"/>
              </w:rPr>
              <w:t>年</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bl>
    <w:p>
      <w:pPr>
        <w:pStyle w:val="BodyText"/>
        <w:spacing w:line="348" w:lineRule="auto" w:before="75"/>
        <w:ind w:left="1134" w:right="1092" w:firstLine="420"/>
        <w:jc w:val="left"/>
      </w:pPr>
      <w:r>
        <w:rPr/>
        <w:t>每期末，对使用寿命有限的无形资产的使用寿命及摊销方法进行复核，如与原先估计数存在差异的， 进行相应的调整。</w:t>
      </w:r>
    </w:p>
    <w:p>
      <w:pPr>
        <w:pStyle w:val="BodyText"/>
        <w:spacing w:line="331" w:lineRule="auto" w:before="30"/>
        <w:ind w:left="1553" w:right="0"/>
        <w:jc w:val="left"/>
      </w:pPr>
      <w:r>
        <w:rPr/>
        <w:t>（</w:t>
      </w:r>
      <w:r>
        <w:rPr>
          <w:rFonts w:ascii="Times New Roman" w:hAnsi="Times New Roman" w:cs="Times New Roman" w:eastAsia="Times New Roman" w:hint="default"/>
        </w:rPr>
        <w:t>2</w:t>
      </w:r>
      <w:r>
        <w:rPr/>
        <w:t>）使用寿命不确定的无形资产 </w:t>
      </w:r>
      <w:r>
        <w:rPr>
          <w:spacing w:val="-1"/>
        </w:rPr>
        <w:t>无法预见无形资产为企业带来经济利益期限的，视为使用寿命不确定的无形资产。对于使用寿命不确</w:t>
      </w:r>
    </w:p>
    <w:p>
      <w:pPr>
        <w:pStyle w:val="BodyText"/>
        <w:spacing w:line="348" w:lineRule="auto" w:before="45"/>
        <w:ind w:right="0"/>
        <w:jc w:val="left"/>
      </w:pPr>
      <w:r>
        <w:rPr>
          <w:spacing w:val="-1"/>
        </w:rPr>
        <w:t>定的无形资产，在持有期间内不摊销，每期末对无形资产的寿命进行复核。如果期末重新复核后仍为不确</w:t>
      </w:r>
      <w:r>
        <w:rPr>
          <w:spacing w:val="-83"/>
        </w:rPr>
        <w:t> </w:t>
      </w:r>
      <w:r>
        <w:rPr>
          <w:spacing w:val="-83"/>
        </w:rPr>
      </w:r>
      <w:r>
        <w:rPr/>
        <w:t>定的，在每个会计期间继续进行减值测试。</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2）内部研究开发支出会计政策" w:id="202"/>
      <w:bookmarkEnd w:id="20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1"/>
          <w:szCs w:val="31"/>
        </w:rPr>
      </w:pPr>
    </w:p>
    <w:p>
      <w:pPr>
        <w:spacing w:line="328" w:lineRule="auto" w:before="0"/>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1"/>
          <w:sz w:val="21"/>
          <w:szCs w:val="21"/>
        </w:rPr>
        <w:t>研究阶段：为研发项目而进行的前期市场调研和项目可行性论证的阶段，公司以《研发项目立项申请</w:t>
      </w:r>
    </w:p>
    <w:p>
      <w:pPr>
        <w:pStyle w:val="BodyText"/>
        <w:spacing w:line="350" w:lineRule="auto" w:before="47"/>
        <w:ind w:left="1553" w:right="0" w:hanging="420"/>
        <w:jc w:val="left"/>
      </w:pPr>
      <w:r>
        <w:rPr/>
        <w:t>书》上项目立项申请审核通过时间作为研发项目进入研究阶段的标准。 </w:t>
      </w:r>
      <w:r>
        <w:rPr>
          <w:spacing w:val="-1"/>
        </w:rPr>
        <w:t>开发阶段：研发项目经审批正式确认立项后即进入开发阶段，开发阶段以《项目立项报告》上的立项</w:t>
      </w:r>
    </w:p>
    <w:p>
      <w:pPr>
        <w:pStyle w:val="BodyText"/>
        <w:spacing w:line="343" w:lineRule="auto" w:before="28"/>
        <w:ind w:left="1553" w:right="3403" w:hanging="420"/>
        <w:jc w:val="left"/>
      </w:pPr>
      <w:r>
        <w:rPr/>
        <w:t>时间作为进入开发阶段的标准。 内部研究开发项目研究阶段的支出，在发生时计入当期损益。 </w:t>
      </w:r>
      <w:r>
        <w:rPr>
          <w:rFonts w:ascii="Times New Roman" w:hAnsi="Times New Roman" w:cs="Times New Roman" w:eastAsia="Times New Roman"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w:t>
      </w:r>
    </w:p>
    <w:p>
      <w:pPr>
        <w:pStyle w:val="BodyText"/>
        <w:spacing w:line="240" w:lineRule="auto" w:before="35"/>
        <w:ind w:left="155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0"/>
        <w:ind w:left="155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40" w:lineRule="auto" w:before="109"/>
        <w:ind w:left="1553"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自身存在市场，无形资产将在内部使用的，能够证明其有用性；</w:t>
      </w:r>
    </w:p>
    <w:p>
      <w:pPr>
        <w:pStyle w:val="BodyText"/>
        <w:spacing w:line="331" w:lineRule="auto" w:before="124"/>
        <w:ind w:right="1215"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328" w:lineRule="auto" w:before="45"/>
        <w:ind w:left="1553" w:right="1303"/>
        <w:jc w:val="left"/>
      </w:pPr>
      <w:r>
        <w:rPr/>
        <w:t>（</w:t>
      </w:r>
      <w:r>
        <w:rPr>
          <w:rFonts w:ascii="Times New Roman" w:hAnsi="Times New Roman" w:cs="Times New Roman" w:eastAsia="Times New Roman" w:hint="default"/>
        </w:rPr>
        <w:t>5</w:t>
      </w:r>
      <w:r>
        <w:rPr/>
        <w:t>）归属于该无形资产开发阶段的支出能够可靠地计量。 内部研究开发支出的资本化时点：开发项目在通过前期市场调研和项目可行性论证并报经公司批准</w:t>
      </w:r>
    </w:p>
    <w:p>
      <w:pPr>
        <w:pStyle w:val="BodyText"/>
        <w:spacing w:line="328" w:lineRule="auto" w:before="48"/>
        <w:ind w:right="1024"/>
        <w:jc w:val="left"/>
      </w:pPr>
      <w:r>
        <w:rPr>
          <w:rFonts w:ascii="Times New Roman" w:hAnsi="Times New Roman" w:cs="Times New Roman" w:eastAsia="Times New Roman" w:hint="default"/>
        </w:rPr>
        <w:t>“</w:t>
      </w:r>
      <w:r>
        <w:rPr/>
        <w:t>项目立项</w:t>
      </w:r>
      <w:r>
        <w:rPr>
          <w:rFonts w:ascii="Times New Roman" w:hAnsi="Times New Roman" w:cs="Times New Roman" w:eastAsia="Times New Roman" w:hint="default"/>
        </w:rPr>
        <w:t>”</w:t>
      </w:r>
      <w:r>
        <w:rPr/>
        <w:t>后即进入开发阶段，开发阶段以《项目立项报告》上的立项时间作为项目资本化的时点，整个 </w:t>
      </w:r>
      <w:r>
        <w:rPr>
          <w:spacing w:val="-3"/>
        </w:rPr>
        <w:t>开发阶段分为项目立项、项目开发、项目验收、项目发布四个阶段。在项目完成验收之后确认为无形资产。</w:t>
      </w:r>
    </w:p>
    <w:p>
      <w:pPr>
        <w:pStyle w:val="BodyText"/>
        <w:spacing w:line="350" w:lineRule="auto" w:before="47"/>
        <w:ind w:right="1131" w:firstLine="420"/>
        <w:jc w:val="both"/>
      </w:pPr>
      <w:r>
        <w:rPr>
          <w:spacing w:val="-1"/>
        </w:rPr>
        <w:t>不满足上述条件的开发阶段的支出，于发生时计入当期损益。以前期间已计入损益的开发支出不在以</w:t>
      </w:r>
      <w:r>
        <w:rPr/>
        <w:t> </w:t>
      </w: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spacing w:line="240" w:lineRule="auto" w:before="4"/>
        <w:rPr>
          <w:rFonts w:ascii="宋体" w:hAnsi="宋体" w:cs="宋体" w:eastAsia="宋体" w:hint="default"/>
          <w:sz w:val="18"/>
          <w:szCs w:val="18"/>
        </w:rPr>
      </w:pPr>
    </w:p>
    <w:p>
      <w:pPr>
        <w:pStyle w:val="Heading3"/>
        <w:spacing w:line="240" w:lineRule="auto"/>
        <w:ind w:left="1133" w:right="0"/>
        <w:jc w:val="left"/>
        <w:rPr>
          <w:b w:val="0"/>
          <w:bCs w:val="0"/>
        </w:rPr>
      </w:pPr>
      <w:bookmarkStart w:name="19、长期资产减值" w:id="203"/>
      <w:bookmarkEnd w:id="203"/>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6"/>
        <w:rPr>
          <w:rFonts w:ascii="宋体" w:hAnsi="宋体" w:cs="宋体" w:eastAsia="宋体" w:hint="default"/>
          <w:b/>
          <w:bCs/>
          <w:sz w:val="31"/>
          <w:szCs w:val="31"/>
        </w:rPr>
      </w:pPr>
    </w:p>
    <w:p>
      <w:pPr>
        <w:pStyle w:val="BodyText"/>
        <w:spacing w:line="350" w:lineRule="auto"/>
        <w:ind w:left="1134" w:right="1131" w:firstLine="420"/>
        <w:jc w:val="both"/>
      </w:pPr>
      <w:r>
        <w:rPr>
          <w:spacing w:val="-1"/>
        </w:rPr>
        <w:t>公司在资产负债表日判断长期资产是否存在可能发生减值的迹象。如果长期资产存在减值迹象的，以</w:t>
      </w:r>
      <w:r>
        <w:rPr/>
        <w:t> </w:t>
      </w:r>
      <w:r>
        <w:rPr>
          <w:spacing w:val="-1"/>
        </w:rPr>
        <w:t>单项资产为基础估计其可收回金额；难以对单项资产的可收回金额进行估计的，以该资产所属的资产组为</w:t>
      </w:r>
      <w:r>
        <w:rPr>
          <w:spacing w:val="-81"/>
        </w:rPr>
        <w:t> </w:t>
      </w:r>
      <w:r>
        <w:rPr>
          <w:spacing w:val="-81"/>
        </w:rPr>
      </w:r>
      <w:r>
        <w:rPr/>
        <w:t>基础确定资产组的可收回金额。</w:t>
      </w:r>
    </w:p>
    <w:p>
      <w:pPr>
        <w:pStyle w:val="BodyText"/>
        <w:spacing w:line="350" w:lineRule="auto" w:before="28"/>
        <w:ind w:left="1134" w:right="1132" w:firstLine="420"/>
        <w:jc w:val="both"/>
      </w:pPr>
      <w:r>
        <w:rPr>
          <w:spacing w:val="-1"/>
        </w:rPr>
        <w:t>资产可收回金额的估计，根据其公允价值减去处置费用后的净额与资产预计未来现金流量的现值两者</w:t>
      </w:r>
      <w:r>
        <w:rPr/>
        <w:t> 之间较高者确定。</w:t>
      </w:r>
    </w:p>
    <w:p>
      <w:pPr>
        <w:pStyle w:val="BodyText"/>
        <w:spacing w:line="350" w:lineRule="auto" w:before="28"/>
        <w:ind w:left="1134" w:right="1131" w:firstLine="420"/>
        <w:jc w:val="both"/>
      </w:pPr>
      <w:r>
        <w:rPr>
          <w:spacing w:val="-1"/>
        </w:rPr>
        <w:t>可收回金额的计量结果表明，长期资产的可收回金额低于其账面价值的，将长期资产的账面价值减记</w:t>
      </w:r>
      <w:r>
        <w:rPr/>
        <w:t> </w:t>
      </w:r>
      <w:r>
        <w:rPr>
          <w:spacing w:val="-1"/>
        </w:rPr>
        <w:t>至可收回金额，减记的金额确认为资产减值损失，计入当期损益，同时计提相应的资产减值准备。资产减</w:t>
      </w:r>
      <w:r>
        <w:rPr>
          <w:spacing w:val="-86"/>
        </w:rPr>
        <w:t> </w:t>
      </w:r>
      <w:r>
        <w:rPr>
          <w:spacing w:val="-86"/>
        </w:rPr>
      </w:r>
      <w:r>
        <w:rPr/>
        <w:t>值损失一经确认，在以后会计期间不得转回。</w:t>
      </w:r>
    </w:p>
    <w:p>
      <w:pPr>
        <w:pStyle w:val="BodyText"/>
        <w:spacing w:line="348" w:lineRule="auto" w:before="28"/>
        <w:ind w:left="1134" w:right="1131" w:firstLine="420"/>
        <w:jc w:val="both"/>
      </w:pPr>
      <w:r>
        <w:rPr>
          <w:spacing w:val="-1"/>
        </w:rPr>
        <w:t>资产减值损失确认后，减值资产的折旧或者摊销费用在未来期间作相应调整，以使该资产在剩余使用</w:t>
      </w:r>
      <w:r>
        <w:rPr/>
        <w:t> 寿命内，系统地分摊调整后的资产账面价值（扣除预计净残值）。</w:t>
      </w:r>
    </w:p>
    <w:p>
      <w:pPr>
        <w:pStyle w:val="BodyText"/>
        <w:spacing w:line="348" w:lineRule="auto" w:before="31"/>
        <w:ind w:right="1131" w:firstLine="420"/>
        <w:jc w:val="both"/>
      </w:pPr>
      <w:r>
        <w:rPr>
          <w:spacing w:val="-1"/>
        </w:rPr>
        <w:t>因企业合并所形成的商誉和使用寿命不确定的无形资产，无论是否存在减值迹象，每年都进行减值测</w:t>
      </w:r>
      <w:r>
        <w:rPr/>
        <w:t> 试。</w:t>
      </w:r>
    </w:p>
    <w:p>
      <w:pPr>
        <w:pStyle w:val="BodyText"/>
        <w:spacing w:line="350" w:lineRule="auto" w:before="30"/>
        <w:ind w:left="1134" w:right="1131" w:firstLine="420"/>
        <w:jc w:val="both"/>
      </w:pPr>
      <w:r>
        <w:rPr>
          <w:spacing w:val="-1"/>
        </w:rPr>
        <w:t>在对商誉进行减值测试时，将商誉的账面价值分摊至预期从企业合并的协同效应中受益的资产组或资</w:t>
      </w:r>
      <w:r>
        <w:rPr/>
        <w:t> </w:t>
      </w:r>
      <w:r>
        <w:rPr>
          <w:spacing w:val="-1"/>
        </w:rPr>
        <w:t>产组组合。在对包含商誉的相关资产组或者资产组组合进行减值测试时，如与商誉相关的资产组或者资产</w:t>
      </w:r>
      <w:r>
        <w:rPr>
          <w:spacing w:val="-81"/>
        </w:rPr>
        <w:t> </w:t>
      </w:r>
      <w:r>
        <w:rPr>
          <w:spacing w:val="-81"/>
        </w:rPr>
      </w:r>
      <w:r>
        <w:rPr>
          <w:spacing w:val="-1"/>
        </w:rPr>
        <w:t>组组合存在减值迹象的，先对不包含商誉的资产组或者资产组组合进行减值测试，计算可收回金额，并与</w:t>
      </w:r>
      <w:r>
        <w:rPr>
          <w:spacing w:val="-83"/>
        </w:rPr>
        <w:t> </w:t>
      </w:r>
      <w:r>
        <w:rPr>
          <w:spacing w:val="-83"/>
        </w:rPr>
      </w:r>
      <w:r>
        <w:rPr>
          <w:spacing w:val="-1"/>
        </w:rPr>
        <w:t>相关账面价值相比较，确认相应的减值损失。再对包含商誉的资产组或者资产组组合进行减值测试，比较</w:t>
      </w:r>
      <w:r>
        <w:rPr>
          <w:spacing w:val="-83"/>
        </w:rPr>
        <w:t> </w:t>
      </w:r>
      <w:r>
        <w:rPr>
          <w:spacing w:val="-83"/>
        </w:rPr>
      </w:r>
      <w:r>
        <w:rPr>
          <w:spacing w:val="-1"/>
        </w:rPr>
        <w:t>这些相关资产组或者资产组组合的账面价值（包括所分摊的商誉的账面价值部分）与其可收回金额，如相</w:t>
      </w:r>
      <w:r>
        <w:rPr>
          <w:spacing w:val="-83"/>
        </w:rPr>
        <w:t> </w:t>
      </w:r>
      <w:r>
        <w:rPr>
          <w:spacing w:val="-83"/>
        </w:rPr>
      </w:r>
      <w:r>
        <w:rPr/>
        <w:t>关资产组或者资产组组合的可收回金额低于其账面价值的，确认商誉的减值损失。</w:t>
      </w:r>
    </w:p>
    <w:p>
      <w:pPr>
        <w:spacing w:line="240" w:lineRule="auto" w:before="4"/>
        <w:rPr>
          <w:rFonts w:ascii="宋体" w:hAnsi="宋体" w:cs="宋体" w:eastAsia="宋体" w:hint="default"/>
          <w:sz w:val="18"/>
          <w:szCs w:val="18"/>
        </w:rPr>
      </w:pPr>
    </w:p>
    <w:p>
      <w:pPr>
        <w:pStyle w:val="Heading3"/>
        <w:spacing w:line="240" w:lineRule="auto"/>
        <w:ind w:left="1133" w:right="0"/>
        <w:jc w:val="left"/>
        <w:rPr>
          <w:b w:val="0"/>
          <w:bCs w:val="0"/>
        </w:rPr>
      </w:pPr>
      <w:bookmarkStart w:name="20、 长期待摊费用" w:id="204"/>
      <w:bookmarkEnd w:id="204"/>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6"/>
        <w:rPr>
          <w:rFonts w:ascii="宋体" w:hAnsi="宋体" w:cs="宋体" w:eastAsia="宋体" w:hint="default"/>
          <w:b/>
          <w:bCs/>
          <w:sz w:val="31"/>
          <w:szCs w:val="31"/>
        </w:rPr>
      </w:pPr>
    </w:p>
    <w:p>
      <w:pPr>
        <w:pStyle w:val="BodyText"/>
        <w:spacing w:line="350" w:lineRule="auto"/>
        <w:ind w:left="1554" w:right="1197" w:firstLine="2"/>
        <w:jc w:val="left"/>
      </w:pPr>
      <w:r>
        <w:rPr>
          <w:rFonts w:ascii="宋体" w:hAnsi="宋体" w:cs="宋体" w:eastAsia="宋体" w:hint="default"/>
          <w:b/>
          <w:bCs/>
        </w:rPr>
        <w:t>1.</w:t>
      </w:r>
      <w:r>
        <w:rPr>
          <w:rFonts w:ascii="宋体" w:hAnsi="宋体" w:cs="宋体" w:eastAsia="宋体" w:hint="default"/>
          <w:b/>
          <w:bCs/>
        </w:rPr>
        <w:t>摊销方法</w:t>
      </w:r>
      <w:r>
        <w:rPr>
          <w:rFonts w:ascii="宋体" w:hAnsi="宋体" w:cs="宋体" w:eastAsia="宋体" w:hint="default"/>
          <w:b/>
          <w:bCs/>
          <w:w w:val="99"/>
        </w:rPr>
        <w:t> </w:t>
      </w:r>
      <w:r>
        <w:rPr/>
        <w:t>长期待摊费用，是指公司已经发生但应由本期和以后各期负担的分摊期限在</w:t>
      </w:r>
      <w:r>
        <w:rPr>
          <w:rFonts w:ascii="Times New Roman" w:hAnsi="Times New Roman" w:cs="Times New Roman" w:eastAsia="Times New Roman" w:hint="default"/>
        </w:rPr>
        <w:t>1</w:t>
      </w:r>
      <w:r>
        <w:rPr/>
        <w:t>年以上的各项费用。长</w:t>
      </w:r>
    </w:p>
    <w:p>
      <w:pPr>
        <w:spacing w:after="0" w:line="35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131"/>
        <w:jc w:val="both"/>
      </w:pPr>
      <w:r>
        <w:rPr>
          <w:spacing w:val="-1"/>
        </w:rPr>
        <w:t>期待摊费用按发生时的实际成本计价，并在受益期限内平均摊销。如果长期待摊费用项目不能使以后会计</w:t>
      </w:r>
      <w:r>
        <w:rPr>
          <w:spacing w:val="-81"/>
        </w:rPr>
        <w:t> </w:t>
      </w:r>
      <w:r>
        <w:rPr>
          <w:spacing w:val="-81"/>
        </w:rPr>
      </w:r>
      <w:r>
        <w:rPr/>
        <w:t>期间受益的，则将尚未摊销的该项目的摊余价值全部转入当期损益。</w:t>
      </w:r>
    </w:p>
    <w:p>
      <w:pPr>
        <w:pStyle w:val="Heading3"/>
        <w:spacing w:line="240" w:lineRule="auto" w:before="31"/>
        <w:ind w:left="1556" w:right="0"/>
        <w:jc w:val="left"/>
        <w:rPr>
          <w:b w:val="0"/>
          <w:bCs w:val="0"/>
        </w:rPr>
      </w:pPr>
      <w:r>
        <w:rPr>
          <w:rFonts w:ascii="Times New Roman" w:hAnsi="Times New Roman" w:cs="Times New Roman" w:eastAsia="Times New Roman" w:hint="default"/>
        </w:rPr>
        <w:t>2.</w:t>
      </w:r>
      <w:r>
        <w:rPr/>
        <w:t>摊销年限</w:t>
      </w:r>
      <w:r>
        <w:rPr>
          <w:b w:val="0"/>
          <w:bCs w:val="0"/>
        </w:rPr>
      </w:r>
    </w:p>
    <w:p>
      <w:pPr>
        <w:pStyle w:val="BodyText"/>
        <w:spacing w:line="240" w:lineRule="auto" w:before="109"/>
        <w:ind w:left="1553" w:right="0"/>
        <w:jc w:val="left"/>
      </w:pPr>
      <w:r>
        <w:rPr/>
        <w:t>（</w:t>
      </w:r>
      <w:r>
        <w:rPr>
          <w:rFonts w:ascii="Times New Roman" w:hAnsi="Times New Roman" w:cs="Times New Roman" w:eastAsia="Times New Roman" w:hint="default"/>
        </w:rPr>
        <w:t>1</w:t>
      </w:r>
      <w:r>
        <w:rPr/>
        <w:t>）房屋装修费按</w:t>
      </w:r>
      <w:r>
        <w:rPr>
          <w:rFonts w:ascii="Times New Roman" w:hAnsi="Times New Roman" w:cs="Times New Roman" w:eastAsia="Times New Roman" w:hint="default"/>
        </w:rPr>
        <w:t>5</w:t>
      </w:r>
      <w:r>
        <w:rPr/>
        <w:t>年平均摊销；</w:t>
      </w:r>
    </w:p>
    <w:p>
      <w:pPr>
        <w:pStyle w:val="BodyText"/>
        <w:spacing w:line="240" w:lineRule="auto" w:before="109"/>
        <w:ind w:left="1553" w:right="0"/>
        <w:jc w:val="left"/>
      </w:pPr>
      <w:r>
        <w:rPr/>
        <w:t>（</w:t>
      </w:r>
      <w:r>
        <w:rPr>
          <w:rFonts w:ascii="Times New Roman" w:hAnsi="Times New Roman" w:cs="Times New Roman" w:eastAsia="Times New Roman" w:hint="default"/>
        </w:rPr>
        <w:t>2</w:t>
      </w:r>
      <w:r>
        <w:rPr/>
        <w:t>）预付经营租入固定资产的租金，按租赁合同规定的期限平均摊销；</w:t>
      </w:r>
    </w:p>
    <w:p>
      <w:pPr>
        <w:pStyle w:val="BodyText"/>
        <w:spacing w:line="328" w:lineRule="auto" w:before="110"/>
        <w:ind w:left="1134" w:right="1197" w:firstLine="420"/>
        <w:jc w:val="left"/>
      </w:pPr>
      <w:r>
        <w:rPr/>
        <w:t>（</w:t>
      </w:r>
      <w:r>
        <w:rPr>
          <w:rFonts w:ascii="Times New Roman" w:hAnsi="Times New Roman" w:cs="Times New Roman" w:eastAsia="Times New Roman" w:hint="default"/>
        </w:rPr>
        <w:t>3</w:t>
      </w:r>
      <w:r>
        <w:rPr/>
        <w:t>）经营租赁方式租入的固定资产改良支出，按剩余租赁期与租赁资产尚可使用年限两者中较短的 期限平均摊销。</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21、职工薪酬" w:id="205"/>
      <w:bookmarkEnd w:id="205"/>
      <w:r>
        <w:rPr>
          <w:b w:val="0"/>
          <w:bCs w:val="0"/>
        </w:rPr>
      </w:r>
      <w:r>
        <w:rPr>
          <w:rFonts w:ascii="Times New Roman" w:hAnsi="Times New Roman" w:cs="Times New Roman" w:eastAsia="Times New Roman" w:hint="default"/>
        </w:rPr>
        <w:t>21</w:t>
      </w:r>
      <w:r>
        <w:rPr/>
        <w:t>、职工薪酬</w:t>
      </w:r>
      <w:r>
        <w:rPr>
          <w:b w:val="0"/>
          <w:bCs w:val="0"/>
        </w:rPr>
      </w:r>
    </w:p>
    <w:p>
      <w:pPr>
        <w:spacing w:line="702" w:lineRule="exact" w:before="6"/>
        <w:ind w:left="1554" w:right="1302" w:hanging="420"/>
        <w:jc w:val="left"/>
        <w:rPr>
          <w:rFonts w:ascii="宋体" w:hAnsi="宋体" w:cs="宋体" w:eastAsia="宋体" w:hint="default"/>
          <w:sz w:val="21"/>
          <w:szCs w:val="21"/>
        </w:rPr>
      </w:pPr>
      <w:bookmarkStart w:name="（1）短期薪酬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短期薪酬是指公司在职工提供相关服务的年度报告期间结束后十二个月内需要全部予以支付的职工</w:t>
      </w:r>
    </w:p>
    <w:p>
      <w:pPr>
        <w:pStyle w:val="BodyText"/>
        <w:spacing w:line="348" w:lineRule="auto" w:before="15"/>
        <w:ind w:left="1134" w:right="1133"/>
        <w:jc w:val="both"/>
      </w:pPr>
      <w:r>
        <w:rPr>
          <w:spacing w:val="-1"/>
        </w:rPr>
        <w:t>薪酬，离职后福利和辞退福利除外。公司在职工提供服务的会计期间，将应付的短期薪酬确认为负债，并</w:t>
      </w:r>
      <w:r>
        <w:rPr>
          <w:spacing w:val="-85"/>
        </w:rPr>
        <w:t> </w:t>
      </w:r>
      <w:r>
        <w:rPr>
          <w:spacing w:val="-85"/>
        </w:rPr>
      </w:r>
      <w:r>
        <w:rPr/>
        <w:t>根据职工提供服务的受益对象计入相关资产成本和费用。</w:t>
      </w:r>
    </w:p>
    <w:p>
      <w:pPr>
        <w:spacing w:line="240" w:lineRule="auto" w:before="6"/>
        <w:rPr>
          <w:rFonts w:ascii="宋体" w:hAnsi="宋体" w:cs="宋体" w:eastAsia="宋体" w:hint="default"/>
          <w:sz w:val="18"/>
          <w:szCs w:val="18"/>
        </w:rPr>
      </w:pPr>
    </w:p>
    <w:p>
      <w:pPr>
        <w:pStyle w:val="Heading3"/>
        <w:spacing w:line="240" w:lineRule="auto"/>
        <w:ind w:left="1133" w:right="0"/>
        <w:jc w:val="left"/>
        <w:rPr>
          <w:b w:val="0"/>
          <w:bCs w:val="0"/>
        </w:rPr>
      </w:pPr>
      <w:bookmarkStart w:name="（2）离职后福利的会计处理方法" w:id="207"/>
      <w:bookmarkEnd w:id="20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1"/>
          <w:szCs w:val="31"/>
        </w:rPr>
      </w:pPr>
    </w:p>
    <w:p>
      <w:pPr>
        <w:pStyle w:val="BodyText"/>
        <w:spacing w:line="350" w:lineRule="auto"/>
        <w:ind w:right="0" w:firstLine="420"/>
        <w:jc w:val="left"/>
      </w:pPr>
      <w:r>
        <w:rPr>
          <w:spacing w:val="-1"/>
        </w:rPr>
        <w:t>离职后福利是指公司为获得职工提供的服务而在职工退休或与企业解除劳动关系后，提供的各种形式</w:t>
      </w:r>
      <w:r>
        <w:rPr/>
        <w:t> 的报酬和福利，短期薪酬和辞退福利除外。</w:t>
      </w:r>
    </w:p>
    <w:p>
      <w:pPr>
        <w:pStyle w:val="BodyText"/>
        <w:spacing w:line="350" w:lineRule="auto" w:before="28"/>
        <w:ind w:left="1553" w:right="0"/>
        <w:jc w:val="left"/>
      </w:pPr>
      <w:r>
        <w:rPr/>
        <w:t>公司的离职后福利计划分类为设定提存计划和设定受益计划。 </w:t>
      </w:r>
      <w:r>
        <w:rPr>
          <w:spacing w:val="-1"/>
        </w:rPr>
        <w:t>离职后福利设定提存计划主要为参加由各地劳动及社会保障机构组织实施的社会基本养老保险、失业</w:t>
      </w:r>
    </w:p>
    <w:p>
      <w:pPr>
        <w:pStyle w:val="BodyText"/>
        <w:spacing w:line="348" w:lineRule="auto" w:before="28"/>
        <w:ind w:right="1131"/>
        <w:jc w:val="both"/>
      </w:pPr>
      <w:r>
        <w:rPr>
          <w:spacing w:val="-1"/>
        </w:rPr>
        <w:t>保险等。在职工为公司提供服务的会计期间，将根据设定提存计划计算的应缴存金额确认为负债，并计入</w:t>
      </w:r>
      <w:r>
        <w:rPr>
          <w:spacing w:val="-83"/>
        </w:rPr>
        <w:t> </w:t>
      </w:r>
      <w:r>
        <w:rPr>
          <w:spacing w:val="-83"/>
        </w:rPr>
      </w:r>
      <w:r>
        <w:rPr/>
        <w:t>当期损益或相关资产成本。</w:t>
      </w:r>
    </w:p>
    <w:p>
      <w:pPr>
        <w:pStyle w:val="BodyText"/>
        <w:spacing w:line="240" w:lineRule="auto" w:before="31"/>
        <w:ind w:left="1553" w:right="0"/>
        <w:jc w:val="left"/>
      </w:pPr>
      <w:r>
        <w:rPr/>
        <w:t>公司按照国家规定的标准定期缴付上述款项后，不再有其他的支付义务。</w:t>
      </w:r>
    </w:p>
    <w:p>
      <w:pPr>
        <w:spacing w:line="702" w:lineRule="exact" w:before="19"/>
        <w:ind w:left="1553" w:right="0" w:hanging="420"/>
        <w:jc w:val="left"/>
        <w:rPr>
          <w:rFonts w:ascii="宋体" w:hAnsi="宋体" w:cs="宋体" w:eastAsia="宋体" w:hint="default"/>
          <w:sz w:val="21"/>
          <w:szCs w:val="21"/>
        </w:rPr>
      </w:pPr>
      <w:bookmarkStart w:name="（3）辞退福利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辞退福利是指公司在职工劳动合同到期之前解除与职工的劳动关系，或者为鼓励职工自愿接受裁减而</w:t>
      </w:r>
    </w:p>
    <w:p>
      <w:pPr>
        <w:pStyle w:val="BodyText"/>
        <w:spacing w:line="350" w:lineRule="auto" w:before="14"/>
        <w:ind w:right="1131"/>
        <w:jc w:val="both"/>
      </w:pPr>
      <w:r>
        <w:rPr>
          <w:spacing w:val="-1"/>
        </w:rPr>
        <w:t>给予职工的补偿，在公司不能单方面撤回解除劳动关系计划或裁减建议时和确认与涉及支付辞退福利的重</w:t>
      </w:r>
      <w:r>
        <w:rPr>
          <w:spacing w:val="-81"/>
        </w:rPr>
        <w:t> </w:t>
      </w:r>
      <w:r>
        <w:rPr>
          <w:spacing w:val="-81"/>
        </w:rPr>
      </w:r>
      <w:r>
        <w:rPr>
          <w:spacing w:val="-1"/>
        </w:rPr>
        <w:t>组相关的成本费用时两者孰早日，确认因解除与职工的劳动关系给予补偿而产生的负债，同时计入当期损</w:t>
      </w:r>
      <w:r>
        <w:rPr>
          <w:spacing w:val="-81"/>
        </w:rPr>
        <w:t> </w:t>
      </w:r>
      <w:r>
        <w:rPr>
          <w:spacing w:val="-81"/>
        </w:rPr>
      </w:r>
      <w:r>
        <w:rPr/>
        <w:t>益。</w:t>
      </w:r>
    </w:p>
    <w:p>
      <w:pPr>
        <w:pStyle w:val="BodyText"/>
        <w:spacing w:line="350" w:lineRule="auto" w:before="28"/>
        <w:ind w:left="1134" w:right="1130" w:firstLine="420"/>
        <w:jc w:val="both"/>
      </w:pPr>
      <w:r>
        <w:rPr>
          <w:spacing w:val="-1"/>
        </w:rPr>
        <w:t>公司向接受内部退休安排的职工提供内退福利。内退福利是指，向未达到国家规定的退休年龄、经公</w:t>
      </w:r>
      <w:r>
        <w:rPr/>
        <w:t> </w:t>
      </w:r>
      <w:r>
        <w:rPr>
          <w:spacing w:val="-1"/>
        </w:rPr>
        <w:t>司管理层批准自愿退出工作岗位的职工支付的工资及为其缴纳的社会保险费等。公司自内部退休安排开始</w:t>
      </w:r>
      <w:r>
        <w:rPr>
          <w:spacing w:val="-81"/>
        </w:rPr>
        <w:t> </w:t>
      </w:r>
      <w:r>
        <w:rPr>
          <w:spacing w:val="-81"/>
        </w:rPr>
      </w:r>
      <w:r>
        <w:rPr>
          <w:spacing w:val="-1"/>
        </w:rPr>
        <w:t>之日起至职工达到正常退休年龄止，向内退职工支付内部退养福利。对于内退福利，公司比照辞退福利进</w:t>
      </w:r>
      <w:r>
        <w:rPr>
          <w:spacing w:val="-83"/>
        </w:rPr>
        <w:t> </w:t>
      </w:r>
      <w:r>
        <w:rPr>
          <w:spacing w:val="-83"/>
        </w:rPr>
      </w:r>
      <w:r>
        <w:rPr>
          <w:spacing w:val="-1"/>
        </w:rPr>
        <w:t>行会计处理，在符合辞退福利相关确认条件时，将自职工停止提供服务日至正常退休日期间拟支付的内退</w:t>
      </w:r>
      <w:r>
        <w:rPr>
          <w:spacing w:val="-81"/>
        </w:rPr>
        <w:t> </w:t>
      </w:r>
      <w:r>
        <w:rPr>
          <w:spacing w:val="-81"/>
        </w:rPr>
      </w:r>
      <w:r>
        <w:rPr>
          <w:spacing w:val="-1"/>
        </w:rPr>
        <w:t>职工工资和缴纳的社会保险费等，确认为负债，一次性计入当期损益。内退福利的精算假设变化及福利标</w:t>
      </w:r>
    </w:p>
    <w:p>
      <w:pPr>
        <w:spacing w:after="0" w:line="350"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t>准调整引起的差异于发生时计入当期损益。</w:t>
      </w:r>
    </w:p>
    <w:p>
      <w:pPr>
        <w:spacing w:line="240" w:lineRule="auto" w:before="9"/>
        <w:rPr>
          <w:rFonts w:ascii="宋体" w:hAnsi="宋体" w:cs="宋体" w:eastAsia="宋体" w:hint="default"/>
          <w:sz w:val="25"/>
          <w:szCs w:val="25"/>
        </w:rPr>
      </w:pPr>
    </w:p>
    <w:p>
      <w:pPr>
        <w:pStyle w:val="Heading3"/>
        <w:spacing w:line="240" w:lineRule="auto"/>
        <w:ind w:left="1133" w:right="0"/>
        <w:jc w:val="both"/>
        <w:rPr>
          <w:b w:val="0"/>
          <w:bCs w:val="0"/>
        </w:rPr>
      </w:pPr>
      <w:bookmarkStart w:name="（4）其他长期职工福利的会计处理方法" w:id="209"/>
      <w:bookmarkEnd w:id="20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1"/>
          <w:szCs w:val="31"/>
        </w:rPr>
      </w:pPr>
    </w:p>
    <w:p>
      <w:pPr>
        <w:pStyle w:val="BodyText"/>
        <w:spacing w:line="350" w:lineRule="auto"/>
        <w:ind w:left="1553" w:right="0"/>
        <w:jc w:val="left"/>
      </w:pPr>
      <w:r>
        <w:rPr/>
        <w:t>其他长期职工福利是指除短期薪酬、离职后福利、辞退福利之外的其他所有职工福利。 </w:t>
      </w:r>
      <w:r>
        <w:rPr>
          <w:spacing w:val="-1"/>
        </w:rPr>
        <w:t>对符合设定提存计划条件的其他长期职工福利，在职工为公司提供服务的会计期间，将应缴存金额确</w:t>
      </w:r>
    </w:p>
    <w:p>
      <w:pPr>
        <w:pStyle w:val="BodyText"/>
        <w:spacing w:line="350" w:lineRule="auto" w:before="28"/>
        <w:ind w:right="1130"/>
        <w:jc w:val="both"/>
      </w:pPr>
      <w:r>
        <w:rPr>
          <w:spacing w:val="-1"/>
        </w:rPr>
        <w:t>认为负债，并计入当期损益或相关资产成本；除上述情形外的其他长期职工福利，在资产负债表日使用预</w:t>
      </w:r>
      <w:r>
        <w:rPr>
          <w:spacing w:val="-83"/>
        </w:rPr>
        <w:t> </w:t>
      </w:r>
      <w:r>
        <w:rPr>
          <w:spacing w:val="-83"/>
        </w:rPr>
      </w:r>
      <w:r>
        <w:rPr>
          <w:spacing w:val="-1"/>
        </w:rPr>
        <w:t>期累计福利单位法进行精算，将设定受益计划产生的福利义务归属于职工提供服务的期间，并计入当期损</w:t>
      </w:r>
      <w:r>
        <w:rPr>
          <w:spacing w:val="-81"/>
        </w:rPr>
        <w:t> </w:t>
      </w:r>
      <w:r>
        <w:rPr>
          <w:spacing w:val="-81"/>
        </w:rPr>
      </w:r>
      <w:r>
        <w:rPr/>
        <w:t>益或相关资产成本。</w:t>
      </w:r>
    </w:p>
    <w:p>
      <w:pPr>
        <w:spacing w:line="240" w:lineRule="auto" w:before="4"/>
        <w:rPr>
          <w:rFonts w:ascii="宋体" w:hAnsi="宋体" w:cs="宋体" w:eastAsia="宋体" w:hint="default"/>
          <w:sz w:val="18"/>
          <w:szCs w:val="18"/>
        </w:rPr>
      </w:pPr>
    </w:p>
    <w:p>
      <w:pPr>
        <w:pStyle w:val="Heading3"/>
        <w:spacing w:line="240" w:lineRule="auto"/>
        <w:ind w:left="1133" w:right="0"/>
        <w:jc w:val="both"/>
        <w:rPr>
          <w:b w:val="0"/>
          <w:bCs w:val="0"/>
        </w:rPr>
      </w:pPr>
      <w:bookmarkStart w:name="22、预计负债" w:id="210"/>
      <w:bookmarkEnd w:id="210"/>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6"/>
        <w:rPr>
          <w:rFonts w:ascii="宋体" w:hAnsi="宋体" w:cs="宋体" w:eastAsia="宋体" w:hint="default"/>
          <w:b/>
          <w:bCs/>
          <w:sz w:val="31"/>
          <w:szCs w:val="31"/>
        </w:rPr>
      </w:pPr>
    </w:p>
    <w:p>
      <w:pPr>
        <w:pStyle w:val="BodyText"/>
        <w:spacing w:line="345" w:lineRule="auto"/>
        <w:ind w:left="1553" w:right="4033" w:firstLine="2"/>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与或有事项相关的义务同时满足下列条件时，公司确认为预计负债： 该义务是公司承担的现时义务； 履行该义务很可能导致经济利益流出公司； 该义务的金额能够可靠地计量。</w:t>
      </w:r>
    </w:p>
    <w:p>
      <w:pPr>
        <w:spacing w:line="328" w:lineRule="auto" w:before="33"/>
        <w:ind w:left="1554" w:right="34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公司预计负债按履行相关现时义务所需的支出的最佳估计数进行初始计量。</w:t>
      </w:r>
    </w:p>
    <w:p>
      <w:pPr>
        <w:pStyle w:val="BodyText"/>
        <w:spacing w:line="350" w:lineRule="auto" w:before="47"/>
        <w:ind w:right="0" w:firstLine="420"/>
        <w:jc w:val="left"/>
      </w:pPr>
      <w:r>
        <w:rPr>
          <w:spacing w:val="-1"/>
        </w:rPr>
        <w:t>公司在确定最佳估计数时，综合考虑与或有事项有关的风险、不确定性和货币时间价值等因素。对于</w:t>
      </w:r>
      <w:r>
        <w:rPr/>
        <w:t> 货币时间价值影响重大的，通过对相关未来现金流出进行折现后确定最佳估计数。</w:t>
      </w:r>
    </w:p>
    <w:p>
      <w:pPr>
        <w:pStyle w:val="BodyText"/>
        <w:spacing w:line="348" w:lineRule="auto" w:before="28"/>
        <w:ind w:left="1553" w:right="0"/>
        <w:jc w:val="left"/>
      </w:pPr>
      <w:r>
        <w:rPr/>
        <w:t>最佳估计数分别以下情况处理： </w:t>
      </w:r>
      <w:r>
        <w:rPr>
          <w:spacing w:val="-1"/>
        </w:rPr>
        <w:t>所需支出存在一个连续范围（或区间），且该范围内各种结果发生的可能性相同的，则最佳估计数按</w:t>
      </w:r>
    </w:p>
    <w:p>
      <w:pPr>
        <w:pStyle w:val="BodyText"/>
        <w:spacing w:line="348" w:lineRule="auto" w:before="31"/>
        <w:ind w:left="1554"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350" w:lineRule="auto" w:before="30"/>
        <w:ind w:left="1134" w:right="1131"/>
        <w:jc w:val="both"/>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348" w:lineRule="auto" w:before="28"/>
        <w:ind w:right="0" w:firstLine="420"/>
        <w:jc w:val="left"/>
      </w:pPr>
      <w:r>
        <w:rPr>
          <w:spacing w:val="-1"/>
        </w:rPr>
        <w:t>公司清偿预计负债所需支出全部或部分预期由第三方补偿的，补偿金额在基本确定能够收到时，作为</w:t>
      </w:r>
      <w:r>
        <w:rPr/>
        <w:t> 资产单独确认，确认的补偿金额不超过预计负债的账面价值。</w:t>
      </w:r>
    </w:p>
    <w:p>
      <w:pPr>
        <w:spacing w:line="240" w:lineRule="auto" w:before="7"/>
        <w:rPr>
          <w:rFonts w:ascii="宋体" w:hAnsi="宋体" w:cs="宋体" w:eastAsia="宋体" w:hint="default"/>
          <w:sz w:val="18"/>
          <w:szCs w:val="18"/>
        </w:rPr>
      </w:pPr>
    </w:p>
    <w:p>
      <w:pPr>
        <w:pStyle w:val="Heading3"/>
        <w:spacing w:line="240" w:lineRule="auto"/>
        <w:ind w:left="1133" w:right="0"/>
        <w:jc w:val="both"/>
        <w:rPr>
          <w:b w:val="0"/>
          <w:bCs w:val="0"/>
        </w:rPr>
      </w:pPr>
      <w:bookmarkStart w:name="23、股份支付" w:id="211"/>
      <w:bookmarkEnd w:id="211"/>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6"/>
        <w:rPr>
          <w:rFonts w:ascii="宋体" w:hAnsi="宋体" w:cs="宋体" w:eastAsia="宋体" w:hint="default"/>
          <w:b/>
          <w:bCs/>
          <w:sz w:val="31"/>
          <w:szCs w:val="31"/>
        </w:rPr>
      </w:pPr>
    </w:p>
    <w:p>
      <w:pPr>
        <w:spacing w:line="340" w:lineRule="auto" w:before="0"/>
        <w:ind w:left="1554" w:right="382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公司的股份支付分为以权益结算的股份支付和以现金结算的股份支付。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BodyText"/>
        <w:spacing w:line="348" w:lineRule="auto" w:before="11"/>
        <w:ind w:right="0" w:firstLine="420"/>
        <w:jc w:val="left"/>
      </w:pPr>
      <w:r>
        <w:rPr>
          <w:spacing w:val="-1"/>
        </w:rPr>
        <w:t>对于授予的存在活跃市场的期权等权益工具，按照活跃市场中的报价确定其公允价值。对于授予的不</w:t>
      </w:r>
      <w:r>
        <w:rPr/>
        <w:t> </w:t>
      </w:r>
      <w:r>
        <w:rPr>
          <w:spacing w:val="-1"/>
        </w:rPr>
        <w:t>存在活跃市场的期权等权益工具，采用期权定价模型等确定其公允价值，选用的期权定价模型考虑以下因</w:t>
      </w:r>
    </w:p>
    <w:p>
      <w:pPr>
        <w:spacing w:after="0" w:line="34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right="0"/>
        <w:jc w:val="left"/>
      </w:pPr>
      <w:r>
        <w:rPr>
          <w:spacing w:val="-5"/>
        </w:rPr>
        <w:t>素：（</w:t>
      </w:r>
      <w:r>
        <w:rPr>
          <w:rFonts w:ascii="Times New Roman" w:hAnsi="Times New Roman" w:cs="Times New Roman" w:eastAsia="Times New Roman" w:hint="default"/>
          <w:spacing w:val="-5"/>
        </w:rPr>
        <w:t>1</w:t>
      </w:r>
      <w:r>
        <w:rPr>
          <w:spacing w:val="-5"/>
        </w:rPr>
        <w:t>）期权的行权价格；（</w:t>
      </w:r>
      <w:r>
        <w:rPr>
          <w:rFonts w:ascii="Times New Roman" w:hAnsi="Times New Roman" w:cs="Times New Roman" w:eastAsia="Times New Roman" w:hint="default"/>
          <w:spacing w:val="-5"/>
        </w:rPr>
        <w:t>2</w:t>
      </w:r>
      <w:r>
        <w:rPr>
          <w:spacing w:val="-5"/>
        </w:rPr>
        <w:t>）期权的有效期；（</w:t>
      </w:r>
      <w:r>
        <w:rPr>
          <w:rFonts w:ascii="Times New Roman" w:hAnsi="Times New Roman" w:cs="Times New Roman" w:eastAsia="Times New Roman" w:hint="default"/>
          <w:spacing w:val="-5"/>
        </w:rPr>
        <w:t>3</w:t>
      </w:r>
      <w:r>
        <w:rPr>
          <w:spacing w:val="-5"/>
        </w:rPr>
        <w:t>）标的股份的现行价格；（</w:t>
      </w:r>
      <w:r>
        <w:rPr>
          <w:rFonts w:ascii="Times New Roman" w:hAnsi="Times New Roman" w:cs="Times New Roman" w:eastAsia="Times New Roman" w:hint="default"/>
          <w:spacing w:val="-5"/>
        </w:rPr>
        <w:t>4</w:t>
      </w:r>
      <w:r>
        <w:rPr>
          <w:spacing w:val="-5"/>
        </w:rPr>
        <w:t>）股价预计波动率；（</w:t>
      </w:r>
      <w:r>
        <w:rPr>
          <w:rFonts w:ascii="Times New Roman" w:hAnsi="Times New Roman" w:cs="Times New Roman" w:eastAsia="Times New Roman" w:hint="default"/>
          <w:spacing w:val="-5"/>
        </w:rPr>
        <w:t>5</w:t>
      </w:r>
      <w:r>
        <w:rPr>
          <w:spacing w:val="-5"/>
        </w:rPr>
        <w:t>）</w:t>
      </w:r>
      <w:r>
        <w:rPr>
          <w:spacing w:val="-93"/>
        </w:rPr>
        <w:t> </w:t>
      </w:r>
      <w:r>
        <w:rPr/>
        <w:t>股份的预计股利；（</w:t>
      </w:r>
      <w:r>
        <w:rPr>
          <w:rFonts w:ascii="Times New Roman" w:hAnsi="Times New Roman" w:cs="Times New Roman" w:eastAsia="Times New Roman" w:hint="default"/>
        </w:rPr>
        <w:t>6</w:t>
      </w:r>
      <w:r>
        <w:rPr/>
        <w:t>）期权有效期内的无风险利率。</w:t>
      </w:r>
    </w:p>
    <w:p>
      <w:pPr>
        <w:pStyle w:val="BodyText"/>
        <w:spacing w:line="348" w:lineRule="auto" w:before="24"/>
        <w:ind w:right="1130" w:firstLine="420"/>
        <w:jc w:val="both"/>
      </w:pPr>
      <w:r>
        <w:rPr>
          <w:spacing w:val="-1"/>
        </w:rPr>
        <w:t>在确定权益工具授予日的公允价值时，考虑股份支付协议规定的可行权条件中的市场条件和非可行权</w:t>
      </w:r>
      <w:r>
        <w:rPr/>
        <w:t> </w:t>
      </w:r>
      <w:r>
        <w:rPr>
          <w:spacing w:val="-5"/>
        </w:rPr>
        <w:t>条件的影响。股份支付存在非可行权条件的，只要职工或其他方满足了所有可行权条件中的非市场条件（如</w:t>
      </w:r>
      <w:r>
        <w:rPr>
          <w:spacing w:val="-101"/>
        </w:rPr>
        <w:t> </w:t>
      </w:r>
      <w:r>
        <w:rPr>
          <w:spacing w:val="-101"/>
        </w:rPr>
      </w:r>
      <w:r>
        <w:rPr/>
        <w:t>服务期限等），即确认已得到服务相对应的成本费用。</w:t>
      </w:r>
    </w:p>
    <w:p>
      <w:pPr>
        <w:spacing w:line="328" w:lineRule="auto" w:before="31"/>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w w:val="99"/>
          <w:sz w:val="21"/>
          <w:szCs w:val="21"/>
        </w:rPr>
        <w:t> </w:t>
      </w:r>
      <w:r>
        <w:rPr>
          <w:rFonts w:ascii="宋体" w:hAnsi="宋体" w:cs="宋体" w:eastAsia="宋体" w:hint="default"/>
          <w:spacing w:val="-1"/>
          <w:sz w:val="21"/>
          <w:szCs w:val="21"/>
        </w:rPr>
        <w:t>等待期内每个资产负债表日，根据最新取得的可行权职工人数变动等后续信息作出最佳估计，修正预</w:t>
      </w:r>
    </w:p>
    <w:p>
      <w:pPr>
        <w:pStyle w:val="BodyText"/>
        <w:spacing w:line="340" w:lineRule="auto" w:before="47"/>
        <w:ind w:left="1554" w:right="1118" w:hanging="420"/>
        <w:jc w:val="left"/>
      </w:pPr>
      <w:r>
        <w:rPr/>
        <w:t>计可行权的权益工具数量。在可行权日，最终预计可行权权益工具的数量与实际可行权数量一致。 </w:t>
      </w: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99"/>
        </w:rPr>
        <w:t> </w:t>
      </w:r>
      <w:r>
        <w:rPr>
          <w:spacing w:val="-1"/>
        </w:rPr>
        <w:t>以权益结算的股份支付，按授予职工权益工具的公允价值计量。授予后立即可行权的，在授予日按照</w:t>
      </w:r>
    </w:p>
    <w:p>
      <w:pPr>
        <w:pStyle w:val="BodyText"/>
        <w:spacing w:line="350" w:lineRule="auto" w:before="36"/>
        <w:ind w:left="1134" w:right="1131"/>
        <w:jc w:val="both"/>
      </w:pP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r>
        <w:rPr>
          <w:spacing w:val="-81"/>
        </w:rPr>
        <w:t> </w:t>
      </w:r>
      <w:r>
        <w:rPr>
          <w:spacing w:val="-81"/>
        </w:rPr>
      </w:r>
      <w:r>
        <w:rPr/>
        <w:t>认的相关成本或费用和所有者权益总额进行调整。</w:t>
      </w:r>
    </w:p>
    <w:p>
      <w:pPr>
        <w:pStyle w:val="BodyText"/>
        <w:spacing w:line="350" w:lineRule="auto" w:before="29"/>
        <w:ind w:left="1134" w:right="1131" w:firstLine="420"/>
        <w:jc w:val="both"/>
      </w:pPr>
      <w:r>
        <w:rPr>
          <w:spacing w:val="-1"/>
        </w:rPr>
        <w:t>以现金结算的股份支付，按照公司承担的以股份或其他权益工具为基础计算确定的负债的公允价值计</w:t>
      </w:r>
      <w:r>
        <w:rPr/>
        <w:t> </w:t>
      </w:r>
      <w:r>
        <w:rPr>
          <w:spacing w:val="-1"/>
        </w:rPr>
        <w:t>量。授予后立即可行权的，在授予日以公司承担负债的公允价值计入相关成本或费用，相应增加负债。在</w:t>
      </w:r>
      <w:r>
        <w:rPr>
          <w:spacing w:val="-85"/>
        </w:rPr>
        <w:t> </w:t>
      </w:r>
      <w:r>
        <w:rPr>
          <w:spacing w:val="-85"/>
        </w:rPr>
      </w:r>
      <w:r>
        <w:rPr>
          <w:spacing w:val="-1"/>
        </w:rPr>
        <w:t>完成等待期内的服务或达到规定业绩条件以后才可行权的以现金结算的股份支付，在等待期内的每个资产</w:t>
      </w:r>
      <w:r>
        <w:rPr>
          <w:spacing w:val="-81"/>
        </w:rPr>
        <w:t> </w:t>
      </w:r>
      <w:r>
        <w:rPr>
          <w:spacing w:val="-81"/>
        </w:rPr>
      </w:r>
      <w:r>
        <w:rPr>
          <w:spacing w:val="-1"/>
        </w:rPr>
        <w:t>负债表日，以对可行权情况的最佳估计为基础，按照公司承担负债的公允价值金额，将当期取得的服务计</w:t>
      </w:r>
      <w:r>
        <w:rPr>
          <w:spacing w:val="-83"/>
        </w:rPr>
        <w:t> </w:t>
      </w:r>
      <w:r>
        <w:rPr>
          <w:spacing w:val="-83"/>
        </w:rPr>
      </w:r>
      <w:r>
        <w:rPr>
          <w:spacing w:val="-1"/>
        </w:rPr>
        <w:t>入成本或费用和相应的负债。在相关负债结算前的每个资产负债表日以及结算日，对负债的公允价值重新</w:t>
      </w:r>
      <w:r>
        <w:rPr>
          <w:spacing w:val="-81"/>
        </w:rPr>
        <w:t> </w:t>
      </w:r>
      <w:r>
        <w:rPr>
          <w:spacing w:val="-81"/>
        </w:rPr>
      </w:r>
      <w:r>
        <w:rPr/>
        <w:t>计量，其变动计入当期损益。</w:t>
      </w:r>
    </w:p>
    <w:p>
      <w:pPr>
        <w:pStyle w:val="BodyText"/>
        <w:spacing w:line="348" w:lineRule="auto" w:before="29"/>
        <w:ind w:left="1134" w:right="1130" w:firstLine="420"/>
        <w:jc w:val="both"/>
      </w:pPr>
      <w:r>
        <w:rPr>
          <w:spacing w:val="-1"/>
        </w:rPr>
        <w:t>若在等待期内取消了授予的权益工具，公司对取消所授予的权益性工具作为加速行权处理，将剩余等</w:t>
      </w:r>
      <w:r>
        <w:rPr/>
        <w:t> </w:t>
      </w:r>
      <w:r>
        <w:rPr>
          <w:spacing w:val="-1"/>
        </w:rPr>
        <w:t>待期内应确认的金额立即计入当期损益，同时确认资本公积。职工或其他方能够选择满足非可行权条件但</w:t>
      </w:r>
      <w:r>
        <w:rPr>
          <w:spacing w:val="-81"/>
        </w:rPr>
        <w:t> </w:t>
      </w:r>
      <w:r>
        <w:rPr>
          <w:spacing w:val="-81"/>
        </w:rPr>
      </w:r>
      <w:r>
        <w:rPr/>
        <w:t>在等待期内未满足的，公司将其作为授予权益工具的取消处理。</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24、收入" w:id="212"/>
      <w:bookmarkEnd w:id="212"/>
      <w:r>
        <w:rPr>
          <w:b w:val="0"/>
          <w:bCs w:val="0"/>
        </w:rPr>
      </w:r>
      <w:r>
        <w:rPr>
          <w:rFonts w:ascii="Times New Roman" w:hAnsi="Times New Roman" w:cs="Times New Roman" w:eastAsia="Times New Roman" w:hint="default"/>
        </w:rPr>
        <w:t>24</w:t>
      </w:r>
      <w:r>
        <w:rPr/>
        <w:t>、收入</w:t>
      </w:r>
      <w:r>
        <w:rPr>
          <w:b w:val="0"/>
          <w:bCs w:val="0"/>
        </w:rPr>
      </w:r>
    </w:p>
    <w:p>
      <w:pPr>
        <w:spacing w:line="240" w:lineRule="auto" w:before="6"/>
        <w:rPr>
          <w:rFonts w:ascii="宋体" w:hAnsi="宋体" w:cs="宋体" w:eastAsia="宋体" w:hint="default"/>
          <w:b/>
          <w:bCs/>
          <w:sz w:val="31"/>
          <w:szCs w:val="31"/>
        </w:rPr>
      </w:pPr>
    </w:p>
    <w:p>
      <w:pPr>
        <w:spacing w:line="328" w:lineRule="auto" w:before="0"/>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BodyText"/>
        <w:spacing w:line="350" w:lineRule="auto" w:before="47"/>
        <w:ind w:right="1024"/>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348" w:lineRule="auto" w:before="28"/>
        <w:ind w:right="1131" w:firstLine="420"/>
        <w:jc w:val="both"/>
      </w:pPr>
      <w:r>
        <w:rPr>
          <w:spacing w:val="-1"/>
        </w:rPr>
        <w:t>合同或协议价款的收取采用递延方式，实质上具有融资性质的，按照应收的合同或协议价款的公允价</w:t>
      </w:r>
      <w:r>
        <w:rPr/>
        <w:t> 值确定销售商品收入金额。</w:t>
      </w:r>
    </w:p>
    <w:p>
      <w:pPr>
        <w:spacing w:line="328" w:lineRule="auto" w:before="32"/>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47"/>
        <w:ind w:right="0"/>
        <w:jc w:val="left"/>
      </w:pPr>
      <w:r>
        <w:rPr/>
        <w:t>使用权收入金额：</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left="1553"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31" w:lineRule="auto" w:before="109"/>
        <w:ind w:left="1553" w:right="1118"/>
        <w:jc w:val="left"/>
      </w:pPr>
      <w:r>
        <w:rPr/>
        <w:t>（</w:t>
      </w:r>
      <w:r>
        <w:rPr>
          <w:rFonts w:ascii="Times New Roman" w:hAnsi="Times New Roman" w:cs="Times New Roman" w:eastAsia="Times New Roman" w:hint="default"/>
        </w:rPr>
        <w:t>2</w:t>
      </w:r>
      <w:r>
        <w:rPr/>
        <w:t>）使用费收入金额，按照有关合同或协议约定的收费时间和方法计算确定。 </w:t>
      </w:r>
      <w:r>
        <w:rPr>
          <w:rFonts w:ascii="Times New Roman" w:hAnsi="Times New Roman" w:cs="Times New Roman" w:eastAsia="Times New Roman" w:hint="default"/>
          <w:b/>
          <w:bCs/>
        </w:rPr>
        <w:t>3.</w:t>
      </w:r>
      <w:r>
        <w:rPr>
          <w:rFonts w:ascii="宋体" w:hAnsi="宋体" w:cs="宋体" w:eastAsia="宋体" w:hint="default"/>
          <w:b/>
          <w:bCs/>
        </w:rPr>
        <w:t>提供劳务收入的确认依据和方法</w:t>
      </w:r>
      <w:r>
        <w:rPr>
          <w:rFonts w:ascii="宋体" w:hAnsi="宋体" w:cs="宋体" w:eastAsia="宋体" w:hint="default"/>
          <w:b/>
          <w:bCs/>
          <w:w w:val="99"/>
        </w:rPr>
        <w:t> </w:t>
      </w:r>
      <w:r>
        <w:rPr>
          <w:spacing w:val="-1"/>
        </w:rPr>
        <w:t>在资产负债表日提供劳务交易的结果能够可靠估计的，采用完工百分比法确认提供劳务收入。提供劳</w:t>
      </w:r>
    </w:p>
    <w:p>
      <w:pPr>
        <w:pStyle w:val="BodyText"/>
        <w:spacing w:line="350" w:lineRule="auto" w:before="45"/>
        <w:ind w:left="1553" w:right="4453" w:hanging="420"/>
        <w:jc w:val="left"/>
      </w:pPr>
      <w:r>
        <w:rPr/>
        <w:t>务交易的完工进度，依据已经发生的成本占估计总成本的比例确定。 提供劳务交易的结果能够可靠估计，是指同时满足下列条件：</w:t>
      </w:r>
    </w:p>
    <w:p>
      <w:pPr>
        <w:pStyle w:val="BodyText"/>
        <w:spacing w:line="240" w:lineRule="auto" w:before="28"/>
        <w:ind w:left="1553"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09"/>
        <w:ind w:left="1553"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10"/>
        <w:ind w:left="1553" w:right="0"/>
        <w:jc w:val="left"/>
      </w:pPr>
      <w:r>
        <w:rPr/>
        <w:t>（</w:t>
      </w:r>
      <w:r>
        <w:rPr>
          <w:rFonts w:ascii="Times New Roman" w:hAnsi="Times New Roman" w:cs="Times New Roman" w:eastAsia="Times New Roman" w:hint="default"/>
        </w:rPr>
        <w:t>3</w:t>
      </w:r>
      <w:r>
        <w:rPr/>
        <w:t>）交易的完工进度能够可靠地确定；</w:t>
      </w:r>
    </w:p>
    <w:p>
      <w:pPr>
        <w:pStyle w:val="BodyText"/>
        <w:spacing w:line="328" w:lineRule="auto" w:before="109"/>
        <w:ind w:left="1553" w:right="0"/>
        <w:jc w:val="left"/>
      </w:pPr>
      <w:r>
        <w:rPr/>
        <w:t>（</w:t>
      </w:r>
      <w:r>
        <w:rPr>
          <w:rFonts w:ascii="Times New Roman" w:hAnsi="Times New Roman" w:cs="Times New Roman" w:eastAsia="Times New Roman" w:hint="default"/>
        </w:rPr>
        <w:t>4</w:t>
      </w:r>
      <w:r>
        <w:rPr/>
        <w:t>）交易中已发生和将发生的成本能够可靠地计量。 </w:t>
      </w:r>
      <w:r>
        <w:rPr>
          <w:spacing w:val="-1"/>
        </w:rPr>
        <w:t>按照已收或应收的合同或协议价款确定提供劳务收入总额，但已收或应收的合同或协议价款不公允的</w:t>
      </w:r>
    </w:p>
    <w:p>
      <w:pPr>
        <w:pStyle w:val="BodyText"/>
        <w:spacing w:line="348" w:lineRule="auto" w:before="48"/>
        <w:ind w:right="1131"/>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BodyText"/>
        <w:spacing w:line="240" w:lineRule="auto" w:before="31"/>
        <w:ind w:left="1554" w:right="0"/>
        <w:jc w:val="left"/>
      </w:pPr>
      <w:r>
        <w:rPr/>
        <w:t>在资产负债表日提供劳务交易结果不能够可靠估计的，分别下列情况处理：</w:t>
      </w:r>
    </w:p>
    <w:p>
      <w:pPr>
        <w:pStyle w:val="BodyText"/>
        <w:spacing w:line="328" w:lineRule="auto" w:before="124"/>
        <w:ind w:right="1215" w:firstLine="420"/>
        <w:jc w:val="both"/>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 并按相同金额结转劳务成本。</w:t>
      </w:r>
    </w:p>
    <w:p>
      <w:pPr>
        <w:pStyle w:val="BodyText"/>
        <w:spacing w:line="328" w:lineRule="auto" w:before="48"/>
        <w:ind w:left="1134" w:right="1215" w:firstLine="420"/>
        <w:jc w:val="both"/>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 供劳务收入。</w:t>
      </w:r>
    </w:p>
    <w:p>
      <w:pPr>
        <w:pStyle w:val="BodyText"/>
        <w:spacing w:line="350" w:lineRule="auto" w:before="47"/>
        <w:ind w:right="1131" w:firstLine="420"/>
        <w:jc w:val="both"/>
      </w:pPr>
      <w:r>
        <w:rPr>
          <w:spacing w:val="-1"/>
        </w:rPr>
        <w:t>公司与其他企业签订的合同或协议包括销售商品和提供劳务时，销售商品部分和提供劳务部分能够区</w:t>
      </w:r>
      <w:r>
        <w:rPr/>
        <w:t> </w:t>
      </w:r>
      <w:r>
        <w:rPr>
          <w:spacing w:val="-1"/>
        </w:rPr>
        <w:t>分且能够单独计量的，将销售商品的部分作为销售商品处理，将提供劳务的部分作为提供劳务处理。销售</w:t>
      </w:r>
      <w:r>
        <w:rPr>
          <w:spacing w:val="-83"/>
        </w:rPr>
        <w:t> </w:t>
      </w:r>
      <w:r>
        <w:rPr>
          <w:spacing w:val="-83"/>
        </w:rPr>
      </w:r>
      <w:r>
        <w:rPr>
          <w:spacing w:val="-1"/>
        </w:rPr>
        <w:t>商品部分和提供劳务部分不能够区分，或虽能区分但不能够单独计量的，将销售商品部分和提供劳务部分</w:t>
      </w:r>
      <w:r>
        <w:rPr>
          <w:spacing w:val="-81"/>
        </w:rPr>
        <w:t> </w:t>
      </w:r>
      <w:r>
        <w:rPr>
          <w:spacing w:val="-81"/>
        </w:rPr>
      </w:r>
      <w:r>
        <w:rPr/>
        <w:t>全部作为销售商品处理。</w:t>
      </w:r>
    </w:p>
    <w:p>
      <w:pPr>
        <w:pStyle w:val="BodyText"/>
        <w:spacing w:line="328" w:lineRule="auto" w:before="29"/>
        <w:ind w:left="1553" w:right="0" w:firstLine="2"/>
        <w:jc w:val="left"/>
      </w:pPr>
      <w:r>
        <w:rPr>
          <w:rFonts w:ascii="Times New Roman" w:hAnsi="Times New Roman" w:cs="Times New Roman" w:eastAsia="Times New Roman" w:hint="default"/>
          <w:b/>
          <w:bCs/>
        </w:rPr>
        <w:t>4.</w:t>
      </w:r>
      <w:r>
        <w:rPr>
          <w:rFonts w:ascii="宋体" w:hAnsi="宋体" w:cs="宋体" w:eastAsia="宋体" w:hint="default"/>
          <w:b/>
          <w:bCs/>
        </w:rPr>
        <w:t>具体确认方法</w:t>
      </w:r>
      <w:r>
        <w:rPr>
          <w:rFonts w:ascii="宋体" w:hAnsi="宋体" w:cs="宋体" w:eastAsia="宋体" w:hint="default"/>
          <w:b/>
          <w:bCs/>
          <w:w w:val="99"/>
        </w:rPr>
        <w:t> </w:t>
      </w:r>
      <w:r>
        <w:rPr>
          <w:spacing w:val="-1"/>
        </w:rPr>
        <w:t>公司业务主要包括安全产品销售、安全集成和安全服务、电磁安防产品、电磁安防工程、电磁安防服</w:t>
      </w:r>
    </w:p>
    <w:p>
      <w:pPr>
        <w:pStyle w:val="BodyText"/>
        <w:spacing w:line="240" w:lineRule="auto" w:before="47"/>
        <w:ind w:right="0"/>
        <w:jc w:val="both"/>
      </w:pPr>
      <w:r>
        <w:rPr/>
        <w:t>务、系统服务、推广运营服务等，各类业务确认的具体方法如下：</w:t>
      </w:r>
    </w:p>
    <w:p>
      <w:pPr>
        <w:pStyle w:val="BodyText"/>
        <w:spacing w:line="338" w:lineRule="auto" w:before="126"/>
        <w:ind w:right="1131" w:firstLine="420"/>
        <w:jc w:val="both"/>
      </w:pPr>
      <w:r>
        <w:rPr/>
        <w:t>（</w:t>
      </w:r>
      <w:r>
        <w:rPr>
          <w:rFonts w:ascii="Times New Roman" w:hAnsi="Times New Roman" w:cs="Times New Roman" w:eastAsia="Times New Roman" w:hint="default"/>
        </w:rPr>
        <w:t>1</w:t>
      </w:r>
      <w:r>
        <w:rPr/>
        <w:t>）安全产品：安全产品销售分为单纯安全产品销售以及通过集成业务销售安全产品两种方式。单 </w:t>
      </w:r>
      <w:r>
        <w:rPr>
          <w:spacing w:val="-1"/>
        </w:rPr>
        <w:t>纯自有产品销售，一般不需安装或只需简单安装，在完成产品交付时确认收入；通过集成业务销售的安全</w:t>
      </w:r>
      <w:r>
        <w:rPr>
          <w:spacing w:val="-83"/>
        </w:rPr>
        <w:t> </w:t>
      </w:r>
      <w:r>
        <w:rPr>
          <w:spacing w:val="-83"/>
        </w:rPr>
      </w:r>
      <w:r>
        <w:rPr/>
        <w:t>产品则按照安全集成的收入确认方式确认收入。</w:t>
      </w:r>
    </w:p>
    <w:p>
      <w:pPr>
        <w:pStyle w:val="BodyText"/>
        <w:spacing w:line="345" w:lineRule="auto" w:before="40"/>
        <w:ind w:left="1134" w:right="1131" w:firstLine="420"/>
        <w:jc w:val="both"/>
      </w:pPr>
      <w:r>
        <w:rPr/>
        <w:t>（</w:t>
      </w:r>
      <w:r>
        <w:rPr>
          <w:rFonts w:ascii="Times New Roman" w:hAnsi="Times New Roman" w:cs="Times New Roman" w:eastAsia="Times New Roman" w:hint="default"/>
        </w:rPr>
        <w:t>2</w:t>
      </w:r>
      <w:r>
        <w:rPr/>
        <w:t>）安全集成：安全集成业务的收入确认方式依据双方签署的验收报告，验收一般可分为初验和终 </w:t>
      </w:r>
      <w:r>
        <w:rPr>
          <w:spacing w:val="-1"/>
        </w:rPr>
        <w:t>验，初验报告是指客户对安全集成业务实施内容、进度、质量以及是否达到合同效果予以确认；而终验报</w:t>
      </w:r>
      <w:r>
        <w:rPr>
          <w:spacing w:val="-85"/>
        </w:rPr>
        <w:t> </w:t>
      </w:r>
      <w:r>
        <w:rPr>
          <w:spacing w:val="-85"/>
        </w:rPr>
      </w:r>
      <w:r>
        <w:rPr>
          <w:spacing w:val="-1"/>
        </w:rPr>
        <w:t>告是对业务整体服务核查后形成的总结报告。鉴于终验只是对初验结果的进一步确认，安全集成业务验收</w:t>
      </w:r>
      <w:r>
        <w:rPr>
          <w:spacing w:val="-81"/>
        </w:rPr>
        <w:t> </w:t>
      </w:r>
      <w:r>
        <w:rPr>
          <w:spacing w:val="-81"/>
        </w:rPr>
      </w:r>
      <w:r>
        <w:rPr>
          <w:spacing w:val="-1"/>
        </w:rPr>
        <w:t>分初验和终验的，取得初验报告时确认收入；不分初验和终验的，取得验收报告时确认收入。若公司只提</w:t>
      </w:r>
      <w:r>
        <w:rPr>
          <w:spacing w:val="-86"/>
        </w:rPr>
        <w:t> </w:t>
      </w:r>
      <w:r>
        <w:rPr>
          <w:spacing w:val="-86"/>
        </w:rPr>
      </w:r>
      <w:r>
        <w:rPr>
          <w:spacing w:val="-1"/>
        </w:rPr>
        <w:t>供安全集成业务所需的安全产品及其配套组件，其安装及测试由客户或第三方完成，在完成产品交付时确</w:t>
      </w:r>
    </w:p>
    <w:p>
      <w:pPr>
        <w:spacing w:after="0" w:line="345"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认收入</w:t>
      </w:r>
    </w:p>
    <w:p>
      <w:pPr>
        <w:pStyle w:val="BodyText"/>
        <w:spacing w:line="340" w:lineRule="auto" w:before="124"/>
        <w:ind w:right="1131" w:firstLine="420"/>
        <w:jc w:val="both"/>
      </w:pPr>
      <w:r>
        <w:rPr/>
        <w:t>（</w:t>
      </w:r>
      <w:r>
        <w:rPr>
          <w:rFonts w:ascii="Times New Roman" w:hAnsi="Times New Roman" w:cs="Times New Roman" w:eastAsia="Times New Roman" w:hint="default"/>
        </w:rPr>
        <w:t>3</w:t>
      </w:r>
      <w:r>
        <w:rPr/>
        <w:t>）安全服务：对于在资产负债表日服务已完成，经服务接受方验收合格后确认收入；在资产负债 </w:t>
      </w:r>
      <w:r>
        <w:rPr>
          <w:spacing w:val="-1"/>
        </w:rPr>
        <w:t>表日未完成的，公司在资产负债表日按完工百分比法确认收入，完工百分比按已发生成本占预计总成本的</w:t>
      </w:r>
      <w:r>
        <w:rPr>
          <w:spacing w:val="-81"/>
        </w:rPr>
        <w:t> </w:t>
      </w:r>
      <w:r>
        <w:rPr>
          <w:spacing w:val="-81"/>
        </w:rPr>
      </w:r>
      <w:r>
        <w:rPr/>
        <w:t>比例确定。</w:t>
      </w:r>
    </w:p>
    <w:p>
      <w:pPr>
        <w:pStyle w:val="BodyText"/>
        <w:spacing w:line="240" w:lineRule="auto" w:before="36"/>
        <w:ind w:left="1553" w:right="0"/>
        <w:jc w:val="left"/>
      </w:pPr>
      <w:r>
        <w:rPr/>
        <w:t>（</w:t>
      </w:r>
      <w:r>
        <w:rPr>
          <w:rFonts w:ascii="Times New Roman" w:hAnsi="Times New Roman" w:cs="Times New Roman" w:eastAsia="Times New Roman" w:hint="default"/>
        </w:rPr>
        <w:t>4</w:t>
      </w:r>
      <w:r>
        <w:rPr/>
        <w:t>）电磁安防产品：在产品销售并且经购货方验收，取得购货方验收依据的时间作为收入确认时点。</w:t>
      </w:r>
    </w:p>
    <w:p>
      <w:pPr>
        <w:pStyle w:val="BodyText"/>
        <w:spacing w:line="240" w:lineRule="auto" w:before="110"/>
        <w:ind w:left="1553" w:right="0"/>
        <w:jc w:val="left"/>
      </w:pPr>
      <w:r>
        <w:rPr/>
        <w:t>（</w:t>
      </w:r>
      <w:r>
        <w:rPr>
          <w:rFonts w:ascii="Times New Roman" w:hAnsi="Times New Roman" w:cs="Times New Roman" w:eastAsia="Times New Roman" w:hint="default"/>
        </w:rPr>
        <w:t>5</w:t>
      </w:r>
      <w:r>
        <w:rPr/>
        <w:t>）电磁安防工程：在工程完工并经被施工单位验收时，确认相应的工程收入，同时结转工程成本。</w:t>
      </w:r>
    </w:p>
    <w:p>
      <w:pPr>
        <w:pStyle w:val="BodyText"/>
        <w:spacing w:line="328" w:lineRule="auto" w:before="109"/>
        <w:ind w:right="1141" w:firstLine="420"/>
        <w:jc w:val="both"/>
      </w:pPr>
      <w:r>
        <w:rPr/>
        <w:t>（</w:t>
      </w:r>
      <w:r>
        <w:rPr>
          <w:rFonts w:ascii="Times New Roman" w:hAnsi="Times New Roman" w:cs="Times New Roman" w:eastAsia="Times New Roman" w:hint="default"/>
        </w:rPr>
        <w:t>6</w:t>
      </w:r>
      <w:r>
        <w:rPr/>
        <w:t>）电磁安防服务：在服务完成后取得甲方确认的的验收或竣工资料时，确认相应的服务收入，同 时结转技术服务成本。</w:t>
      </w:r>
    </w:p>
    <w:p>
      <w:pPr>
        <w:pStyle w:val="BodyText"/>
        <w:spacing w:line="338" w:lineRule="auto" w:before="48"/>
        <w:ind w:right="1131" w:firstLine="420"/>
        <w:jc w:val="both"/>
      </w:pPr>
      <w:r>
        <w:rPr/>
        <w:t>（</w:t>
      </w:r>
      <w:r>
        <w:rPr>
          <w:rFonts w:ascii="Times New Roman" w:hAnsi="Times New Roman" w:cs="Times New Roman" w:eastAsia="Times New Roman" w:hint="default"/>
        </w:rPr>
        <w:t>7</w:t>
      </w:r>
      <w:r>
        <w:rPr/>
        <w:t>）系统服务：利用自身支付清算技术和平台向客户提供清分结算服务，按照交易金额的一定比例 </w:t>
      </w:r>
      <w:r>
        <w:rPr>
          <w:spacing w:val="-1"/>
        </w:rPr>
        <w:t>收取的清分结算手续费。服务提供时确认收入，根据交易系统平台反映的交易结算金额，按照与合作商户</w:t>
      </w:r>
      <w:r>
        <w:rPr>
          <w:spacing w:val="-83"/>
        </w:rPr>
        <w:t> </w:t>
      </w:r>
      <w:r>
        <w:rPr>
          <w:spacing w:val="-83"/>
        </w:rPr>
      </w:r>
      <w:r>
        <w:rPr/>
        <w:t>确定的一定比例收入确定清分结算收入。</w:t>
      </w:r>
    </w:p>
    <w:p>
      <w:pPr>
        <w:pStyle w:val="BodyText"/>
        <w:spacing w:line="340" w:lineRule="auto" w:before="40"/>
        <w:ind w:right="1013" w:firstLine="420"/>
        <w:jc w:val="left"/>
      </w:pPr>
      <w:r>
        <w:rPr/>
        <w:t>（</w:t>
      </w:r>
      <w:r>
        <w:rPr>
          <w:rFonts w:ascii="Times New Roman" w:hAnsi="Times New Roman" w:cs="Times New Roman" w:eastAsia="Times New Roman" w:hint="default"/>
        </w:rPr>
        <w:t>8</w:t>
      </w:r>
      <w:r>
        <w:rPr/>
        <w:t>）推广运营服务：利用自身电子商务平台，为合作商户进行推广运营收取中间差价形成的佣金服 务费收入。主要是为油品零售商户进行推广运营获取的服务费收入</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spacing w:val="-3"/>
        </w:rPr>
        <w:t>除油品零售商户外，还为商场、超市、</w:t>
      </w:r>
      <w:r>
        <w:rPr/>
        <w:t> 餐饮、汽车等其他商户提供推广运营服务。根据终端客户所消费金额或者消费数量，按照约定的一定服务 费标准自合作商户取得佣金收入，因此公司根据电子商务平台上反映的交易数据，以及与合作商户对账确 认的交易数据，以服务收入的形式确认当期收入。</w:t>
      </w:r>
    </w:p>
    <w:p>
      <w:pPr>
        <w:spacing w:line="240" w:lineRule="auto" w:before="12"/>
        <w:rPr>
          <w:rFonts w:ascii="宋体" w:hAnsi="宋体" w:cs="宋体" w:eastAsia="宋体" w:hint="default"/>
          <w:sz w:val="18"/>
          <w:szCs w:val="18"/>
        </w:rPr>
      </w:pPr>
    </w:p>
    <w:p>
      <w:pPr>
        <w:pStyle w:val="Heading3"/>
        <w:spacing w:line="240" w:lineRule="auto"/>
        <w:ind w:left="1133" w:right="0"/>
        <w:jc w:val="left"/>
        <w:rPr>
          <w:b w:val="0"/>
          <w:bCs w:val="0"/>
        </w:rPr>
      </w:pPr>
      <w:bookmarkStart w:name="25、政府补助" w:id="213"/>
      <w:bookmarkEnd w:id="213"/>
      <w:r>
        <w:rPr>
          <w:b w:val="0"/>
          <w:bCs w:val="0"/>
        </w:rPr>
      </w:r>
      <w:r>
        <w:rPr>
          <w:rFonts w:ascii="Times New Roman" w:hAnsi="Times New Roman" w:cs="Times New Roman" w:eastAsia="Times New Roman" w:hint="default"/>
        </w:rPr>
        <w:t>25</w:t>
      </w:r>
      <w:r>
        <w:rPr/>
        <w:t>、政府补助</w:t>
      </w:r>
      <w:r>
        <w:rPr>
          <w:b w:val="0"/>
          <w:bCs w:val="0"/>
        </w:rPr>
      </w:r>
    </w:p>
    <w:p>
      <w:pPr>
        <w:spacing w:line="702" w:lineRule="exact" w:before="6"/>
        <w:ind w:left="1554" w:right="0" w:hanging="420"/>
        <w:jc w:val="left"/>
        <w:rPr>
          <w:rFonts w:ascii="宋体" w:hAnsi="宋体" w:cs="宋体" w:eastAsia="宋体" w:hint="default"/>
          <w:sz w:val="21"/>
          <w:szCs w:val="21"/>
        </w:rPr>
      </w:pPr>
      <w:bookmarkStart w:name="（1）与资产相关的政府补助判断依据及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政府补助为货币性资产的，按照收到或应收的金额计量。政府补助为非货币性资产的，按照公允价值</w:t>
      </w:r>
    </w:p>
    <w:p>
      <w:pPr>
        <w:pStyle w:val="BodyText"/>
        <w:spacing w:line="328" w:lineRule="auto" w:before="15"/>
        <w:ind w:right="1198"/>
        <w:jc w:val="left"/>
      </w:pPr>
      <w:r>
        <w:rPr/>
        <w:t>计量；公允价值不能够可靠取得的，按照名义金额（人民币</w:t>
      </w:r>
      <w:r>
        <w:rPr>
          <w:rFonts w:ascii="Times New Roman" w:hAnsi="Times New Roman" w:cs="Times New Roman" w:eastAsia="Times New Roman" w:hint="default"/>
        </w:rPr>
        <w:t>1</w:t>
      </w:r>
      <w:r>
        <w:rPr/>
        <w:t>元）计量。按照名义金额计量的政府补助， 直接计入当期损益。</w:t>
      </w:r>
    </w:p>
    <w:p>
      <w:pPr>
        <w:pStyle w:val="BodyText"/>
        <w:spacing w:line="350" w:lineRule="auto" w:before="86"/>
        <w:ind w:right="1131" w:firstLine="420"/>
        <w:jc w:val="both"/>
      </w:pPr>
      <w:r>
        <w:rPr>
          <w:spacing w:val="-1"/>
        </w:rPr>
        <w:t>与资产相关的政府补助，确认为递延收益，按照所建造或购买的资产使用年限内按照合理、系统的方</w:t>
      </w:r>
      <w:r>
        <w:rPr/>
        <w:t> 法分期计入损益。</w:t>
      </w:r>
    </w:p>
    <w:p>
      <w:pPr>
        <w:spacing w:line="240" w:lineRule="auto" w:before="4"/>
        <w:rPr>
          <w:rFonts w:ascii="宋体" w:hAnsi="宋体" w:cs="宋体" w:eastAsia="宋体" w:hint="default"/>
          <w:sz w:val="18"/>
          <w:szCs w:val="18"/>
        </w:rPr>
      </w:pPr>
    </w:p>
    <w:p>
      <w:pPr>
        <w:pStyle w:val="Heading3"/>
        <w:spacing w:line="240" w:lineRule="auto"/>
        <w:ind w:left="1133" w:right="0"/>
        <w:jc w:val="left"/>
        <w:rPr>
          <w:b w:val="0"/>
          <w:bCs w:val="0"/>
        </w:rPr>
      </w:pPr>
      <w:bookmarkStart w:name="（2）与收益相关的政府补助判断依据及会计处理方法" w:id="215"/>
      <w:bookmarkEnd w:id="21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1110" w:firstLine="420"/>
        <w:jc w:val="both"/>
      </w:pPr>
      <w:r>
        <w:rPr>
          <w:spacing w:val="-1"/>
        </w:rPr>
        <w:t>与收益相关的政府补助，用于补偿企业以后期间的相关费用或损失的，确认为递延收益，在确认相关</w:t>
      </w:r>
      <w:r>
        <w:rPr/>
        <w:t> 费用或损失的期间计入当期损益；用于补偿企业已发生的相关费用或损失的，取得时直接计入当期损益。</w:t>
      </w:r>
    </w:p>
    <w:p>
      <w:pPr>
        <w:pStyle w:val="BodyText"/>
        <w:spacing w:line="350" w:lineRule="auto" w:before="30"/>
        <w:ind w:left="1553" w:right="0"/>
        <w:jc w:val="left"/>
      </w:pPr>
      <w:r>
        <w:rPr/>
        <w:t>与企业日常活动相关的政府补助计入其他收益；与企业日常活动无关的政府补助计入营业外收支。 </w:t>
      </w:r>
      <w:r>
        <w:rPr>
          <w:spacing w:val="-1"/>
        </w:rPr>
        <w:t>收到与政策性优惠贷款贴息相关的政府补助冲减相关借款费用；取得贷款银行提供的政策性优惠利率</w:t>
      </w:r>
    </w:p>
    <w:p>
      <w:pPr>
        <w:pStyle w:val="BodyText"/>
        <w:spacing w:line="348" w:lineRule="auto" w:before="28"/>
        <w:ind w:right="1118"/>
        <w:jc w:val="left"/>
      </w:pPr>
      <w:r>
        <w:rPr>
          <w:spacing w:val="-1"/>
        </w:rPr>
        <w:t>贷款的，以实际收到的借款金额作为借款的入账价值，按照借款本金和该政策性优惠利率计算相关借款费</w:t>
      </w:r>
      <w:r>
        <w:rPr>
          <w:spacing w:val="-81"/>
        </w:rPr>
        <w:t> </w:t>
      </w:r>
      <w:r>
        <w:rPr>
          <w:spacing w:val="-81"/>
        </w:rPr>
      </w:r>
      <w:r>
        <w:rPr/>
        <w:t>用。</w:t>
      </w:r>
    </w:p>
    <w:p>
      <w:pPr>
        <w:pStyle w:val="BodyText"/>
        <w:spacing w:line="240" w:lineRule="auto" w:before="31"/>
        <w:ind w:left="1554" w:right="0"/>
        <w:jc w:val="left"/>
      </w:pPr>
      <w:r>
        <w:rPr/>
        <w:t>已确认的政府补助需要返还时，初始确认时冲减相关资产账面价值的，调整资产账面价值；存在相关</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133"/>
        <w:jc w:val="both"/>
      </w:pPr>
      <w:r>
        <w:rPr>
          <w:spacing w:val="-1"/>
        </w:rPr>
        <w:t>递延收益余额的，冲减相关递延收益账面余额，超出部分计入当期损益；不存在相关递延收益的，直接计</w:t>
      </w:r>
      <w:r>
        <w:rPr>
          <w:spacing w:val="-86"/>
        </w:rPr>
        <w:t> </w:t>
      </w:r>
      <w:r>
        <w:rPr>
          <w:spacing w:val="-86"/>
        </w:rPr>
      </w:r>
      <w:r>
        <w:rPr/>
        <w:t>入当期损益。</w:t>
      </w:r>
    </w:p>
    <w:p>
      <w:pPr>
        <w:spacing w:line="240" w:lineRule="auto" w:before="7"/>
        <w:rPr>
          <w:rFonts w:ascii="宋体" w:hAnsi="宋体" w:cs="宋体" w:eastAsia="宋体" w:hint="default"/>
          <w:sz w:val="18"/>
          <w:szCs w:val="18"/>
        </w:rPr>
      </w:pPr>
    </w:p>
    <w:p>
      <w:pPr>
        <w:pStyle w:val="Heading3"/>
        <w:spacing w:line="240" w:lineRule="auto"/>
        <w:ind w:left="1133" w:right="0"/>
        <w:jc w:val="both"/>
        <w:rPr>
          <w:b w:val="0"/>
          <w:bCs w:val="0"/>
        </w:rPr>
      </w:pPr>
      <w:bookmarkStart w:name="26、递延所得税资产/递延所得税负债" w:id="216"/>
      <w:bookmarkEnd w:id="216"/>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1"/>
          <w:szCs w:val="31"/>
        </w:rPr>
      </w:pPr>
    </w:p>
    <w:p>
      <w:pPr>
        <w:pStyle w:val="BodyText"/>
        <w:spacing w:line="338" w:lineRule="auto"/>
        <w:ind w:left="1134" w:right="1131" w:firstLine="42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 </w:t>
      </w:r>
      <w:r>
        <w:rPr>
          <w:spacing w:val="-1"/>
        </w:rPr>
        <w:t>确认。于资产负债表日，递延所得税资产和递延所得税负债，按照预期收回该资产或清偿该负债期间的适</w:t>
      </w:r>
      <w:r>
        <w:rPr>
          <w:spacing w:val="-83"/>
        </w:rPr>
        <w:t> </w:t>
      </w:r>
      <w:r>
        <w:rPr>
          <w:spacing w:val="-83"/>
        </w:rPr>
      </w:r>
      <w:r>
        <w:rPr/>
        <w:t>用税率计量。</w:t>
      </w:r>
    </w:p>
    <w:p>
      <w:pPr>
        <w:spacing w:line="328" w:lineRule="auto" w:before="40"/>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公司以很可能取得用来抵扣可抵扣暂时性差异、能够结转以后年度的可抵扣亏损和税款抵减的应纳税</w:t>
      </w:r>
    </w:p>
    <w:p>
      <w:pPr>
        <w:pStyle w:val="BodyText"/>
        <w:spacing w:line="340" w:lineRule="auto" w:before="47"/>
        <w:ind w:left="1134" w:right="1130"/>
        <w:jc w:val="both"/>
      </w:pPr>
      <w:r>
        <w:rPr>
          <w:spacing w:val="-1"/>
        </w:rPr>
        <w:t>所得额为限，确认由可抵扣暂时性差异产生的递延所得税资产。但是，同时具有下列特征的交易中因资产</w:t>
      </w:r>
      <w:r>
        <w:rPr>
          <w:spacing w:val="-82"/>
        </w:rPr>
        <w:t> </w:t>
      </w:r>
      <w:r>
        <w:rPr>
          <w:spacing w:val="-82"/>
        </w:rPr>
      </w:r>
      <w:r>
        <w:rPr>
          <w:spacing w:val="-1"/>
        </w:rPr>
        <w:t>或负债的初始确认所产生的递延所得税资产不予确认：（</w:t>
      </w:r>
      <w:r>
        <w:rPr>
          <w:rFonts w:ascii="Times New Roman" w:hAnsi="Times New Roman" w:cs="Times New Roman" w:eastAsia="Times New Roman" w:hint="default"/>
          <w:spacing w:val="-1"/>
        </w:rPr>
        <w:t>1</w:t>
      </w:r>
      <w:r>
        <w:rPr>
          <w:spacing w:val="-1"/>
        </w:rPr>
        <w:t>）该交易不是企业合并；（</w:t>
      </w:r>
      <w:r>
        <w:rPr>
          <w:rFonts w:ascii="Times New Roman" w:hAnsi="Times New Roman" w:cs="Times New Roman" w:eastAsia="Times New Roman" w:hint="default"/>
          <w:spacing w:val="-1"/>
        </w:rPr>
        <w:t>2</w:t>
      </w:r>
      <w:r>
        <w:rPr>
          <w:spacing w:val="-1"/>
        </w:rPr>
        <w:t>）交易发生时既不</w:t>
      </w:r>
      <w:r>
        <w:rPr>
          <w:spacing w:val="-85"/>
        </w:rPr>
        <w:t> </w:t>
      </w:r>
      <w:r>
        <w:rPr>
          <w:spacing w:val="-85"/>
        </w:rPr>
      </w:r>
      <w:r>
        <w:rPr/>
        <w:t>影响会计利润也不影响应纳税所得额或可抵扣亏损。</w:t>
      </w:r>
    </w:p>
    <w:p>
      <w:pPr>
        <w:pStyle w:val="BodyText"/>
        <w:spacing w:line="350" w:lineRule="auto" w:before="36"/>
        <w:ind w:left="1134" w:right="1092" w:firstLine="420"/>
        <w:jc w:val="left"/>
      </w:pPr>
      <w:r>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spacing w:line="328" w:lineRule="auto" w:before="28"/>
        <w:ind w:left="1554" w:right="21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z w:val="21"/>
          <w:szCs w:val="21"/>
        </w:rPr>
        <w:t>公司将当期与以前期间应交未交的应纳税暂时性差异确认为递延所得税负债。但不包括：</w:t>
      </w:r>
    </w:p>
    <w:p>
      <w:pPr>
        <w:pStyle w:val="BodyText"/>
        <w:spacing w:line="240" w:lineRule="auto" w:before="48"/>
        <w:ind w:left="1554"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28" w:lineRule="auto" w:before="109"/>
        <w:ind w:left="1134" w:right="1197" w:firstLine="42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 得额（或可抵扣亏损）所形成的暂时性差异；</w:t>
      </w:r>
    </w:p>
    <w:p>
      <w:pPr>
        <w:pStyle w:val="BodyText"/>
        <w:spacing w:line="328" w:lineRule="auto" w:before="48"/>
        <w:ind w:left="1134" w:right="1197" w:firstLine="42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 且该暂时性差异在可预见的未来很可能不会转回。</w:t>
      </w:r>
    </w:p>
    <w:p>
      <w:pPr>
        <w:pStyle w:val="Heading3"/>
        <w:spacing w:line="240" w:lineRule="auto" w:before="47"/>
        <w:ind w:left="1556" w:right="0"/>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110"/>
        <w:ind w:left="1554"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40" w:lineRule="auto" w:before="109"/>
        <w:ind w:left="1134" w:right="1092" w:firstLine="420"/>
        <w:jc w:val="left"/>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涉及的纳税主体意图以净额结算当期所得税资产及当期所得税负债或是同时取得资产、清偿债务。</w:t>
      </w:r>
    </w:p>
    <w:p>
      <w:pPr>
        <w:spacing w:line="240" w:lineRule="auto" w:before="12"/>
        <w:rPr>
          <w:rFonts w:ascii="宋体" w:hAnsi="宋体" w:cs="宋体" w:eastAsia="宋体" w:hint="default"/>
          <w:sz w:val="18"/>
          <w:szCs w:val="18"/>
        </w:rPr>
      </w:pPr>
    </w:p>
    <w:p>
      <w:pPr>
        <w:pStyle w:val="Heading3"/>
        <w:spacing w:line="240" w:lineRule="auto"/>
        <w:ind w:right="0"/>
        <w:jc w:val="both"/>
        <w:rPr>
          <w:b w:val="0"/>
          <w:bCs w:val="0"/>
        </w:rPr>
      </w:pPr>
      <w:bookmarkStart w:name="27、租赁" w:id="217"/>
      <w:bookmarkEnd w:id="217"/>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18"/>
      <w:bookmarkEnd w:id="21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left="1554" w:right="1017"/>
        <w:jc w:val="left"/>
      </w:pPr>
      <w:r>
        <w:rPr>
          <w:rFonts w:ascii="Times New Roman" w:hAnsi="Times New Roman" w:cs="Times New Roman" w:eastAsia="Times New Roman" w:hint="default"/>
        </w:rPr>
        <w:t>1</w:t>
      </w:r>
      <w:r>
        <w:rPr/>
        <w:t>）经营租入资产 </w:t>
      </w:r>
      <w:r>
        <w:rPr>
          <w:spacing w:val="-3"/>
        </w:rPr>
        <w:t>公司租入资产所支付的租赁费，在不扣除免租期的整个租赁期内，按直线法进行分摊，计入当期费用。</w:t>
      </w:r>
    </w:p>
    <w:p>
      <w:pPr>
        <w:pStyle w:val="BodyText"/>
        <w:spacing w:line="348" w:lineRule="auto" w:before="45"/>
        <w:ind w:left="1553" w:right="0" w:hanging="420"/>
        <w:jc w:val="left"/>
      </w:pPr>
      <w:r>
        <w:rPr/>
        <w:t>公司支付的与租赁交易相关的初始直接费用，计入当期费用。 </w:t>
      </w:r>
      <w:r>
        <w:rPr>
          <w:spacing w:val="-1"/>
        </w:rPr>
        <w:t>资产出租方承担了应由公司承担的与租赁相关的费用时，公司将该部分费用从租金总额中扣除，按扣</w:t>
      </w:r>
    </w:p>
    <w:p>
      <w:pPr>
        <w:spacing w:after="0" w:line="34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除后的租金费用在租赁期内分摊，计入当期费用。</w:t>
      </w:r>
    </w:p>
    <w:p>
      <w:pPr>
        <w:pStyle w:val="BodyText"/>
        <w:spacing w:line="331" w:lineRule="auto" w:before="124"/>
        <w:ind w:left="1553" w:right="0"/>
        <w:jc w:val="left"/>
      </w:pPr>
      <w:r>
        <w:rPr>
          <w:rFonts w:ascii="Times New Roman" w:hAnsi="Times New Roman" w:cs="Times New Roman" w:eastAsia="Times New Roman" w:hint="default"/>
        </w:rPr>
        <w:t>2</w:t>
      </w:r>
      <w:r>
        <w:rPr/>
        <w:t>）经营租出资产 </w:t>
      </w:r>
      <w:r>
        <w:rPr>
          <w:spacing w:val="-1"/>
        </w:rPr>
        <w:t>公司出租资产所收取的租赁费，在不扣除免租期的整个租赁期内，按直线法进行分摊，确认为租赁收</w:t>
      </w:r>
    </w:p>
    <w:p>
      <w:pPr>
        <w:pStyle w:val="BodyText"/>
        <w:spacing w:line="348" w:lineRule="auto" w:before="45"/>
        <w:ind w:right="0"/>
        <w:jc w:val="left"/>
      </w:pPr>
      <w:r>
        <w:rPr>
          <w:spacing w:val="-1"/>
        </w:rPr>
        <w:t>入。公司支付的与租赁交易相关的初始直接费用，计入当期费用；如金额较大的，则予以资本化，在整个</w:t>
      </w:r>
      <w:r>
        <w:rPr>
          <w:spacing w:val="-83"/>
        </w:rPr>
        <w:t> </w:t>
      </w:r>
      <w:r>
        <w:rPr>
          <w:spacing w:val="-83"/>
        </w:rPr>
      </w:r>
      <w:r>
        <w:rPr/>
        <w:t>租赁期间内按照与租赁收入确认相同的基础分期计入当期收益。</w:t>
      </w:r>
    </w:p>
    <w:p>
      <w:pPr>
        <w:pStyle w:val="BodyText"/>
        <w:spacing w:line="348" w:lineRule="auto" w:before="31"/>
        <w:ind w:right="0" w:firstLine="420"/>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6"/>
        <w:rPr>
          <w:rFonts w:ascii="宋体" w:hAnsi="宋体" w:cs="宋体" w:eastAsia="宋体" w:hint="default"/>
          <w:sz w:val="18"/>
          <w:szCs w:val="18"/>
        </w:rPr>
      </w:pPr>
    </w:p>
    <w:p>
      <w:pPr>
        <w:pStyle w:val="Heading3"/>
        <w:spacing w:line="240" w:lineRule="auto"/>
        <w:ind w:left="1133" w:right="0"/>
        <w:jc w:val="left"/>
        <w:rPr>
          <w:b w:val="0"/>
          <w:bCs w:val="0"/>
        </w:rPr>
      </w:pPr>
      <w:bookmarkStart w:name="（2）融资租赁的会计处理方法" w:id="219"/>
      <w:bookmarkEnd w:id="21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31"/>
          <w:szCs w:val="31"/>
        </w:rPr>
      </w:pPr>
    </w:p>
    <w:p>
      <w:pPr>
        <w:pStyle w:val="BodyText"/>
        <w:spacing w:line="340" w:lineRule="auto"/>
        <w:ind w:right="1093" w:firstLine="420"/>
        <w:jc w:val="left"/>
      </w:pPr>
      <w:r>
        <w:rPr>
          <w:rFonts w:ascii="Times New Roman" w:hAnsi="Times New Roman" w:cs="Times New Roman" w:eastAsia="Times New Roman" w:hint="default"/>
        </w:rPr>
        <w:t>1</w:t>
      </w:r>
      <w:r>
        <w:rPr/>
        <w:t>）融资租入资产：公司在承租开始日，将租赁资产公允价值与最低租赁付款额现值两者中较低者作 为租入资产的入账价值，将最低租赁付款额作为长期应付款的入账价值，其差额作为未确认的融资费用。 融资租入资产的认定依据、计价和折旧方法详见本附注五</w:t>
      </w:r>
      <w:r>
        <w:rPr>
          <w:rFonts w:ascii="Times New Roman" w:hAnsi="Times New Roman" w:cs="Times New Roman" w:eastAsia="Times New Roman" w:hint="default"/>
        </w:rPr>
        <w:t>15</w:t>
      </w:r>
      <w:r>
        <w:rPr/>
        <w:t>、固定资产。</w:t>
      </w:r>
    </w:p>
    <w:p>
      <w:pPr>
        <w:pStyle w:val="BodyText"/>
        <w:spacing w:line="240" w:lineRule="auto" w:before="11"/>
        <w:ind w:left="1553" w:right="0"/>
        <w:jc w:val="left"/>
      </w:pPr>
      <w:r>
        <w:rPr/>
        <w:t>公司采用实际利率法对未确认的融资费用，在资产租赁期间内摊销，计入财务费用。</w:t>
      </w:r>
    </w:p>
    <w:p>
      <w:pPr>
        <w:pStyle w:val="BodyText"/>
        <w:spacing w:line="338" w:lineRule="auto" w:before="126"/>
        <w:ind w:right="0" w:firstLine="420"/>
        <w:jc w:val="left"/>
      </w:pPr>
      <w:r>
        <w:rPr>
          <w:rFonts w:ascii="Times New Roman" w:hAnsi="Times New Roman" w:cs="Times New Roman" w:eastAsia="Times New Roman" w:hint="default"/>
        </w:rPr>
        <w:t>2</w:t>
      </w:r>
      <w:r>
        <w:rPr/>
        <w:t>）融资租出资产：公司在租赁开始日，将应收融资租赁款，未担保余值之和与其现值的差额确认为 </w:t>
      </w:r>
      <w:r>
        <w:rPr>
          <w:spacing w:val="-1"/>
        </w:rPr>
        <w:t>未实现融资收益，在将来收到租金的各期间内确认为租赁收入，公司发生的与出租交易相关的初始直接费</w:t>
      </w:r>
      <w:r>
        <w:rPr>
          <w:spacing w:val="-81"/>
        </w:rPr>
        <w:t> </w:t>
      </w:r>
      <w:r>
        <w:rPr>
          <w:spacing w:val="-81"/>
        </w:rPr>
      </w:r>
      <w:r>
        <w:rPr/>
        <w:t>用，计入应收融资租赁款的初始计量中，并减少租赁期内确认的收益金额。</w:t>
      </w:r>
    </w:p>
    <w:p>
      <w:pPr>
        <w:spacing w:line="240" w:lineRule="auto" w:before="3"/>
        <w:rPr>
          <w:rFonts w:ascii="宋体" w:hAnsi="宋体" w:cs="宋体" w:eastAsia="宋体" w:hint="default"/>
          <w:sz w:val="19"/>
          <w:szCs w:val="19"/>
        </w:rPr>
      </w:pPr>
    </w:p>
    <w:p>
      <w:pPr>
        <w:pStyle w:val="Heading3"/>
        <w:spacing w:line="240" w:lineRule="auto"/>
        <w:ind w:left="1133" w:right="0"/>
        <w:jc w:val="left"/>
        <w:rPr>
          <w:b w:val="0"/>
          <w:bCs w:val="0"/>
        </w:rPr>
      </w:pPr>
      <w:bookmarkStart w:name="28、 安全生产费" w:id="220"/>
      <w:bookmarkEnd w:id="220"/>
      <w:r>
        <w:rPr>
          <w:b w:val="0"/>
          <w:bCs w:val="0"/>
        </w:rPr>
      </w:r>
      <w:r>
        <w:rPr>
          <w:rFonts w:ascii="Times New Roman" w:hAnsi="Times New Roman" w:cs="Times New Roman" w:eastAsia="Times New Roman" w:hint="default"/>
        </w:rPr>
        <w:t>28</w:t>
      </w:r>
      <w:r>
        <w:rPr/>
        <w:t>、</w:t>
      </w:r>
      <w:r>
        <w:rPr>
          <w:spacing w:val="-2"/>
        </w:rPr>
        <w:t> </w:t>
      </w:r>
      <w:r>
        <w:rPr/>
        <w:t>安全生产费</w:t>
      </w:r>
      <w:r>
        <w:rPr>
          <w:b w:val="0"/>
          <w:bCs w:val="0"/>
        </w:rPr>
      </w:r>
    </w:p>
    <w:p>
      <w:pPr>
        <w:spacing w:line="240" w:lineRule="auto" w:before="6"/>
        <w:rPr>
          <w:rFonts w:ascii="宋体" w:hAnsi="宋体" w:cs="宋体" w:eastAsia="宋体" w:hint="default"/>
          <w:b/>
          <w:bCs/>
          <w:sz w:val="31"/>
          <w:szCs w:val="31"/>
        </w:rPr>
      </w:pPr>
    </w:p>
    <w:p>
      <w:pPr>
        <w:pStyle w:val="BodyText"/>
        <w:spacing w:line="340" w:lineRule="auto"/>
        <w:ind w:right="1131" w:firstLine="420"/>
        <w:jc w:val="both"/>
      </w:pPr>
      <w:r>
        <w:rPr/>
        <w:t>公司按照国家规定提取的安全生产费，计入相关产品的成本或当期损益，同时记入</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科目。 使用提取的安全生产费时，属于费用性支出的，直接冲减专项储备。形成固定资产的，通过</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科 </w:t>
      </w:r>
      <w:r>
        <w:rPr>
          <w:spacing w:val="-1"/>
        </w:rPr>
        <w:t>目归集所发生的支出，待安全项目完工达到预定可使用状态时确认为固定资产；同时，按照形成固定资产</w:t>
      </w:r>
      <w:r>
        <w:rPr>
          <w:spacing w:val="-83"/>
        </w:rPr>
        <w:t> </w:t>
      </w:r>
      <w:r>
        <w:rPr>
          <w:spacing w:val="-83"/>
        </w:rPr>
      </w:r>
      <w:r>
        <w:rPr>
          <w:spacing w:val="-1"/>
        </w:rPr>
        <w:t>的成本冲减专项储备，并确认相同金额的累计折旧。该固定资产在以后期间不再计提折旧，公司提取的维</w:t>
      </w:r>
      <w:r>
        <w:rPr>
          <w:spacing w:val="-83"/>
        </w:rPr>
        <w:t> </w:t>
      </w:r>
      <w:r>
        <w:rPr>
          <w:spacing w:val="-83"/>
        </w:rPr>
      </w:r>
      <w:r>
        <w:rPr/>
        <w:t>简费和其他具有类似性质的费用，比照上述规定处理。</w:t>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bookmarkStart w:name="29、重要会计政策和会计估计变更" w:id="221"/>
      <w:bookmarkEnd w:id="221"/>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会计政策变更" w:id="222"/>
      <w:bookmarkEnd w:id="22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0"/>
          <w:szCs w:val="20"/>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829"/>
        <w:gridCol w:w="1702"/>
        <w:gridCol w:w="404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日，财政部公布了修订后的《企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该准则修订</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日起施行</w:t>
            </w:r>
            <w:r>
              <w:rPr>
                <w:rFonts w:ascii="宋体" w:hAnsi="宋体" w:cs="宋体" w:eastAsia="宋体" w:hint="default"/>
                <w:spacing w:val="-90"/>
                <w:sz w:val="18"/>
                <w:szCs w:val="18"/>
              </w:rPr>
              <w:t>，</w:t>
            </w:r>
            <w:r>
              <w:rPr>
                <w:rFonts w:ascii="宋体" w:hAnsi="宋体" w:cs="宋体" w:eastAsia="宋体" w:hint="default"/>
                <w:sz w:val="18"/>
                <w:szCs w:val="18"/>
              </w:rPr>
              <w:t>同时要求企业对</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日存在的政府补助采用未来适用法处</w:t>
            </w:r>
          </w:p>
          <w:p>
            <w:pPr>
              <w:pStyle w:val="TableParagraph"/>
              <w:spacing w:line="302" w:lineRule="auto" w:before="63"/>
              <w:ind w:left="22" w:right="105"/>
              <w:jc w:val="left"/>
              <w:rPr>
                <w:rFonts w:ascii="宋体" w:hAnsi="宋体" w:cs="宋体" w:eastAsia="宋体" w:hint="default"/>
                <w:sz w:val="18"/>
                <w:szCs w:val="18"/>
              </w:rPr>
            </w:pPr>
            <w:r>
              <w:rPr>
                <w:rFonts w:ascii="宋体" w:hAnsi="宋体" w:cs="宋体" w:eastAsia="宋体" w:hint="default"/>
                <w:sz w:val="18"/>
                <w:szCs w:val="18"/>
              </w:rPr>
              <w:t>理，对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日至该准则施行日之间新 增的政府补助根据修订后的准则进行调整。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3"/>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日召开第三届董事会 第三十五次（临时） </w:t>
            </w:r>
            <w:r>
              <w:rPr>
                <w:rFonts w:ascii="宋体" w:hAnsi="宋体" w:cs="宋体" w:eastAsia="宋体" w:hint="default"/>
                <w:spacing w:val="-16"/>
                <w:sz w:val="18"/>
                <w:szCs w:val="18"/>
              </w:rPr>
              <w:t>会议，审议通过了《关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于会计政策变更的议 案》</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公司在编制财务报表时已采用修订后的准则。公司 </w:t>
            </w:r>
            <w:r>
              <w:rPr>
                <w:rFonts w:ascii="宋体" w:hAnsi="宋体" w:cs="宋体" w:eastAsia="宋体" w:hint="default"/>
                <w:spacing w:val="-5"/>
                <w:sz w:val="18"/>
                <w:szCs w:val="18"/>
              </w:rPr>
              <w:t>已根据新修订的《企业会计准则第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w:t>
            </w:r>
          </w:p>
          <w:p>
            <w:pPr>
              <w:pStyle w:val="TableParagraph"/>
              <w:spacing w:line="304" w:lineRule="auto"/>
              <w:ind w:left="22" w:right="20"/>
              <w:jc w:val="both"/>
              <w:rPr>
                <w:rFonts w:ascii="宋体" w:hAnsi="宋体" w:cs="宋体" w:eastAsia="宋体" w:hint="default"/>
                <w:sz w:val="18"/>
                <w:szCs w:val="18"/>
              </w:rPr>
            </w:pPr>
            <w:r>
              <w:rPr>
                <w:rFonts w:ascii="宋体" w:hAnsi="宋体" w:cs="宋体" w:eastAsia="宋体" w:hint="default"/>
                <w:spacing w:val="-32"/>
                <w:sz w:val="18"/>
                <w:szCs w:val="18"/>
              </w:rPr>
              <w:t>助》，对于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日之 间发生的与企业日常活动相关的政府补助在财务报 </w:t>
            </w:r>
            <w:r>
              <w:rPr>
                <w:rFonts w:ascii="宋体" w:hAnsi="宋体" w:cs="宋体" w:eastAsia="宋体" w:hint="default"/>
                <w:spacing w:val="-2"/>
                <w:sz w:val="18"/>
                <w:szCs w:val="18"/>
              </w:rPr>
              <w:t>表列报时进行了调整，从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营业外收入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重分类至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w:t>
            </w:r>
            <w:r>
              <w:rPr>
                <w:rFonts w:ascii="宋体" w:hAnsi="宋体" w:cs="宋体" w:eastAsia="宋体" w:hint="default"/>
                <w:spacing w:val="-79"/>
                <w:sz w:val="18"/>
                <w:szCs w:val="18"/>
              </w:rPr>
              <w:t> </w:t>
            </w:r>
            <w:r>
              <w:rPr>
                <w:rFonts w:ascii="宋体" w:hAnsi="宋体" w:cs="宋体" w:eastAsia="宋体" w:hint="default"/>
                <w:sz w:val="18"/>
                <w:szCs w:val="18"/>
              </w:rPr>
              <w:t>他收益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86,905,605.50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元，对于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 财务报表中可比期间的财务报表不予追溯调整。</w:t>
            </w:r>
          </w:p>
        </w:tc>
      </w:tr>
    </w:tbl>
    <w:p>
      <w:pPr>
        <w:spacing w:after="0" w:line="304"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829"/>
        <w:gridCol w:w="1702"/>
        <w:gridCol w:w="4040"/>
      </w:tblGrid>
      <w:tr>
        <w:trPr>
          <w:trHeight w:val="227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日，财政部发布了《企业会计准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w:t>
            </w:r>
          </w:p>
          <w:p>
            <w:pPr>
              <w:pStyle w:val="TableParagraph"/>
              <w:spacing w:line="304" w:lineRule="auto" w:before="63"/>
              <w:ind w:left="22" w:right="21"/>
              <w:jc w:val="left"/>
              <w:rPr>
                <w:rFonts w:ascii="宋体" w:hAnsi="宋体" w:cs="宋体" w:eastAsia="宋体" w:hint="default"/>
                <w:sz w:val="18"/>
                <w:szCs w:val="18"/>
              </w:rPr>
            </w:pPr>
            <w:r>
              <w:rPr>
                <w:rFonts w:ascii="宋体" w:hAnsi="宋体" w:cs="宋体" w:eastAsia="宋体" w:hint="default"/>
                <w:spacing w:val="-9"/>
                <w:sz w:val="18"/>
                <w:szCs w:val="18"/>
              </w:rPr>
              <w:t>和终止经营》，该准则自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行。公司根据该准则及财政部《关于修订印发一</w:t>
            </w:r>
            <w:r>
              <w:rPr>
                <w:rFonts w:ascii="宋体" w:hAnsi="宋体" w:cs="宋体" w:eastAsia="宋体" w:hint="default"/>
                <w:sz w:val="18"/>
                <w:szCs w:val="18"/>
              </w:rPr>
              <w:t> </w:t>
            </w:r>
            <w:r>
              <w:rPr>
                <w:rFonts w:ascii="宋体" w:hAnsi="宋体" w:cs="宋体" w:eastAsia="宋体" w:hint="default"/>
                <w:spacing w:val="-4"/>
                <w:sz w:val="18"/>
                <w:szCs w:val="18"/>
              </w:rPr>
              <w:t>般企业财务报表格式的通知》（财会〔</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号的规定，在利润表中新增了</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目，并对净利润按经营持续性进行分类列报。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日召开第三届董事 会第四十二次会议， 审议通过了《关于会 计政策变更的议案》</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0"/>
              <w:jc w:val="both"/>
              <w:rPr>
                <w:rFonts w:ascii="宋体" w:hAnsi="宋体" w:cs="宋体" w:eastAsia="宋体" w:hint="default"/>
                <w:sz w:val="18"/>
                <w:szCs w:val="18"/>
              </w:rPr>
            </w:pPr>
            <w:r>
              <w:rPr>
                <w:rFonts w:ascii="宋体" w:hAnsi="宋体" w:cs="宋体" w:eastAsia="宋体" w:hint="default"/>
                <w:sz w:val="18"/>
                <w:szCs w:val="18"/>
              </w:rPr>
              <w:t>此项会计政策变更采用追溯调整法，</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年无需要 调整至资产处置收益的营业外收入和支出。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 从营业外支出调整计入资产处置收益的金额为</w:t>
            </w:r>
          </w:p>
          <w:p>
            <w:pPr>
              <w:pStyle w:val="TableParagraph"/>
              <w:spacing w:line="240" w:lineRule="auto" w:before="3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-464.00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223"/>
      <w:bookmarkEnd w:id="22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合并报表范围内关联方之间形 成的应收款项，单独进行减值 测试，除非有确凿证据表明发 生减值，不计提坏账准备</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开第三届董事会第二十六次</w:t>
            </w:r>
          </w:p>
          <w:p>
            <w:pPr>
              <w:pStyle w:val="TableParagraph"/>
              <w:spacing w:line="319" w:lineRule="auto" w:before="31"/>
              <w:ind w:left="22" w:right="21"/>
              <w:jc w:val="left"/>
              <w:rPr>
                <w:rFonts w:ascii="宋体" w:hAnsi="宋体" w:cs="宋体" w:eastAsia="宋体" w:hint="default"/>
                <w:sz w:val="18"/>
                <w:szCs w:val="18"/>
              </w:rPr>
            </w:pPr>
            <w:r>
              <w:rPr>
                <w:rFonts w:ascii="宋体" w:hAnsi="宋体" w:cs="宋体" w:eastAsia="宋体" w:hint="default"/>
                <w:spacing w:val="-14"/>
                <w:sz w:val="18"/>
                <w:szCs w:val="18"/>
              </w:rPr>
              <w:t>（临时）会议，审议通过了《关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于会计估计变更的议案》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本次会计估计变更采用未来 适用法，对前期财务报表不产 生影响。</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税项" w:id="224"/>
      <w:bookmarkEnd w:id="22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5"/>
      <w:bookmarkEnd w:id="22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900"/>
        <w:gridCol w:w="248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销售收入（营改增试点地区适用应税劳务收入）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国家规划布局内的重点软件企业和集成电路设计企业如当年 未享受免税优惠的，可减按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的税率征收企业所得税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新设软件企业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两免三减半</w:t>
            </w:r>
            <w:r>
              <w:rPr>
                <w:rFonts w:ascii="Times New Roman" w:hAnsi="Times New Roman" w:cs="Times New Roman" w:eastAsia="Times New Roman"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应税所得率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应税所得率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应税所得率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香港企业所得税税率为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广州蓝盾数据安全科技创新有限公司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福建中经汇通有限责任公司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小型微利企业按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减半征收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香港企业所得税税率为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left="1553" w:right="1118"/>
        <w:jc w:val="left"/>
      </w:pPr>
      <w:r>
        <w:rPr/>
        <w:t>（</w:t>
      </w:r>
      <w:r>
        <w:rPr>
          <w:rFonts w:ascii="Times New Roman" w:hAnsi="Times New Roman" w:cs="Times New Roman" w:eastAsia="Times New Roman" w:hint="default"/>
        </w:rPr>
        <w:t>1</w:t>
      </w:r>
      <w:r>
        <w:rPr/>
        <w:t>）增值税 </w:t>
      </w:r>
      <w:r>
        <w:rPr>
          <w:spacing w:val="-1"/>
        </w:rPr>
        <w:t>公司及全资子公司蓝盾信息安全技术有限公司、控股子公司广东蓝盾乐庚信息技术有限公司、广东蓝</w:t>
      </w:r>
    </w:p>
    <w:p>
      <w:pPr>
        <w:pStyle w:val="BodyText"/>
        <w:spacing w:line="350" w:lineRule="auto" w:before="45"/>
        <w:ind w:right="1093"/>
        <w:jc w:val="left"/>
      </w:pPr>
      <w:r>
        <w:rPr/>
        <w:t>盾移动互联网信息科技有限公司、北京京穗蓝盾信息安全技术有限公司、广州天锐锋信息科技有限公司、 深圳市蓝盾满泰科技发展有限公司被认定为软件企业，取得广东省信息产业厅颁发的《软件企业认定证 </w:t>
      </w:r>
      <w:r>
        <w:rPr>
          <w:spacing w:val="-1"/>
        </w:rPr>
        <w:t>书》。根据财政部、国家税务总局、海关总署颁布的《关于鼓励软件产业和集成电路产业发展有关税收政</w:t>
      </w:r>
    </w:p>
    <w:p>
      <w:pPr>
        <w:spacing w:after="0" w:line="35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31" w:lineRule="auto" w:before="35"/>
        <w:ind w:right="1130"/>
        <w:jc w:val="both"/>
      </w:pPr>
      <w:r>
        <w:rPr/>
        <w:t>策问题的通知》（财税</w:t>
      </w:r>
      <w:r>
        <w:rPr>
          <w:rFonts w:ascii="Times New Roman" w:hAnsi="Times New Roman" w:cs="Times New Roman" w:eastAsia="Times New Roman" w:hint="default"/>
        </w:rPr>
        <w:t>[2000]25</w:t>
      </w:r>
      <w:r>
        <w:rPr/>
        <w:t>号）以及国务院颁布的《进一步鼓励软件产业和集成电路产业发展的若干 </w:t>
      </w:r>
      <w:r>
        <w:rPr>
          <w:spacing w:val="-1"/>
        </w:rPr>
        <w:t>政策》（国发</w:t>
      </w:r>
      <w:r>
        <w:rPr>
          <w:rFonts w:ascii="Times New Roman" w:hAnsi="Times New Roman" w:cs="Times New Roman" w:eastAsia="Times New Roman" w:hint="default"/>
          <w:spacing w:val="-1"/>
        </w:rPr>
        <w:t>[2011]4</w:t>
      </w:r>
      <w:r>
        <w:rPr>
          <w:spacing w:val="-1"/>
        </w:rPr>
        <w:t>号）的规定，对增值税一般纳税人销售自行开发生产的软件产品，按</w:t>
      </w:r>
      <w:r>
        <w:rPr>
          <w:rFonts w:ascii="Times New Roman" w:hAnsi="Times New Roman" w:cs="Times New Roman" w:eastAsia="Times New Roman" w:hint="default"/>
          <w:spacing w:val="-1"/>
        </w:rPr>
        <w:t>17%</w:t>
      </w:r>
      <w:r>
        <w:rPr>
          <w:spacing w:val="-1"/>
        </w:rPr>
        <w:t>的法定税率</w:t>
      </w:r>
      <w:r>
        <w:rPr>
          <w:spacing w:val="-80"/>
        </w:rPr>
        <w:t> </w:t>
      </w:r>
      <w:r>
        <w:rPr/>
        <w:t>征收增值税后，对增值税实际税负超过</w:t>
      </w:r>
      <w:r>
        <w:rPr>
          <w:rFonts w:ascii="Times New Roman" w:hAnsi="Times New Roman" w:cs="Times New Roman" w:eastAsia="Times New Roman" w:hint="default"/>
        </w:rPr>
        <w:t>3%</w:t>
      </w:r>
      <w:r>
        <w:rPr/>
        <w:t>的部分实行即征即退政策。</w:t>
      </w:r>
    </w:p>
    <w:p>
      <w:pPr>
        <w:pStyle w:val="BodyText"/>
        <w:spacing w:line="331" w:lineRule="auto" w:before="21"/>
        <w:ind w:right="1123" w:firstLine="420"/>
        <w:jc w:val="left"/>
      </w:pPr>
      <w:r>
        <w:rPr>
          <w:spacing w:val="-5"/>
        </w:rPr>
        <w:t>根据《财政部国家税务总局关于全面推开营业税改征增值税试点的通知》（财税〔</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36</w:t>
      </w:r>
      <w:r>
        <w:rPr>
          <w:spacing w:val="-5"/>
        </w:rPr>
        <w:t>号），《关</w:t>
      </w:r>
      <w:r>
        <w:rPr/>
        <w:t> 于印发〈技术合同认定规则〉的通知》（国科发政字〔</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253</w:t>
      </w:r>
      <w:r>
        <w:rPr/>
        <w:t>号）。企业提供技术转让、技术开发和 与之相关的技术咨询、技术服务，按国家规定享受免征增值税的政策。</w:t>
      </w:r>
    </w:p>
    <w:p>
      <w:pPr>
        <w:pStyle w:val="BodyText"/>
        <w:spacing w:line="240" w:lineRule="auto" w:before="45"/>
        <w:ind w:left="1553" w:right="0"/>
        <w:jc w:val="left"/>
      </w:pPr>
      <w:r>
        <w:rPr/>
        <w:t>（</w:t>
      </w:r>
      <w:r>
        <w:rPr>
          <w:rFonts w:ascii="Times New Roman" w:hAnsi="Times New Roman" w:cs="Times New Roman" w:eastAsia="Times New Roman" w:hint="default"/>
        </w:rPr>
        <w:t>2</w:t>
      </w:r>
      <w:r>
        <w:rPr/>
        <w:t>）企业所得税</w:t>
      </w:r>
    </w:p>
    <w:p>
      <w:pPr>
        <w:pStyle w:val="BodyText"/>
        <w:spacing w:line="336" w:lineRule="auto" w:before="109"/>
        <w:ind w:left="1134" w:right="1131" w:firstLine="420"/>
        <w:jc w:val="both"/>
      </w:pPr>
      <w:r>
        <w:rPr>
          <w:rFonts w:ascii="Times New Roman" w:hAnsi="Times New Roman" w:cs="Times New Roman" w:eastAsia="Times New Roman" w:hint="default"/>
        </w:rPr>
        <w:t>1</w:t>
      </w:r>
      <w:r>
        <w:rPr/>
        <w:t>）公司根据财政部、国家税务总局发出《关于软件和集成电路产业企业所得税优惠政策有关问题的 通知》（财税</w:t>
      </w:r>
      <w:r>
        <w:rPr>
          <w:rFonts w:ascii="Times New Roman" w:hAnsi="Times New Roman" w:cs="Times New Roman" w:eastAsia="Times New Roman" w:hint="default"/>
        </w:rPr>
        <w:t>[2016]49</w:t>
      </w:r>
      <w:r>
        <w:rPr/>
        <w:t>号），明确享受《财政部、国家税务总局关于进一步鼓励软件产业和集成电路产业 发展企业所得税政策的通知》（财税</w:t>
      </w:r>
      <w:r>
        <w:rPr>
          <w:rFonts w:ascii="Times New Roman" w:hAnsi="Times New Roman" w:cs="Times New Roman" w:eastAsia="Times New Roman" w:hint="default"/>
        </w:rPr>
        <w:t>[2012]27</w:t>
      </w:r>
      <w:r>
        <w:rPr/>
        <w:t>号）文件规定的税收优惠政策的软件、集成电路企业，每年 </w:t>
      </w:r>
      <w:r>
        <w:rPr>
          <w:spacing w:val="-1"/>
        </w:rPr>
        <w:t>汇算清缴时按规定向税务机关备案，同时提交备案资料即可享受相应的税收优惠。国家规划布局内的重点</w:t>
      </w:r>
      <w:r>
        <w:rPr>
          <w:spacing w:val="-81"/>
        </w:rPr>
        <w:t> </w:t>
      </w:r>
      <w:r>
        <w:rPr>
          <w:spacing w:val="-81"/>
        </w:rPr>
      </w:r>
      <w:r>
        <w:rPr/>
        <w:t>软件企业和集成电路设计企业，如当年未享受免税优惠的，可减按</w:t>
      </w:r>
      <w:r>
        <w:rPr>
          <w:rFonts w:ascii="Times New Roman" w:hAnsi="Times New Roman" w:cs="Times New Roman" w:eastAsia="Times New Roman" w:hint="default"/>
        </w:rPr>
        <w:t>10%</w:t>
      </w:r>
      <w:r>
        <w:rPr/>
        <w:t>的税率征收企业所得税。</w:t>
      </w:r>
    </w:p>
    <w:p>
      <w:pPr>
        <w:pStyle w:val="BodyText"/>
        <w:spacing w:line="331" w:lineRule="auto" w:before="16"/>
        <w:ind w:right="1116" w:firstLine="420"/>
        <w:jc w:val="left"/>
      </w:pPr>
      <w:r>
        <w:rPr>
          <w:rFonts w:ascii="Times New Roman" w:hAnsi="Times New Roman" w:cs="Times New Roman" w:eastAsia="Times New Roman" w:hint="default"/>
        </w:rPr>
        <w:t>2</w:t>
      </w:r>
      <w:r>
        <w:rPr/>
        <w:t>）全资子公司广州华炜科技有限公司于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日取得广东省科学技术厅、广东省财政厅、广 东省国家税务局、广东省地方税务局下发的编号为</w:t>
      </w:r>
      <w:r>
        <w:rPr>
          <w:rFonts w:ascii="Times New Roman" w:hAnsi="Times New Roman" w:cs="Times New Roman" w:eastAsia="Times New Roman" w:hint="default"/>
        </w:rPr>
        <w:t>GR20144001210</w:t>
      </w:r>
      <w:r>
        <w:rPr/>
        <w:t>的《高新技术企业证书》，该认定有效 期为三年；广州华炜科技有限公司于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日再次取得广东省科学技术厅、广东省财政厅、广东省 </w:t>
      </w:r>
      <w:r>
        <w:rPr>
          <w:spacing w:val="-3"/>
        </w:rPr>
        <w:t>国家税务局、广东省地方税务局下发的编号为</w:t>
      </w:r>
      <w:r>
        <w:rPr>
          <w:rFonts w:ascii="Times New Roman" w:hAnsi="Times New Roman" w:cs="Times New Roman" w:eastAsia="Times New Roman" w:hint="default"/>
          <w:spacing w:val="-3"/>
        </w:rPr>
        <w:t>GR201744003222</w:t>
      </w:r>
      <w:r>
        <w:rPr>
          <w:spacing w:val="-3"/>
        </w:rPr>
        <w:t>的《高新技术企业证书》，该认定有效期为</w:t>
      </w:r>
      <w:r>
        <w:rPr>
          <w:spacing w:val="-54"/>
        </w:rPr>
        <w:t> </w:t>
      </w:r>
      <w:r>
        <w:rPr>
          <w:spacing w:val="-54"/>
        </w:rPr>
      </w:r>
      <w:r>
        <w:rPr/>
        <w:t>三年，于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的优惠税率缴纳企业所得税。广州华炜科技有限公司全资子公 司江西华炜电气技术有限公司于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日取得江西省科学技术厅、江西省财政厅、江西省国家税务 </w:t>
      </w:r>
      <w:r>
        <w:rPr>
          <w:spacing w:val="-6"/>
        </w:rPr>
        <w:t>局、江西省地方税务局下发的编号为</w:t>
      </w:r>
      <w:r>
        <w:rPr>
          <w:rFonts w:ascii="Times New Roman" w:hAnsi="Times New Roman" w:cs="Times New Roman" w:eastAsia="Times New Roman" w:hint="default"/>
          <w:spacing w:val="-6"/>
        </w:rPr>
        <w:t>GR201736000796</w:t>
      </w:r>
      <w:r>
        <w:rPr>
          <w:spacing w:val="-6"/>
        </w:rPr>
        <w:t>的《高新技术企业证书》。该认定有效期为三年，</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2018</w:t>
      </w:r>
      <w:r>
        <w:rPr/>
        <w:t>年及</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的优惠税率缴纳企业所得税。广州华炜科技有限公司控股子公司东莞新铂铼 </w:t>
      </w:r>
      <w:r>
        <w:rPr>
          <w:spacing w:val="-1"/>
        </w:rPr>
        <w:t>电子有限公司</w:t>
      </w:r>
      <w:r>
        <w:rPr>
          <w:rFonts w:ascii="Times New Roman" w:hAnsi="Times New Roman" w:cs="Times New Roman" w:eastAsia="Times New Roman" w:hint="default"/>
          <w:spacing w:val="-1"/>
        </w:rPr>
        <w:t>2017</w:t>
      </w:r>
      <w:r>
        <w:rPr>
          <w:spacing w:val="-1"/>
        </w:rPr>
        <w:t>年取广东省科学技术厅、广东省财政厅、广东省国家税务局、广东省地方税务局下发的</w:t>
      </w:r>
      <w:r>
        <w:rPr>
          <w:spacing w:val="-82"/>
        </w:rPr>
        <w:t> </w:t>
      </w:r>
      <w:r>
        <w:rPr>
          <w:spacing w:val="-82"/>
        </w:rPr>
      </w:r>
      <w:r>
        <w:rPr>
          <w:spacing w:val="-5"/>
        </w:rPr>
        <w:t>编号为</w:t>
      </w:r>
      <w:r>
        <w:rPr>
          <w:rFonts w:ascii="Times New Roman" w:hAnsi="Times New Roman" w:cs="Times New Roman" w:eastAsia="Times New Roman" w:hint="default"/>
          <w:spacing w:val="-5"/>
        </w:rPr>
        <w:t>GR201744010889</w:t>
      </w:r>
      <w:r>
        <w:rPr>
          <w:spacing w:val="-5"/>
        </w:rPr>
        <w:t>的《高新技术企业证书》。该认定有效期为三年，</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2018</w:t>
      </w:r>
      <w:r>
        <w:rPr>
          <w:spacing w:val="-5"/>
        </w:rPr>
        <w:t>年及</w:t>
      </w:r>
      <w:r>
        <w:rPr>
          <w:rFonts w:ascii="Times New Roman" w:hAnsi="Times New Roman" w:cs="Times New Roman" w:eastAsia="Times New Roman" w:hint="default"/>
          <w:spacing w:val="-5"/>
        </w:rPr>
        <w:t>2019</w:t>
      </w:r>
      <w:r>
        <w:rPr>
          <w:spacing w:val="-5"/>
        </w:rPr>
        <w:t>年享受</w:t>
      </w:r>
      <w:r>
        <w:rPr>
          <w:rFonts w:ascii="Times New Roman" w:hAnsi="Times New Roman" w:cs="Times New Roman" w:eastAsia="Times New Roman" w:hint="default"/>
          <w:spacing w:val="-5"/>
        </w:rPr>
        <w:t>15%</w:t>
      </w:r>
      <w:r>
        <w:rPr>
          <w:rFonts w:ascii="Times New Roman" w:hAnsi="Times New Roman" w:cs="Times New Roman" w:eastAsia="Times New Roman" w:hint="default"/>
          <w:spacing w:val="-30"/>
        </w:rPr>
        <w:t> </w:t>
      </w:r>
      <w:r>
        <w:rPr/>
        <w:t>的优惠税率缴纳企业所得税。</w:t>
      </w:r>
    </w:p>
    <w:p>
      <w:pPr>
        <w:pStyle w:val="BodyText"/>
        <w:spacing w:line="328" w:lineRule="auto" w:before="46"/>
        <w:ind w:left="1134" w:right="1156" w:firstLine="420"/>
        <w:jc w:val="both"/>
      </w:pPr>
      <w:r>
        <w:rPr>
          <w:rFonts w:ascii="Times New Roman" w:hAnsi="Times New Roman" w:cs="Times New Roman" w:eastAsia="Times New Roman" w:hint="default"/>
        </w:rPr>
        <w:t>3</w:t>
      </w:r>
      <w:r>
        <w:rPr/>
        <w:t>）全资子公司中经汇通电子商务有限公司和汇通宝支付有限责任公司于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日取得广东省 科学技术厅和广东省财政厅下发的编号为</w:t>
      </w:r>
      <w:r>
        <w:rPr>
          <w:rFonts w:ascii="Times New Roman" w:hAnsi="Times New Roman" w:cs="Times New Roman" w:eastAsia="Times New Roman" w:hint="default"/>
        </w:rPr>
        <w:t>GR201544000373</w:t>
      </w:r>
      <w:r>
        <w:rPr/>
        <w:t>与</w:t>
      </w:r>
      <w:r>
        <w:rPr>
          <w:rFonts w:ascii="Times New Roman" w:hAnsi="Times New Roman" w:cs="Times New Roman" w:eastAsia="Times New Roman" w:hint="default"/>
        </w:rPr>
        <w:t>GR201544006327</w:t>
      </w:r>
      <w:r>
        <w:rPr/>
        <w:t>的《高新技术企业证书》。 该认定有效期为三年，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年及</w:t>
      </w:r>
      <w:r>
        <w:rPr>
          <w:rFonts w:ascii="Times New Roman" w:hAnsi="Times New Roman" w:cs="Times New Roman" w:eastAsia="Times New Roman" w:hint="default"/>
        </w:rPr>
        <w:t>2017</w:t>
      </w:r>
      <w:r>
        <w:rPr/>
        <w:t>年享受</w:t>
      </w:r>
      <w:r>
        <w:rPr>
          <w:rFonts w:ascii="Times New Roman" w:hAnsi="Times New Roman" w:cs="Times New Roman" w:eastAsia="Times New Roman" w:hint="default"/>
        </w:rPr>
        <w:t>15%</w:t>
      </w:r>
      <w:r>
        <w:rPr/>
        <w:t>的优惠税率缴纳企业所得税。</w:t>
      </w:r>
    </w:p>
    <w:p>
      <w:pPr>
        <w:pStyle w:val="BodyText"/>
        <w:spacing w:line="331" w:lineRule="auto" w:before="24"/>
        <w:ind w:right="1093" w:firstLine="42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）全资子公司蓝盾信息安全技术有限公司于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日取得广东省科学技术厅、广东省财政厅、 </w:t>
      </w:r>
      <w:r>
        <w:rPr>
          <w:spacing w:val="-3"/>
        </w:rPr>
        <w:t>广东省国家税务局、广东省地方税务局下发的编号为</w:t>
      </w:r>
      <w:r>
        <w:rPr>
          <w:rFonts w:ascii="Times New Roman" w:hAnsi="Times New Roman" w:cs="Times New Roman" w:eastAsia="Times New Roman" w:hint="default"/>
          <w:spacing w:val="-3"/>
        </w:rPr>
        <w:t>GR201744002081</w:t>
      </w:r>
      <w:r>
        <w:rPr>
          <w:spacing w:val="-3"/>
        </w:rPr>
        <w:t>的《高新技术企业证书》。该认定有</w:t>
      </w:r>
      <w:r>
        <w:rPr>
          <w:spacing w:val="-54"/>
        </w:rPr>
        <w:t> </w:t>
      </w:r>
      <w:r>
        <w:rPr>
          <w:spacing w:val="-54"/>
        </w:rPr>
      </w:r>
      <w:r>
        <w:rPr/>
        <w:t>效期为三年，于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的优惠税率缴纳企业所得税。全资子公司广东蓝盾移动 互联网信息科技有限公司于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日取得广东省科学技术厅、广东省财政厅、广东省国家税务局、 </w:t>
      </w:r>
      <w:r>
        <w:rPr>
          <w:spacing w:val="-2"/>
        </w:rPr>
        <w:t>广东省地方税务局下发的编号为</w:t>
      </w:r>
      <w:r>
        <w:rPr>
          <w:rFonts w:ascii="Times New Roman" w:hAnsi="Times New Roman" w:cs="Times New Roman" w:eastAsia="Times New Roman" w:hint="default"/>
          <w:spacing w:val="-2"/>
        </w:rPr>
        <w:t>GR201744001620</w:t>
      </w:r>
      <w:r>
        <w:rPr>
          <w:spacing w:val="-2"/>
        </w:rPr>
        <w:t>的《高新技术企业证书》。该认定有效期为三年，于</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年享受</w:t>
      </w:r>
      <w:r>
        <w:rPr>
          <w:rFonts w:ascii="Times New Roman" w:hAnsi="Times New Roman" w:cs="Times New Roman" w:eastAsia="Times New Roman" w:hint="default"/>
        </w:rPr>
        <w:t>15%</w:t>
      </w:r>
      <w:r>
        <w:rPr/>
        <w:t>的优惠税率缴纳企业所得税。控股子公司北京京穂蓝盾信息安全技术有限公 </w:t>
      </w:r>
      <w:r>
        <w:rPr>
          <w:spacing w:val="-1"/>
        </w:rPr>
        <w:t>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日取得北京市科学技术委员会、北京市财政局、北京市国家税务局、北京市地方税务局</w:t>
      </w:r>
      <w:r>
        <w:rPr>
          <w:spacing w:val="-84"/>
        </w:rPr>
        <w:t> </w:t>
      </w:r>
      <w:r>
        <w:rPr>
          <w:spacing w:val="-84"/>
        </w:rPr>
      </w:r>
      <w:r>
        <w:rPr/>
        <w:t>下发的编号为</w:t>
      </w:r>
      <w:r>
        <w:rPr>
          <w:rFonts w:ascii="Times New Roman" w:hAnsi="Times New Roman" w:cs="Times New Roman" w:eastAsia="Times New Roman" w:hint="default"/>
        </w:rPr>
        <w:t>GR201711003559</w:t>
      </w:r>
      <w:r>
        <w:rPr/>
        <w:t>的《高新技术企业证书》该认定有效期为三年，于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p>
    <w:p>
      <w:pPr>
        <w:spacing w:after="0" w:line="331" w:lineRule="auto"/>
        <w:jc w:val="left"/>
        <w:rPr>
          <w:rFonts w:ascii="Times New Roman" w:hAnsi="Times New Roman" w:cs="Times New Roman" w:eastAsia="Times New Roman" w:hint="default"/>
        </w:rPr>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5"/>
        <w:ind w:right="0"/>
        <w:jc w:val="left"/>
      </w:pPr>
      <w:r>
        <w:rPr/>
        <w:t>年享受</w:t>
      </w:r>
      <w:r>
        <w:rPr>
          <w:rFonts w:ascii="Times New Roman" w:hAnsi="Times New Roman" w:cs="Times New Roman" w:eastAsia="Times New Roman" w:hint="default"/>
        </w:rPr>
        <w:t>15%</w:t>
      </w:r>
      <w:r>
        <w:rPr/>
        <w:t>的优惠税率缴纳企业所得税。</w:t>
      </w:r>
    </w:p>
    <w:p>
      <w:pPr>
        <w:pStyle w:val="BodyText"/>
        <w:spacing w:line="336" w:lineRule="auto" w:before="109"/>
        <w:ind w:right="1130" w:firstLine="420"/>
        <w:jc w:val="both"/>
      </w:pPr>
      <w:r>
        <w:rPr>
          <w:rFonts w:ascii="Times New Roman" w:hAnsi="Times New Roman" w:cs="Times New Roman" w:eastAsia="Times New Roman" w:hint="default"/>
          <w:spacing w:val="-1"/>
        </w:rPr>
        <w:t>5</w:t>
      </w:r>
      <w:r>
        <w:rPr>
          <w:spacing w:val="-1"/>
        </w:rPr>
        <w:t>）控股子公司广东蓝盾乐庚信息技术有限公司符合双软企业，已于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日取得广东省经济和</w:t>
      </w:r>
      <w:r>
        <w:rPr/>
        <w:t> </w:t>
      </w:r>
      <w:r>
        <w:rPr>
          <w:spacing w:val="-1"/>
        </w:rPr>
        <w:t>信息化委员会颁发的《软件企业认定证书》，享受两免三减半的优惠政策，从开始获利年度起，第一年和</w:t>
      </w:r>
      <w:r>
        <w:rPr>
          <w:spacing w:val="-83"/>
        </w:rPr>
        <w:t> </w:t>
      </w:r>
      <w:r>
        <w:rPr>
          <w:spacing w:val="-83"/>
        </w:rPr>
      </w:r>
      <w:r>
        <w:rPr>
          <w:spacing w:val="-5"/>
        </w:rPr>
        <w:t>第二年免征企业所得税，第三年至第五年减半征收企业所得税。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2014</w:t>
      </w:r>
      <w:r>
        <w:rPr>
          <w:spacing w:val="-5"/>
        </w:rPr>
        <w:t>年免征所得税，</w:t>
      </w:r>
      <w:r>
        <w:rPr>
          <w:rFonts w:ascii="Times New Roman" w:hAnsi="Times New Roman" w:cs="Times New Roman" w:eastAsia="Times New Roman" w:hint="default"/>
          <w:spacing w:val="-5"/>
        </w:rPr>
        <w:t>2015</w:t>
      </w:r>
      <w:r>
        <w:rPr>
          <w:spacing w:val="-5"/>
        </w:rPr>
        <w:t>年至</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2"/>
        </w:rPr>
        <w:t> </w:t>
      </w:r>
      <w:r>
        <w:rPr/>
        <w:t>年按</w:t>
      </w:r>
      <w:r>
        <w:rPr>
          <w:rFonts w:ascii="Times New Roman" w:hAnsi="Times New Roman" w:cs="Times New Roman" w:eastAsia="Times New Roman" w:hint="default"/>
        </w:rPr>
        <w:t>25%</w:t>
      </w:r>
      <w:r>
        <w:rPr/>
        <w:t>的税率减半缴纳所得税。</w:t>
      </w:r>
    </w:p>
    <w:p>
      <w:pPr>
        <w:pStyle w:val="BodyText"/>
        <w:spacing w:line="340" w:lineRule="auto" w:before="17"/>
        <w:ind w:right="0" w:firstLine="420"/>
        <w:jc w:val="left"/>
      </w:pPr>
      <w:r>
        <w:rPr>
          <w:rFonts w:ascii="Times New Roman" w:hAnsi="Times New Roman" w:cs="Times New Roman" w:eastAsia="Times New Roman" w:hint="default"/>
        </w:rPr>
        <w:t>6</w:t>
      </w:r>
      <w:r>
        <w:rPr/>
        <w:t>）全资子公司广州蓝盾数据安全科技创新有限公司、全资子公司深圳中科蓝盾信息安全技术有限公 </w:t>
      </w:r>
      <w:r>
        <w:rPr>
          <w:spacing w:val="-1"/>
        </w:rPr>
        <w:t>司、全资子公司广东蓝盾教育科技有限公司、全资子公司广州市奔特信息科技有限公司、全资子公司广州</w:t>
      </w:r>
      <w:r>
        <w:rPr>
          <w:spacing w:val="-83"/>
        </w:rPr>
        <w:t> </w:t>
      </w:r>
      <w:r>
        <w:rPr>
          <w:spacing w:val="-83"/>
        </w:rPr>
      </w:r>
      <w:r>
        <w:rPr>
          <w:spacing w:val="-1"/>
        </w:rPr>
        <w:t>蓝盾工控技术有限公司、深圳市蓝盾满泰科技发展有限公司全资子公司广州市满泰信息科技有限公司、广</w:t>
      </w:r>
      <w:r>
        <w:rPr>
          <w:spacing w:val="-81"/>
        </w:rPr>
        <w:t> </w:t>
      </w:r>
      <w:r>
        <w:rPr>
          <w:spacing w:val="-81"/>
        </w:rPr>
      </w:r>
      <w:r>
        <w:rPr>
          <w:spacing w:val="-1"/>
        </w:rPr>
        <w:t>州华炜科技有限公司全资子公司东莞市华炜雷电防护设备有限公司，控股子公司广州天锐锋信息科技有限</w:t>
      </w:r>
      <w:r>
        <w:rPr>
          <w:spacing w:val="-81"/>
        </w:rPr>
        <w:t> </w:t>
      </w:r>
      <w:r>
        <w:rPr>
          <w:spacing w:val="-81"/>
        </w:rPr>
      </w:r>
      <w:r>
        <w:rPr>
          <w:spacing w:val="-1"/>
        </w:rPr>
        <w:t>公司、控股子公司广东汇青信息科技有限公司、控股子公司广西蓝盾智慧城市信息技术有限公司符合小型</w:t>
      </w:r>
      <w:r>
        <w:rPr>
          <w:spacing w:val="-81"/>
        </w:rPr>
        <w:t> </w:t>
      </w:r>
      <w:r>
        <w:rPr>
          <w:spacing w:val="-81"/>
        </w:rPr>
      </w:r>
      <w:r>
        <w:rPr>
          <w:spacing w:val="-1"/>
        </w:rPr>
        <w:t>微利企业条件，根据财税〔</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43</w:t>
      </w:r>
      <w:r>
        <w:rPr>
          <w:spacing w:val="-1"/>
        </w:rPr>
        <w:t>号文件，自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日，符合条件的小型微利企</w:t>
      </w:r>
      <w:r>
        <w:rPr>
          <w:spacing w:val="-78"/>
        </w:rPr>
        <w:t> </w:t>
      </w:r>
      <w:r>
        <w:rPr>
          <w:spacing w:val="-78"/>
        </w:rPr>
      </w:r>
      <w:r>
        <w:rPr>
          <w:spacing w:val="-1"/>
        </w:rPr>
        <w:t>业，无论采取查账征收方式还是核定征收方式，其年应纳税所得额低于</w:t>
      </w:r>
      <w:r>
        <w:rPr>
          <w:rFonts w:ascii="Times New Roman" w:hAnsi="Times New Roman" w:cs="Times New Roman" w:eastAsia="Times New Roman" w:hint="default"/>
          <w:spacing w:val="-1"/>
        </w:rPr>
        <w:t>50</w:t>
      </w:r>
      <w:r>
        <w:rPr>
          <w:spacing w:val="-1"/>
        </w:rPr>
        <w:t>万元（含</w:t>
      </w:r>
      <w:r>
        <w:rPr>
          <w:rFonts w:ascii="Times New Roman" w:hAnsi="Times New Roman" w:cs="Times New Roman" w:eastAsia="Times New Roman" w:hint="default"/>
          <w:spacing w:val="-1"/>
        </w:rPr>
        <w:t>50</w:t>
      </w:r>
      <w:r>
        <w:rPr>
          <w:spacing w:val="-1"/>
        </w:rPr>
        <w:t>万元，下同）的，均</w:t>
      </w:r>
      <w:r>
        <w:rPr>
          <w:spacing w:val="-84"/>
        </w:rPr>
        <w:t> </w:t>
      </w:r>
      <w:r>
        <w:rPr>
          <w:spacing w:val="-84"/>
        </w:rPr>
      </w:r>
      <w:r>
        <w:rPr/>
        <w:t>可以享受所得减按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的税率缴纳企业所得税的优惠政策。</w:t>
      </w:r>
    </w:p>
    <w:p>
      <w:pPr>
        <w:pStyle w:val="BodyText"/>
        <w:spacing w:line="331" w:lineRule="auto" w:before="11"/>
        <w:ind w:right="1132" w:firstLine="420"/>
        <w:jc w:val="both"/>
      </w:pPr>
      <w:r>
        <w:rPr>
          <w:rFonts w:ascii="Times New Roman" w:hAnsi="Times New Roman" w:cs="Times New Roman" w:eastAsia="Times New Roman" w:hint="default"/>
          <w:spacing w:val="-1"/>
        </w:rPr>
        <w:t>7</w:t>
      </w:r>
      <w:r>
        <w:rPr>
          <w:spacing w:val="-1"/>
        </w:rPr>
        <w:t>）控股子公司深圳市蓝盾满泰科技发展有限公司于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日取得深圳市科技创新委员会、深圳</w:t>
      </w:r>
      <w:r>
        <w:rPr/>
        <w:t> </w:t>
      </w:r>
      <w:r>
        <w:rPr>
          <w:spacing w:val="-2"/>
        </w:rPr>
        <w:t>市财政委员会、深圳市国家税务局、深圳市地方税务局联合下发的编号为</w:t>
      </w:r>
      <w:r>
        <w:rPr>
          <w:rFonts w:ascii="Times New Roman" w:hAnsi="Times New Roman" w:cs="Times New Roman" w:eastAsia="Times New Roman" w:hint="default"/>
          <w:spacing w:val="-2"/>
        </w:rPr>
        <w:t>GR201544200935</w:t>
      </w:r>
      <w:r>
        <w:rPr>
          <w:spacing w:val="-2"/>
        </w:rPr>
        <w:t>的《高新技术企</w:t>
      </w:r>
      <w:r>
        <w:rPr/>
        <w:t> 业证书》，该认定有效期为三年，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年及</w:t>
      </w:r>
      <w:r>
        <w:rPr>
          <w:rFonts w:ascii="Times New Roman" w:hAnsi="Times New Roman" w:cs="Times New Roman" w:eastAsia="Times New Roman" w:hint="default"/>
        </w:rPr>
        <w:t>2017</w:t>
      </w:r>
      <w:r>
        <w:rPr/>
        <w:t>年享受</w:t>
      </w:r>
      <w:r>
        <w:rPr>
          <w:rFonts w:ascii="Times New Roman" w:hAnsi="Times New Roman" w:cs="Times New Roman" w:eastAsia="Times New Roman" w:hint="default"/>
        </w:rPr>
        <w:t>15%</w:t>
      </w:r>
      <w:r>
        <w:rPr/>
        <w:t>的优惠税率缴纳企业所得税。</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3、其他" w:id="227"/>
      <w:bookmarkEnd w:id="227"/>
      <w:r>
        <w:rPr>
          <w:b w:val="0"/>
          <w:bCs w:val="0"/>
        </w:rPr>
      </w:r>
      <w:r>
        <w:rPr>
          <w:rFonts w:ascii="Times New Roman" w:hAnsi="Times New Roman" w:cs="Times New Roman" w:eastAsia="Times New Roman" w:hint="default"/>
        </w:rPr>
        <w:t>3</w:t>
      </w:r>
      <w:r>
        <w:rPr/>
        <w:t>、其他</w:t>
      </w:r>
      <w:r>
        <w:rPr>
          <w:b w:val="0"/>
          <w:bCs w:val="0"/>
        </w:rPr>
      </w:r>
    </w:p>
    <w:p>
      <w:pPr>
        <w:spacing w:line="240" w:lineRule="auto" w:before="6"/>
        <w:rPr>
          <w:rFonts w:ascii="宋体" w:hAnsi="宋体" w:cs="宋体" w:eastAsia="宋体" w:hint="default"/>
          <w:b/>
          <w:bCs/>
          <w:sz w:val="31"/>
          <w:szCs w:val="31"/>
        </w:rPr>
      </w:pPr>
    </w:p>
    <w:p>
      <w:pPr>
        <w:spacing w:line="331" w:lineRule="auto" w:before="0"/>
        <w:ind w:left="1554" w:right="531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）房产税</w:t>
      </w:r>
      <w:r>
        <w:rPr>
          <w:rFonts w:ascii="宋体" w:hAnsi="宋体" w:cs="宋体" w:eastAsia="宋体" w:hint="default"/>
          <w:b/>
          <w:bCs/>
          <w:w w:val="99"/>
          <w:sz w:val="21"/>
          <w:szCs w:val="21"/>
        </w:rPr>
        <w:t> </w:t>
      </w:r>
      <w:r>
        <w:rPr>
          <w:rFonts w:ascii="宋体" w:hAnsi="宋体" w:cs="宋体" w:eastAsia="宋体" w:hint="default"/>
          <w:sz w:val="21"/>
          <w:szCs w:val="21"/>
        </w:rPr>
        <w:t>房产税按照房产原值的</w:t>
      </w:r>
      <w:r>
        <w:rPr>
          <w:rFonts w:ascii="Times New Roman" w:hAnsi="Times New Roman" w:cs="Times New Roman" w:eastAsia="Times New Roman" w:hint="default"/>
          <w:sz w:val="21"/>
          <w:szCs w:val="21"/>
        </w:rPr>
        <w:t>70%</w:t>
      </w:r>
      <w:r>
        <w:rPr>
          <w:rFonts w:ascii="宋体" w:hAnsi="宋体" w:cs="宋体" w:eastAsia="宋体" w:hint="default"/>
          <w:sz w:val="21"/>
          <w:szCs w:val="21"/>
        </w:rPr>
        <w:t>为纳税基准，税率为</w:t>
      </w:r>
      <w:r>
        <w:rPr>
          <w:rFonts w:ascii="Times New Roman" w:hAnsi="Times New Roman" w:cs="Times New Roman" w:eastAsia="Times New Roman" w:hint="default"/>
          <w:sz w:val="21"/>
          <w:szCs w:val="21"/>
        </w:rPr>
        <w:t>1.2%</w:t>
      </w:r>
      <w:r>
        <w:rPr>
          <w:rFonts w:ascii="宋体" w:hAnsi="宋体" w:cs="宋体" w:eastAsia="宋体" w:hint="default"/>
          <w:sz w:val="21"/>
          <w:szCs w:val="21"/>
        </w:rPr>
        <w:t>。</w:t>
      </w:r>
    </w:p>
    <w:p>
      <w:pPr>
        <w:spacing w:line="328" w:lineRule="auto" w:before="140"/>
        <w:ind w:left="1553" w:right="718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）个人所得税</w:t>
      </w:r>
      <w:r>
        <w:rPr>
          <w:rFonts w:ascii="宋体" w:hAnsi="宋体" w:cs="宋体" w:eastAsia="宋体" w:hint="default"/>
          <w:b/>
          <w:bCs/>
          <w:w w:val="99"/>
          <w:sz w:val="21"/>
          <w:szCs w:val="21"/>
        </w:rPr>
        <w:t> </w:t>
      </w:r>
      <w:r>
        <w:rPr>
          <w:rFonts w:ascii="宋体" w:hAnsi="宋体" w:cs="宋体" w:eastAsia="宋体" w:hint="default"/>
          <w:sz w:val="21"/>
          <w:szCs w:val="21"/>
        </w:rPr>
        <w:t>员工个人所得税由公司代扣代缴。</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七、合并财务报表项目注释" w:id="228"/>
      <w:bookmarkEnd w:id="22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29"/>
      <w:bookmarkEnd w:id="22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320,955.16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306,062.09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1,581,093,140.53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2,055,769,605.69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85,312,114.84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37,194,197.62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1,666,726,210.53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2,093,269,865.40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38,350.95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68,110.24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left="1553" w:right="0"/>
        <w:jc w:val="left"/>
      </w:pPr>
      <w:r>
        <w:rPr/>
        <w:t>其中受限制的货币资金明细如下：</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262"/>
        <w:gridCol w:w="3118"/>
        <w:gridCol w:w="3119"/>
      </w:tblGrid>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67,856,392.93</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7,515,273.14</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12,942,224.84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11,609,275.97</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汇通宝备付金账户的余额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4,468,205.34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18,027,284.83</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45,291.73</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42,363.68</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85,312,114.84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37,194,197.62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票据" w:id="230"/>
      <w:bookmarkEnd w:id="23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31"/>
      <w:bookmarkEnd w:id="23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12,531,828.00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9,893,108.60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3,312,663.80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3,063,200.00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15,844,491.80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12,956,308.60</w:t>
            </w:r>
          </w:p>
        </w:tc>
      </w:tr>
    </w:tbl>
    <w:p>
      <w:pPr>
        <w:spacing w:line="240" w:lineRule="auto" w:before="2"/>
        <w:rPr>
          <w:rFonts w:ascii="宋体" w:hAnsi="宋体" w:cs="宋体" w:eastAsia="宋体" w:hint="default"/>
          <w:sz w:val="19"/>
          <w:szCs w:val="19"/>
        </w:rPr>
      </w:pPr>
    </w:p>
    <w:p>
      <w:pPr>
        <w:pStyle w:val="Heading3"/>
        <w:spacing w:line="580" w:lineRule="auto" w:before="35"/>
        <w:ind w:left="1554" w:right="7695" w:hanging="420"/>
        <w:jc w:val="left"/>
        <w:rPr>
          <w:rFonts w:ascii="宋体" w:hAnsi="宋体" w:cs="宋体" w:eastAsia="宋体" w:hint="default"/>
          <w:b w:val="0"/>
          <w:bCs w:val="0"/>
        </w:rPr>
      </w:pPr>
      <w:bookmarkStart w:name="（2）期末公司已质押的应收票据" w:id="232"/>
      <w:bookmarkEnd w:id="232"/>
      <w:r>
        <w:rPr>
          <w:b w:val="0"/>
          <w:bCs w:val="0"/>
        </w:rPr>
      </w:r>
      <w:r>
        <w:rPr/>
        <w:t>（</w:t>
      </w:r>
      <w:r>
        <w:rPr>
          <w:rFonts w:ascii="Times New Roman" w:hAnsi="Times New Roman" w:cs="Times New Roman" w:eastAsia="Times New Roman" w:hint="default"/>
        </w:rPr>
        <w:t>2</w:t>
      </w:r>
      <w:r>
        <w:rPr/>
        <w:t>）期末公司已质押的应收票据</w:t>
      </w:r>
      <w:r>
        <w:rPr>
          <w:w w:val="99"/>
        </w:rPr>
        <w:t> </w:t>
      </w:r>
      <w:r>
        <w:rPr>
          <w:rFonts w:ascii="宋体" w:hAnsi="宋体" w:cs="宋体" w:eastAsia="宋体" w:hint="default"/>
          <w:b w:val="0"/>
          <w:bCs w:val="0"/>
        </w:rPr>
        <w:t>无。</w:t>
      </w:r>
    </w:p>
    <w:p>
      <w:pPr>
        <w:pStyle w:val="Heading3"/>
        <w:spacing w:line="240" w:lineRule="auto" w:before="36"/>
        <w:ind w:right="0"/>
        <w:jc w:val="left"/>
        <w:rPr>
          <w:b w:val="0"/>
          <w:bCs w:val="0"/>
        </w:rPr>
      </w:pPr>
      <w:bookmarkStart w:name="（3）期末公司已背书或贴现且在资产负债表日尚未到期的应收票据" w:id="233"/>
      <w:bookmarkEnd w:id="23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24,262,616.01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24,262,616.01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578" w:lineRule="auto" w:before="35"/>
        <w:ind w:left="1554" w:right="5167" w:hanging="420"/>
        <w:jc w:val="left"/>
        <w:rPr>
          <w:rFonts w:ascii="宋体" w:hAnsi="宋体" w:cs="宋体" w:eastAsia="宋体" w:hint="default"/>
          <w:b w:val="0"/>
          <w:bCs w:val="0"/>
        </w:rPr>
      </w:pPr>
      <w:bookmarkStart w:name="（4）期末公司因出票人未履约而将其转应收账款的票据" w:id="234"/>
      <w:bookmarkEnd w:id="234"/>
      <w:r>
        <w:rPr>
          <w:b w:val="0"/>
          <w:bCs w:val="0"/>
        </w:rPr>
      </w:r>
      <w:r>
        <w:rPr/>
        <w:t>（</w:t>
      </w:r>
      <w:r>
        <w:rPr>
          <w:rFonts w:ascii="Times New Roman" w:hAnsi="Times New Roman" w:cs="Times New Roman" w:eastAsia="Times New Roman" w:hint="default"/>
        </w:rPr>
        <w:t>4</w:t>
      </w:r>
      <w:r>
        <w:rPr/>
        <w:t>）期末公司因出票人未履约而将其转应收账款的票据</w:t>
      </w:r>
      <w:r>
        <w:rPr>
          <w:w w:val="99"/>
        </w:rPr>
        <w:t> </w:t>
      </w:r>
      <w:r>
        <w:rPr>
          <w:rFonts w:ascii="宋体" w:hAnsi="宋体" w:cs="宋体" w:eastAsia="宋体" w:hint="default"/>
          <w:b w:val="0"/>
          <w:bCs w:val="0"/>
        </w:rPr>
        <w:t>无。</w:t>
      </w:r>
    </w:p>
    <w:p>
      <w:pPr>
        <w:pStyle w:val="Heading3"/>
        <w:spacing w:line="240" w:lineRule="auto" w:before="38"/>
        <w:ind w:right="0"/>
        <w:jc w:val="left"/>
        <w:rPr>
          <w:b w:val="0"/>
          <w:bCs w:val="0"/>
        </w:rPr>
      </w:pPr>
      <w:bookmarkStart w:name="3、应收账款" w:id="235"/>
      <w:bookmarkEnd w:id="235"/>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6"/>
      <w:bookmarkEnd w:id="2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420" w:type="dxa"/>
        <w:tblLayout w:type="fixed"/>
        <w:tblCellMar>
          <w:top w:w="0" w:type="dxa"/>
          <w:left w:w="0" w:type="dxa"/>
          <w:bottom w:w="0" w:type="dxa"/>
          <w:right w:w="0" w:type="dxa"/>
        </w:tblCellMar>
        <w:tblLook w:val="01E0"/>
      </w:tblPr>
      <w:tblGrid>
        <w:gridCol w:w="994"/>
        <w:gridCol w:w="1984"/>
        <w:gridCol w:w="1844"/>
        <w:gridCol w:w="1362"/>
        <w:gridCol w:w="1899"/>
        <w:gridCol w:w="1700"/>
        <w:gridCol w:w="1407"/>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5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431" w:type="dxa"/>
        <w:tblLayout w:type="fixed"/>
        <w:tblCellMar>
          <w:top w:w="0" w:type="dxa"/>
          <w:left w:w="0" w:type="dxa"/>
          <w:bottom w:w="0" w:type="dxa"/>
          <w:right w:w="0" w:type="dxa"/>
        </w:tblCellMar>
        <w:tblLook w:val="01E0"/>
      </w:tblPr>
      <w:tblGrid>
        <w:gridCol w:w="970"/>
        <w:gridCol w:w="1430"/>
        <w:gridCol w:w="566"/>
        <w:gridCol w:w="1276"/>
        <w:gridCol w:w="568"/>
        <w:gridCol w:w="1362"/>
        <w:gridCol w:w="1331"/>
        <w:gridCol w:w="568"/>
        <w:gridCol w:w="1276"/>
        <w:gridCol w:w="425"/>
        <w:gridCol w:w="1419"/>
      </w:tblGrid>
      <w:tr>
        <w:trPr>
          <w:trHeight w:val="161" w:hRule="exact"/>
        </w:trPr>
        <w:tc>
          <w:tcPr>
            <w:tcW w:w="970" w:type="dxa"/>
            <w:vMerge w:val="restart"/>
            <w:tcBorders>
              <w:top w:val="single" w:sz="4" w:space="0" w:color="000000"/>
              <w:left w:val="single" w:sz="4" w:space="0" w:color="000000"/>
              <w:right w:val="single" w:sz="4" w:space="0" w:color="000000"/>
            </w:tcBorders>
            <w:shd w:val="clear" w:color="auto" w:fill="D2D2D2"/>
          </w:tcPr>
          <w:p>
            <w:pPr/>
          </w:p>
        </w:tc>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3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419"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970" w:type="dxa"/>
            <w:vMerge/>
            <w:tcBorders>
              <w:left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right w:val="single" w:sz="4" w:space="0" w:color="000000"/>
            </w:tcBorders>
            <w:shd w:val="clear" w:color="auto" w:fill="D2D2D2"/>
          </w:tcPr>
          <w:p>
            <w:pPr/>
          </w:p>
        </w:tc>
        <w:tc>
          <w:tcPr>
            <w:tcW w:w="1362" w:type="dxa"/>
            <w:vMerge/>
            <w:tcBorders>
              <w:left w:val="single" w:sz="4" w:space="0" w:color="000000"/>
              <w:right w:val="single" w:sz="4" w:space="0" w:color="000000"/>
            </w:tcBorders>
            <w:shd w:val="clear" w:color="auto" w:fill="D2D2D2"/>
          </w:tcPr>
          <w:p>
            <w:pPr/>
          </w:p>
        </w:tc>
        <w:tc>
          <w:tcPr>
            <w:tcW w:w="13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2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r>
      <w:tr>
        <w:trPr>
          <w:trHeight w:val="161" w:hRule="exact"/>
        </w:trPr>
        <w:tc>
          <w:tcPr>
            <w:tcW w:w="970" w:type="dxa"/>
            <w:vMerge/>
            <w:tcBorders>
              <w:left w:val="single" w:sz="4" w:space="0" w:color="000000"/>
              <w:bottom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362" w:type="dxa"/>
            <w:vMerge/>
            <w:tcBorders>
              <w:left w:val="single" w:sz="4" w:space="0" w:color="000000"/>
              <w:bottom w:val="single" w:sz="4" w:space="0" w:color="000000"/>
              <w:right w:val="single" w:sz="4" w:space="0" w:color="000000"/>
            </w:tcBorders>
            <w:shd w:val="clear" w:color="auto" w:fill="D2D2D2"/>
          </w:tcPr>
          <w:p>
            <w:pPr/>
          </w:p>
        </w:tc>
        <w:tc>
          <w:tcPr>
            <w:tcW w:w="133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7"/>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 的应收账款</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8,077,699.13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0.38%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8,077,699.13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8,077,699.13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0.72%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8,077,699.13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6"/>
              <w:ind w:left="61" w:right="0"/>
              <w:jc w:val="left"/>
              <w:rPr>
                <w:rFonts w:ascii="Times New Roman" w:hAnsi="Times New Roman" w:cs="Times New Roman" w:eastAsia="Times New Roman" w:hint="default"/>
                <w:sz w:val="18"/>
                <w:szCs w:val="18"/>
              </w:rPr>
            </w:pPr>
            <w:r>
              <w:rPr>
                <w:rFonts w:ascii="Times New Roman"/>
                <w:sz w:val="18"/>
              </w:rPr>
              <w:t>00%</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7"/>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2,093,689,079.06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195,764,982.01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9.35%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1,897,924,097.05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1,113,424,601.42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95,069,513.04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8.54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1,018,355,088.38</w:t>
            </w:r>
          </w:p>
        </w:tc>
      </w:tr>
      <w:tr>
        <w:trPr>
          <w:trHeight w:val="161" w:hRule="exact"/>
        </w:trPr>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2,101,766,778.19</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203,842,681.14</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9.70%</w:t>
            </w:r>
          </w:p>
        </w:tc>
        <w:tc>
          <w:tcPr>
            <w:tcW w:w="13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1,897,924,097.05</w:t>
            </w:r>
          </w:p>
        </w:tc>
        <w:tc>
          <w:tcPr>
            <w:tcW w:w="13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1,121,502,300.55</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103,147,212.17</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9.20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1,018,355,088.38</w:t>
            </w:r>
          </w:p>
        </w:tc>
      </w:tr>
      <w:tr>
        <w:trPr>
          <w:trHeight w:val="392" w:hRule="exact"/>
        </w:trPr>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vMerge/>
            <w:tcBorders>
              <w:left w:val="single" w:sz="9"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362" w:type="dxa"/>
            <w:vMerge/>
            <w:tcBorders>
              <w:left w:val="single" w:sz="4" w:space="0" w:color="000000"/>
              <w:right w:val="single" w:sz="4" w:space="0" w:color="000000"/>
            </w:tcBorders>
          </w:tcPr>
          <w:p>
            <w:pPr/>
          </w:p>
        </w:tc>
        <w:tc>
          <w:tcPr>
            <w:tcW w:w="1331"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161" w:hRule="exact"/>
        </w:trPr>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9"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362" w:type="dxa"/>
            <w:vMerge/>
            <w:tcBorders>
              <w:left w:val="single" w:sz="4" w:space="0" w:color="000000"/>
              <w:bottom w:val="single" w:sz="4" w:space="0" w:color="000000"/>
              <w:right w:val="single" w:sz="4" w:space="0" w:color="000000"/>
            </w:tcBorders>
          </w:tcPr>
          <w:p>
            <w:pPr/>
          </w:p>
        </w:tc>
        <w:tc>
          <w:tcPr>
            <w:tcW w:w="1331"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19"/>
        <w:gridCol w:w="1418"/>
        <w:gridCol w:w="1418"/>
        <w:gridCol w:w="1702"/>
        <w:gridCol w:w="1914"/>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4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恒业智能信息技术（深圳）有限公司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8,077,699.13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8,077,699.13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5"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8,077,699.13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8,077,699.13</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095" w:space="373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1,481,923,361.85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74,096,168.09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400,629,658.50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40,062,965.87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150,908,789.66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45,272,636.91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23,321,922.68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11,660,961.35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13,149,856.26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10,519,884.99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14,152,364.81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14,152,364.80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2,084,085,953.76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195,764,982.01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836"/>
        <w:gridCol w:w="2268"/>
        <w:gridCol w:w="2268"/>
        <w:gridCol w:w="2268"/>
      </w:tblGrid>
      <w:tr>
        <w:trPr>
          <w:trHeight w:val="32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836"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低风险组合（</w:t>
            </w:r>
            <w:r>
              <w:rPr>
                <w:rFonts w:ascii="Times New Roman" w:hAnsi="Times New Roman" w:cs="Times New Roman" w:eastAsia="Times New Roman" w:hint="default"/>
                <w:sz w:val="18"/>
                <w:szCs w:val="18"/>
              </w:rPr>
              <w:t>POS</w:t>
            </w:r>
            <w:r>
              <w:rPr>
                <w:rFonts w:ascii="宋体" w:hAnsi="宋体" w:cs="宋体" w:eastAsia="宋体" w:hint="default"/>
                <w:sz w:val="18"/>
                <w:szCs w:val="18"/>
              </w:rPr>
              <w:t>机在途款）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9,603,125.30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9,603,125.30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0" w:right="1132"/>
        <w:jc w:val="right"/>
      </w:pPr>
      <w:r>
        <w:rPr/>
        <w:t>本期计提坏账准备金额</w:t>
      </w:r>
      <w:r>
        <w:rPr>
          <w:spacing w:val="-53"/>
        </w:rPr>
        <w:t> </w:t>
      </w:r>
      <w:r>
        <w:rPr>
          <w:rFonts w:ascii="Times New Roman" w:hAnsi="Times New Roman" w:cs="Times New Roman" w:eastAsia="Times New Roman" w:hint="default"/>
        </w:rPr>
        <w:t>93,403,909.49</w:t>
      </w:r>
      <w:r>
        <w:rPr>
          <w:rFonts w:ascii="Times New Roman" w:hAnsi="Times New Roman" w:cs="Times New Roman" w:eastAsia="Times New Roman" w:hint="default"/>
          <w:spacing w:val="-1"/>
        </w:rPr>
        <w:t> </w:t>
      </w:r>
      <w:r>
        <w:rPr/>
        <w:t>元；本期收回坏账准备金额</w:t>
      </w:r>
      <w:r>
        <w:rPr>
          <w:spacing w:val="-54"/>
        </w:rPr>
        <w:t> </w:t>
      </w:r>
      <w:r>
        <w:rPr>
          <w:rFonts w:ascii="Times New Roman" w:hAnsi="Times New Roman" w:cs="Times New Roman" w:eastAsia="Times New Roman" w:hint="default"/>
        </w:rPr>
        <w:t>89,985.00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日非同</w:t>
      </w:r>
    </w:p>
    <w:p>
      <w:pPr>
        <w:pStyle w:val="BodyText"/>
        <w:spacing w:line="240" w:lineRule="auto" w:before="109"/>
        <w:ind w:right="0"/>
        <w:jc w:val="left"/>
      </w:pPr>
      <w:r>
        <w:rPr/>
        <w:t>一控制下合并深圳市蓝盾满泰科技发展有限公司转入应收账款坏账准备</w:t>
      </w:r>
      <w:r>
        <w:rPr>
          <w:spacing w:val="-53"/>
        </w:rPr>
        <w:t> </w:t>
      </w:r>
      <w:r>
        <w:rPr>
          <w:rFonts w:ascii="Times New Roman" w:hAnsi="Times New Roman" w:cs="Times New Roman" w:eastAsia="Times New Roman" w:hint="default"/>
        </w:rPr>
        <w:t>12,677,878.81</w:t>
      </w:r>
      <w:r>
        <w:rPr>
          <w:rFonts w:ascii="Times New Roman" w:hAnsi="Times New Roman" w:cs="Times New Roman" w:eastAsia="Times New Roman" w:hint="default"/>
          <w:spacing w:val="-10"/>
        </w:rPr>
        <w:t> </w:t>
      </w:r>
      <w:r>
        <w:rPr/>
        <w:t>元。</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bookmarkStart w:name="（3）本期实际核销的应收账款情况" w:id="238"/>
      <w:bookmarkEnd w:id="23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5,476,304.33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851"/>
        <w:gridCol w:w="1276"/>
        <w:gridCol w:w="2410"/>
        <w:gridCol w:w="992"/>
        <w:gridCol w:w="1202"/>
      </w:tblGrid>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0" w:right="41"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5" w:right="55"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中共海丰县委办公室</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955,293.00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年，已无法收回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肇庆金世纪建设发展有限公司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458,948.00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年，已无法收回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中国人民解放军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部队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341,592.05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年，已无法收回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日芯光伏科技有限公司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295,529.16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年，已无法收回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佛山市南海区中医院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年，已无法收回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中国共产主义青年团广州市委员会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252,500.00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年，已无法收回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中信保诚人寿保险有限公司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250,825.74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账龄较长，</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预计无法收回款项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2,846,687.95</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应收账款情况" w:id="239"/>
      <w:bookmarkEnd w:id="23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94"/>
        <w:gridCol w:w="2410"/>
        <w:gridCol w:w="2694"/>
        <w:gridCol w:w="1842"/>
      </w:tblGrid>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4"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中经电商客户一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46,328,909.31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2,316,445.47</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呼伦贝尔市公安局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36,499,504.39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1.74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1,824,975.22</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中经电商客户二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25,089,481.08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1,254,474.05</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广州德合电子科技有限公司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21,167,000.00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1,831,725.00</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中经电商客户三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20,049,927.28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1,002,496.36</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149,134,822.06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7.09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8,230,116.10</w:t>
            </w:r>
          </w:p>
        </w:tc>
      </w:tr>
    </w:tbl>
    <w:p>
      <w:pPr>
        <w:spacing w:line="240" w:lineRule="auto" w:before="2"/>
        <w:rPr>
          <w:rFonts w:ascii="宋体" w:hAnsi="宋体" w:cs="宋体" w:eastAsia="宋体" w:hint="default"/>
          <w:b/>
          <w:bCs/>
          <w:sz w:val="19"/>
          <w:szCs w:val="19"/>
        </w:rPr>
      </w:pPr>
    </w:p>
    <w:p>
      <w:pPr>
        <w:pStyle w:val="Heading3"/>
        <w:spacing w:line="580" w:lineRule="auto" w:before="35"/>
        <w:ind w:left="1554" w:right="6641" w:hanging="420"/>
        <w:jc w:val="left"/>
        <w:rPr>
          <w:rFonts w:ascii="宋体" w:hAnsi="宋体" w:cs="宋体" w:eastAsia="宋体" w:hint="default"/>
          <w:b w:val="0"/>
          <w:bCs w:val="0"/>
        </w:rPr>
      </w:pPr>
      <w:bookmarkStart w:name="（5）因金融资产转移而终止确认的应收账款" w:id="240"/>
      <w:bookmarkEnd w:id="240"/>
      <w:r>
        <w:rPr>
          <w:b w:val="0"/>
          <w:bCs w:val="0"/>
        </w:rPr>
      </w:r>
      <w:r>
        <w:rPr/>
        <w:t>（</w:t>
      </w: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spacing w:after="0" w:line="580" w:lineRule="auto"/>
        <w:jc w:val="left"/>
        <w:rPr>
          <w:rFonts w:ascii="宋体" w:hAnsi="宋体" w:cs="宋体" w:eastAsia="宋体" w:hint="default"/>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578" w:lineRule="auto" w:before="35"/>
        <w:ind w:left="1553" w:right="5799" w:hanging="420"/>
        <w:jc w:val="left"/>
        <w:rPr>
          <w:rFonts w:ascii="宋体" w:hAnsi="宋体" w:cs="宋体" w:eastAsia="宋体" w:hint="default"/>
          <w:b w:val="0"/>
          <w:bCs w:val="0"/>
        </w:rPr>
      </w:pPr>
      <w:bookmarkStart w:name="（6）转移应收账款且继续涉入形成的资产、负债金额" w:id="241"/>
      <w:bookmarkEnd w:id="241"/>
      <w:r>
        <w:rPr>
          <w:b w:val="0"/>
          <w:bCs w:val="0"/>
        </w:rPr>
      </w: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pStyle w:val="Heading3"/>
        <w:spacing w:line="240" w:lineRule="auto" w:before="40"/>
        <w:ind w:left="1133" w:right="0"/>
        <w:jc w:val="left"/>
        <w:rPr>
          <w:b w:val="0"/>
          <w:bCs w:val="0"/>
        </w:rPr>
      </w:pPr>
      <w:bookmarkStart w:name="4、预付款项" w:id="242"/>
      <w:bookmarkEnd w:id="242"/>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预付款项按账龄列示" w:id="243"/>
      <w:bookmarkEnd w:id="24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1,101,021,034.51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698,266,910.61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9,976,851.12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10,741,181.47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2,134,794.96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348,381.89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333,024.54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758,426.93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1,113,465,705.13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710,114,900.90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10"/>
        <w:gridCol w:w="2411"/>
        <w:gridCol w:w="2410"/>
        <w:gridCol w:w="2410"/>
      </w:tblGrid>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2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94"/>
              <w:jc w:val="right"/>
              <w:rPr>
                <w:rFonts w:ascii="宋体" w:hAnsi="宋体" w:cs="宋体" w:eastAsia="宋体" w:hint="default"/>
                <w:sz w:val="20"/>
                <w:szCs w:val="20"/>
              </w:rPr>
            </w:pPr>
            <w:r>
              <w:rPr>
                <w:rFonts w:ascii="宋体" w:hAnsi="宋体" w:cs="宋体" w:eastAsia="宋体" w:hint="default"/>
                <w:spacing w:val="-1"/>
                <w:sz w:val="20"/>
                <w:szCs w:val="20"/>
              </w:rPr>
              <w:t>中经电商商户一</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1,738,817.90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94"/>
              <w:jc w:val="right"/>
              <w:rPr>
                <w:rFonts w:ascii="宋体" w:hAnsi="宋体" w:cs="宋体" w:eastAsia="宋体" w:hint="default"/>
                <w:sz w:val="20"/>
                <w:szCs w:val="20"/>
              </w:rPr>
            </w:pPr>
            <w:r>
              <w:rPr>
                <w:rFonts w:ascii="宋体" w:hAnsi="宋体" w:cs="宋体" w:eastAsia="宋体" w:hint="default"/>
                <w:spacing w:val="-1"/>
                <w:sz w:val="20"/>
                <w:szCs w:val="20"/>
              </w:rPr>
              <w:t>中经电商商户二</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1,610,968.15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894"/>
              <w:jc w:val="right"/>
              <w:rPr>
                <w:rFonts w:ascii="宋体" w:hAnsi="宋体" w:cs="宋体" w:eastAsia="宋体" w:hint="default"/>
                <w:sz w:val="20"/>
                <w:szCs w:val="20"/>
              </w:rPr>
            </w:pPr>
            <w:r>
              <w:rPr>
                <w:rFonts w:ascii="宋体" w:hAnsi="宋体" w:cs="宋体" w:eastAsia="宋体" w:hint="default"/>
                <w:spacing w:val="-1"/>
                <w:sz w:val="20"/>
                <w:szCs w:val="20"/>
              </w:rPr>
              <w:t>中经电商商户三</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1,319,347.30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94"/>
              <w:jc w:val="right"/>
              <w:rPr>
                <w:rFonts w:ascii="宋体" w:hAnsi="宋体" w:cs="宋体" w:eastAsia="宋体" w:hint="default"/>
                <w:sz w:val="20"/>
                <w:szCs w:val="20"/>
              </w:rPr>
            </w:pPr>
            <w:r>
              <w:rPr>
                <w:rFonts w:ascii="宋体" w:hAnsi="宋体" w:cs="宋体" w:eastAsia="宋体" w:hint="default"/>
                <w:spacing w:val="-1"/>
                <w:sz w:val="20"/>
                <w:szCs w:val="20"/>
              </w:rPr>
              <w:t>中经电商商户四</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986,021.83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894"/>
              <w:jc w:val="right"/>
              <w:rPr>
                <w:rFonts w:ascii="宋体" w:hAnsi="宋体" w:cs="宋体" w:eastAsia="宋体" w:hint="default"/>
                <w:sz w:val="20"/>
                <w:szCs w:val="20"/>
              </w:rPr>
            </w:pPr>
            <w:r>
              <w:rPr>
                <w:rFonts w:ascii="宋体" w:hAnsi="宋体" w:cs="宋体" w:eastAsia="宋体" w:hint="default"/>
                <w:spacing w:val="-1"/>
                <w:sz w:val="20"/>
                <w:szCs w:val="20"/>
              </w:rPr>
              <w:t>中经电商商户五</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775,203.39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6,430,358.57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44"/>
      <w:bookmarkEnd w:id="24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85"/>
        <w:gridCol w:w="1844"/>
        <w:gridCol w:w="2410"/>
        <w:gridCol w:w="1701"/>
        <w:gridCol w:w="1702"/>
      </w:tblGrid>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3"/>
              <w:jc w:val="righ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占预付账款总额的比例</w:t>
            </w:r>
            <w:r>
              <w:rPr>
                <w:rFonts w:ascii="Times New Roman" w:hAnsi="Times New Roman" w:cs="Times New Roman" w:eastAsia="Times New Roman"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中经电商商户六</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286,824,000.00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25.76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中经电商商户七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190,132,467.32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17.08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中经电商商户八</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106,787,002.06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中经电商商户九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29,457,821.31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中经电商商户十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22,730,876.61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2.04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635,932,167.30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57.12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其他应收款" w:id="245"/>
      <w:bookmarkEnd w:id="245"/>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6"/>
      <w:bookmarkEnd w:id="2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420" w:type="dxa"/>
        <w:tblLayout w:type="fixed"/>
        <w:tblCellMar>
          <w:top w:w="0" w:type="dxa"/>
          <w:left w:w="0" w:type="dxa"/>
          <w:bottom w:w="0" w:type="dxa"/>
          <w:right w:w="0" w:type="dxa"/>
        </w:tblCellMar>
        <w:tblLook w:val="01E0"/>
      </w:tblPr>
      <w:tblGrid>
        <w:gridCol w:w="1277"/>
        <w:gridCol w:w="4906"/>
        <w:gridCol w:w="4875"/>
      </w:tblGrid>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431" w:type="dxa"/>
        <w:tblLayout w:type="fixed"/>
        <w:tblCellMar>
          <w:top w:w="0" w:type="dxa"/>
          <w:left w:w="0" w:type="dxa"/>
          <w:bottom w:w="0" w:type="dxa"/>
          <w:right w:w="0" w:type="dxa"/>
        </w:tblCellMar>
        <w:tblLook w:val="01E0"/>
      </w:tblPr>
      <w:tblGrid>
        <w:gridCol w:w="1254"/>
        <w:gridCol w:w="1146"/>
        <w:gridCol w:w="708"/>
        <w:gridCol w:w="1134"/>
        <w:gridCol w:w="710"/>
        <w:gridCol w:w="1220"/>
        <w:gridCol w:w="1190"/>
        <w:gridCol w:w="708"/>
        <w:gridCol w:w="1134"/>
        <w:gridCol w:w="708"/>
        <w:gridCol w:w="1134"/>
      </w:tblGrid>
      <w:tr>
        <w:trPr>
          <w:trHeight w:val="402" w:hRule="exact"/>
        </w:trPr>
        <w:tc>
          <w:tcPr>
            <w:tcW w:w="1254" w:type="dxa"/>
            <w:vMerge w:val="restart"/>
            <w:tcBorders>
              <w:top w:val="single" w:sz="4" w:space="0" w:color="000000"/>
              <w:left w:val="single" w:sz="4" w:space="0" w:color="000000"/>
              <w:right w:val="single" w:sz="4" w:space="0" w:color="000000"/>
            </w:tcBorders>
            <w:shd w:val="clear" w:color="auto" w:fill="D2D2D2"/>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254" w:type="dxa"/>
            <w:vMerge/>
            <w:tcBorders>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0" w:right="77"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254" w:type="dxa"/>
            <w:vMerge/>
            <w:tcBorders>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4"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54"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0"/>
              <w:jc w:val="both"/>
              <w:rPr>
                <w:rFonts w:ascii="宋体" w:hAnsi="宋体" w:cs="宋体" w:eastAsia="宋体" w:hint="default"/>
                <w:sz w:val="18"/>
                <w:szCs w:val="18"/>
              </w:rPr>
            </w:pPr>
            <w:r>
              <w:rPr>
                <w:rFonts w:ascii="宋体" w:hAnsi="宋体" w:cs="宋体" w:eastAsia="宋体" w:hint="default"/>
                <w:sz w:val="18"/>
                <w:szCs w:val="18"/>
              </w:rPr>
              <w:t>单项金额重大 并单独计提坏 账准备的其他 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5,995,370.00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5,995,370.00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0"/>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39,605,538.46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5,430,456.34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34,175,082.12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31,834,059.38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3,638,574.13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28,195,485.25</w:t>
            </w:r>
          </w:p>
        </w:tc>
      </w:tr>
      <w:tr>
        <w:trPr>
          <w:trHeight w:val="1338"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0"/>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坏账准备的其 他应收款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243,530.05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243,530.05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45,844,438.51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11,669,356.39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34,175,082.12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31,834,059.38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3,638,574.13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28,195,485.25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1560"/>
        <w:gridCol w:w="1700"/>
        <w:gridCol w:w="1702"/>
        <w:gridCol w:w="1772"/>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7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四川龙商汇实业有限公司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4,988,000.00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广州慧泽计算机系统工程有限公司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1,007,370.00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1,007,370.00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存在无法收回风险</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5,995,370.00</w:t>
            </w:r>
          </w:p>
        </w:tc>
        <w:tc>
          <w:tcPr>
            <w:tcW w:w="170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5,995,370.00</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22,349,959.54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1,117,497.99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9,055,247.87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905,524.79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2,617,525.90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785,257.77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2,436,933.50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1,218,466.75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560,688.80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448,551.05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955,157.99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955,157.99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37,975,513.60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5,430,456.34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0" w:right="0"/>
        </w:sectPr>
      </w:pPr>
    </w:p>
    <w:p>
      <w:pPr>
        <w:spacing w:line="240" w:lineRule="auto" w:before="13"/>
        <w:rPr>
          <w:rFonts w:ascii="宋体" w:hAnsi="宋体" w:cs="宋体" w:eastAsia="宋体" w:hint="default"/>
          <w:sz w:val="21"/>
          <w:szCs w:val="21"/>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8" w:type="dxa"/>
        <w:tblLayout w:type="fixed"/>
        <w:tblCellMar>
          <w:top w:w="0" w:type="dxa"/>
          <w:left w:w="0" w:type="dxa"/>
          <w:bottom w:w="0" w:type="dxa"/>
          <w:right w:w="0" w:type="dxa"/>
        </w:tblCellMar>
        <w:tblLook w:val="01E0"/>
      </w:tblPr>
      <w:tblGrid>
        <w:gridCol w:w="2836"/>
        <w:gridCol w:w="1984"/>
        <w:gridCol w:w="2411"/>
        <w:gridCol w:w="2410"/>
      </w:tblGrid>
      <w:tr>
        <w:trPr>
          <w:trHeight w:val="323"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836" w:type="dxa"/>
            <w:vMerge/>
            <w:tcBorders>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低风险组合（支付宝余额）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1,630,024.86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1,630,024.86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0" w:right="1131"/>
        <w:jc w:val="right"/>
      </w:pPr>
      <w:r>
        <w:rPr/>
        <w:t>本期计提坏账准备金额</w:t>
      </w:r>
      <w:r>
        <w:rPr>
          <w:spacing w:val="-53"/>
        </w:rPr>
        <w:t> </w:t>
      </w:r>
      <w:r>
        <w:rPr>
          <w:rFonts w:ascii="Times New Roman" w:hAnsi="Times New Roman" w:cs="Times New Roman" w:eastAsia="Times New Roman" w:hint="default"/>
        </w:rPr>
        <w:t>5,399,447.70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日非同一控制下合并深圳市蓝盾满泰科技发展</w:t>
      </w:r>
    </w:p>
    <w:p>
      <w:pPr>
        <w:pStyle w:val="BodyText"/>
        <w:spacing w:line="240" w:lineRule="auto" w:before="110"/>
        <w:ind w:left="1134" w:right="0"/>
        <w:jc w:val="left"/>
      </w:pPr>
      <w:r>
        <w:rPr/>
        <w:t>有限公司转入其他应收款坏账准备</w:t>
      </w:r>
      <w:r>
        <w:rPr>
          <w:spacing w:val="-52"/>
        </w:rPr>
        <w:t> </w:t>
      </w:r>
      <w:r>
        <w:rPr>
          <w:rFonts w:ascii="Times New Roman" w:hAnsi="Times New Roman" w:cs="Times New Roman" w:eastAsia="Times New Roman" w:hint="default"/>
        </w:rPr>
        <w:t>2,935,119.96</w:t>
      </w:r>
      <w:r>
        <w:rPr>
          <w:rFonts w:ascii="Times New Roman" w:hAnsi="Times New Roman" w:cs="Times New Roman" w:eastAsia="Times New Roman" w:hint="default"/>
          <w:spacing w:val="-11"/>
        </w:rPr>
        <w:t> </w:t>
      </w:r>
      <w:r>
        <w:rPr/>
        <w:t>元。</w:t>
      </w:r>
    </w:p>
    <w:p>
      <w:pPr>
        <w:spacing w:line="240" w:lineRule="auto" w:before="5"/>
        <w:rPr>
          <w:rFonts w:ascii="宋体" w:hAnsi="宋体" w:cs="宋体" w:eastAsia="宋体" w:hint="default"/>
          <w:sz w:val="24"/>
          <w:szCs w:val="24"/>
        </w:rPr>
      </w:pPr>
    </w:p>
    <w:p>
      <w:pPr>
        <w:pStyle w:val="Heading3"/>
        <w:spacing w:line="240" w:lineRule="auto"/>
        <w:ind w:left="1133" w:right="0"/>
        <w:jc w:val="left"/>
        <w:rPr>
          <w:b w:val="0"/>
          <w:bCs w:val="0"/>
        </w:rPr>
      </w:pPr>
      <w:bookmarkStart w:name="（3）本期实际核销的其他应收款情况" w:id="248"/>
      <w:bookmarkEnd w:id="24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303,785.40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10"/>
        <w:gridCol w:w="1419"/>
        <w:gridCol w:w="954"/>
        <w:gridCol w:w="2307"/>
        <w:gridCol w:w="1134"/>
        <w:gridCol w:w="1344"/>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1" w:right="110"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6" w:right="36"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广东省边防总队训练基地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89"/>
                <w:sz w:val="18"/>
                <w:szCs w:val="18"/>
              </w:rPr>
              <w:t>，</w:t>
            </w:r>
            <w:r>
              <w:rPr>
                <w:rFonts w:ascii="宋体" w:hAnsi="宋体" w:cs="宋体" w:eastAsia="宋体" w:hint="default"/>
                <w:sz w:val="18"/>
                <w:szCs w:val="18"/>
              </w:rPr>
              <w:t>预计无法收回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南京市公共资源交易中心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89"/>
                <w:sz w:val="18"/>
                <w:szCs w:val="18"/>
              </w:rPr>
              <w:t>，</w:t>
            </w:r>
            <w:r>
              <w:rPr>
                <w:rFonts w:ascii="宋体" w:hAnsi="宋体" w:cs="宋体" w:eastAsia="宋体" w:hint="default"/>
                <w:sz w:val="18"/>
                <w:szCs w:val="18"/>
              </w:rPr>
              <w:t>预计无法收回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广州大学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75,453.30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89"/>
                <w:sz w:val="18"/>
                <w:szCs w:val="18"/>
              </w:rPr>
              <w:t>，</w:t>
            </w:r>
            <w:r>
              <w:rPr>
                <w:rFonts w:ascii="宋体" w:hAnsi="宋体" w:cs="宋体" w:eastAsia="宋体" w:hint="default"/>
                <w:sz w:val="18"/>
                <w:szCs w:val="18"/>
              </w:rPr>
              <w:t>预计无法收回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广东省新闻出版高级技工学校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24,850.00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广州医学院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43,797.10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89"/>
                <w:sz w:val="18"/>
                <w:szCs w:val="18"/>
              </w:rPr>
              <w:t>，</w:t>
            </w:r>
            <w:r>
              <w:rPr>
                <w:rFonts w:ascii="宋体" w:hAnsi="宋体" w:cs="宋体" w:eastAsia="宋体" w:hint="default"/>
                <w:sz w:val="18"/>
                <w:szCs w:val="18"/>
              </w:rPr>
              <w:t>预计无法收回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224,100.40</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应收款按款项性质分类情况" w:id="249"/>
      <w:bookmarkEnd w:id="24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34,048,416.78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28,269,078.09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853,425.28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942,242.63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1,329,466.66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286,437.67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支付宝账户结余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1,630,024.86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948,356.68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805,404.48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1,387,944.31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7,177,700.45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45,844,438.51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31,834,059.38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50"/>
      <w:bookmarkEnd w:id="25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19"/>
        <w:gridCol w:w="1418"/>
        <w:gridCol w:w="1276"/>
        <w:gridCol w:w="992"/>
        <w:gridCol w:w="1560"/>
        <w:gridCol w:w="1202"/>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5"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四川龙商汇实业有限公司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4,988,000.00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4,988,000.00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中国移动通信集团江西有限公司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2,055,600.00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102,780.00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欧力士融资租赁（中国）有限公司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1,657,225.00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82,861.25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雷雷伙伴（北京）科技孵化器有限公司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1,179,970.36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58,998.52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黑龙江省高级人民法院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1,125,600.00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11,006,395.36</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5,345,199.77</w:t>
            </w:r>
          </w:p>
        </w:tc>
      </w:tr>
    </w:tbl>
    <w:p>
      <w:pPr>
        <w:spacing w:line="240" w:lineRule="auto" w:before="2"/>
        <w:rPr>
          <w:rFonts w:ascii="宋体" w:hAnsi="宋体" w:cs="宋体" w:eastAsia="宋体" w:hint="default"/>
          <w:sz w:val="19"/>
          <w:szCs w:val="19"/>
        </w:rPr>
      </w:pPr>
    </w:p>
    <w:p>
      <w:pPr>
        <w:pStyle w:val="Heading3"/>
        <w:spacing w:line="578" w:lineRule="auto" w:before="35"/>
        <w:ind w:left="1554" w:right="7906" w:hanging="420"/>
        <w:jc w:val="left"/>
        <w:rPr>
          <w:rFonts w:ascii="宋体" w:hAnsi="宋体" w:cs="宋体" w:eastAsia="宋体" w:hint="default"/>
          <w:b w:val="0"/>
          <w:bCs w:val="0"/>
        </w:rPr>
      </w:pPr>
      <w:bookmarkStart w:name="（6）涉及政府补助的应收款项" w:id="251"/>
      <w:bookmarkEnd w:id="251"/>
      <w:r>
        <w:rPr>
          <w:b w:val="0"/>
          <w:bCs w:val="0"/>
        </w:rPr>
      </w:r>
      <w:r>
        <w:rPr/>
        <w:t>（</w:t>
      </w:r>
      <w:r>
        <w:rPr>
          <w:rFonts w:ascii="Times New Roman" w:hAnsi="Times New Roman" w:cs="Times New Roman" w:eastAsia="Times New Roman" w:hint="default"/>
        </w:rPr>
        <w:t>6</w:t>
      </w:r>
      <w:r>
        <w:rPr/>
        <w:t>）涉及政府补助的应收款项</w:t>
      </w:r>
      <w:r>
        <w:rPr>
          <w:w w:val="99"/>
        </w:rPr>
        <w:t> </w:t>
      </w:r>
      <w:r>
        <w:rPr>
          <w:rFonts w:ascii="宋体" w:hAnsi="宋体" w:cs="宋体" w:eastAsia="宋体" w:hint="default"/>
          <w:b w:val="0"/>
          <w:bCs w:val="0"/>
        </w:rPr>
        <w:t>无。</w:t>
      </w:r>
    </w:p>
    <w:p>
      <w:pPr>
        <w:pStyle w:val="Heading3"/>
        <w:spacing w:line="580" w:lineRule="auto" w:before="40"/>
        <w:ind w:left="1554" w:right="6011" w:hanging="420"/>
        <w:jc w:val="left"/>
        <w:rPr>
          <w:rFonts w:ascii="宋体" w:hAnsi="宋体" w:cs="宋体" w:eastAsia="宋体" w:hint="default"/>
          <w:b w:val="0"/>
          <w:bCs w:val="0"/>
        </w:rPr>
      </w:pPr>
      <w:bookmarkStart w:name="（7）因金融资产转移而终止确认的其他应收款" w:id="252"/>
      <w:bookmarkEnd w:id="252"/>
      <w:r>
        <w:rPr>
          <w:b w:val="0"/>
          <w:bCs w:val="0"/>
        </w:rPr>
      </w:r>
      <w:r>
        <w:rPr/>
        <w:t>（</w:t>
      </w: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3"/>
        <w:spacing w:line="580" w:lineRule="auto" w:before="36"/>
        <w:ind w:left="1554" w:right="5167" w:hanging="420"/>
        <w:jc w:val="left"/>
        <w:rPr>
          <w:rFonts w:ascii="宋体" w:hAnsi="宋体" w:cs="宋体" w:eastAsia="宋体" w:hint="default"/>
          <w:b w:val="0"/>
          <w:bCs w:val="0"/>
        </w:rPr>
      </w:pPr>
      <w:bookmarkStart w:name="（8）转移其他应收款且继续涉入形成的资产、负债金额" w:id="253"/>
      <w:bookmarkEnd w:id="253"/>
      <w:r>
        <w:rPr>
          <w:b w:val="0"/>
          <w:bCs w:val="0"/>
        </w:rPr>
      </w: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无。</w:t>
      </w:r>
    </w:p>
    <w:p>
      <w:pPr>
        <w:pStyle w:val="Heading3"/>
        <w:spacing w:line="240" w:lineRule="auto" w:before="37"/>
        <w:ind w:right="0"/>
        <w:jc w:val="left"/>
        <w:rPr>
          <w:b w:val="0"/>
          <w:bCs w:val="0"/>
        </w:rPr>
      </w:pPr>
      <w:bookmarkStart w:name="6、存货" w:id="254"/>
      <w:bookmarkEnd w:id="254"/>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7" w:right="0"/>
              <w:jc w:val="left"/>
              <w:rPr>
                <w:rFonts w:ascii="Times New Roman" w:hAnsi="Times New Roman" w:cs="Times New Roman" w:eastAsia="Times New Roman" w:hint="default"/>
                <w:sz w:val="18"/>
                <w:szCs w:val="18"/>
              </w:rPr>
            </w:pPr>
            <w:r>
              <w:rPr>
                <w:rFonts w:ascii="Times New Roman"/>
                <w:sz w:val="18"/>
              </w:rPr>
              <w:t>19,708,981.41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19,708,981.41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11,782,265.37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11,782,265.37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3,894,374.63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3,894,374.63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2,255,414.06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2,255,414.06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20,267,297.93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20,267,297.93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16,705,257.79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16,705,257.79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179,267,115.84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2,376,093.01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176,891,022.83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94,030,299.97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3,106,485.95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90,923,814.02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223,137,769.81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2,376,093.01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220,761,676.80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124,773,237.19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3,106,485.95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121,666,751.24</w:t>
            </w:r>
          </w:p>
        </w:tc>
      </w:tr>
    </w:tbl>
    <w:p>
      <w:pPr>
        <w:spacing w:line="340" w:lineRule="auto" w:before="51"/>
        <w:ind w:left="113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0"/>
        <w:ind w:left="1133" w:right="15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0"/>
        <w:ind w:left="1133" w:right="175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56"/>
      <w:bookmarkEnd w:id="25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3,106,485.95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730,392.94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2,376,093.01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3,106,485.95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730,392.94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2,376,093.01</w:t>
            </w:r>
          </w:p>
        </w:tc>
      </w:tr>
    </w:tbl>
    <w:p>
      <w:pPr>
        <w:spacing w:line="240" w:lineRule="auto" w:before="3"/>
        <w:rPr>
          <w:rFonts w:ascii="宋体" w:hAnsi="宋体" w:cs="宋体" w:eastAsia="宋体" w:hint="default"/>
          <w:sz w:val="19"/>
          <w:szCs w:val="19"/>
        </w:rPr>
      </w:pPr>
    </w:p>
    <w:p>
      <w:pPr>
        <w:pStyle w:val="Heading3"/>
        <w:spacing w:line="578" w:lineRule="auto" w:before="35"/>
        <w:ind w:left="1554" w:right="6221" w:hanging="420"/>
        <w:jc w:val="left"/>
        <w:rPr>
          <w:rFonts w:ascii="宋体" w:hAnsi="宋体" w:cs="宋体" w:eastAsia="宋体" w:hint="default"/>
          <w:b w:val="0"/>
          <w:bCs w:val="0"/>
        </w:rPr>
      </w:pPr>
      <w:bookmarkStart w:name="（3）存货期末余额含有借款费用资本化金额的说明" w:id="257"/>
      <w:bookmarkEnd w:id="257"/>
      <w:r>
        <w:rPr>
          <w:b w:val="0"/>
          <w:bCs w:val="0"/>
        </w:rPr>
      </w:r>
      <w:r>
        <w:rPr>
          <w:w w:val="95"/>
        </w:rPr>
        <w:t>（</w:t>
      </w:r>
      <w:r>
        <w:rPr>
          <w:rFonts w:ascii="Times New Roman" w:hAnsi="Times New Roman" w:cs="Times New Roman" w:eastAsia="Times New Roman" w:hint="default"/>
          <w:w w:val="95"/>
        </w:rPr>
        <w:t>3</w:t>
      </w:r>
      <w:r>
        <w:rPr>
          <w:w w:val="95"/>
        </w:rPr>
        <w:t>）存货期末余额含有借款费用资本化金额的说明</w:t>
      </w:r>
      <w:r>
        <w:rPr>
          <w:spacing w:val="30"/>
          <w:w w:val="95"/>
        </w:rPr>
        <w:t> </w:t>
      </w:r>
      <w:r>
        <w:rPr>
          <w:spacing w:val="30"/>
          <w:w w:val="95"/>
        </w:rPr>
      </w:r>
      <w:r>
        <w:rPr>
          <w:rFonts w:ascii="宋体" w:hAnsi="宋体" w:cs="宋体" w:eastAsia="宋体" w:hint="default"/>
          <w:b w:val="0"/>
          <w:bCs w:val="0"/>
        </w:rPr>
        <w:t>无。</w:t>
      </w:r>
    </w:p>
    <w:p>
      <w:pPr>
        <w:pStyle w:val="Heading3"/>
        <w:spacing w:line="580" w:lineRule="auto" w:before="40"/>
        <w:ind w:left="1554" w:right="6221" w:hanging="420"/>
        <w:jc w:val="left"/>
        <w:rPr>
          <w:rFonts w:ascii="宋体" w:hAnsi="宋体" w:cs="宋体" w:eastAsia="宋体" w:hint="default"/>
          <w:b w:val="0"/>
          <w:bCs w:val="0"/>
        </w:rPr>
      </w:pPr>
      <w:bookmarkStart w:name="（4）期末建造合同形成的已完工未结算资产情况" w:id="258"/>
      <w:bookmarkEnd w:id="258"/>
      <w:r>
        <w:rPr>
          <w:b w:val="0"/>
          <w:bCs w:val="0"/>
        </w:rPr>
      </w:r>
      <w:r>
        <w:rPr>
          <w:w w:val="95"/>
        </w:rPr>
        <w:t>（</w:t>
      </w:r>
      <w:r>
        <w:rPr>
          <w:rFonts w:ascii="Times New Roman" w:hAnsi="Times New Roman" w:cs="Times New Roman" w:eastAsia="Times New Roman" w:hint="default"/>
          <w:w w:val="95"/>
        </w:rPr>
        <w:t>4</w:t>
      </w:r>
      <w:r>
        <w:rPr>
          <w:w w:val="95"/>
        </w:rPr>
        <w:t>）期末建造合同形成的已完工未结算资产情况</w:t>
      </w:r>
      <w:r>
        <w:rPr>
          <w:spacing w:val="20"/>
          <w:w w:val="95"/>
        </w:rPr>
        <w:t> </w:t>
      </w:r>
      <w:r>
        <w:rPr>
          <w:spacing w:val="20"/>
          <w:w w:val="95"/>
        </w:rPr>
      </w:r>
      <w:r>
        <w:rPr>
          <w:rFonts w:ascii="宋体" w:hAnsi="宋体" w:cs="宋体" w:eastAsia="宋体" w:hint="default"/>
          <w:b w:val="0"/>
          <w:bCs w:val="0"/>
        </w:rPr>
        <w:t>无。</w:t>
      </w:r>
    </w:p>
    <w:p>
      <w:pPr>
        <w:pStyle w:val="Heading3"/>
        <w:spacing w:line="240" w:lineRule="auto" w:before="37"/>
        <w:ind w:right="0"/>
        <w:jc w:val="left"/>
        <w:rPr>
          <w:b w:val="0"/>
          <w:bCs w:val="0"/>
        </w:rPr>
      </w:pPr>
      <w:bookmarkStart w:name="7、一年内到期的非流动资产" w:id="259"/>
      <w:bookmarkEnd w:id="259"/>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安天</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AVL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智能终端反病毒软件使用权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235,042.74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235,042.74</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流动资产" w:id="260"/>
      <w:bookmarkEnd w:id="26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预缴纳的所得税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778,218.05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745,591.55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21,481,834.91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5,306,412.83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47,260,052.96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6,052,004.38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9、可供出售金融资产" w:id="261"/>
      <w:bookmarkEnd w:id="261"/>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2"/>
      <w:bookmarkEnd w:id="26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21,577,630.00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21,577,630.00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21,577,630.00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21,577,630.00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42,497,070.00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21,577,630.00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21,577,630.00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63"/>
      <w:bookmarkEnd w:id="26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44" w:type="dxa"/>
        <w:tblLayout w:type="fixed"/>
        <w:tblCellMar>
          <w:top w:w="0" w:type="dxa"/>
          <w:left w:w="0" w:type="dxa"/>
          <w:bottom w:w="0" w:type="dxa"/>
          <w:right w:w="0" w:type="dxa"/>
        </w:tblCellMar>
        <w:tblLook w:val="01E0"/>
      </w:tblPr>
      <w:tblGrid>
        <w:gridCol w:w="1845"/>
        <w:gridCol w:w="1134"/>
        <w:gridCol w:w="1134"/>
        <w:gridCol w:w="850"/>
        <w:gridCol w:w="1134"/>
        <w:gridCol w:w="568"/>
        <w:gridCol w:w="566"/>
        <w:gridCol w:w="568"/>
        <w:gridCol w:w="566"/>
        <w:gridCol w:w="992"/>
        <w:gridCol w:w="851"/>
      </w:tblGrid>
      <w:tr>
        <w:trPr>
          <w:trHeight w:val="402" w:hRule="exact"/>
        </w:trPr>
        <w:tc>
          <w:tcPr>
            <w:tcW w:w="1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2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1" w:right="38"/>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1845"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宁波丰年君盛投资合 伙企业（有限合伙）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10,190,230.00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10,190,230.00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12,583.12</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广州市思科尔创业投 资中心（有限合伙）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9"/>
              <w:jc w:val="both"/>
              <w:rPr>
                <w:rFonts w:ascii="Times New Roman" w:hAnsi="Times New Roman" w:cs="Times New Roman" w:eastAsia="Times New Roman" w:hint="default"/>
                <w:sz w:val="18"/>
                <w:szCs w:val="18"/>
              </w:rPr>
            </w:pPr>
            <w:r>
              <w:rPr>
                <w:rFonts w:ascii="Times New Roman"/>
                <w:sz w:val="18"/>
              </w:rPr>
              <w:t>Azure Capital</w:t>
            </w:r>
            <w:r>
              <w:rPr>
                <w:rFonts w:ascii="Times New Roman"/>
                <w:spacing w:val="-3"/>
                <w:sz w:val="18"/>
              </w:rPr>
              <w:t> </w:t>
            </w:r>
            <w:r>
              <w:rPr>
                <w:rFonts w:ascii="Times New Roman"/>
                <w:sz w:val="18"/>
              </w:rPr>
              <w:t>Partners</w:t>
            </w:r>
            <w:r>
              <w:rPr>
                <w:rFonts w:ascii="Times New Roman"/>
                <w:w w:val="99"/>
                <w:sz w:val="18"/>
              </w:rPr>
              <w:t> </w:t>
            </w:r>
            <w:r>
              <w:rPr>
                <w:rFonts w:ascii="Times New Roman"/>
                <w:sz w:val="18"/>
              </w:rPr>
              <w:t>Opportunities Fund I</w:t>
            </w:r>
            <w:r>
              <w:rPr>
                <w:rFonts w:ascii="Times New Roman"/>
                <w:spacing w:val="-3"/>
                <w:sz w:val="18"/>
              </w:rPr>
              <w:t> </w:t>
            </w:r>
            <w:r>
              <w:rPr>
                <w:rFonts w:ascii="Times New Roman"/>
                <w:sz w:val="18"/>
              </w:rPr>
              <w:t>,</w:t>
            </w:r>
            <w:r>
              <w:rPr>
                <w:rFonts w:ascii="Times New Roman"/>
                <w:sz w:val="18"/>
              </w:rPr>
              <w:t> L.P</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1,387,400.00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80,560.00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1,306,840.00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广州民营投资股份有 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国保联盟信息安全技 术有限公司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18.18%</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深圳市云海麒麟计算 机系统有限公司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21,577,630.00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80,560.00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42,497,070.00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12,583.12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10、长期股权投资" w:id="264"/>
      <w:bookmarkEnd w:id="264"/>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561" w:type="dxa"/>
        <w:tblLayout w:type="fixed"/>
        <w:tblCellMar>
          <w:top w:w="0" w:type="dxa"/>
          <w:left w:w="0" w:type="dxa"/>
          <w:bottom w:w="0" w:type="dxa"/>
          <w:right w:w="0" w:type="dxa"/>
        </w:tblCellMar>
        <w:tblLook w:val="01E0"/>
      </w:tblPr>
      <w:tblGrid>
        <w:gridCol w:w="1136"/>
        <w:gridCol w:w="1134"/>
        <w:gridCol w:w="1134"/>
        <w:gridCol w:w="426"/>
        <w:gridCol w:w="992"/>
        <w:gridCol w:w="709"/>
        <w:gridCol w:w="425"/>
        <w:gridCol w:w="851"/>
        <w:gridCol w:w="1134"/>
        <w:gridCol w:w="426"/>
        <w:gridCol w:w="1134"/>
        <w:gridCol w:w="1134"/>
      </w:tblGrid>
      <w:tr>
        <w:trPr>
          <w:trHeight w:val="402"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9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1025"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39"/>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1"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3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63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1"/>
              <w:jc w:val="both"/>
              <w:rPr>
                <w:rFonts w:ascii="宋体" w:hAnsi="宋体" w:cs="宋体" w:eastAsia="宋体" w:hint="default"/>
                <w:sz w:val="18"/>
                <w:szCs w:val="18"/>
              </w:rPr>
            </w:pPr>
            <w:r>
              <w:rPr>
                <w:rFonts w:ascii="宋体" w:hAnsi="宋体" w:cs="宋体" w:eastAsia="宋体" w:hint="default"/>
                <w:sz w:val="18"/>
                <w:szCs w:val="18"/>
              </w:rPr>
              <w:t>北京纹歌科 技发展有限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2,142,069.96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285.18</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2,142,355.14</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2,142,355.14</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1"/>
              <w:jc w:val="both"/>
              <w:rPr>
                <w:rFonts w:ascii="宋体" w:hAnsi="宋体" w:cs="宋体" w:eastAsia="宋体" w:hint="default"/>
                <w:sz w:val="18"/>
                <w:szCs w:val="18"/>
              </w:rPr>
            </w:pPr>
            <w:r>
              <w:rPr>
                <w:rFonts w:ascii="宋体" w:hAnsi="宋体" w:cs="宋体" w:eastAsia="宋体" w:hint="default"/>
                <w:sz w:val="18"/>
                <w:szCs w:val="18"/>
              </w:rPr>
              <w:t>广东亚太电 子商务研究 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216,927.63</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9,203.31</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226,130.94</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1"/>
              <w:jc w:val="both"/>
              <w:rPr>
                <w:rFonts w:ascii="宋体" w:hAnsi="宋体" w:cs="宋体" w:eastAsia="宋体" w:hint="default"/>
                <w:sz w:val="18"/>
                <w:szCs w:val="18"/>
              </w:rPr>
            </w:pPr>
            <w:r>
              <w:rPr>
                <w:rFonts w:ascii="宋体" w:hAnsi="宋体" w:cs="宋体" w:eastAsia="宋体" w:hint="default"/>
                <w:sz w:val="18"/>
                <w:szCs w:val="18"/>
              </w:rPr>
              <w:t>广州蓝盾中 植智慧安全 科技合伙企 业（有限合 伙）</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1"/>
              <w:jc w:val="both"/>
              <w:rPr>
                <w:rFonts w:ascii="宋体" w:hAnsi="宋体" w:cs="宋体" w:eastAsia="宋体" w:hint="default"/>
                <w:sz w:val="18"/>
                <w:szCs w:val="18"/>
              </w:rPr>
            </w:pPr>
            <w:r>
              <w:rPr>
                <w:rFonts w:ascii="宋体" w:hAnsi="宋体" w:cs="宋体" w:eastAsia="宋体" w:hint="default"/>
                <w:sz w:val="18"/>
                <w:szCs w:val="18"/>
              </w:rPr>
              <w:t>广州蓝盾睿 科信息产业 股权投资基 金合伙企业</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2"/>
              <w:jc w:val="left"/>
              <w:rPr>
                <w:rFonts w:ascii="宋体" w:hAnsi="宋体" w:cs="宋体" w:eastAsia="宋体" w:hint="default"/>
                <w:sz w:val="18"/>
                <w:szCs w:val="18"/>
              </w:rPr>
            </w:pPr>
            <w:r>
              <w:rPr>
                <w:rFonts w:ascii="宋体" w:hAnsi="宋体" w:cs="宋体" w:eastAsia="宋体" w:hint="default"/>
                <w:sz w:val="18"/>
                <w:szCs w:val="18"/>
              </w:rPr>
              <w:t>深圳市蓝盾 中美信息技 术创新投资 企业（有限合 伙）</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1,267.36</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5,001,267.36</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1"/>
              <w:jc w:val="both"/>
              <w:rPr>
                <w:rFonts w:ascii="宋体" w:hAnsi="宋体" w:cs="宋体" w:eastAsia="宋体" w:hint="default"/>
                <w:sz w:val="18"/>
                <w:szCs w:val="18"/>
              </w:rPr>
            </w:pPr>
            <w:r>
              <w:rPr>
                <w:rFonts w:ascii="宋体" w:hAnsi="宋体" w:cs="宋体" w:eastAsia="宋体" w:hint="default"/>
                <w:sz w:val="18"/>
                <w:szCs w:val="18"/>
              </w:rPr>
              <w:t>成都精灵云 科技有限公 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-147,987.33</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7,852,012.67</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1"/>
              <w:jc w:val="both"/>
              <w:rPr>
                <w:rFonts w:ascii="宋体" w:hAnsi="宋体" w:cs="宋体" w:eastAsia="宋体" w:hint="default"/>
                <w:sz w:val="18"/>
                <w:szCs w:val="18"/>
              </w:rPr>
            </w:pPr>
            <w:r>
              <w:rPr>
                <w:rFonts w:ascii="宋体" w:hAnsi="宋体" w:cs="宋体" w:eastAsia="宋体" w:hint="default"/>
                <w:sz w:val="18"/>
                <w:szCs w:val="18"/>
              </w:rPr>
              <w:t>珠海蓝盾欣 和投资管理 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-154,252.60</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845,747.40</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1"/>
              <w:jc w:val="both"/>
              <w:rPr>
                <w:rFonts w:ascii="宋体" w:hAnsi="宋体" w:cs="宋体" w:eastAsia="宋体" w:hint="default"/>
                <w:sz w:val="18"/>
                <w:szCs w:val="18"/>
              </w:rPr>
            </w:pPr>
            <w:r>
              <w:rPr>
                <w:rFonts w:ascii="宋体" w:hAnsi="宋体" w:cs="宋体" w:eastAsia="宋体" w:hint="default"/>
                <w:sz w:val="18"/>
                <w:szCs w:val="18"/>
              </w:rPr>
              <w:t>深圳市泰吉 能源技术有 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338,787.14</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-1,125.34</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337,661.80</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2,358,997.59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14,338,787.14</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-292,609.42</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2,142,355.14</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14,262,820.17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2,142,355.14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562" w:type="dxa"/>
        <w:tblLayout w:type="fixed"/>
        <w:tblCellMar>
          <w:top w:w="0" w:type="dxa"/>
          <w:left w:w="0" w:type="dxa"/>
          <w:bottom w:w="0" w:type="dxa"/>
          <w:right w:w="0" w:type="dxa"/>
        </w:tblCellMar>
        <w:tblLook w:val="01E0"/>
      </w:tblPr>
      <w:tblGrid>
        <w:gridCol w:w="1134"/>
        <w:gridCol w:w="1135"/>
        <w:gridCol w:w="1134"/>
        <w:gridCol w:w="426"/>
        <w:gridCol w:w="992"/>
        <w:gridCol w:w="709"/>
        <w:gridCol w:w="425"/>
        <w:gridCol w:w="851"/>
        <w:gridCol w:w="1134"/>
        <w:gridCol w:w="426"/>
        <w:gridCol w:w="1134"/>
        <w:gridCol w:w="1134"/>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2,358,997.59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14,338,787.14</w:t>
            </w: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-292,609.42</w:t>
            </w: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2,142,355.14</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14,262,820.17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2,142,355.14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投资性房地产" w:id="265"/>
      <w:bookmarkEnd w:id="265"/>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6"/>
      <w:bookmarkEnd w:id="26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105"/>
        <w:gridCol w:w="1854"/>
        <w:gridCol w:w="1985"/>
        <w:gridCol w:w="1844"/>
        <w:gridCol w:w="1772"/>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2,320,886.28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2,320,886.28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r>
              <w:rPr>
                <w:rFonts w:ascii="宋体" w:hAnsi="宋体" w:cs="宋体" w:eastAsia="宋体" w:hint="default"/>
                <w:sz w:val="18"/>
                <w:szCs w:val="18"/>
              </w:rPr>
              <w:t>在建工程转入</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2,320,886.28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2,320,886.28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2,320,886.28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2,320,886.28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400,211.45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400,211.45</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45,934.17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45,934.17</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45,934.17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45,934.17</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446,145.62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446,145.62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446,145.62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446,145.62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127"/>
        <w:gridCol w:w="1843"/>
        <w:gridCol w:w="1985"/>
        <w:gridCol w:w="1844"/>
        <w:gridCol w:w="1772"/>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1,920,674.83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5" w:right="0"/>
              <w:jc w:val="left"/>
              <w:rPr>
                <w:rFonts w:ascii="Times New Roman" w:hAnsi="Times New Roman" w:cs="Times New Roman" w:eastAsia="Times New Roman" w:hint="default"/>
                <w:sz w:val="18"/>
                <w:szCs w:val="18"/>
              </w:rPr>
            </w:pPr>
            <w:r>
              <w:rPr>
                <w:rFonts w:ascii="Times New Roman"/>
                <w:sz w:val="18"/>
              </w:rPr>
              <w:t>1,920,674.83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67"/>
      <w:bookmarkEnd w:id="26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578" w:lineRule="auto"/>
        <w:ind w:left="1553" w:right="6853" w:hanging="420"/>
        <w:jc w:val="left"/>
        <w:rPr>
          <w:rFonts w:ascii="宋体" w:hAnsi="宋体" w:cs="宋体" w:eastAsia="宋体" w:hint="default"/>
          <w:b w:val="0"/>
          <w:bCs w:val="0"/>
        </w:rPr>
      </w:pPr>
      <w:bookmarkStart w:name="（3）未办妥产权证书的投资性房地产情况" w:id="268"/>
      <w:bookmarkEnd w:id="268"/>
      <w:r>
        <w:rPr>
          <w:b w:val="0"/>
          <w:bCs w:val="0"/>
        </w:rPr>
      </w:r>
      <w:r>
        <w:rPr/>
        <w:t>（</w:t>
      </w:r>
      <w:r>
        <w:rPr>
          <w:rFonts w:ascii="Times New Roman" w:hAnsi="Times New Roman" w:cs="Times New Roman" w:eastAsia="Times New Roman" w:hint="default"/>
        </w:rPr>
        <w:t>3</w:t>
      </w:r>
      <w:r>
        <w:rPr/>
        <w:t>）未办妥产权证书的投资性房地产情况</w:t>
      </w:r>
      <w:r>
        <w:rPr>
          <w:w w:val="99"/>
        </w:rPr>
        <w:t> </w:t>
      </w:r>
      <w:r>
        <w:rPr>
          <w:rFonts w:ascii="宋体" w:hAnsi="宋体" w:cs="宋体" w:eastAsia="宋体" w:hint="default"/>
          <w:b w:val="0"/>
          <w:bCs w:val="0"/>
        </w:rPr>
        <w:t>无。</w:t>
      </w:r>
    </w:p>
    <w:p>
      <w:pPr>
        <w:pStyle w:val="Heading3"/>
        <w:spacing w:line="240" w:lineRule="auto" w:before="40"/>
        <w:ind w:left="1133" w:right="0"/>
        <w:jc w:val="left"/>
        <w:rPr>
          <w:b w:val="0"/>
          <w:bCs w:val="0"/>
        </w:rPr>
      </w:pPr>
      <w:bookmarkStart w:name="12、固定资产" w:id="269"/>
      <w:bookmarkEnd w:id="269"/>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70"/>
      <w:bookmarkEnd w:id="27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844" w:type="dxa"/>
        <w:tblLayout w:type="fixed"/>
        <w:tblCellMar>
          <w:top w:w="0" w:type="dxa"/>
          <w:left w:w="0" w:type="dxa"/>
          <w:bottom w:w="0" w:type="dxa"/>
          <w:right w:w="0" w:type="dxa"/>
        </w:tblCellMar>
        <w:tblLook w:val="01E0"/>
      </w:tblPr>
      <w:tblGrid>
        <w:gridCol w:w="1986"/>
        <w:gridCol w:w="1276"/>
        <w:gridCol w:w="1134"/>
        <w:gridCol w:w="1134"/>
        <w:gridCol w:w="1276"/>
        <w:gridCol w:w="1134"/>
        <w:gridCol w:w="1134"/>
        <w:gridCol w:w="1277"/>
      </w:tblGrid>
      <w:tr>
        <w:trPr>
          <w:trHeight w:val="71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固定资产装 修</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232,639,683.44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14,759,510.90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21,315,227.46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454,154,729.36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35,165,259.82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9,383,463.92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767,417,874.90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2,525,386.28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1,761,653.36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192,460,123.11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5,585,219.70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997,440.75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203,329,823.20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204,500.00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1,761,653.36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170,714,756.86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5,377,280.30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533,462.80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178,591,653.32</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17,313,656.84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342,554.02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17,656,210.86</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）融资租入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4,431,709.41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4,431,709.41</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4" w:right="6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）投资性房地产 转入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2,320,886.28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2,320,886.28</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）其他增加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207,939.40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121,423.93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329,363.33</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141,495.01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36,375,148.30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161,373.89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36,678,017.20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20,071.08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36,149,088.56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161,373.89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36,330,533.53</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121,423.93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226,059.74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347,483.67</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235,165,069.72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14,759,510.90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22,935,385.81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610,239,704.17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40,750,479.52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10,219,530.78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934,069,680.90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17,518,603.93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center"/>
              <w:rPr>
                <w:rFonts w:ascii="Times New Roman" w:hAnsi="Times New Roman" w:cs="Times New Roman" w:eastAsia="Times New Roman" w:hint="default"/>
                <w:sz w:val="18"/>
                <w:szCs w:val="18"/>
              </w:rPr>
            </w:pPr>
            <w:r>
              <w:rPr>
                <w:rFonts w:ascii="Times New Roman"/>
                <w:sz w:val="18"/>
              </w:rPr>
              <w:t>4,836,445.58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4,526,042.29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172,741,599.40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10,482,457.62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6,441,134.41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216,546,283.23</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5,309,235.63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center"/>
              <w:rPr>
                <w:rFonts w:ascii="Times New Roman" w:hAnsi="Times New Roman" w:cs="Times New Roman" w:eastAsia="Times New Roman" w:hint="default"/>
                <w:sz w:val="18"/>
                <w:szCs w:val="18"/>
              </w:rPr>
            </w:pPr>
            <w:r>
              <w:rPr>
                <w:rFonts w:ascii="Times New Roman"/>
                <w:sz w:val="18"/>
              </w:rPr>
              <w:t>2,241,098.66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2,043,247.25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93,170,133.75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4,103,774.68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1,253,729.18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108,121,219.15</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4,863,090.01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center"/>
              <w:rPr>
                <w:rFonts w:ascii="Times New Roman" w:hAnsi="Times New Roman" w:cs="Times New Roman" w:eastAsia="Times New Roman" w:hint="default"/>
                <w:sz w:val="18"/>
                <w:szCs w:val="18"/>
              </w:rPr>
            </w:pPr>
            <w:r>
              <w:rPr>
                <w:rFonts w:ascii="Times New Roman"/>
                <w:sz w:val="18"/>
              </w:rPr>
              <w:t>2,241,098.66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2,043,247.25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89,030,965.08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4,080,728.06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946,665.39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103,205,794.45</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6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4,139,168.67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285,262.18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4,424,430.85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845" w:type="dxa"/>
        <w:tblLayout w:type="fixed"/>
        <w:tblCellMar>
          <w:top w:w="0" w:type="dxa"/>
          <w:left w:w="0" w:type="dxa"/>
          <w:bottom w:w="0" w:type="dxa"/>
          <w:right w:w="0" w:type="dxa"/>
        </w:tblCellMar>
        <w:tblLook w:val="01E0"/>
      </w:tblPr>
      <w:tblGrid>
        <w:gridCol w:w="1985"/>
        <w:gridCol w:w="1276"/>
        <w:gridCol w:w="1134"/>
        <w:gridCol w:w="1134"/>
        <w:gridCol w:w="1276"/>
        <w:gridCol w:w="1134"/>
        <w:gridCol w:w="1134"/>
        <w:gridCol w:w="1277"/>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3" w:right="6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 转入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446,145.62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446,145.62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）其他增加</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23,046.62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21,801.61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44,848.23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38,663.76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33,446,334.78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139,803.47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33,624,802.01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16,862.15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33,423,288.16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139,803.47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33,579,953.78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21,801.61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23,046.62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44,848.23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22,827,839.56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7,077,544.24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6,530,625.78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232,465,398.37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14,586,232.30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7,555,060.12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291,042,700.37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35,066.53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37,090.88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35,066.53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36,890.88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212,337,230.16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7,681,966.66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16,404,760.03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377,772,705.80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26,129,180.69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2,664,246.31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642,990,089.65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215,121,079.51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9,923,065.32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16,789,185.17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281,411,329.96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24,647,735.67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2,942,105.16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550,834,500.79</w:t>
            </w:r>
          </w:p>
        </w:tc>
      </w:tr>
    </w:tbl>
    <w:p>
      <w:pPr>
        <w:spacing w:line="240" w:lineRule="auto" w:before="3"/>
        <w:rPr>
          <w:rFonts w:ascii="宋体" w:hAnsi="宋体" w:cs="宋体" w:eastAsia="宋体" w:hint="default"/>
          <w:sz w:val="19"/>
          <w:szCs w:val="19"/>
        </w:rPr>
      </w:pPr>
    </w:p>
    <w:p>
      <w:pPr>
        <w:pStyle w:val="Heading3"/>
        <w:spacing w:line="578" w:lineRule="auto" w:before="35"/>
        <w:ind w:left="1554" w:right="7906" w:hanging="420"/>
        <w:jc w:val="left"/>
        <w:rPr>
          <w:rFonts w:ascii="宋体" w:hAnsi="宋体" w:cs="宋体" w:eastAsia="宋体" w:hint="default"/>
          <w:b w:val="0"/>
          <w:bCs w:val="0"/>
        </w:rPr>
      </w:pPr>
      <w:bookmarkStart w:name="（2）暂时闲置的固定资产情况" w:id="271"/>
      <w:bookmarkEnd w:id="271"/>
      <w:r>
        <w:rPr>
          <w:b w:val="0"/>
          <w:bCs w:val="0"/>
        </w:rPr>
      </w:r>
      <w:r>
        <w:rPr/>
        <w:t>（</w:t>
      </w:r>
      <w:r>
        <w:rPr>
          <w:rFonts w:ascii="Times New Roman" w:hAnsi="Times New Roman" w:cs="Times New Roman" w:eastAsia="Times New Roman" w:hint="default"/>
        </w:rPr>
        <w:t>2</w:t>
      </w:r>
      <w:r>
        <w:rPr/>
        <w:t>）暂时闲置的固定资产情况</w:t>
      </w:r>
      <w:r>
        <w:rPr>
          <w:w w:val="99"/>
        </w:rPr>
        <w:t> </w:t>
      </w:r>
      <w:r>
        <w:rPr>
          <w:rFonts w:ascii="宋体" w:hAnsi="宋体" w:cs="宋体" w:eastAsia="宋体" w:hint="default"/>
          <w:b w:val="0"/>
          <w:bCs w:val="0"/>
        </w:rPr>
        <w:t>无。</w:t>
      </w:r>
    </w:p>
    <w:p>
      <w:pPr>
        <w:pStyle w:val="Heading3"/>
        <w:spacing w:line="240" w:lineRule="auto" w:before="40"/>
        <w:ind w:right="0"/>
        <w:jc w:val="left"/>
        <w:rPr>
          <w:b w:val="0"/>
          <w:bCs w:val="0"/>
        </w:rPr>
      </w:pPr>
      <w:bookmarkStart w:name="（3）通过融资租赁租入的固定资产情况" w:id="272"/>
      <w:bookmarkEnd w:id="27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12,118,888.89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96,989.99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12,021,898.90</w:t>
            </w:r>
          </w:p>
        </w:tc>
      </w:tr>
    </w:tbl>
    <w:p>
      <w:pPr>
        <w:spacing w:line="240" w:lineRule="auto" w:before="2"/>
        <w:rPr>
          <w:rFonts w:ascii="宋体" w:hAnsi="宋体" w:cs="宋体" w:eastAsia="宋体" w:hint="default"/>
          <w:sz w:val="19"/>
          <w:szCs w:val="19"/>
        </w:rPr>
      </w:pPr>
    </w:p>
    <w:p>
      <w:pPr>
        <w:pStyle w:val="Heading3"/>
        <w:spacing w:line="580" w:lineRule="auto" w:before="35"/>
        <w:ind w:left="1554" w:right="7485" w:hanging="420"/>
        <w:jc w:val="left"/>
        <w:rPr>
          <w:rFonts w:ascii="宋体" w:hAnsi="宋体" w:cs="宋体" w:eastAsia="宋体" w:hint="default"/>
          <w:b w:val="0"/>
          <w:bCs w:val="0"/>
        </w:rPr>
      </w:pPr>
      <w:bookmarkStart w:name="（4）通过经营租赁租出的固定资产" w:id="273"/>
      <w:bookmarkEnd w:id="273"/>
      <w:r>
        <w:rPr>
          <w:b w:val="0"/>
          <w:bCs w:val="0"/>
        </w:rPr>
      </w:r>
      <w:r>
        <w:rPr/>
        <w:t>（</w:t>
      </w:r>
      <w:r>
        <w:rPr>
          <w:rFonts w:ascii="Times New Roman" w:hAnsi="Times New Roman" w:cs="Times New Roman" w:eastAsia="Times New Roman" w:hint="default"/>
        </w:rPr>
        <w:t>4</w:t>
      </w:r>
      <w:r>
        <w:rPr/>
        <w:t>）通过经营租赁租出的固定资产</w:t>
      </w:r>
      <w:r>
        <w:rPr>
          <w:w w:val="99"/>
        </w:rPr>
        <w:t> </w:t>
      </w:r>
      <w:r>
        <w:rPr>
          <w:rFonts w:ascii="宋体" w:hAnsi="宋体" w:cs="宋体" w:eastAsia="宋体" w:hint="default"/>
          <w:b w:val="0"/>
          <w:bCs w:val="0"/>
        </w:rPr>
        <w:t>无。</w:t>
      </w:r>
    </w:p>
    <w:p>
      <w:pPr>
        <w:pStyle w:val="Heading3"/>
        <w:spacing w:line="580" w:lineRule="auto" w:before="36"/>
        <w:ind w:left="1554" w:right="6854" w:hanging="420"/>
        <w:jc w:val="left"/>
        <w:rPr>
          <w:rFonts w:ascii="宋体" w:hAnsi="宋体" w:cs="宋体" w:eastAsia="宋体" w:hint="default"/>
          <w:b w:val="0"/>
          <w:bCs w:val="0"/>
        </w:rPr>
      </w:pPr>
      <w:bookmarkStart w:name="（5）未办妥产权证书的固定资产情况" w:id="274"/>
      <w:bookmarkEnd w:id="274"/>
      <w:r>
        <w:rPr>
          <w:b w:val="0"/>
          <w:bCs w:val="0"/>
        </w:rPr>
      </w:r>
      <w:r>
        <w:rPr/>
        <w:t>（</w:t>
      </w:r>
      <w:r>
        <w:rPr>
          <w:rFonts w:ascii="Times New Roman" w:hAnsi="Times New Roman" w:cs="Times New Roman" w:eastAsia="Times New Roman" w:hint="default"/>
        </w:rPr>
        <w:t>5</w:t>
      </w:r>
      <w:r>
        <w:rPr/>
        <w:t>）未办妥产权证书的固定资产情况</w:t>
      </w:r>
      <w:r>
        <w:rPr>
          <w:w w:val="99"/>
        </w:rPr>
        <w:t> </w:t>
      </w:r>
      <w:r>
        <w:rPr>
          <w:rFonts w:ascii="宋体" w:hAnsi="宋体" w:cs="宋体" w:eastAsia="宋体" w:hint="default"/>
          <w:b w:val="0"/>
          <w:bCs w:val="0"/>
        </w:rPr>
        <w:t>无。</w:t>
      </w:r>
    </w:p>
    <w:p>
      <w:pPr>
        <w:spacing w:before="155"/>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3"/>
          <w:szCs w:val="13"/>
        </w:rPr>
      </w:pPr>
    </w:p>
    <w:p>
      <w:pPr>
        <w:pStyle w:val="BodyText"/>
        <w:spacing w:line="240" w:lineRule="auto"/>
        <w:ind w:left="1554" w:right="0"/>
        <w:jc w:val="left"/>
      </w:pPr>
      <w:r>
        <w:rPr/>
        <w:t>期末用于抵押的固定资产账面原值为</w:t>
      </w:r>
      <w:r>
        <w:rPr>
          <w:rFonts w:ascii="Times New Roman" w:hAnsi="Times New Roman" w:cs="Times New Roman" w:eastAsia="Times New Roman" w:hint="default"/>
        </w:rPr>
        <w:t>172,539,549.74</w:t>
      </w:r>
      <w:r>
        <w:rPr/>
        <w:t>，抵押资产明细详见附注七</w:t>
      </w:r>
      <w:r>
        <w:rPr>
          <w:rFonts w:ascii="Times New Roman" w:hAnsi="Times New Roman" w:cs="Times New Roman" w:eastAsia="Times New Roman" w:hint="default"/>
        </w:rPr>
        <w:t>29</w:t>
      </w:r>
      <w:r>
        <w:rPr/>
        <w:t>、长期借款。</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13、在建工程" w:id="275"/>
      <w:bookmarkEnd w:id="275"/>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76"/>
      <w:bookmarkEnd w:id="27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1276"/>
        <w:gridCol w:w="851"/>
        <w:gridCol w:w="1276"/>
        <w:gridCol w:w="1276"/>
        <w:gridCol w:w="851"/>
        <w:gridCol w:w="1207"/>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蓝盾信息安全产业基地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266,780,894.07</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266,780,894.07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239,940,389.23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239,940,389.23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蓝盾信息西南总部及研发基地项目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258,365,923.11</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258,365,923.11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10,323,386.38</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10,323,386.38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蓝盾西咸新区研发产业园基地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8,957,194.55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8,957,194.55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402,812.00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402,812.00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广州华炜人包安检生产系统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2,141,237.07</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2,141,237.07</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江西华炜建设工程</w:t>
            </w:r>
            <w:r>
              <w:rPr>
                <w:rFonts w:ascii="Times New Roman" w:hAnsi="Times New Roman" w:cs="Times New Roman" w:eastAsia="Times New Roman" w:hint="default"/>
                <w:sz w:val="18"/>
                <w:szCs w:val="18"/>
              </w:rPr>
              <w:t>-</w:t>
            </w:r>
            <w:r>
              <w:rPr>
                <w:rFonts w:ascii="宋体" w:hAnsi="宋体" w:cs="宋体" w:eastAsia="宋体" w:hint="default"/>
                <w:sz w:val="18"/>
                <w:szCs w:val="18"/>
              </w:rPr>
              <w:t>激光切割机安装 改造、废水处理、</w:t>
            </w:r>
            <w:r>
              <w:rPr>
                <w:rFonts w:ascii="Times New Roman" w:hAnsi="Times New Roman" w:cs="Times New Roman" w:eastAsia="Times New Roman" w:hint="default"/>
                <w:sz w:val="18"/>
                <w:szCs w:val="18"/>
              </w:rPr>
              <w:t>5#</w:t>
            </w:r>
            <w:r>
              <w:rPr>
                <w:rFonts w:ascii="宋体" w:hAnsi="宋体" w:cs="宋体" w:eastAsia="宋体" w:hint="default"/>
                <w:sz w:val="18"/>
                <w:szCs w:val="18"/>
              </w:rPr>
              <w:t>厂房二楼装修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709,741.64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709,741.64</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536,954,990.44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536,954,990.44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250,666,587.61</w:t>
            </w: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250,666,587.61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before="15"/>
        <w:ind w:left="10349"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5"/>
        <w:ind w:left="260" w:right="0"/>
        <w:jc w:val="left"/>
        <w:rPr>
          <w:b w:val="0"/>
          <w:bCs w:val="0"/>
        </w:rPr>
      </w:pPr>
      <w:bookmarkStart w:name="（2）重要在建工程项目本期变动情况" w:id="277"/>
      <w:bookmarkEnd w:id="27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560"/>
        <w:gridCol w:w="1417"/>
        <w:gridCol w:w="1276"/>
        <w:gridCol w:w="1276"/>
        <w:gridCol w:w="851"/>
        <w:gridCol w:w="993"/>
        <w:gridCol w:w="1276"/>
        <w:gridCol w:w="851"/>
        <w:gridCol w:w="709"/>
        <w:gridCol w:w="1134"/>
        <w:gridCol w:w="1134"/>
        <w:gridCol w:w="708"/>
        <w:gridCol w:w="992"/>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本期转入 固定资产 金额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0" w:right="40"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1" w:right="110"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center"/>
              <w:rPr>
                <w:rFonts w:ascii="宋体" w:hAnsi="宋体" w:cs="宋体" w:eastAsia="宋体" w:hint="default"/>
                <w:sz w:val="18"/>
                <w:szCs w:val="18"/>
              </w:rPr>
            </w:pPr>
            <w:r>
              <w:rPr>
                <w:rFonts w:ascii="宋体" w:hAnsi="宋体" w:cs="宋体" w:eastAsia="宋体" w:hint="default"/>
                <w:sz w:val="18"/>
                <w:szCs w:val="18"/>
              </w:rPr>
              <w:t>其中：本期利 息资本化金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8"/>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蓝盾信息安全产业 基地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409,808,600.00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239,940,389.23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26,840,504.84</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266,780,894.07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22,540,098.24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7,915,276.51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募集资金、 自筹资金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蓝盾信息西南总部 及研发基地项目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10,323,386.38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248,042,536.73</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258,365,923.11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9,912,042.99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9,912,042.99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募集资金、 自筹资金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蓝盾西咸新区研发 产业园基地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700,785,000.00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402,812.00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8,799,752.55</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245,370.00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8,957,194.55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广州华炜人包安检 生产系统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2,141,237.07</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2,141,237.07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江西华炜建设工程</w:t>
            </w:r>
            <w:r>
              <w:rPr>
                <w:rFonts w:ascii="Times New Roman" w:hAnsi="Times New Roman" w:cs="Times New Roman" w:eastAsia="Times New Roman" w:hint="default"/>
                <w:sz w:val="18"/>
                <w:szCs w:val="18"/>
              </w:rPr>
              <w:t>- </w:t>
            </w:r>
            <w:r>
              <w:rPr>
                <w:rFonts w:ascii="宋体" w:hAnsi="宋体" w:cs="宋体" w:eastAsia="宋体" w:hint="default"/>
                <w:sz w:val="18"/>
                <w:szCs w:val="18"/>
              </w:rPr>
              <w:t>激光切割机安装改 造、废水处理、</w:t>
            </w:r>
            <w:r>
              <w:rPr>
                <w:rFonts w:ascii="Times New Roman" w:hAnsi="Times New Roman" w:cs="Times New Roman" w:eastAsia="Times New Roman" w:hint="default"/>
                <w:sz w:val="18"/>
                <w:szCs w:val="18"/>
              </w:rPr>
              <w:t>5# </w:t>
            </w:r>
            <w:r>
              <w:rPr>
                <w:rFonts w:ascii="宋体" w:hAnsi="宋体" w:cs="宋体" w:eastAsia="宋体" w:hint="default"/>
                <w:sz w:val="18"/>
                <w:szCs w:val="18"/>
              </w:rPr>
              <w:t>厂房二楼装修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709,741.64</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709,741.64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1,731,293,600.00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250,666,587.61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286,533,772.83</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245,370.00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536,954,990.44</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32,452,141.23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17,827,319.50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6"/>
          <w:szCs w:val="6"/>
        </w:rPr>
      </w:pPr>
    </w:p>
    <w:p>
      <w:pPr>
        <w:pStyle w:val="BodyText"/>
        <w:spacing w:line="331" w:lineRule="auto" w:before="35"/>
        <w:ind w:left="260" w:right="0" w:firstLine="420"/>
        <w:jc w:val="left"/>
      </w:pPr>
      <w:r>
        <w:rPr>
          <w:spacing w:val="-1"/>
        </w:rPr>
        <w:t>蓝盾西咸新区研发产业园基地本期其他减少金额</w:t>
      </w:r>
      <w:r>
        <w:rPr>
          <w:rFonts w:ascii="Times New Roman" w:hAnsi="Times New Roman" w:cs="Times New Roman" w:eastAsia="Times New Roman" w:hint="default"/>
          <w:spacing w:val="-1"/>
        </w:rPr>
        <w:t>245,370.00</w:t>
      </w:r>
      <w:r>
        <w:rPr>
          <w:spacing w:val="-1"/>
        </w:rPr>
        <w:t>为</w:t>
      </w:r>
      <w:r>
        <w:rPr>
          <w:rFonts w:ascii="Times New Roman" w:hAnsi="Times New Roman" w:cs="Times New Roman" w:eastAsia="Times New Roman" w:hint="default"/>
          <w:spacing w:val="-1"/>
        </w:rPr>
        <w:t>2016</w:t>
      </w:r>
      <w:r>
        <w:rPr>
          <w:spacing w:val="-1"/>
        </w:rPr>
        <w:t>年支付的土地使用权交易服务费，该金额计入在建工程，本期已经获取土地使用权</w:t>
      </w:r>
      <w:r>
        <w:rPr/>
        <w:t> 证，故从在建工程转入无形资产。</w:t>
      </w:r>
    </w:p>
    <w:p>
      <w:pPr>
        <w:spacing w:line="240" w:lineRule="auto" w:before="8"/>
        <w:rPr>
          <w:rFonts w:ascii="宋体" w:hAnsi="宋体" w:cs="宋体" w:eastAsia="宋体" w:hint="default"/>
          <w:sz w:val="19"/>
          <w:szCs w:val="19"/>
        </w:rPr>
      </w:pPr>
    </w:p>
    <w:p>
      <w:pPr>
        <w:pStyle w:val="Heading3"/>
        <w:spacing w:line="578" w:lineRule="auto"/>
        <w:ind w:left="680" w:right="11694" w:hanging="420"/>
        <w:jc w:val="left"/>
        <w:rPr>
          <w:rFonts w:ascii="宋体" w:hAnsi="宋体" w:cs="宋体" w:eastAsia="宋体" w:hint="default"/>
          <w:b w:val="0"/>
          <w:bCs w:val="0"/>
        </w:rPr>
      </w:pPr>
      <w:bookmarkStart w:name="（3）本期计提在建工程减值准备情况" w:id="278"/>
      <w:bookmarkEnd w:id="278"/>
      <w:r>
        <w:rPr>
          <w:b w:val="0"/>
          <w:bCs w:val="0"/>
        </w:rPr>
      </w:r>
      <w:r>
        <w:rPr>
          <w:w w:val="95"/>
        </w:rPr>
        <w:t>（</w:t>
      </w:r>
      <w:r>
        <w:rPr>
          <w:rFonts w:ascii="Times New Roman" w:hAnsi="Times New Roman" w:cs="Times New Roman" w:eastAsia="Times New Roman" w:hint="default"/>
          <w:w w:val="95"/>
        </w:rPr>
        <w:t>3</w:t>
      </w:r>
      <w:r>
        <w:rPr>
          <w:w w:val="95"/>
        </w:rPr>
        <w:t>）本期计提在建工程减值准备情况</w:t>
      </w:r>
      <w:r>
        <w:rPr>
          <w:spacing w:val="69"/>
          <w:w w:val="95"/>
        </w:rPr>
        <w:t> </w:t>
      </w:r>
      <w:r>
        <w:rPr>
          <w:spacing w:val="69"/>
          <w:w w:val="95"/>
        </w:rPr>
      </w:r>
      <w:r>
        <w:rPr>
          <w:rFonts w:ascii="宋体" w:hAnsi="宋体" w:cs="宋体" w:eastAsia="宋体" w:hint="default"/>
          <w:b w:val="0"/>
          <w:bCs w:val="0"/>
        </w:rPr>
        <w:t>无。</w:t>
      </w:r>
    </w:p>
    <w:p>
      <w:pPr>
        <w:spacing w:line="240" w:lineRule="auto" w:before="0"/>
        <w:rPr>
          <w:rFonts w:ascii="宋体" w:hAnsi="宋体" w:cs="宋体" w:eastAsia="宋体" w:hint="default"/>
          <w:sz w:val="18"/>
          <w:szCs w:val="18"/>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201.919983pt;margin-top:21.922344pt;width:640pt;height:42pt;mso-position-horizontal-relative:page;mso-position-vertical-relative:paragraph;z-index:1912" type="#_x0000_t75" stroked="false">
            <v:imagedata r:id="rId29" o:title=""/>
          </v:shape>
        </w:pict>
      </w:r>
      <w:r>
        <w:rPr>
          <w:rFonts w:ascii="Times New Roman"/>
          <w:sz w:val="18"/>
        </w:rPr>
        <w:t>157</w:t>
      </w:r>
    </w:p>
    <w:p>
      <w:pPr>
        <w:spacing w:after="0"/>
        <w:jc w:val="right"/>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0" w:footer="0" w:top="800" w:bottom="0" w:left="118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1133" w:right="0"/>
        <w:jc w:val="left"/>
        <w:rPr>
          <w:b w:val="0"/>
          <w:bCs w:val="0"/>
        </w:rPr>
      </w:pPr>
      <w:bookmarkStart w:name="14、无形资产" w:id="279"/>
      <w:bookmarkEnd w:id="279"/>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0"/>
      <w:bookmarkEnd w:id="28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128"/>
        <w:gridCol w:w="1701"/>
        <w:gridCol w:w="2126"/>
        <w:gridCol w:w="1984"/>
        <w:gridCol w:w="1702"/>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26"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软件著作权（投资）</w:t>
            </w:r>
          </w:p>
        </w:tc>
        <w:tc>
          <w:tcPr>
            <w:tcW w:w="1984"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软件著作权（外购）</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1"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89,000,421.74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145,179,470.45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115,854,824.04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350,034,716.23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99,047,844.00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49,550,778.05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105,241,461.79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253,840,083.84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99,047,844.00</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105,241,461.79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204,289,305.79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701"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16,162,095.35</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16,162,095.35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1"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33,388,682.70</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33,388,682.70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1"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9,014,102.49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9,014,102.49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1"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9,014,102.49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9,014,102.49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188,048,265.74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194,730,248.50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212,082,183.34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594,860,697.58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701"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4,503,250.06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87,331,637.56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56,200,020.62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148,034,908.24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4,507,756.86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26,500,288.43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17,813,331.45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48,821,376.74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4,507,756.86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23,239,549.70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17,813,331.45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45,560,638.01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3,103,426.71</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3,103,426.71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）其他转入</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157,312.02</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157,312.02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9,171,414.51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9,171,414.51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9,014,102.49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9,014,102.49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）其他原因减少</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157,312.02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157,312.02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9,011,006.92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113,831,925.99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64,841,937.56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187,684,870.47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179,037,258.82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80,898,322.51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147,240,245.78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407,175,827.11</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79" w:header="0" w:top="1100" w:bottom="1160" w:left="0" w:right="0"/>
          <w:pgNumType w:start="158"/>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127"/>
        <w:gridCol w:w="1701"/>
        <w:gridCol w:w="2126"/>
        <w:gridCol w:w="1984"/>
        <w:gridCol w:w="1702"/>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4" w:right="0"/>
              <w:jc w:val="left"/>
              <w:rPr>
                <w:rFonts w:ascii="Times New Roman" w:hAnsi="Times New Roman" w:cs="Times New Roman" w:eastAsia="Times New Roman" w:hint="default"/>
                <w:sz w:val="18"/>
                <w:szCs w:val="18"/>
              </w:rPr>
            </w:pPr>
            <w:r>
              <w:rPr>
                <w:rFonts w:ascii="Times New Roman"/>
                <w:sz w:val="18"/>
              </w:rPr>
              <w:t>84,497,171.68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8" w:right="0"/>
              <w:jc w:val="left"/>
              <w:rPr>
                <w:rFonts w:ascii="Times New Roman" w:hAnsi="Times New Roman" w:cs="Times New Roman" w:eastAsia="Times New Roman" w:hint="default"/>
                <w:sz w:val="18"/>
                <w:szCs w:val="18"/>
              </w:rPr>
            </w:pPr>
            <w:r>
              <w:rPr>
                <w:rFonts w:ascii="Times New Roman"/>
                <w:sz w:val="18"/>
              </w:rPr>
              <w:t>57,847,832.89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6" w:right="0"/>
              <w:jc w:val="left"/>
              <w:rPr>
                <w:rFonts w:ascii="Times New Roman" w:hAnsi="Times New Roman" w:cs="Times New Roman" w:eastAsia="Times New Roman" w:hint="default"/>
                <w:sz w:val="18"/>
                <w:szCs w:val="18"/>
              </w:rPr>
            </w:pPr>
            <w:r>
              <w:rPr>
                <w:rFonts w:ascii="Times New Roman"/>
                <w:sz w:val="18"/>
              </w:rPr>
              <w:t>59,654,803.42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201,999,807.99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3.97%</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580" w:lineRule="auto"/>
        <w:ind w:left="1553" w:right="7064" w:hanging="420"/>
        <w:jc w:val="left"/>
        <w:rPr>
          <w:rFonts w:ascii="宋体" w:hAnsi="宋体" w:cs="宋体" w:eastAsia="宋体" w:hint="default"/>
          <w:b w:val="0"/>
          <w:bCs w:val="0"/>
        </w:rPr>
      </w:pPr>
      <w:bookmarkStart w:name="（2）未办妥产权证书的土地使用权情况" w:id="281"/>
      <w:bookmarkEnd w:id="281"/>
      <w:r>
        <w:rPr>
          <w:b w:val="0"/>
          <w:bCs w:val="0"/>
        </w:rPr>
      </w:r>
      <w:r>
        <w:rPr/>
        <w:t>（</w:t>
      </w:r>
      <w:r>
        <w:rPr>
          <w:rFonts w:ascii="Times New Roman" w:hAnsi="Times New Roman" w:cs="Times New Roman" w:eastAsia="Times New Roman" w:hint="default"/>
        </w:rPr>
        <w:t>2</w:t>
      </w:r>
      <w:r>
        <w:rPr/>
        <w:t>）未办妥产权证书的土地使用权情况</w:t>
      </w:r>
      <w:r>
        <w:rPr>
          <w:w w:val="99"/>
        </w:rPr>
        <w:t> </w:t>
      </w:r>
      <w:r>
        <w:rPr>
          <w:rFonts w:ascii="宋体" w:hAnsi="宋体" w:cs="宋体" w:eastAsia="宋体" w:hint="default"/>
          <w:b w:val="0"/>
          <w:bCs w:val="0"/>
        </w:rPr>
        <w:t>无。</w:t>
      </w:r>
    </w:p>
    <w:p>
      <w:pPr>
        <w:pStyle w:val="Heading3"/>
        <w:spacing w:line="240" w:lineRule="auto" w:before="36"/>
        <w:ind w:left="1133" w:right="0"/>
        <w:jc w:val="left"/>
        <w:rPr>
          <w:b w:val="0"/>
          <w:bCs w:val="0"/>
        </w:rPr>
      </w:pPr>
      <w:bookmarkStart w:name="15、开发支出" w:id="282"/>
      <w:bookmarkEnd w:id="282"/>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02"/>
        <w:gridCol w:w="1134"/>
        <w:gridCol w:w="1276"/>
        <w:gridCol w:w="426"/>
        <w:gridCol w:w="1134"/>
        <w:gridCol w:w="1276"/>
        <w:gridCol w:w="1134"/>
      </w:tblGrid>
      <w:tr>
        <w:trPr>
          <w:trHeight w:val="402"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1" w:right="111"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云计算中心基础安全服务引擎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3,886,139.31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1,577,691.33</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5,463,830.64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移动安全管理平台项目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2,908,845.56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858,816.32</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3,767,661.88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技术的云安全与审计平台的建设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5,355,852.92</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771,838.15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4,584,014.77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基于三维仿真的应急模拟演练系统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2,122,722.81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1,288,180.96</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3,410,903.77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融合通讯服务器系统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1,441,661.73</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1,441,661.73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森林防火应急管理平台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1,391,058.39</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1,391,058.39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移动支付安全关键技术的研究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2,027,199.74</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1,628,854.34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398,345.40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面向数据的全新移动办公软件的研究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1,768,026.61</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1,341,514.81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426,511.80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工控防火墙</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1,434,102.20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1,022,810.18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411,292.02</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新一代公共服务平台的研究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2,377,719.35</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1,800,889.21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576,830.14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天锐锋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OSAG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软件研发项目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200,902.11</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113,909.08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86,993.03</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天锐锋业务应用安全审计平台管理软 件研发项目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1,398,140.57</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289,323.20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1,108,817.37</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天锐锋数据库及业务应用安全审计软 件研发项目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240,892.35</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147,909.25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92,983.10</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YF022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智能电网电源质量控制关键技术研 究与应用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544,252.92</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475,865.89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68,387.03</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YF024-</w:t>
            </w:r>
            <w:r>
              <w:rPr>
                <w:rFonts w:ascii="宋体" w:hAnsi="宋体" w:cs="宋体" w:eastAsia="宋体" w:hint="default"/>
                <w:sz w:val="18"/>
                <w:szCs w:val="18"/>
              </w:rPr>
              <w:t>雷电及电磁脉冲智能监测系统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1,142,132.73</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801,071.15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341,061.58</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配电箱用电状态智能化实时监控技术</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403,506.27</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403,506.27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高安全性金属陶瓷气体放电管研发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382,885.62</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382,885.62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适配多功能全模保护浪涌保护器研究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346,764.52</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346,764.52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铁路通信防雷分线柜及其在线检测系统设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505,851.40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505,851.40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在线实时监测配网综合智能防雷系统开发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455,844.96</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455,844.96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402"/>
        <w:gridCol w:w="1134"/>
        <w:gridCol w:w="1276"/>
        <w:gridCol w:w="426"/>
        <w:gridCol w:w="1134"/>
        <w:gridCol w:w="1276"/>
        <w:gridCol w:w="113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8,917,707.68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25,141,483.00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16,162,095.35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7,471,570.68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10,425,524.65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商誉" w:id="283"/>
      <w:bookmarkEnd w:id="283"/>
      <w:r>
        <w:rPr>
          <w:b w:val="0"/>
          <w:bCs w:val="0"/>
        </w:rPr>
      </w:r>
      <w:r>
        <w:rPr>
          <w:rFonts w:ascii="Times New Roman" w:hAnsi="Times New Roman" w:cs="Times New Roman" w:eastAsia="Times New Roman" w:hint="default"/>
        </w:rPr>
        <w:t>16</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4"/>
      <w:bookmarkEnd w:id="28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78"/>
        <w:gridCol w:w="1701"/>
        <w:gridCol w:w="1702"/>
        <w:gridCol w:w="1701"/>
        <w:gridCol w:w="1560"/>
      </w:tblGrid>
      <w:tr>
        <w:trPr>
          <w:trHeight w:val="402" w:hRule="exact"/>
        </w:trPr>
        <w:tc>
          <w:tcPr>
            <w:tcW w:w="29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78"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189,464,955.35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189,464,955.35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174,110.38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174,110.38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463,949,449.39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463,949,449.39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155,712,163.25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155,712,163.25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672,800.14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672,800.14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493,586,016.88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493,586,016.88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809,973,478.51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493,586,016.88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1,303,559,495.39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85"/>
      <w:bookmarkEnd w:id="28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78"/>
        <w:gridCol w:w="1701"/>
        <w:gridCol w:w="1702"/>
        <w:gridCol w:w="1701"/>
        <w:gridCol w:w="1560"/>
      </w:tblGrid>
      <w:tr>
        <w:trPr>
          <w:trHeight w:val="402" w:hRule="exact"/>
        </w:trPr>
        <w:tc>
          <w:tcPr>
            <w:tcW w:w="29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78"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174,110.38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174,110.38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672,800.14</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672,800.14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174,110.38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672,800.14</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846,910.52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10"/>
        <w:rPr>
          <w:rFonts w:ascii="宋体" w:hAnsi="宋体" w:cs="宋体" w:eastAsia="宋体" w:hint="default"/>
          <w:sz w:val="13"/>
          <w:szCs w:val="13"/>
        </w:rPr>
      </w:pPr>
    </w:p>
    <w:p>
      <w:pPr>
        <w:pStyle w:val="BodyText"/>
        <w:spacing w:line="240" w:lineRule="auto"/>
        <w:ind w:left="1554" w:right="0"/>
        <w:jc w:val="left"/>
      </w:pPr>
      <w:r>
        <w:rPr/>
        <w:t>商誉的确认过程详见：本报告附注八</w:t>
      </w:r>
      <w:r>
        <w:rPr>
          <w:spacing w:val="-3"/>
        </w:rPr>
        <w:t> </w:t>
      </w:r>
      <w:r>
        <w:rPr>
          <w:rFonts w:ascii="宋体" w:hAnsi="宋体" w:cs="宋体" w:eastAsia="宋体" w:hint="default"/>
        </w:rPr>
        <w:t>1</w:t>
      </w:r>
      <w:r>
        <w:rPr/>
        <w:t>、（</w:t>
      </w:r>
      <w:r>
        <w:rPr>
          <w:rFonts w:ascii="宋体" w:hAnsi="宋体" w:cs="宋体" w:eastAsia="宋体" w:hint="default"/>
        </w:rPr>
        <w:t>2</w:t>
      </w:r>
      <w:r>
        <w:rPr/>
        <w:t>）合并成本及商誉。</w:t>
      </w:r>
    </w:p>
    <w:p>
      <w:pPr>
        <w:spacing w:line="240" w:lineRule="auto" w:before="8"/>
        <w:rPr>
          <w:rFonts w:ascii="宋体" w:hAnsi="宋体" w:cs="宋体" w:eastAsia="宋体" w:hint="default"/>
          <w:sz w:val="25"/>
          <w:szCs w:val="25"/>
        </w:rPr>
      </w:pPr>
    </w:p>
    <w:p>
      <w:pPr>
        <w:pStyle w:val="Heading3"/>
        <w:spacing w:line="240" w:lineRule="auto"/>
        <w:ind w:left="1133" w:right="0"/>
        <w:jc w:val="left"/>
        <w:rPr>
          <w:b w:val="0"/>
          <w:bCs w:val="0"/>
        </w:rPr>
      </w:pPr>
      <w:bookmarkStart w:name="17、长期待摊费用" w:id="286"/>
      <w:bookmarkEnd w:id="286"/>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85"/>
        <w:gridCol w:w="1559"/>
        <w:gridCol w:w="1560"/>
        <w:gridCol w:w="1560"/>
        <w:gridCol w:w="1416"/>
        <w:gridCol w:w="1487"/>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13,607,830.97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5,237,882.21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5,569,108.87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13,276,604.31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447,422.60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553,129.81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598,902.72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401,649.69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融资服务费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校企合作配套设施费</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1,197,454.17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79,830.28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1,117,623.89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17,055,253.57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6,988,466.19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7,747,841.87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16,295,877.89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18、递延所得税资产/递延所得税负债" w:id="287"/>
      <w:bookmarkEnd w:id="287"/>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288"/>
      <w:bookmarkEnd w:id="28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12,832,862.37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2,207,872.87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16,200,307.80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2,342,229.27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11,123,711.93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2,445,407.00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6,595,972.33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1,648,993.08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214,979,170.18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30,046,958.37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106,666,799.31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15,162,654.92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36,890.88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37,090.88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5,563.63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29,610,091.94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3,392,661.48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22,736,090.74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3,292,089.99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60,453,831.91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7,082,420.50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34,026,845.53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4,812,011.76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2,020,859.99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303,129.00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2,020,859.99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303,129.00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8,111,646.52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1,095,141.30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11,995,646.47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1,645,753.55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2,376,093.01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356,413.95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3,106,485.95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439,010.19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341,545,158.73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46,933,693.56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203,386,099.00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29,651,435.39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89"/>
      <w:bookmarkEnd w:id="28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78"/>
        <w:gridCol w:w="1701"/>
        <w:gridCol w:w="1560"/>
        <w:gridCol w:w="1701"/>
        <w:gridCol w:w="1632"/>
      </w:tblGrid>
      <w:tr>
        <w:trPr>
          <w:trHeight w:val="206" w:hRule="exact"/>
        </w:trPr>
        <w:tc>
          <w:tcPr>
            <w:tcW w:w="29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9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gridSpan w:val="2"/>
            <w:vMerge/>
            <w:tcBorders>
              <w:left w:val="single" w:sz="4" w:space="0" w:color="000000"/>
              <w:bottom w:val="single" w:sz="4" w:space="0" w:color="000000"/>
              <w:right w:val="single" w:sz="4" w:space="0" w:color="000000"/>
            </w:tcBorders>
            <w:shd w:val="clear" w:color="auto" w:fill="D2D2D2"/>
          </w:tcPr>
          <w:p>
            <w:pPr/>
          </w:p>
        </w:tc>
        <w:tc>
          <w:tcPr>
            <w:tcW w:w="3333"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978" w:type="dxa"/>
            <w:vMerge/>
            <w:tcBorders>
              <w:left w:val="single" w:sz="4" w:space="0" w:color="000000"/>
              <w:bottom w:val="nil" w:sz="6" w:space="0" w:color="auto"/>
              <w:right w:val="single" w:sz="4" w:space="0" w:color="000000"/>
            </w:tcBorders>
            <w:shd w:val="clear" w:color="auto" w:fill="D2D2D2"/>
          </w:tcPr>
          <w:p>
            <w:pP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29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6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45,406,456.45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7,166,988.71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29,049,748.12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4,357,462.22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701"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30,896,900.08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4,634,535.02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40,496,691.94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6,074,503.79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所有者投入资产与计税基础的差异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2,599,722.67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389,958.40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1,827,974.00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274,196.10</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78,903,079.20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12,191,482.13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71,374,414.06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10,706,162.11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0"/>
      <w:bookmarkEnd w:id="29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46,933,693.56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29,651,435.39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12,191,482.13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10,706,162.11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19、其他非流动资产" w:id="291"/>
      <w:bookmarkEnd w:id="291"/>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141,333,500.94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114,462,030.37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131,006,817.00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10,885,880.59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272,340,317.94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416,347,910.96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短期借款" w:id="292"/>
      <w:bookmarkEnd w:id="292"/>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3"/>
      <w:bookmarkEnd w:id="29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24,870,000.00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1,067,250,000.00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189,952,500.00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1,282,072,500.00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725,000,000.00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9"/>
        <w:rPr>
          <w:rFonts w:ascii="宋体" w:hAnsi="宋体" w:cs="宋体" w:eastAsia="宋体" w:hint="default"/>
          <w:sz w:val="13"/>
          <w:szCs w:val="13"/>
        </w:rPr>
      </w:pPr>
    </w:p>
    <w:p>
      <w:pPr>
        <w:pStyle w:val="BodyText"/>
        <w:spacing w:line="240" w:lineRule="auto"/>
        <w:ind w:left="1554" w:right="0"/>
        <w:jc w:val="left"/>
      </w:pPr>
      <w:r>
        <w:rPr/>
        <w:t>（</w:t>
      </w:r>
      <w:r>
        <w:rPr>
          <w:rFonts w:ascii="Times New Roman" w:hAnsi="Times New Roman" w:cs="Times New Roman" w:eastAsia="Times New Roman" w:hint="default"/>
        </w:rPr>
        <w:t>1</w:t>
      </w:r>
      <w:r>
        <w:rPr/>
        <w:t>）保证借款</w:t>
      </w:r>
    </w:p>
    <w:p>
      <w:pPr>
        <w:spacing w:line="240" w:lineRule="auto" w:before="9"/>
        <w:rPr>
          <w:rFonts w:ascii="宋体" w:hAnsi="宋体" w:cs="宋体" w:eastAsia="宋体" w:hint="default"/>
          <w:sz w:val="2"/>
          <w:szCs w:val="2"/>
        </w:rPr>
      </w:pPr>
    </w:p>
    <w:tbl>
      <w:tblPr>
        <w:tblW w:w="0" w:type="auto"/>
        <w:jc w:val="left"/>
        <w:tblInd w:w="844" w:type="dxa"/>
        <w:tblLayout w:type="fixed"/>
        <w:tblCellMar>
          <w:top w:w="0" w:type="dxa"/>
          <w:left w:w="0" w:type="dxa"/>
          <w:bottom w:w="0" w:type="dxa"/>
          <w:right w:w="0" w:type="dxa"/>
        </w:tblCellMar>
        <w:tblLook w:val="01E0"/>
      </w:tblPr>
      <w:tblGrid>
        <w:gridCol w:w="4113"/>
        <w:gridCol w:w="1559"/>
        <w:gridCol w:w="2127"/>
        <w:gridCol w:w="1134"/>
        <w:gridCol w:w="1134"/>
      </w:tblGrid>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保证人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2017-10-31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2018-10-31</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33,000,000.00</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2017-9-19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2018-9-18</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212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2017-9-20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2018-9-18</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招商银行股份有限公司广州富力中心支行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2017-11-22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2018-5-20</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招商银行股份有限公司广州富力中心支行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2127"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2017-11-23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2018-5-20</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招商银行股份有限公司广州富力中心支行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212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2017-10-31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2018-4-30</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广州银行股份有限公司淘金支行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99,500,000.00</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7"/>
                <w:sz w:val="18"/>
                <w:szCs w:val="18"/>
              </w:rPr>
              <w:t>柯宗贵、柯宗庆、柯宗耀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2017-12-11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2018-12-11</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广州银行股份有限公司淘金支行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500,000.00</w:t>
            </w:r>
          </w:p>
        </w:tc>
        <w:tc>
          <w:tcPr>
            <w:tcW w:w="212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2017-12-5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2018-3-5</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汇丰银行（中国）有限公司广州分行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2017-12-4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2018-6-1</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广东粤财信托有限公司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柯宗贵</w:t>
            </w:r>
            <w:r>
              <w:rPr>
                <w:rFonts w:ascii="宋体" w:hAnsi="宋体" w:cs="宋体" w:eastAsia="宋体" w:hint="default"/>
                <w:spacing w:val="-81"/>
                <w:sz w:val="18"/>
                <w:szCs w:val="18"/>
              </w:rPr>
              <w:t>、</w:t>
            </w:r>
            <w:r>
              <w:rPr>
                <w:rFonts w:ascii="宋体" w:hAnsi="宋体" w:cs="宋体" w:eastAsia="宋体" w:hint="default"/>
                <w:sz w:val="18"/>
                <w:szCs w:val="18"/>
              </w:rPr>
              <w:t>柯宗耀</w:t>
            </w:r>
            <w:r>
              <w:rPr>
                <w:rFonts w:ascii="宋体" w:hAnsi="宋体" w:cs="宋体" w:eastAsia="宋体" w:hint="default"/>
                <w:spacing w:val="-81"/>
                <w:sz w:val="18"/>
                <w:szCs w:val="18"/>
              </w:rPr>
              <w:t>、</w:t>
            </w:r>
            <w:r>
              <w:rPr>
                <w:rFonts w:ascii="宋体" w:hAnsi="宋体" w:cs="宋体" w:eastAsia="宋体" w:hint="default"/>
                <w:sz w:val="18"/>
                <w:szCs w:val="18"/>
              </w:rPr>
              <w:t>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2018-3-2</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广东粤财信托有限公司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212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2017-9-1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2018-2-28</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w:t>
            </w:r>
            <w:r>
              <w:rPr>
                <w:rFonts w:ascii="宋体" w:hAnsi="宋体" w:cs="宋体" w:eastAsia="宋体" w:hint="default"/>
                <w:spacing w:val="-81"/>
                <w:sz w:val="18"/>
                <w:szCs w:val="18"/>
              </w:rPr>
              <w:t>、</w:t>
            </w:r>
            <w:r>
              <w:rPr>
                <w:rFonts w:ascii="宋体" w:hAnsi="宋体" w:cs="宋体" w:eastAsia="宋体" w:hint="default"/>
                <w:sz w:val="18"/>
                <w:szCs w:val="18"/>
              </w:rPr>
              <w:t>柯宗耀</w:t>
            </w:r>
            <w:r>
              <w:rPr>
                <w:rFonts w:ascii="宋体" w:hAnsi="宋体" w:cs="宋体" w:eastAsia="宋体" w:hint="default"/>
                <w:spacing w:val="-81"/>
                <w:sz w:val="18"/>
                <w:szCs w:val="18"/>
              </w:rPr>
              <w:t>、</w:t>
            </w:r>
            <w:r>
              <w:rPr>
                <w:rFonts w:ascii="宋体" w:hAnsi="宋体" w:cs="宋体" w:eastAsia="宋体" w:hint="default"/>
                <w:sz w:val="18"/>
                <w:szCs w:val="18"/>
              </w:rPr>
              <w:t>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2018-1-23</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江西银行广州越秀支行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7"/>
                <w:sz w:val="18"/>
                <w:szCs w:val="18"/>
              </w:rPr>
              <w:t>柯宗贵、柯宗庆、柯宗耀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2018-1-15</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汇丰银行（中国）有限公司广州分行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2017-10-13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2018-1-12</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汇丰银行（中国）有限公司广州分行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12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2017-12-26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2018-1-26</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农村商业银行东圃支行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柯瑞达</w:t>
            </w:r>
            <w:r>
              <w:rPr>
                <w:rFonts w:ascii="宋体" w:hAnsi="宋体" w:cs="宋体" w:eastAsia="宋体" w:hint="default"/>
                <w:spacing w:val="-81"/>
                <w:sz w:val="18"/>
                <w:szCs w:val="18"/>
              </w:rPr>
              <w:t>、</w:t>
            </w:r>
            <w:r>
              <w:rPr>
                <w:rFonts w:ascii="宋体" w:hAnsi="宋体" w:cs="宋体" w:eastAsia="宋体" w:hint="default"/>
                <w:sz w:val="18"/>
                <w:szCs w:val="18"/>
              </w:rPr>
              <w:t>柯宗耀</w:t>
            </w:r>
            <w:r>
              <w:rPr>
                <w:rFonts w:ascii="宋体" w:hAnsi="宋体" w:cs="宋体" w:eastAsia="宋体" w:hint="default"/>
                <w:spacing w:val="-81"/>
                <w:sz w:val="18"/>
                <w:szCs w:val="18"/>
              </w:rPr>
              <w:t>、</w:t>
            </w:r>
            <w:r>
              <w:rPr>
                <w:rFonts w:ascii="宋体" w:hAnsi="宋体" w:cs="宋体" w:eastAsia="宋体" w:hint="default"/>
                <w:sz w:val="18"/>
                <w:szCs w:val="18"/>
              </w:rPr>
              <w:t>李庆红、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2018-1-19</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2017-10-11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2018-10-10</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12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2017-9-25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2018-9-24</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844" w:type="dxa"/>
        <w:tblLayout w:type="fixed"/>
        <w:tblCellMar>
          <w:top w:w="0" w:type="dxa"/>
          <w:left w:w="0" w:type="dxa"/>
          <w:bottom w:w="0" w:type="dxa"/>
          <w:right w:w="0" w:type="dxa"/>
        </w:tblCellMar>
        <w:tblLook w:val="01E0"/>
      </w:tblPr>
      <w:tblGrid>
        <w:gridCol w:w="4113"/>
        <w:gridCol w:w="1559"/>
        <w:gridCol w:w="2127"/>
        <w:gridCol w:w="1134"/>
        <w:gridCol w:w="1134"/>
      </w:tblGrid>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2127"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2018-9-6</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212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2017-9-6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2018-9-5</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光大银行广州分行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2017-3-24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2018-3-23</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中信银行广州东山支行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19,750,000.00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2017-12-26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2018-12-26</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2017-5-25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2018-5-24</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2017-6-16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2018-6-13</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中国民生银行股份有限公司广州分行营业部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2018-2-25</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19,500,000.00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2017-4-27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2018-4-26</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2017-5-27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2018-5-25</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2017-8-17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2018-8-16</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2017-8-21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2018-8-20</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2018-8-31</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2017-10-31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2018-10-31</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中国建设银行股份有限公司广州经济开发区支行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2017-11-30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2018-11-29</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上海浦东发展银行股份有限公司广州东风支行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57,000,000.00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2018-6-7</w:t>
            </w:r>
          </w:p>
        </w:tc>
      </w:tr>
      <w:tr>
        <w:trPr>
          <w:trHeight w:val="322"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长沙银行股份有限公司广州分行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2017-9-22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2018-9-21</w:t>
            </w:r>
          </w:p>
        </w:tc>
      </w:tr>
      <w:tr>
        <w:trPr>
          <w:trHeight w:val="32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1,067,250,000.00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75"/>
        <w:ind w:left="1554" w:right="0"/>
        <w:jc w:val="left"/>
      </w:pPr>
      <w:r>
        <w:rPr/>
        <w:t>（</w:t>
      </w:r>
      <w:r>
        <w:rPr>
          <w:rFonts w:ascii="Times New Roman" w:hAnsi="Times New Roman" w:cs="Times New Roman" w:eastAsia="Times New Roman" w:hint="default"/>
        </w:rPr>
        <w:t>2</w:t>
      </w:r>
      <w:r>
        <w:rPr/>
        <w:t>）信用借款</w:t>
      </w:r>
    </w:p>
    <w:p>
      <w:pPr>
        <w:spacing w:line="240" w:lineRule="auto" w:before="8"/>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978"/>
        <w:gridCol w:w="1419"/>
        <w:gridCol w:w="2268"/>
        <w:gridCol w:w="1559"/>
        <w:gridCol w:w="1417"/>
      </w:tblGrid>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交通银行股份有限公司天河北支行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49,952,500.00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2017/12/26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2018/12/25</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兴业银行股份有限公司深圳分行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2017/6/16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2018/6/14</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兴业银行股份有限公司深圳分行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2017/8/25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2018/6/14</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兴业银行股份有限公司深圳分行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2017/8/25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2018/6/14</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北京银行股份有限公司深圳分行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2017/3/20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2018/3/20</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宁波银行股份有限公司深圳分行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2017/11/1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2018/11/1</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交通银行股份有限公司天河北支行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2017/1/12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2018/1/10</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189,952,500.00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75"/>
        <w:ind w:left="1554" w:right="0"/>
        <w:jc w:val="left"/>
      </w:pPr>
      <w:r>
        <w:rPr/>
        <w:t>（</w:t>
      </w:r>
      <w:r>
        <w:rPr>
          <w:rFonts w:ascii="Times New Roman" w:hAnsi="Times New Roman" w:cs="Times New Roman" w:eastAsia="Times New Roman" w:hint="default"/>
        </w:rPr>
        <w:t>3</w:t>
      </w:r>
      <w:r>
        <w:rPr/>
        <w:t>）质押借款</w:t>
      </w:r>
    </w:p>
    <w:p>
      <w:pPr>
        <w:spacing w:line="240" w:lineRule="auto" w:before="8"/>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978"/>
        <w:gridCol w:w="1419"/>
        <w:gridCol w:w="2268"/>
        <w:gridCol w:w="1559"/>
        <w:gridCol w:w="1417"/>
      </w:tblGrid>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质押物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东莞银行股份有限公司广州分行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24,870,000.00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7"/>
              <w:jc w:val="center"/>
              <w:rPr>
                <w:rFonts w:ascii="Times New Roman" w:hAnsi="Times New Roman" w:cs="Times New Roman" w:eastAsia="Times New Roman" w:hint="default"/>
                <w:sz w:val="18"/>
                <w:szCs w:val="18"/>
              </w:rPr>
            </w:pPr>
            <w:r>
              <w:rPr>
                <w:rFonts w:ascii="宋体" w:hAnsi="宋体" w:cs="宋体" w:eastAsia="宋体" w:hint="default"/>
                <w:sz w:val="18"/>
                <w:szCs w:val="18"/>
              </w:rPr>
              <w:t>结构性存款</w:t>
            </w:r>
            <w:r>
              <w:rPr>
                <w:rFonts w:ascii="Times New Roman" w:hAnsi="Times New Roman" w:cs="Times New Roman" w:eastAsia="Times New Roman" w:hint="default"/>
                <w:sz w:val="18"/>
                <w:szCs w:val="18"/>
              </w:rPr>
              <w:t>25,000,000.00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2017-11-16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2018-11-15</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24,870,000.00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spacing w:line="578" w:lineRule="auto" w:before="35"/>
        <w:ind w:left="1554" w:right="5712" w:hanging="420"/>
        <w:jc w:val="left"/>
        <w:rPr>
          <w:rFonts w:ascii="宋体" w:hAnsi="宋体" w:cs="宋体" w:eastAsia="宋体" w:hint="default"/>
          <w:sz w:val="21"/>
          <w:szCs w:val="21"/>
        </w:rPr>
      </w:pPr>
      <w:bookmarkStart w:name="（2）已逾期未偿还的短期借款情况"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21"/>
          <w:szCs w:val="21"/>
        </w:rPr>
        <w:t>公司在本报告期不存在已逾期未偿还的短期借款。</w:t>
      </w:r>
    </w:p>
    <w:p>
      <w:pPr>
        <w:pStyle w:val="Heading3"/>
        <w:spacing w:line="240" w:lineRule="auto" w:before="41"/>
        <w:ind w:right="0"/>
        <w:jc w:val="left"/>
        <w:rPr>
          <w:b w:val="0"/>
          <w:bCs w:val="0"/>
        </w:rPr>
      </w:pPr>
      <w:bookmarkStart w:name="21、应付票据" w:id="295"/>
      <w:bookmarkEnd w:id="295"/>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206,868,507.64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25,050,631.27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206,868,507.64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27,679,731.27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付账款" w:id="296"/>
      <w:bookmarkEnd w:id="296"/>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97"/>
      <w:bookmarkEnd w:id="29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277,160,579.49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205,618,285.75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393,315.43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843,231.85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55,023,676.70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2,757,457.01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应付消费款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14,927,933.18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15,341,681.55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347,505,504.80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224,560,656.16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98"/>
      <w:bookmarkEnd w:id="29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湖南省瑾鋆电力发展有限公司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7,562,364.23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南京恩瑞特实业有限公司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4,772,070.00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深圳市尤德章贸易有限公司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3,988,392.31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广州子乾信息科技有限公司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3,325,123.52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武汉佳和电气有限公司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22,782,450.06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预收款项" w:id="299"/>
      <w:bookmarkEnd w:id="299"/>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0"/>
      <w:bookmarkEnd w:id="30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340,300,158.56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124,096,452.10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预收培训费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1,831,980.00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9,221,699.11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2,264,952.40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467,802,472.90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316,661,399.11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客户备付款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4,291,551.05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17,380,112.19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823,447,861.62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460,651,715.80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2）账龄超过1年的重要预收款项" w:id="301"/>
      <w:bookmarkEnd w:id="30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62"/>
        <w:gridCol w:w="3119"/>
        <w:gridCol w:w="3189"/>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中经电商客户四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4,505,098.49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商户的客户充值尚未消费</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中经电商客户五</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3,439,337.31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商户的客户充值尚未消费</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中经电商客户六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3,330,164.27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商户的客户充值尚未消费</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中经电商客户七</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2,999,481.62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商户的客户充值尚未消费</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中经电商客户八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1,833,120.97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商户的客户充值尚未消费</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16,107,202.66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应付职工薪酬" w:id="302"/>
      <w:bookmarkEnd w:id="302"/>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03"/>
      <w:bookmarkEnd w:id="30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672"/>
        <w:gridCol w:w="1713"/>
        <w:gridCol w:w="1700"/>
        <w:gridCol w:w="1702"/>
        <w:gridCol w:w="1772"/>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29,080,634.05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285,926,913.96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274,896,573.89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40,110,974.12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38,149.35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20,294,277.41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20,102,021.19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230,405.57</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488,003.98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424,203.98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63,800.00</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29,118,783.40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306,709,195.35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295,422,799.06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40,405,179.69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04"/>
      <w:bookmarkEnd w:id="30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94"/>
        <w:gridCol w:w="1702"/>
        <w:gridCol w:w="1700"/>
        <w:gridCol w:w="1702"/>
        <w:gridCol w:w="177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28,696,906.50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253,142,348.58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242,187,627.15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39,651,627.93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278,937.96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5,701,870.87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5,980,808.83</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28,886.55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13,069,274.12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12,973,104.40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125,056.27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25,541.76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11,020,236.62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10,942,636.12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103,142.26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1,051.07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347,420.56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346,163.37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2,308.26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1,161,082.72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1,153,695.48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9,247.16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540,534.22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530,609.43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10,358.59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10,542.00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9,960,138.12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9,945,739.12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24,941.00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65,361.04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4,033,886.42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3,789,898.54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309,348.92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94"/>
        <w:gridCol w:w="1702"/>
        <w:gridCol w:w="1700"/>
        <w:gridCol w:w="1702"/>
        <w:gridCol w:w="177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19,395.85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19,395.85</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29,080,634.05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285,926,913.96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274,896,573.89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1" w:right="0"/>
              <w:jc w:val="left"/>
              <w:rPr>
                <w:rFonts w:ascii="Times New Roman" w:hAnsi="Times New Roman" w:cs="Times New Roman" w:eastAsia="Times New Roman" w:hint="default"/>
                <w:sz w:val="18"/>
                <w:szCs w:val="18"/>
              </w:rPr>
            </w:pPr>
            <w:r>
              <w:rPr>
                <w:rFonts w:ascii="Times New Roman"/>
                <w:sz w:val="18"/>
              </w:rPr>
              <w:t>40,110,974.12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05"/>
      <w:bookmarkEnd w:id="30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672"/>
        <w:gridCol w:w="1713"/>
        <w:gridCol w:w="1700"/>
        <w:gridCol w:w="1702"/>
        <w:gridCol w:w="1772"/>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35,790.76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19,553,360.68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19,367,626.66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221,524.78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2,358.59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740,916.73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734,394.53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8,880.79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38,149.35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20,294,277.41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20,102,021.19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230,405.57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5、应交税费" w:id="306"/>
      <w:bookmarkEnd w:id="306"/>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26,746,658.09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39,083,065.58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40,350,622.29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31,523,538.44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1,075,797.41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68,033.01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2,094,268.51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1,833,630.72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50,561.82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947,406.95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837,775.34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561,982.34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477,402.08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33,879.10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33,410.69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582,472.50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465,975.83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443,471.52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182,453.72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148,592.00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7,756.56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72,583,297.47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74,971,457.03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应付利息" w:id="307"/>
      <w:bookmarkEnd w:id="307"/>
      <w:r>
        <w:rPr>
          <w:b w:val="0"/>
          <w:bCs w:val="0"/>
        </w:rPr>
      </w:r>
      <w:r>
        <w:rPr>
          <w:rFonts w:ascii="Times New Roman" w:hAnsi="Times New Roman" w:cs="Times New Roman" w:eastAsia="Times New Roman" w:hint="default"/>
        </w:rPr>
        <w:t>26</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1,580,659.91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891,476.64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22,502,465.75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23,647,477.43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2,845,821.52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399,418.71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26,928,947.18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24,938,372.78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其他应付款" w:id="308"/>
      <w:bookmarkEnd w:id="308"/>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09"/>
      <w:bookmarkEnd w:id="30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1,981,697.58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1,447,712.03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3,921,725.46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1,694,037.86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548,978.64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197,468.71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2,955,058.60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795,638.87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49,296,720.00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62,331,000.00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2,509,464.21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662,975.41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61,213,644.49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132,896,832.88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10"/>
      <w:bookmarkEnd w:id="31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544"/>
        <w:gridCol w:w="2837"/>
        <w:gridCol w:w="3189"/>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店连店科技股份有限公司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设备租赁押金</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国电南京自动化股份有限公司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145,293.00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中国移动通信集团广东有限公司广州分公司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81,544.80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广东力特工程机械有限公司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广州唯品会信息科技有限公司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617,612.80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8、一年内到期的非流动负债" w:id="311"/>
      <w:bookmarkEnd w:id="311"/>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141,871,476.21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20,314,080.63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3,286,440.58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2,633,075.54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145,157,916.79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22,947,156.17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29、长期借款" w:id="312"/>
      <w:bookmarkEnd w:id="312"/>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13"/>
      <w:bookmarkEnd w:id="31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145,044,286.46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165,044,286.46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314,080.63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w:t>
            </w:r>
            <w:r>
              <w:rPr>
                <w:rFonts w:ascii="Times New Roman" w:hAnsi="Times New Roman" w:cs="Times New Roman" w:eastAsia="Times New Roman" w:hint="default"/>
                <w:sz w:val="18"/>
                <w:szCs w:val="18"/>
              </w:rPr>
              <w:t>+</w:t>
            </w: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141,871,476.21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20,314,080.63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766,542,810.25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539,644,286.46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9"/>
        <w:rPr>
          <w:rFonts w:ascii="宋体" w:hAnsi="宋体" w:cs="宋体" w:eastAsia="宋体" w:hint="default"/>
          <w:sz w:val="13"/>
          <w:szCs w:val="13"/>
        </w:rPr>
      </w:pPr>
    </w:p>
    <w:p>
      <w:pPr>
        <w:pStyle w:val="BodyText"/>
        <w:spacing w:line="240" w:lineRule="auto"/>
        <w:ind w:left="1554" w:right="0"/>
        <w:jc w:val="left"/>
      </w:pPr>
      <w:r>
        <w:rPr/>
        <w:t>（</w:t>
      </w:r>
      <w:r>
        <w:rPr>
          <w:rFonts w:ascii="Times New Roman" w:hAnsi="Times New Roman" w:cs="Times New Roman" w:eastAsia="Times New Roman" w:hint="default"/>
        </w:rPr>
        <w:t>1</w:t>
      </w:r>
      <w:r>
        <w:rPr/>
        <w:t>）抵押借款</w:t>
      </w:r>
    </w:p>
    <w:p>
      <w:pPr>
        <w:spacing w:line="240" w:lineRule="auto" w:before="9"/>
        <w:rPr>
          <w:rFonts w:ascii="宋体" w:hAnsi="宋体" w:cs="宋体" w:eastAsia="宋体" w:hint="default"/>
          <w:sz w:val="2"/>
          <w:szCs w:val="2"/>
        </w:rPr>
      </w:pPr>
    </w:p>
    <w:tbl>
      <w:tblPr>
        <w:tblW w:w="0" w:type="auto"/>
        <w:jc w:val="left"/>
        <w:tblInd w:w="1021" w:type="dxa"/>
        <w:tblLayout w:type="fixed"/>
        <w:tblCellMar>
          <w:top w:w="0" w:type="dxa"/>
          <w:left w:w="0" w:type="dxa"/>
          <w:bottom w:w="0" w:type="dxa"/>
          <w:right w:w="0" w:type="dxa"/>
        </w:tblCellMar>
        <w:tblLook w:val="01E0"/>
      </w:tblPr>
      <w:tblGrid>
        <w:gridCol w:w="1384"/>
        <w:gridCol w:w="1418"/>
        <w:gridCol w:w="2410"/>
        <w:gridCol w:w="2552"/>
        <w:gridCol w:w="992"/>
        <w:gridCol w:w="992"/>
      </w:tblGrid>
      <w:tr>
        <w:trPr>
          <w:trHeight w:val="32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房产证编号</w:t>
            </w:r>
            <w:r>
              <w:rPr>
                <w:rFonts w:ascii="Times New Roman" w:hAnsi="Times New Roman" w:cs="Times New Roman" w:eastAsia="Times New Roman" w:hint="default"/>
                <w:sz w:val="18"/>
                <w:szCs w:val="18"/>
              </w:rPr>
              <w:t>-</w:t>
            </w:r>
            <w:r>
              <w:rPr>
                <w:rFonts w:ascii="宋体" w:hAnsi="宋体" w:cs="宋体" w:eastAsia="宋体" w:hint="default"/>
                <w:sz w:val="18"/>
                <w:szCs w:val="18"/>
              </w:rPr>
              <w:t>土地使用权编号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106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103" w:right="101"/>
              <w:jc w:val="both"/>
              <w:rPr>
                <w:rFonts w:ascii="宋体" w:hAnsi="宋体" w:cs="宋体" w:eastAsia="宋体" w:hint="default"/>
                <w:sz w:val="18"/>
                <w:szCs w:val="18"/>
              </w:rPr>
            </w:pPr>
            <w:r>
              <w:rPr>
                <w:rFonts w:ascii="宋体" w:hAnsi="宋体" w:cs="宋体" w:eastAsia="宋体" w:hint="default"/>
                <w:spacing w:val="14"/>
                <w:sz w:val="18"/>
                <w:szCs w:val="18"/>
              </w:rPr>
              <w:t>交通银行股份</w:t>
            </w:r>
            <w:r>
              <w:rPr>
                <w:rFonts w:ascii="宋体" w:hAnsi="宋体" w:cs="宋体" w:eastAsia="宋体" w:hint="default"/>
                <w:sz w:val="18"/>
                <w:szCs w:val="18"/>
              </w:rPr>
              <w:t> </w:t>
            </w:r>
            <w:r>
              <w:rPr>
                <w:rFonts w:ascii="宋体" w:hAnsi="宋体" w:cs="宋体" w:eastAsia="宋体" w:hint="default"/>
                <w:spacing w:val="14"/>
                <w:sz w:val="18"/>
                <w:szCs w:val="18"/>
              </w:rPr>
              <w:t>有限公司广州</w:t>
            </w:r>
            <w:r>
              <w:rPr>
                <w:rFonts w:ascii="宋体" w:hAnsi="宋体" w:cs="宋体" w:eastAsia="宋体" w:hint="default"/>
                <w:sz w:val="18"/>
                <w:szCs w:val="18"/>
              </w:rPr>
              <w:t> 高科支行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29,610,000.00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8"/>
              <w:ind w:left="103" w:right="101"/>
              <w:jc w:val="both"/>
              <w:rPr>
                <w:rFonts w:ascii="宋体" w:hAnsi="宋体" w:cs="宋体" w:eastAsia="宋体" w:hint="default"/>
                <w:sz w:val="18"/>
                <w:szCs w:val="18"/>
              </w:rPr>
            </w:pPr>
            <w:r>
              <w:rPr>
                <w:rFonts w:ascii="宋体" w:hAnsi="宋体" w:cs="宋体" w:eastAsia="宋体" w:hint="default"/>
                <w:spacing w:val="10"/>
                <w:sz w:val="18"/>
                <w:szCs w:val="18"/>
              </w:rPr>
              <w:t>天河区天慧路</w:t>
            </w:r>
            <w:r>
              <w:rPr>
                <w:rFonts w:ascii="Times New Roman" w:hAnsi="Times New Roman" w:cs="Times New Roman" w:eastAsia="Times New Roman" w:hint="default"/>
                <w:spacing w:val="10"/>
                <w:sz w:val="18"/>
                <w:szCs w:val="18"/>
              </w:rPr>
              <w:t>16</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层</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层</w:t>
            </w:r>
            <w:r>
              <w:rPr>
                <w:rFonts w:ascii="宋体" w:hAnsi="宋体" w:cs="宋体" w:eastAsia="宋体" w:hint="default"/>
                <w:spacing w:val="-80"/>
                <w:sz w:val="18"/>
                <w:szCs w:val="18"/>
              </w:rPr>
              <w:t> </w:t>
            </w:r>
            <w:r>
              <w:rPr>
                <w:rFonts w:ascii="宋体" w:hAnsi="宋体" w:cs="宋体" w:eastAsia="宋体" w:hint="default"/>
                <w:spacing w:val="2"/>
                <w:sz w:val="18"/>
                <w:szCs w:val="18"/>
              </w:rPr>
              <w:t>办公楼及地下车位、穗国府</w:t>
            </w:r>
            <w:r>
              <w:rPr>
                <w:rFonts w:ascii="宋体" w:hAnsi="宋体" w:cs="宋体" w:eastAsia="宋体" w:hint="default"/>
                <w:sz w:val="18"/>
                <w:szCs w:val="18"/>
              </w:rPr>
              <w:t> 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552" w:type="dxa"/>
            <w:vMerge w:val="restart"/>
            <w:tcBorders>
              <w:top w:val="single" w:sz="4" w:space="0" w:color="000000"/>
              <w:left w:val="single" w:sz="4" w:space="0" w:color="000000"/>
              <w:right w:val="single" w:sz="4" w:space="0" w:color="000000"/>
            </w:tcBorders>
          </w:tcPr>
          <w:p>
            <w:pPr>
              <w:pStyle w:val="TableParagraph"/>
              <w:spacing w:line="300" w:lineRule="auto" w:before="10"/>
              <w:ind w:left="369" w:right="371" w:hanging="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层办公楼： 穗字第</w:t>
            </w:r>
            <w:r>
              <w:rPr>
                <w:rFonts w:ascii="Times New Roman" w:hAnsi="Times New Roman" w:cs="Times New Roman" w:eastAsia="Times New Roman" w:hint="default"/>
                <w:sz w:val="18"/>
                <w:szCs w:val="18"/>
              </w:rPr>
              <w:t>0150277328</w:t>
            </w:r>
            <w:r>
              <w:rPr>
                <w:rFonts w:ascii="宋体" w:hAnsi="宋体" w:cs="宋体" w:eastAsia="宋体" w:hint="default"/>
                <w:sz w:val="18"/>
                <w:szCs w:val="18"/>
              </w:rPr>
              <w:t>号、 穗字第</w:t>
            </w:r>
            <w:r>
              <w:rPr>
                <w:rFonts w:ascii="Times New Roman" w:hAnsi="Times New Roman" w:cs="Times New Roman" w:eastAsia="Times New Roman" w:hint="default"/>
                <w:sz w:val="18"/>
                <w:szCs w:val="18"/>
              </w:rPr>
              <w:t>0150277133</w:t>
            </w:r>
            <w:r>
              <w:rPr>
                <w:rFonts w:ascii="宋体" w:hAnsi="宋体" w:cs="宋体" w:eastAsia="宋体" w:hint="default"/>
                <w:sz w:val="18"/>
                <w:szCs w:val="18"/>
              </w:rPr>
              <w:t>号、 穗字第</w:t>
            </w:r>
            <w:r>
              <w:rPr>
                <w:rFonts w:ascii="Times New Roman" w:hAnsi="Times New Roman" w:cs="Times New Roman" w:eastAsia="Times New Roman" w:hint="default"/>
                <w:sz w:val="18"/>
                <w:szCs w:val="18"/>
              </w:rPr>
              <w:t>0150277134</w:t>
            </w:r>
            <w:r>
              <w:rPr>
                <w:rFonts w:ascii="宋体" w:hAnsi="宋体" w:cs="宋体" w:eastAsia="宋体" w:hint="default"/>
                <w:sz w:val="18"/>
                <w:szCs w:val="18"/>
              </w:rPr>
              <w:t>号、 穗字第</w:t>
            </w:r>
            <w:r>
              <w:rPr>
                <w:rFonts w:ascii="Times New Roman" w:hAnsi="Times New Roman" w:cs="Times New Roman" w:eastAsia="Times New Roman" w:hint="default"/>
                <w:sz w:val="18"/>
                <w:szCs w:val="18"/>
              </w:rPr>
              <w:t>0150277135</w:t>
            </w:r>
            <w:r>
              <w:rPr>
                <w:rFonts w:ascii="宋体" w:hAnsi="宋体" w:cs="宋体" w:eastAsia="宋体" w:hint="default"/>
                <w:sz w:val="18"/>
                <w:szCs w:val="18"/>
              </w:rPr>
              <w:t>号、 穗字第</w:t>
            </w:r>
            <w:r>
              <w:rPr>
                <w:rFonts w:ascii="Times New Roman" w:hAnsi="Times New Roman" w:cs="Times New Roman" w:eastAsia="Times New Roman" w:hint="default"/>
                <w:sz w:val="18"/>
                <w:szCs w:val="18"/>
              </w:rPr>
              <w:t>0150277136</w:t>
            </w:r>
            <w:r>
              <w:rPr>
                <w:rFonts w:ascii="宋体" w:hAnsi="宋体" w:cs="宋体" w:eastAsia="宋体" w:hint="default"/>
                <w:sz w:val="18"/>
                <w:szCs w:val="18"/>
              </w:rPr>
              <w:t>号、 穗字第</w:t>
            </w:r>
            <w:r>
              <w:rPr>
                <w:rFonts w:ascii="Times New Roman" w:hAnsi="Times New Roman" w:cs="Times New Roman" w:eastAsia="Times New Roman" w:hint="default"/>
                <w:sz w:val="18"/>
                <w:szCs w:val="18"/>
              </w:rPr>
              <w:t>0150277137</w:t>
            </w:r>
            <w:r>
              <w:rPr>
                <w:rFonts w:ascii="宋体" w:hAnsi="宋体" w:cs="宋体" w:eastAsia="宋体" w:hint="default"/>
                <w:sz w:val="18"/>
                <w:szCs w:val="18"/>
              </w:rPr>
              <w:t>号； 土地：穗国府用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 </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 地下车位：</w:t>
            </w:r>
          </w:p>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0150277124-0150277224</w:t>
            </w:r>
            <w:r>
              <w:rPr>
                <w:rFonts w:ascii="宋体" w:hAnsi="宋体" w:cs="宋体" w:eastAsia="宋体" w:hint="default"/>
                <w:sz w:val="18"/>
                <w:szCs w:val="18"/>
              </w:rPr>
              <w:t>；</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0150277451-0150277499</w:t>
            </w:r>
            <w:r>
              <w:rPr>
                <w:rFonts w:ascii="宋体" w:hAnsi="宋体" w:cs="宋体" w:eastAsia="宋体" w:hint="default"/>
                <w:sz w:val="18"/>
                <w:szCs w:val="18"/>
              </w:rPr>
              <w:t>；</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0150277501-0150277549</w:t>
            </w:r>
            <w:r>
              <w:rPr>
                <w:rFonts w:ascii="宋体" w:hAnsi="宋体" w:cs="宋体" w:eastAsia="宋体" w:hint="default"/>
                <w:sz w:val="18"/>
                <w:szCs w:val="18"/>
              </w:rPr>
              <w:t>；</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0150277551-0150277552</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2015-4-17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2023-3-5</w:t>
            </w:r>
          </w:p>
        </w:tc>
      </w:tr>
      <w:tr>
        <w:trPr>
          <w:trHeight w:val="114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0"/>
              <w:ind w:left="103" w:right="101"/>
              <w:jc w:val="both"/>
              <w:rPr>
                <w:rFonts w:ascii="宋体" w:hAnsi="宋体" w:cs="宋体" w:eastAsia="宋体" w:hint="default"/>
                <w:sz w:val="18"/>
                <w:szCs w:val="18"/>
              </w:rPr>
            </w:pPr>
            <w:r>
              <w:rPr>
                <w:rFonts w:ascii="宋体" w:hAnsi="宋体" w:cs="宋体" w:eastAsia="宋体" w:hint="default"/>
                <w:spacing w:val="14"/>
                <w:sz w:val="18"/>
                <w:szCs w:val="18"/>
              </w:rPr>
              <w:t>交通银行股份</w:t>
            </w:r>
            <w:r>
              <w:rPr>
                <w:rFonts w:ascii="宋体" w:hAnsi="宋体" w:cs="宋体" w:eastAsia="宋体" w:hint="default"/>
                <w:sz w:val="18"/>
                <w:szCs w:val="18"/>
              </w:rPr>
              <w:t> </w:t>
            </w:r>
            <w:r>
              <w:rPr>
                <w:rFonts w:ascii="宋体" w:hAnsi="宋体" w:cs="宋体" w:eastAsia="宋体" w:hint="default"/>
                <w:spacing w:val="14"/>
                <w:sz w:val="18"/>
                <w:szCs w:val="18"/>
              </w:rPr>
              <w:t>有限公司广州</w:t>
            </w:r>
            <w:r>
              <w:rPr>
                <w:rFonts w:ascii="宋体" w:hAnsi="宋体" w:cs="宋体" w:eastAsia="宋体" w:hint="default"/>
                <w:sz w:val="18"/>
                <w:szCs w:val="18"/>
              </w:rPr>
              <w:t> 高科支行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0"/>
              <w:ind w:left="103" w:right="101"/>
              <w:jc w:val="both"/>
              <w:rPr>
                <w:rFonts w:ascii="宋体" w:hAnsi="宋体" w:cs="宋体" w:eastAsia="宋体" w:hint="default"/>
                <w:sz w:val="18"/>
                <w:szCs w:val="18"/>
              </w:rPr>
            </w:pPr>
            <w:r>
              <w:rPr>
                <w:rFonts w:ascii="宋体" w:hAnsi="宋体" w:cs="宋体" w:eastAsia="宋体" w:hint="default"/>
                <w:spacing w:val="10"/>
                <w:sz w:val="18"/>
                <w:szCs w:val="18"/>
              </w:rPr>
              <w:t>天河区天慧路</w:t>
            </w:r>
            <w:r>
              <w:rPr>
                <w:rFonts w:ascii="Times New Roman" w:hAnsi="Times New Roman" w:cs="Times New Roman" w:eastAsia="Times New Roman" w:hint="default"/>
                <w:spacing w:val="10"/>
                <w:sz w:val="18"/>
                <w:szCs w:val="18"/>
              </w:rPr>
              <w:t>16</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层</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层</w:t>
            </w:r>
            <w:r>
              <w:rPr>
                <w:rFonts w:ascii="宋体" w:hAnsi="宋体" w:cs="宋体" w:eastAsia="宋体" w:hint="default"/>
                <w:spacing w:val="-80"/>
                <w:sz w:val="18"/>
                <w:szCs w:val="18"/>
              </w:rPr>
              <w:t> </w:t>
            </w:r>
            <w:r>
              <w:rPr>
                <w:rFonts w:ascii="宋体" w:hAnsi="宋体" w:cs="宋体" w:eastAsia="宋体" w:hint="default"/>
                <w:spacing w:val="2"/>
                <w:sz w:val="18"/>
                <w:szCs w:val="18"/>
              </w:rPr>
              <w:t>办公楼及地下车位、穗国府</w:t>
            </w:r>
            <w:r>
              <w:rPr>
                <w:rFonts w:ascii="宋体" w:hAnsi="宋体" w:cs="宋体" w:eastAsia="宋体" w:hint="default"/>
                <w:sz w:val="18"/>
                <w:szCs w:val="18"/>
              </w:rPr>
              <w:t> 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55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2015-5-12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2018-5-11</w:t>
            </w:r>
          </w:p>
        </w:tc>
      </w:tr>
      <w:tr>
        <w:trPr>
          <w:trHeight w:val="111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103" w:right="101"/>
              <w:jc w:val="both"/>
              <w:rPr>
                <w:rFonts w:ascii="宋体" w:hAnsi="宋体" w:cs="宋体" w:eastAsia="宋体" w:hint="default"/>
                <w:sz w:val="18"/>
                <w:szCs w:val="18"/>
              </w:rPr>
            </w:pPr>
            <w:r>
              <w:rPr>
                <w:rFonts w:ascii="宋体" w:hAnsi="宋体" w:cs="宋体" w:eastAsia="宋体" w:hint="default"/>
                <w:spacing w:val="14"/>
                <w:sz w:val="18"/>
                <w:szCs w:val="18"/>
              </w:rPr>
              <w:t>交通银行股份</w:t>
            </w:r>
            <w:r>
              <w:rPr>
                <w:rFonts w:ascii="宋体" w:hAnsi="宋体" w:cs="宋体" w:eastAsia="宋体" w:hint="default"/>
                <w:sz w:val="18"/>
                <w:szCs w:val="18"/>
              </w:rPr>
              <w:t> </w:t>
            </w:r>
            <w:r>
              <w:rPr>
                <w:rFonts w:ascii="宋体" w:hAnsi="宋体" w:cs="宋体" w:eastAsia="宋体" w:hint="default"/>
                <w:spacing w:val="14"/>
                <w:sz w:val="18"/>
                <w:szCs w:val="18"/>
              </w:rPr>
              <w:t>有限公司广州</w:t>
            </w:r>
            <w:r>
              <w:rPr>
                <w:rFonts w:ascii="宋体" w:hAnsi="宋体" w:cs="宋体" w:eastAsia="宋体" w:hint="default"/>
                <w:sz w:val="18"/>
                <w:szCs w:val="18"/>
              </w:rPr>
              <w:t> 高科支行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80,014,286.46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7"/>
              <w:ind w:left="103" w:right="101"/>
              <w:jc w:val="both"/>
              <w:rPr>
                <w:rFonts w:ascii="宋体" w:hAnsi="宋体" w:cs="宋体" w:eastAsia="宋体" w:hint="default"/>
                <w:sz w:val="18"/>
                <w:szCs w:val="18"/>
              </w:rPr>
            </w:pPr>
            <w:r>
              <w:rPr>
                <w:rFonts w:ascii="宋体" w:hAnsi="宋体" w:cs="宋体" w:eastAsia="宋体" w:hint="default"/>
                <w:spacing w:val="10"/>
                <w:sz w:val="18"/>
                <w:szCs w:val="18"/>
              </w:rPr>
              <w:t>天河区天慧路</w:t>
            </w:r>
            <w:r>
              <w:rPr>
                <w:rFonts w:ascii="Times New Roman" w:hAnsi="Times New Roman" w:cs="Times New Roman" w:eastAsia="Times New Roman" w:hint="default"/>
                <w:spacing w:val="10"/>
                <w:sz w:val="18"/>
                <w:szCs w:val="18"/>
              </w:rPr>
              <w:t>16</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层</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层</w:t>
            </w:r>
            <w:r>
              <w:rPr>
                <w:rFonts w:ascii="宋体" w:hAnsi="宋体" w:cs="宋体" w:eastAsia="宋体" w:hint="default"/>
                <w:spacing w:val="-80"/>
                <w:sz w:val="18"/>
                <w:szCs w:val="18"/>
              </w:rPr>
              <w:t> </w:t>
            </w:r>
            <w:r>
              <w:rPr>
                <w:rFonts w:ascii="宋体" w:hAnsi="宋体" w:cs="宋体" w:eastAsia="宋体" w:hint="default"/>
                <w:spacing w:val="2"/>
                <w:sz w:val="18"/>
                <w:szCs w:val="18"/>
              </w:rPr>
              <w:t>办公楼及地下车位、穗国府</w:t>
            </w:r>
            <w:r>
              <w:rPr>
                <w:rFonts w:ascii="宋体" w:hAnsi="宋体" w:cs="宋体" w:eastAsia="宋体" w:hint="default"/>
                <w:sz w:val="18"/>
                <w:szCs w:val="18"/>
              </w:rPr>
              <w:t> 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55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2015-5-12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2023-3-5</w:t>
            </w:r>
          </w:p>
        </w:tc>
      </w:tr>
      <w:tr>
        <w:trPr>
          <w:trHeight w:val="105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5"/>
              <w:ind w:left="103" w:right="101"/>
              <w:jc w:val="both"/>
              <w:rPr>
                <w:rFonts w:ascii="宋体" w:hAnsi="宋体" w:cs="宋体" w:eastAsia="宋体" w:hint="default"/>
                <w:sz w:val="18"/>
                <w:szCs w:val="18"/>
              </w:rPr>
            </w:pPr>
            <w:r>
              <w:rPr>
                <w:rFonts w:ascii="宋体" w:hAnsi="宋体" w:cs="宋体" w:eastAsia="宋体" w:hint="default"/>
                <w:spacing w:val="14"/>
                <w:sz w:val="18"/>
                <w:szCs w:val="18"/>
              </w:rPr>
              <w:t>交通银行股份</w:t>
            </w:r>
            <w:r>
              <w:rPr>
                <w:rFonts w:ascii="宋体" w:hAnsi="宋体" w:cs="宋体" w:eastAsia="宋体" w:hint="default"/>
                <w:sz w:val="18"/>
                <w:szCs w:val="18"/>
              </w:rPr>
              <w:t> </w:t>
            </w:r>
            <w:r>
              <w:rPr>
                <w:rFonts w:ascii="宋体" w:hAnsi="宋体" w:cs="宋体" w:eastAsia="宋体" w:hint="default"/>
                <w:spacing w:val="14"/>
                <w:sz w:val="18"/>
                <w:szCs w:val="18"/>
              </w:rPr>
              <w:t>有限公司广州</w:t>
            </w:r>
            <w:r>
              <w:rPr>
                <w:rFonts w:ascii="宋体" w:hAnsi="宋体" w:cs="宋体" w:eastAsia="宋体" w:hint="default"/>
                <w:sz w:val="18"/>
                <w:szCs w:val="18"/>
              </w:rPr>
              <w:t> 高科支行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25,420,000.00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65"/>
              <w:ind w:left="103" w:right="101"/>
              <w:jc w:val="both"/>
              <w:rPr>
                <w:rFonts w:ascii="宋体" w:hAnsi="宋体" w:cs="宋体" w:eastAsia="宋体" w:hint="default"/>
                <w:sz w:val="18"/>
                <w:szCs w:val="18"/>
              </w:rPr>
            </w:pPr>
            <w:r>
              <w:rPr>
                <w:rFonts w:ascii="宋体" w:hAnsi="宋体" w:cs="宋体" w:eastAsia="宋体" w:hint="default"/>
                <w:spacing w:val="10"/>
                <w:sz w:val="18"/>
                <w:szCs w:val="18"/>
              </w:rPr>
              <w:t>天河区天慧路</w:t>
            </w:r>
            <w:r>
              <w:rPr>
                <w:rFonts w:ascii="Times New Roman" w:hAnsi="Times New Roman" w:cs="Times New Roman" w:eastAsia="Times New Roman" w:hint="default"/>
                <w:spacing w:val="10"/>
                <w:sz w:val="18"/>
                <w:szCs w:val="18"/>
              </w:rPr>
              <w:t>16</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层</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层</w:t>
            </w:r>
            <w:r>
              <w:rPr>
                <w:rFonts w:ascii="宋体" w:hAnsi="宋体" w:cs="宋体" w:eastAsia="宋体" w:hint="default"/>
                <w:spacing w:val="-80"/>
                <w:sz w:val="18"/>
                <w:szCs w:val="18"/>
              </w:rPr>
              <w:t> </w:t>
            </w:r>
            <w:r>
              <w:rPr>
                <w:rFonts w:ascii="宋体" w:hAnsi="宋体" w:cs="宋体" w:eastAsia="宋体" w:hint="default"/>
                <w:spacing w:val="2"/>
                <w:sz w:val="18"/>
                <w:szCs w:val="18"/>
              </w:rPr>
              <w:t>办公楼及地下车位、穗国府</w:t>
            </w:r>
            <w:r>
              <w:rPr>
                <w:rFonts w:ascii="宋体" w:hAnsi="宋体" w:cs="宋体" w:eastAsia="宋体" w:hint="default"/>
                <w:sz w:val="18"/>
                <w:szCs w:val="18"/>
              </w:rPr>
              <w:t> 用</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05000113</w:t>
            </w:r>
            <w:r>
              <w:rPr>
                <w:rFonts w:ascii="宋体" w:hAnsi="宋体" w:cs="宋体" w:eastAsia="宋体" w:hint="default"/>
                <w:sz w:val="18"/>
                <w:szCs w:val="18"/>
              </w:rPr>
              <w:t>号土地</w:t>
            </w:r>
          </w:p>
        </w:tc>
        <w:tc>
          <w:tcPr>
            <w:tcW w:w="255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2023-3-5</w:t>
            </w:r>
          </w:p>
        </w:tc>
      </w:tr>
      <w:tr>
        <w:trPr>
          <w:trHeight w:val="323"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145,044,286.46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328" w:lineRule="auto" w:before="75"/>
        <w:ind w:left="1134" w:right="1127" w:firstLine="420"/>
        <w:jc w:val="left"/>
      </w:pPr>
      <w:r>
        <w:rPr/>
        <w:t>注：①交通银行股份有限公司广州高科支行借款期限为</w:t>
      </w:r>
      <w:r>
        <w:rPr>
          <w:rFonts w:ascii="Times New Roman" w:hAnsi="Times New Roman" w:cs="Times New Roman" w:eastAsia="Times New Roman" w:hint="default"/>
        </w:rPr>
        <w:t>2015-4-17</w:t>
      </w:r>
      <w:r>
        <w:rPr/>
        <w:t>至</w:t>
      </w:r>
      <w:r>
        <w:rPr>
          <w:rFonts w:ascii="Times New Roman" w:hAnsi="Times New Roman" w:cs="Times New Roman" w:eastAsia="Times New Roman" w:hint="default"/>
        </w:rPr>
        <w:t>2023-3-5</w:t>
      </w:r>
      <w:r>
        <w:rPr/>
        <w:t>的借款将于一年内到期的 金额为</w:t>
      </w:r>
      <w:r>
        <w:rPr>
          <w:rFonts w:ascii="Times New Roman" w:hAnsi="Times New Roman" w:cs="Times New Roman" w:eastAsia="Times New Roman" w:hint="default"/>
        </w:rPr>
        <w:t>987,000.00</w:t>
      </w:r>
      <w:r>
        <w:rPr/>
        <w:t>元。</w:t>
      </w:r>
    </w:p>
    <w:p>
      <w:pPr>
        <w:pStyle w:val="BodyText"/>
        <w:spacing w:line="328" w:lineRule="auto" w:before="24"/>
        <w:ind w:right="1128" w:firstLine="420"/>
        <w:jc w:val="left"/>
      </w:pPr>
      <w:r>
        <w:rPr/>
        <w:t>②交通银行股份有限公司广州高科支行借款期限为</w:t>
      </w:r>
      <w:r>
        <w:rPr>
          <w:rFonts w:ascii="Times New Roman" w:hAnsi="Times New Roman" w:cs="Times New Roman" w:eastAsia="Times New Roman" w:hint="default"/>
        </w:rPr>
        <w:t>2015-5-12</w:t>
      </w:r>
      <w:r>
        <w:rPr/>
        <w:t>至</w:t>
      </w:r>
      <w:r>
        <w:rPr>
          <w:rFonts w:ascii="Times New Roman" w:hAnsi="Times New Roman" w:cs="Times New Roman" w:eastAsia="Times New Roman" w:hint="default"/>
        </w:rPr>
        <w:t>2023-3-5</w:t>
      </w:r>
      <w:r>
        <w:rPr/>
        <w:t>的借款将于一年内到期的金额 为</w:t>
      </w:r>
      <w:r>
        <w:rPr>
          <w:rFonts w:ascii="Times New Roman" w:hAnsi="Times New Roman" w:cs="Times New Roman" w:eastAsia="Times New Roman" w:hint="default"/>
        </w:rPr>
        <w:t>2,667,142.88</w:t>
      </w:r>
      <w:r>
        <w:rPr/>
        <w:t>元。</w:t>
      </w:r>
    </w:p>
    <w:p>
      <w:pPr>
        <w:pStyle w:val="BodyText"/>
        <w:spacing w:line="331" w:lineRule="auto" w:before="23"/>
        <w:ind w:right="1233" w:firstLine="420"/>
        <w:jc w:val="left"/>
      </w:pPr>
      <w:r>
        <w:rPr/>
        <w:t>③交通银行股份有限公司广州高科支行借款期限为</w:t>
      </w:r>
      <w:r>
        <w:rPr>
          <w:rFonts w:ascii="Times New Roman" w:hAnsi="Times New Roman" w:cs="Times New Roman" w:eastAsia="Times New Roman" w:hint="default"/>
        </w:rPr>
        <w:t>2015-3-6</w:t>
      </w:r>
      <w:r>
        <w:rPr/>
        <w:t>至</w:t>
      </w:r>
      <w:r>
        <w:rPr>
          <w:rFonts w:ascii="Times New Roman" w:hAnsi="Times New Roman" w:cs="Times New Roman" w:eastAsia="Times New Roman" w:hint="default"/>
        </w:rPr>
        <w:t>2023-3-5</w:t>
      </w:r>
      <w:r>
        <w:rPr/>
        <w:t>的借款将于一年内到期的金额 为</w:t>
      </w:r>
      <w:r>
        <w:rPr>
          <w:rFonts w:ascii="Times New Roman" w:hAnsi="Times New Roman" w:cs="Times New Roman" w:eastAsia="Times New Roman" w:hint="default"/>
        </w:rPr>
        <w:t>847,333.33</w:t>
      </w:r>
      <w:r>
        <w:rPr/>
        <w:t>元。</w:t>
      </w:r>
    </w:p>
    <w:p>
      <w:pPr>
        <w:pStyle w:val="BodyText"/>
        <w:spacing w:line="240" w:lineRule="auto" w:before="20"/>
        <w:ind w:left="1553" w:right="0"/>
        <w:jc w:val="left"/>
      </w:pPr>
      <w:r>
        <w:rPr/>
        <w:t>④交通银行股份有限公司广州高科支行借款期限为</w:t>
      </w:r>
      <w:r>
        <w:rPr>
          <w:rFonts w:ascii="Times New Roman" w:hAnsi="Times New Roman" w:cs="Times New Roman" w:eastAsia="Times New Roman" w:hint="default"/>
        </w:rPr>
        <w:t>2015-5-12</w:t>
      </w:r>
      <w:r>
        <w:rPr/>
        <w:t>至</w:t>
      </w:r>
      <w:r>
        <w:rPr>
          <w:rFonts w:ascii="Times New Roman" w:hAnsi="Times New Roman" w:cs="Times New Roman" w:eastAsia="Times New Roman" w:hint="default"/>
        </w:rPr>
        <w:t>2018-5-11</w:t>
      </w:r>
      <w:r>
        <w:rPr/>
        <w:t>的借款</w:t>
      </w:r>
      <w:r>
        <w:rPr>
          <w:rFonts w:ascii="Times New Roman" w:hAnsi="Times New Roman" w:cs="Times New Roman" w:eastAsia="Times New Roman" w:hint="default"/>
        </w:rPr>
        <w:t>10,000,000.00</w:t>
      </w:r>
      <w:r>
        <w:rPr/>
        <w:t>元将于</w:t>
      </w:r>
    </w:p>
    <w:p>
      <w:pPr>
        <w:spacing w:after="0" w:line="240" w:lineRule="auto"/>
        <w:jc w:val="left"/>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一年内到期。</w:t>
      </w:r>
    </w:p>
    <w:p>
      <w:pPr>
        <w:pStyle w:val="BodyText"/>
        <w:spacing w:line="240" w:lineRule="auto" w:before="124"/>
        <w:ind w:left="1553" w:right="0"/>
        <w:jc w:val="left"/>
      </w:pPr>
      <w:r>
        <w:rPr/>
        <w:t>（</w:t>
      </w:r>
      <w:r>
        <w:rPr>
          <w:rFonts w:ascii="宋体" w:hAnsi="宋体" w:cs="宋体" w:eastAsia="宋体" w:hint="default"/>
        </w:rPr>
        <w:t>2</w:t>
      </w:r>
      <w:r>
        <w:rPr/>
        <w:t>）保证借款</w:t>
      </w:r>
    </w:p>
    <w:p>
      <w:pPr>
        <w:spacing w:line="240" w:lineRule="auto" w:before="12"/>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3402"/>
        <w:gridCol w:w="1560"/>
        <w:gridCol w:w="2410"/>
        <w:gridCol w:w="1134"/>
        <w:gridCol w:w="1134"/>
      </w:tblGrid>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63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3"/>
              <w:jc w:val="left"/>
              <w:rPr>
                <w:rFonts w:ascii="宋体" w:hAnsi="宋体" w:cs="宋体" w:eastAsia="宋体" w:hint="default"/>
                <w:sz w:val="18"/>
                <w:szCs w:val="18"/>
              </w:rPr>
            </w:pPr>
            <w:r>
              <w:rPr>
                <w:rFonts w:ascii="宋体" w:hAnsi="宋体" w:cs="宋体" w:eastAsia="宋体" w:hint="default"/>
                <w:spacing w:val="7"/>
                <w:sz w:val="18"/>
                <w:szCs w:val="18"/>
              </w:rPr>
              <w:t>中国工商银行股份有限公司广州白云路</w:t>
            </w:r>
            <w:r>
              <w:rPr>
                <w:rFonts w:ascii="宋体" w:hAnsi="宋体" w:cs="宋体" w:eastAsia="宋体" w:hint="default"/>
                <w:sz w:val="18"/>
                <w:szCs w:val="18"/>
              </w:rPr>
              <w:t> 支行（陵园西路）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17,950,000.00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35"/>
              <w:jc w:val="left"/>
              <w:rPr>
                <w:rFonts w:ascii="宋体" w:hAnsi="宋体" w:cs="宋体" w:eastAsia="宋体" w:hint="default"/>
                <w:sz w:val="18"/>
                <w:szCs w:val="18"/>
              </w:rPr>
            </w:pPr>
            <w:r>
              <w:rPr>
                <w:rFonts w:ascii="宋体" w:hAnsi="宋体" w:cs="宋体" w:eastAsia="宋体" w:hint="default"/>
                <w:sz w:val="18"/>
                <w:szCs w:val="18"/>
              </w:rPr>
              <w:t>保证人：蓝盾信息安全技术 股份有限公司、柯宗贵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2016-6-30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2018-6-30</w:t>
            </w:r>
          </w:p>
        </w:tc>
      </w:tr>
      <w:tr>
        <w:trPr>
          <w:trHeight w:val="6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3"/>
              <w:jc w:val="left"/>
              <w:rPr>
                <w:rFonts w:ascii="宋体" w:hAnsi="宋体" w:cs="宋体" w:eastAsia="宋体" w:hint="default"/>
                <w:sz w:val="18"/>
                <w:szCs w:val="18"/>
              </w:rPr>
            </w:pPr>
            <w:r>
              <w:rPr>
                <w:rFonts w:ascii="宋体" w:hAnsi="宋体" w:cs="宋体" w:eastAsia="宋体" w:hint="default"/>
                <w:spacing w:val="7"/>
                <w:sz w:val="18"/>
                <w:szCs w:val="18"/>
              </w:rPr>
              <w:t>中国工商银行股份有限公司广州白云路</w:t>
            </w:r>
            <w:r>
              <w:rPr>
                <w:rFonts w:ascii="宋体" w:hAnsi="宋体" w:cs="宋体" w:eastAsia="宋体" w:hint="default"/>
                <w:sz w:val="18"/>
                <w:szCs w:val="18"/>
              </w:rPr>
              <w:t> 支行（陵园西路）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46,420,000.00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5"/>
              <w:jc w:val="left"/>
              <w:rPr>
                <w:rFonts w:ascii="宋体" w:hAnsi="宋体" w:cs="宋体" w:eastAsia="宋体" w:hint="default"/>
                <w:sz w:val="18"/>
                <w:szCs w:val="18"/>
              </w:rPr>
            </w:pPr>
            <w:r>
              <w:rPr>
                <w:rFonts w:ascii="宋体" w:hAnsi="宋体" w:cs="宋体" w:eastAsia="宋体" w:hint="default"/>
                <w:sz w:val="18"/>
                <w:szCs w:val="18"/>
              </w:rPr>
              <w:t>保证人：蓝盾信息安全技术 股份有限公司、柯宗贵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2016-8-30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2018-6-30</w:t>
            </w: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3" w:right="0"/>
              <w:jc w:val="left"/>
              <w:rPr>
                <w:rFonts w:ascii="Times New Roman" w:hAnsi="Times New Roman" w:cs="Times New Roman" w:eastAsia="Times New Roman" w:hint="default"/>
                <w:sz w:val="18"/>
                <w:szCs w:val="18"/>
              </w:rPr>
            </w:pPr>
            <w:r>
              <w:rPr>
                <w:rFonts w:ascii="Times New Roman"/>
                <w:sz w:val="18"/>
              </w:rPr>
              <w:t>64,370,000.00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2"/>
          <w:szCs w:val="12"/>
        </w:rPr>
      </w:pPr>
    </w:p>
    <w:p>
      <w:pPr>
        <w:pStyle w:val="BodyText"/>
        <w:spacing w:line="331" w:lineRule="auto" w:before="35"/>
        <w:ind w:right="0" w:firstLine="420"/>
        <w:jc w:val="left"/>
      </w:pPr>
      <w:r>
        <w:rPr>
          <w:spacing w:val="-2"/>
        </w:rPr>
        <w:t>注：①中国工商银行股份有限公司广州陵园西路支行借款期限为</w:t>
      </w:r>
      <w:r>
        <w:rPr>
          <w:rFonts w:ascii="Times New Roman" w:hAnsi="Times New Roman" w:cs="Times New Roman" w:eastAsia="Times New Roman" w:hint="default"/>
          <w:spacing w:val="-2"/>
        </w:rPr>
        <w:t>2016-12-16</w:t>
      </w:r>
      <w:r>
        <w:rPr>
          <w:spacing w:val="-2"/>
        </w:rPr>
        <w:t>至</w:t>
      </w:r>
      <w:r>
        <w:rPr>
          <w:rFonts w:ascii="Times New Roman" w:hAnsi="Times New Roman" w:cs="Times New Roman" w:eastAsia="Times New Roman" w:hint="default"/>
          <w:spacing w:val="-2"/>
        </w:rPr>
        <w:t>2021-12-16</w:t>
      </w:r>
      <w:r>
        <w:rPr>
          <w:spacing w:val="-2"/>
        </w:rPr>
        <w:t>的借款将于一</w:t>
      </w:r>
      <w:r>
        <w:rPr/>
        <w:t> 年内到期的金额为</w:t>
      </w:r>
      <w:r>
        <w:rPr>
          <w:rFonts w:ascii="Times New Roman" w:hAnsi="Times New Roman" w:cs="Times New Roman" w:eastAsia="Times New Roman" w:hint="default"/>
        </w:rPr>
        <w:t>63,000,000.00</w:t>
      </w:r>
      <w:r>
        <w:rPr/>
        <w:t>元。</w:t>
      </w:r>
    </w:p>
    <w:p>
      <w:pPr>
        <w:pStyle w:val="BodyText"/>
        <w:spacing w:line="240" w:lineRule="auto" w:before="20"/>
        <w:ind w:left="1553" w:right="0"/>
        <w:jc w:val="left"/>
      </w:pPr>
      <w:r>
        <w:rPr/>
        <w:t>（</w:t>
      </w:r>
      <w:r>
        <w:rPr>
          <w:rFonts w:ascii="Times New Roman" w:hAnsi="Times New Roman" w:cs="Times New Roman" w:eastAsia="Times New Roman" w:hint="default"/>
        </w:rPr>
        <w:t>3</w:t>
      </w:r>
      <w:r>
        <w:rPr/>
        <w:t>）抵押</w:t>
      </w:r>
      <w:r>
        <w:rPr>
          <w:rFonts w:ascii="宋体" w:hAnsi="宋体" w:cs="宋体" w:eastAsia="宋体" w:hint="default"/>
        </w:rPr>
        <w:t>+</w:t>
      </w:r>
      <w:r>
        <w:rPr/>
        <w:t>质押借款</w:t>
      </w:r>
    </w:p>
    <w:p>
      <w:pPr>
        <w:spacing w:line="240" w:lineRule="auto" w:before="8"/>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128"/>
        <w:gridCol w:w="1416"/>
        <w:gridCol w:w="3829"/>
        <w:gridCol w:w="1134"/>
        <w:gridCol w:w="1134"/>
      </w:tblGrid>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银</w:t>
              <w:tab/>
              <w:t>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159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pacing w:val="10"/>
                <w:sz w:val="18"/>
                <w:szCs w:val="18"/>
              </w:rPr>
              <w:t>浙商银行股份有限公司</w:t>
            </w:r>
            <w:r>
              <w:rPr>
                <w:rFonts w:ascii="宋体" w:hAnsi="宋体" w:cs="宋体" w:eastAsia="宋体" w:hint="default"/>
                <w:sz w:val="18"/>
                <w:szCs w:val="18"/>
              </w:rPr>
              <w:t> 广州分行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300,000,000.00</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抵押物：成都高新区中和街道观东社区</w:t>
            </w:r>
            <w:r>
              <w:rPr>
                <w:rFonts w:ascii="Times New Roman" w:hAnsi="Times New Roman" w:cs="Times New Roman" w:eastAsia="Times New Roman" w:hint="default"/>
                <w:sz w:val="18"/>
                <w:szCs w:val="18"/>
              </w:rPr>
              <w:t>8</w:t>
            </w:r>
            <w:r>
              <w:rPr>
                <w:rFonts w:ascii="宋体" w:hAnsi="宋体" w:cs="宋体" w:eastAsia="宋体" w:hint="default"/>
                <w:sz w:val="18"/>
                <w:szCs w:val="18"/>
              </w:rPr>
              <w:t>组、</w:t>
            </w:r>
            <w:r>
              <w:rPr>
                <w:rFonts w:ascii="Times New Roman" w:hAnsi="Times New Roman" w:cs="Times New Roman" w:eastAsia="Times New Roman" w:hint="default"/>
                <w:sz w:val="18"/>
                <w:szCs w:val="18"/>
              </w:rPr>
              <w:t>9 </w:t>
            </w:r>
            <w:r>
              <w:rPr>
                <w:rFonts w:ascii="宋体" w:hAnsi="宋体" w:cs="宋体" w:eastAsia="宋体" w:hint="default"/>
                <w:sz w:val="18"/>
                <w:szCs w:val="18"/>
              </w:rPr>
              <w:t>组（成高国用（</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Times New Roman" w:hAnsi="Times New Roman" w:cs="Times New Roman" w:eastAsia="Times New Roman" w:hint="default"/>
                <w:sz w:val="18"/>
                <w:szCs w:val="18"/>
              </w:rPr>
              <w:t>31151</w:t>
            </w:r>
            <w:r>
              <w:rPr>
                <w:rFonts w:ascii="宋体" w:hAnsi="宋体" w:cs="宋体" w:eastAsia="宋体" w:hint="default"/>
                <w:sz w:val="18"/>
                <w:szCs w:val="18"/>
              </w:rPr>
              <w:t>号 质押物：成都蓝盾网信科技有限公司股权 保证人：蓝盾信息安全技术股份有限公司； 柯宗庆；柯宗贵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2017-6-13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2022-5-22</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center"/>
              <w:rPr>
                <w:rFonts w:ascii="Times New Roman" w:hAnsi="Times New Roman" w:cs="Times New Roman" w:eastAsia="Times New Roman" w:hint="default"/>
                <w:sz w:val="18"/>
                <w:szCs w:val="18"/>
              </w:rPr>
            </w:pPr>
            <w:r>
              <w:rPr>
                <w:rFonts w:ascii="Times New Roman"/>
                <w:sz w:val="18"/>
              </w:rPr>
              <w:t>300,000,000.00</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75"/>
        <w:ind w:left="1554" w:right="0"/>
        <w:jc w:val="left"/>
      </w:pPr>
      <w:r>
        <w:rPr/>
        <w:t>（</w:t>
      </w:r>
      <w:r>
        <w:rPr>
          <w:rFonts w:ascii="Times New Roman" w:hAnsi="Times New Roman" w:cs="Times New Roman" w:eastAsia="Times New Roman" w:hint="default"/>
        </w:rPr>
        <w:t>4</w:t>
      </w:r>
      <w:r>
        <w:rPr/>
        <w:t>）质押</w:t>
      </w:r>
      <w:r>
        <w:rPr>
          <w:rFonts w:ascii="宋体" w:hAnsi="宋体" w:cs="宋体" w:eastAsia="宋体" w:hint="default"/>
        </w:rPr>
        <w:t>+</w:t>
      </w:r>
      <w:r>
        <w:rPr/>
        <w:t>保证借款</w:t>
      </w:r>
    </w:p>
    <w:p>
      <w:pPr>
        <w:spacing w:line="240" w:lineRule="auto" w:before="9"/>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128"/>
        <w:gridCol w:w="1416"/>
        <w:gridCol w:w="3829"/>
        <w:gridCol w:w="1134"/>
        <w:gridCol w:w="1134"/>
      </w:tblGrid>
      <w:tr>
        <w:trPr>
          <w:trHeight w:val="35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350"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10"/>
                <w:sz w:val="18"/>
                <w:szCs w:val="18"/>
              </w:rPr>
              <w:t>中国工商银行股份有限</w:t>
            </w:r>
            <w:r>
              <w:rPr>
                <w:rFonts w:ascii="宋体" w:hAnsi="宋体" w:cs="宋体" w:eastAsia="宋体" w:hint="default"/>
                <w:sz w:val="18"/>
                <w:szCs w:val="18"/>
              </w:rPr>
              <w:t> 公司广州陵园西路支行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6" w:right="0"/>
              <w:jc w:val="center"/>
              <w:rPr>
                <w:rFonts w:ascii="Times New Roman" w:hAnsi="Times New Roman" w:cs="Times New Roman" w:eastAsia="Times New Roman" w:hint="default"/>
                <w:sz w:val="18"/>
                <w:szCs w:val="18"/>
              </w:rPr>
            </w:pPr>
            <w:r>
              <w:rPr>
                <w:rFonts w:ascii="Times New Roman"/>
                <w:sz w:val="18"/>
              </w:rPr>
              <w:t>174,600,000.00</w:t>
            </w:r>
          </w:p>
        </w:tc>
        <w:tc>
          <w:tcPr>
            <w:tcW w:w="382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质押物：深圳市蓝盾满泰科技发展有限公司</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股权；保证人：柯宗庆、柯宗贵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2016-12-16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2021-12-16</w:t>
            </w:r>
          </w:p>
        </w:tc>
      </w:tr>
      <w:tr>
        <w:trPr>
          <w:trHeight w:val="804" w:hRule="exact"/>
        </w:trPr>
        <w:tc>
          <w:tcPr>
            <w:tcW w:w="2128"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224,400,000.00</w:t>
            </w:r>
          </w:p>
        </w:tc>
        <w:tc>
          <w:tcPr>
            <w:tcW w:w="3829"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2021-12-16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399,000,000.00</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331" w:lineRule="auto" w:before="75"/>
        <w:ind w:right="1093" w:firstLine="420"/>
        <w:jc w:val="left"/>
      </w:pPr>
      <w:r>
        <w:rPr/>
        <w:t>注：公司于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日与中国工商银行股份有限公司广州陵园西路支行签订人民币</w:t>
      </w:r>
      <w:r>
        <w:rPr>
          <w:rFonts w:ascii="Times New Roman" w:hAnsi="Times New Roman" w:cs="Times New Roman" w:eastAsia="Times New Roman" w:hint="default"/>
        </w:rPr>
        <w:t>4.2</w:t>
      </w:r>
      <w:r>
        <w:rPr/>
        <w:t>亿元债权投 资协议，由公司实际控制人柯宗贵、柯宗庆作为保证人承担连带担保责任。公司分别于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w:t>
      </w:r>
      <w:r>
        <w:rPr>
          <w:spacing w:val="-2"/>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日收到银行放款</w:t>
      </w:r>
      <w:r>
        <w:rPr>
          <w:rFonts w:ascii="Times New Roman" w:hAnsi="Times New Roman" w:cs="Times New Roman" w:eastAsia="Times New Roman" w:hint="default"/>
          <w:spacing w:val="-2"/>
        </w:rPr>
        <w:t>1.746</w:t>
      </w:r>
      <w:r>
        <w:rPr>
          <w:spacing w:val="-2"/>
        </w:rPr>
        <w:t>亿元、</w:t>
      </w:r>
      <w:r>
        <w:rPr>
          <w:rFonts w:ascii="Times New Roman" w:hAnsi="Times New Roman" w:cs="Times New Roman" w:eastAsia="Times New Roman" w:hint="default"/>
          <w:spacing w:val="-2"/>
        </w:rPr>
        <w:t>2.454</w:t>
      </w:r>
      <w:r>
        <w:rPr>
          <w:spacing w:val="-2"/>
        </w:rPr>
        <w:t>亿元（合计</w:t>
      </w:r>
      <w:r>
        <w:rPr>
          <w:rFonts w:ascii="Times New Roman" w:hAnsi="Times New Roman" w:cs="Times New Roman" w:eastAsia="Times New Roman" w:hint="default"/>
          <w:spacing w:val="-2"/>
        </w:rPr>
        <w:t>4.2</w:t>
      </w:r>
      <w:r>
        <w:rPr>
          <w:spacing w:val="-2"/>
        </w:rPr>
        <w:t>亿元）；公司于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月现金收购深圳市蓝</w:t>
      </w:r>
      <w:r>
        <w:rPr>
          <w:spacing w:val="-72"/>
        </w:rPr>
        <w:t> </w:t>
      </w:r>
      <w:r>
        <w:rPr/>
        <w:t>盾满泰科技发展有限公司</w:t>
      </w:r>
      <w:r>
        <w:rPr>
          <w:rFonts w:ascii="Times New Roman" w:hAnsi="Times New Roman" w:cs="Times New Roman" w:eastAsia="Times New Roman" w:hint="default"/>
        </w:rPr>
        <w:t>60.00%</w:t>
      </w:r>
      <w:r>
        <w:rPr/>
        <w:t>股权，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日已完成股东变更备案并将相应股权过户至公司名 </w:t>
      </w:r>
      <w:r>
        <w:rPr>
          <w:spacing w:val="-1"/>
        </w:rPr>
        <w:t>下，作为上述借款的增信措施，公司于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5</w:t>
      </w:r>
      <w:r>
        <w:rPr>
          <w:spacing w:val="-1"/>
        </w:rPr>
        <w:t>日与银行签订深圳市蓝盾满泰科技发展有限公司股权质</w:t>
      </w:r>
      <w:r>
        <w:rPr>
          <w:spacing w:val="-82"/>
        </w:rPr>
        <w:t> </w:t>
      </w:r>
      <w:r>
        <w:rPr>
          <w:spacing w:val="-82"/>
        </w:rPr>
      </w:r>
      <w:r>
        <w:rPr/>
        <w:t>押合同并于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日完成股权出质设立登记手续；公司于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日还款</w:t>
      </w:r>
      <w:r>
        <w:rPr>
          <w:rFonts w:ascii="Times New Roman" w:hAnsi="Times New Roman" w:cs="Times New Roman" w:eastAsia="Times New Roman" w:hint="default"/>
        </w:rPr>
        <w:t>0.21</w:t>
      </w:r>
      <w:r>
        <w:rPr/>
        <w:t>亿元，截至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日，上述该笔借款余额为</w:t>
      </w:r>
      <w:r>
        <w:rPr>
          <w:rFonts w:ascii="Times New Roman" w:hAnsi="Times New Roman" w:cs="Times New Roman" w:eastAsia="Times New Roman" w:hint="default"/>
        </w:rPr>
        <w:t>3.99</w:t>
      </w:r>
      <w:r>
        <w:rPr/>
        <w:t>亿元。</w:t>
      </w: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30、应付债券" w:id="314"/>
      <w:bookmarkEnd w:id="314"/>
      <w:r>
        <w:rPr>
          <w:b w:val="0"/>
          <w:bCs w:val="0"/>
        </w:rPr>
      </w:r>
      <w:r>
        <w:rPr>
          <w:rFonts w:ascii="Times New Roman" w:hAnsi="Times New Roman" w:cs="Times New Roman" w:eastAsia="Times New Roman" w:hint="default"/>
        </w:rPr>
        <w:t>30</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15"/>
      <w:bookmarkEnd w:id="31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299,441,978.63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298,944,366.00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299,441,978.63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298,944,366.00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16"/>
      <w:bookmarkEnd w:id="31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561" w:type="dxa"/>
        <w:tblLayout w:type="fixed"/>
        <w:tblCellMar>
          <w:top w:w="0" w:type="dxa"/>
          <w:left w:w="0" w:type="dxa"/>
          <w:bottom w:w="0" w:type="dxa"/>
          <w:right w:w="0" w:type="dxa"/>
        </w:tblCellMar>
        <w:tblLook w:val="01E0"/>
      </w:tblPr>
      <w:tblGrid>
        <w:gridCol w:w="1366"/>
        <w:gridCol w:w="1187"/>
        <w:gridCol w:w="851"/>
        <w:gridCol w:w="426"/>
        <w:gridCol w:w="1275"/>
        <w:gridCol w:w="1276"/>
        <w:gridCol w:w="426"/>
        <w:gridCol w:w="1134"/>
        <w:gridCol w:w="992"/>
        <w:gridCol w:w="425"/>
        <w:gridCol w:w="1277"/>
      </w:tblGrid>
      <w:tr>
        <w:trPr>
          <w:trHeight w:val="714"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1" w:right="111" w:hanging="270"/>
              <w:jc w:val="left"/>
              <w:rPr>
                <w:rFonts w:ascii="宋体" w:hAnsi="宋体" w:cs="宋体" w:eastAsia="宋体" w:hint="default"/>
                <w:sz w:val="18"/>
                <w:szCs w:val="18"/>
              </w:rPr>
            </w:pPr>
            <w:r>
              <w:rPr>
                <w:rFonts w:ascii="宋体" w:hAnsi="宋体" w:cs="宋体" w:eastAsia="宋体" w:hint="default"/>
                <w:sz w:val="18"/>
                <w:szCs w:val="18"/>
              </w:rPr>
              <w:t>按面值计提 利息</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溢折价摊销</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3" w:right="27"/>
              <w:jc w:val="both"/>
              <w:rPr>
                <w:rFonts w:ascii="宋体" w:hAnsi="宋体" w:cs="宋体" w:eastAsia="宋体" w:hint="default"/>
                <w:sz w:val="18"/>
                <w:szCs w:val="18"/>
              </w:rPr>
            </w:pPr>
            <w:r>
              <w:rPr>
                <w:rFonts w:ascii="宋体" w:hAnsi="宋体" w:cs="宋体" w:eastAsia="宋体" w:hint="default"/>
                <w:sz w:val="18"/>
                <w:szCs w:val="18"/>
              </w:rPr>
              <w:t>蓝盾信息安全技 术股份有限公司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 行公司债券</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300,000,000.00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2"/>
              <w:jc w:val="center"/>
              <w:rPr>
                <w:rFonts w:ascii="Times New Roman" w:hAnsi="Times New Roman" w:cs="Times New Roman" w:eastAsia="Times New Roman" w:hint="default"/>
                <w:sz w:val="18"/>
                <w:szCs w:val="18"/>
              </w:rPr>
            </w:pPr>
            <w:r>
              <w:rPr>
                <w:rFonts w:ascii="Times New Roman"/>
                <w:sz w:val="18"/>
              </w:rPr>
              <w:t>2016/1/15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298,944,366.00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-558,021.37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299,441,978.63</w:t>
            </w: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6"/>
              <w:jc w:val="righ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298,944,366.00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-558,021.37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299,441,978.63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长期应付款" w:id="317"/>
      <w:bookmarkEnd w:id="317"/>
      <w:r>
        <w:rPr>
          <w:b w:val="0"/>
          <w:bCs w:val="0"/>
        </w:rPr>
      </w:r>
      <w:r>
        <w:rPr>
          <w:rFonts w:ascii="Times New Roman" w:hAnsi="Times New Roman" w:cs="Times New Roman" w:eastAsia="Times New Roman" w:hint="default"/>
        </w:rPr>
        <w:t>31</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18"/>
      <w:bookmarkEnd w:id="31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2,719,803.39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4,199,303.16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递延收益" w:id="319"/>
      <w:bookmarkEnd w:id="319"/>
      <w:r>
        <w:rPr>
          <w:b w:val="0"/>
          <w:bCs w:val="0"/>
        </w:rPr>
      </w:r>
      <w:r>
        <w:rPr>
          <w:rFonts w:ascii="Times New Roman" w:hAnsi="Times New Roman" w:cs="Times New Roman" w:eastAsia="Times New Roman" w:hint="default"/>
        </w:rPr>
        <w:t>32</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119,626,608.71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20,615,101.57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111,168,507.14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奖励积分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1,862,289.43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447,424.23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765,359.11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1,544,354.55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121,488,898.14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12,604,424.23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21,380,460.68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112,712,861.69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44" w:type="dxa"/>
        <w:tblLayout w:type="fixed"/>
        <w:tblCellMar>
          <w:top w:w="0" w:type="dxa"/>
          <w:left w:w="0" w:type="dxa"/>
          <w:bottom w:w="0" w:type="dxa"/>
          <w:right w:w="0" w:type="dxa"/>
        </w:tblCellMar>
        <w:tblLook w:val="01E0"/>
      </w:tblPr>
      <w:tblGrid>
        <w:gridCol w:w="1845"/>
        <w:gridCol w:w="1276"/>
        <w:gridCol w:w="1134"/>
        <w:gridCol w:w="1134"/>
        <w:gridCol w:w="1134"/>
        <w:gridCol w:w="1134"/>
        <w:gridCol w:w="1276"/>
        <w:gridCol w:w="992"/>
      </w:tblGrid>
      <w:tr>
        <w:trPr>
          <w:trHeight w:val="1026"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55"/>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5"/>
              <w:ind w:left="400" w:right="104"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9"/>
              <w:jc w:val="right"/>
              <w:rPr>
                <w:rFonts w:ascii="宋体" w:hAnsi="宋体" w:cs="宋体" w:eastAsia="宋体" w:hint="default"/>
                <w:sz w:val="18"/>
                <w:szCs w:val="18"/>
              </w:rPr>
            </w:pPr>
            <w:r>
              <w:rPr>
                <w:rFonts w:ascii="宋体" w:hAnsi="宋体" w:cs="宋体" w:eastAsia="宋体" w:hint="default"/>
                <w:sz w:val="18"/>
                <w:szCs w:val="18"/>
              </w:rPr>
              <w:t>网络安全云平台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年广州市战略性 新兴产业基地建设专 项资金投资计划（云安 全技术公共服务平台）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3,383,916.09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2,030,349.72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1,353,566.37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134.960007pt;margin-top:540.339966pt;width:63.25pt;height:31.2pt;mso-position-horizontal-relative:page;mso-position-vertical-relative:page;z-index:-1148560" coordorigin="2699,10807" coordsize="1265,624">
            <v:shape style="position:absolute;left:2699;top:10807;width:1265;height:624" coordorigin="2699,10807" coordsize="1265,624" path="m2699,11431l3964,11431,3964,10807,2699,10807,2699,11431xe" filled="true" fillcolor="#ffffff" stroked="false">
              <v:path arrowok="t"/>
              <v:fill type="solid"/>
            </v:shape>
            <w10:wrap type="none"/>
          </v:group>
        </w:pict>
      </w:r>
    </w:p>
    <w:tbl>
      <w:tblPr>
        <w:tblW w:w="0" w:type="auto"/>
        <w:jc w:val="left"/>
        <w:tblInd w:w="844" w:type="dxa"/>
        <w:tblLayout w:type="fixed"/>
        <w:tblCellMar>
          <w:top w:w="0" w:type="dxa"/>
          <w:left w:w="0" w:type="dxa"/>
          <w:bottom w:w="0" w:type="dxa"/>
          <w:right w:w="0" w:type="dxa"/>
        </w:tblCellMar>
        <w:tblLook w:val="01E0"/>
      </w:tblPr>
      <w:tblGrid>
        <w:gridCol w:w="1845"/>
        <w:gridCol w:w="1276"/>
        <w:gridCol w:w="1134"/>
        <w:gridCol w:w="1134"/>
        <w:gridCol w:w="1134"/>
        <w:gridCol w:w="1134"/>
        <w:gridCol w:w="1276"/>
        <w:gridCol w:w="992"/>
      </w:tblGrid>
      <w:tr>
        <w:trPr>
          <w:trHeight w:val="1026"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5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6"/>
              <w:ind w:left="400" w:right="104"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33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年信息安全专项 </w:t>
            </w:r>
            <w:r>
              <w:rPr>
                <w:rFonts w:ascii="宋体" w:hAnsi="宋体" w:cs="宋体" w:eastAsia="宋体" w:hint="default"/>
                <w:spacing w:val="-2"/>
                <w:sz w:val="18"/>
                <w:szCs w:val="18"/>
              </w:rPr>
              <w:t>计划（面向云计算的网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络应用安全监测审计 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pacing w:val="-2"/>
                <w:sz w:val="18"/>
                <w:szCs w:val="18"/>
              </w:rPr>
              <w:t>广州市天河财政局（面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向云计算的网络应用 安全监测审计平台）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年省信息产业发 展专项现代化信息服 务业</w:t>
            </w:r>
            <w:r>
              <w:rPr>
                <w:rFonts w:ascii="Times New Roman" w:hAnsi="Times New Roman" w:cs="Times New Roman" w:eastAsia="Times New Roman" w:hint="default"/>
                <w:sz w:val="18"/>
                <w:szCs w:val="18"/>
              </w:rPr>
              <w:t>-</w:t>
            </w:r>
            <w:r>
              <w:rPr>
                <w:rFonts w:ascii="宋体" w:hAnsi="宋体" w:cs="宋体" w:eastAsia="宋体" w:hint="default"/>
                <w:sz w:val="18"/>
                <w:szCs w:val="18"/>
              </w:rPr>
              <w:t>面向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网络的 高性能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系统开发 </w:t>
            </w:r>
            <w:r>
              <w:rPr>
                <w:rFonts w:ascii="宋体" w:hAnsi="宋体" w:cs="宋体" w:eastAsia="宋体" w:hint="default"/>
                <w:spacing w:val="-2"/>
                <w:sz w:val="18"/>
                <w:szCs w:val="18"/>
              </w:rPr>
              <w:t>及产业化项目（直接购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年广州市战略性 新兴产业示范工程的 </w:t>
            </w:r>
            <w:r>
              <w:rPr>
                <w:rFonts w:ascii="宋体" w:hAnsi="宋体" w:cs="宋体" w:eastAsia="宋体" w:hint="default"/>
                <w:spacing w:val="-11"/>
                <w:sz w:val="18"/>
                <w:szCs w:val="18"/>
              </w:rPr>
              <w:t>通知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穗发改【</w:t>
            </w:r>
            <w:r>
              <w:rPr>
                <w:rFonts w:ascii="Times New Roman" w:hAnsi="Times New Roman" w:cs="Times New Roman" w:eastAsia="Times New Roman" w:hint="default"/>
                <w:spacing w:val="-11"/>
                <w:sz w:val="18"/>
                <w:szCs w:val="18"/>
              </w:rPr>
              <w:t>2013</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308</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号（面向云计算的网络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应用安全监测审计平 台产业化）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1,933,333.34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1,133,333.34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44"/>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年省信息产业发 展专项现代化信息服 务业项目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年度电子信息产 业发展基金项目计划</w:t>
            </w:r>
          </w:p>
          <w:p>
            <w:pPr>
              <w:pStyle w:val="TableParagraph"/>
              <w:spacing w:line="309" w:lineRule="auto" w:before="31"/>
              <w:ind w:left="24" w:right="-50"/>
              <w:jc w:val="left"/>
              <w:rPr>
                <w:rFonts w:ascii="宋体" w:hAnsi="宋体" w:cs="宋体" w:eastAsia="宋体" w:hint="default"/>
                <w:sz w:val="18"/>
                <w:szCs w:val="18"/>
              </w:rPr>
            </w:pPr>
            <w:r>
              <w:rPr>
                <w:rFonts w:ascii="宋体" w:hAnsi="宋体" w:cs="宋体" w:eastAsia="宋体" w:hint="default"/>
                <w:sz w:val="18"/>
                <w:szCs w:val="18"/>
              </w:rPr>
              <w:t>（基于智能分析的安 全运营中心平台（</w:t>
            </w:r>
            <w:r>
              <w:rPr>
                <w:rFonts w:ascii="Times New Roman" w:hAnsi="Times New Roman" w:cs="Times New Roman" w:eastAsia="Times New Roman" w:hint="default"/>
                <w:sz w:val="18"/>
                <w:szCs w:val="18"/>
              </w:rPr>
              <w:t>soc</w:t>
            </w:r>
            <w:r>
              <w:rPr>
                <w:rFonts w:ascii="宋体" w:hAnsi="宋体" w:cs="宋体" w:eastAsia="宋体" w:hint="default"/>
                <w:sz w:val="18"/>
                <w:szCs w:val="18"/>
              </w:rPr>
              <w:t>） 研发及产业化）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1,406,917.68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2,593,082.32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4"/>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年广州市战略性 主导产业发展资金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面 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网络的高性能 </w:t>
            </w: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系统研究及产业 化项目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年度省级现代服 务业发展引导专项资 </w:t>
            </w:r>
            <w:r>
              <w:rPr>
                <w:rFonts w:ascii="宋体" w:hAnsi="宋体" w:cs="宋体" w:eastAsia="宋体" w:hint="default"/>
                <w:spacing w:val="-2"/>
                <w:sz w:val="18"/>
                <w:szCs w:val="18"/>
              </w:rPr>
              <w:t>金（云安全技术公共服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1,336,166.67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1,161,999.96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174,166.71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云安全技术公共服务 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844" w:type="dxa"/>
        <w:tblLayout w:type="fixed"/>
        <w:tblCellMar>
          <w:top w:w="0" w:type="dxa"/>
          <w:left w:w="0" w:type="dxa"/>
          <w:bottom w:w="0" w:type="dxa"/>
          <w:right w:w="0" w:type="dxa"/>
        </w:tblCellMar>
        <w:tblLook w:val="01E0"/>
      </w:tblPr>
      <w:tblGrid>
        <w:gridCol w:w="1845"/>
        <w:gridCol w:w="1276"/>
        <w:gridCol w:w="1134"/>
        <w:gridCol w:w="1134"/>
        <w:gridCol w:w="1134"/>
        <w:gridCol w:w="1134"/>
        <w:gridCol w:w="1276"/>
        <w:gridCol w:w="992"/>
      </w:tblGrid>
      <w:tr>
        <w:trPr>
          <w:trHeight w:val="1026"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5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6"/>
              <w:ind w:left="400" w:right="104"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44"/>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年广州市工程技 术研究开发中心专项 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749,478.20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549,478.20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智能分析的安全营运 </w:t>
            </w:r>
            <w:r>
              <w:rPr>
                <w:rFonts w:ascii="宋体" w:hAnsi="宋体" w:cs="宋体" w:eastAsia="宋体" w:hint="default"/>
                <w:spacing w:val="-6"/>
                <w:sz w:val="18"/>
                <w:szCs w:val="18"/>
              </w:rPr>
              <w:t>中心（</w:t>
            </w:r>
            <w:r>
              <w:rPr>
                <w:rFonts w:ascii="Times New Roman" w:hAnsi="Times New Roman" w:cs="Times New Roman" w:eastAsia="Times New Roman" w:hint="default"/>
                <w:spacing w:val="-6"/>
                <w:sz w:val="18"/>
                <w:szCs w:val="18"/>
              </w:rPr>
              <w:t>soc</w:t>
            </w:r>
            <w:r>
              <w:rPr>
                <w:rFonts w:ascii="宋体" w:hAnsi="宋体" w:cs="宋体" w:eastAsia="宋体" w:hint="default"/>
                <w:spacing w:val="-6"/>
                <w:sz w:val="18"/>
                <w:szCs w:val="18"/>
              </w:rPr>
              <w:t>）平台研发及</w:t>
            </w:r>
            <w:r>
              <w:rPr>
                <w:rFonts w:ascii="宋体" w:hAnsi="宋体" w:cs="宋体" w:eastAsia="宋体" w:hint="default"/>
                <w:sz w:val="18"/>
                <w:szCs w:val="18"/>
              </w:rPr>
              <w:t> 产业化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年省中小企业发 展专项资金（信息安全 创新产业化示范基地）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年度省级科技专 项资金的通知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粤财工</w:t>
            </w:r>
          </w:p>
          <w:p>
            <w:pPr>
              <w:pStyle w:val="TableParagraph"/>
              <w:spacing w:line="312" w:lineRule="auto" w:before="13"/>
              <w:ind w:left="24"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555</w:t>
            </w:r>
            <w:r>
              <w:rPr>
                <w:rFonts w:ascii="Times New Roman" w:hAnsi="Times New Roman" w:cs="Times New Roman" w:eastAsia="Times New Roman" w:hint="default"/>
                <w:spacing w:val="5"/>
                <w:sz w:val="18"/>
                <w:szCs w:val="18"/>
              </w:rPr>
              <w:t> </w:t>
            </w:r>
            <w:r>
              <w:rPr>
                <w:rFonts w:ascii="宋体" w:hAnsi="宋体" w:cs="宋体" w:eastAsia="宋体" w:hint="default"/>
                <w:spacing w:val="-24"/>
                <w:sz w:val="18"/>
                <w:szCs w:val="18"/>
              </w:rPr>
              <w:t>号）（新一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代安全运营中心平台 关键技术研发及产业 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54,545.45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145,454.55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关于广东省省部产学 </w:t>
            </w:r>
            <w:r>
              <w:rPr>
                <w:rFonts w:ascii="宋体" w:hAnsi="宋体" w:cs="宋体" w:eastAsia="宋体" w:hint="default"/>
                <w:spacing w:val="-2"/>
                <w:sz w:val="18"/>
                <w:szCs w:val="18"/>
              </w:rPr>
              <w:t>研合作专项资金、广东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省中科院全面战略合 作专项资金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0" w:right="0"/>
              <w:jc w:val="left"/>
              <w:rPr>
                <w:rFonts w:ascii="Times New Roman" w:hAnsi="Times New Roman" w:cs="Times New Roman" w:eastAsia="Times New Roman" w:hint="default"/>
                <w:sz w:val="18"/>
                <w:szCs w:val="18"/>
              </w:rPr>
            </w:pPr>
            <w:r>
              <w:rPr>
                <w:rFonts w:ascii="Times New Roman"/>
                <w:sz w:val="18"/>
              </w:rPr>
              <w:t>-400,000.00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广州市天河区财政局</w:t>
            </w:r>
          </w:p>
          <w:p>
            <w:pPr>
              <w:pStyle w:val="TableParagraph"/>
              <w:spacing w:line="319" w:lineRule="auto" w:before="76"/>
              <w:ind w:left="24" w:right="9"/>
              <w:jc w:val="left"/>
              <w:rPr>
                <w:rFonts w:ascii="宋体" w:hAnsi="宋体" w:cs="宋体" w:eastAsia="宋体" w:hint="default"/>
                <w:sz w:val="18"/>
                <w:szCs w:val="18"/>
              </w:rPr>
            </w:pPr>
            <w:r>
              <w:rPr>
                <w:rFonts w:ascii="宋体" w:hAnsi="宋体" w:cs="宋体" w:eastAsia="宋体" w:hint="default"/>
                <w:sz w:val="18"/>
                <w:szCs w:val="18"/>
              </w:rPr>
              <w:t>（面向大数据安全产 业链的协同创新项目）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-960,000.00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广州市天河区财政局</w:t>
            </w:r>
          </w:p>
          <w:p>
            <w:pPr>
              <w:pStyle w:val="TableParagraph"/>
              <w:spacing w:line="300" w:lineRule="auto" w:before="76"/>
              <w:ind w:left="24" w:right="1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年度园区产业 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 </w:t>
            </w:r>
            <w:r>
              <w:rPr>
                <w:rFonts w:ascii="Times New Roman" w:hAnsi="Times New Roman" w:cs="Times New Roman" w:eastAsia="Times New Roman" w:hint="default"/>
                <w:sz w:val="18"/>
                <w:szCs w:val="18"/>
              </w:rPr>
              <w:t>0D0A</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634,031.33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161,880.36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472,150.97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年工业转型升级 专项资金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8"/>
              <w:jc w:val="left"/>
              <w:rPr>
                <w:rFonts w:ascii="宋体" w:hAnsi="宋体" w:cs="宋体" w:eastAsia="宋体" w:hint="default"/>
                <w:sz w:val="18"/>
                <w:szCs w:val="18"/>
              </w:rPr>
            </w:pPr>
            <w:r>
              <w:rPr>
                <w:rFonts w:ascii="宋体" w:hAnsi="宋体" w:cs="宋体" w:eastAsia="宋体" w:hint="default"/>
                <w:sz w:val="18"/>
                <w:szCs w:val="18"/>
              </w:rPr>
              <w:t>广东省网络安全应急 工程结算研究中心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区科信局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度天河 区科技计划项目经费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面向云计算与大数据 应用的安全服务平台 关键技术研发及产业 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新一代互联网隐私保 护关键技术研究与应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844" w:type="dxa"/>
        <w:tblLayout w:type="fixed"/>
        <w:tblCellMar>
          <w:top w:w="0" w:type="dxa"/>
          <w:left w:w="0" w:type="dxa"/>
          <w:bottom w:w="0" w:type="dxa"/>
          <w:right w:w="0" w:type="dxa"/>
        </w:tblCellMar>
        <w:tblLook w:val="01E0"/>
      </w:tblPr>
      <w:tblGrid>
        <w:gridCol w:w="1845"/>
        <w:gridCol w:w="1276"/>
        <w:gridCol w:w="1134"/>
        <w:gridCol w:w="1134"/>
        <w:gridCol w:w="1134"/>
        <w:gridCol w:w="1134"/>
        <w:gridCol w:w="1276"/>
        <w:gridCol w:w="992"/>
      </w:tblGrid>
      <w:tr>
        <w:trPr>
          <w:trHeight w:val="1026"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5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6"/>
              <w:ind w:left="400" w:right="104"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36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用研发与产业化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物联网资源与数据安 全可信管理平台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网络安全云服务平台 技术改造项目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9,099,973.51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2,700,079.47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6,399,894.04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云环境下安全防护与 服务关键技术研发及 产业化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蓝盾大数据安全综合 管理平台产业化项目 专项资金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818,181.82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2,181,818.18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面向下一代互联网的 异构协同式安全管理 平台研究及产业化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549,333.33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1,850,666.67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面向移动互联网的云 安全审计与防护技术 研究与产业化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广东省大数据安全与 </w:t>
            </w:r>
            <w:r>
              <w:rPr>
                <w:rFonts w:ascii="宋体" w:hAnsi="宋体" w:cs="宋体" w:eastAsia="宋体" w:hint="default"/>
                <w:spacing w:val="-2"/>
                <w:sz w:val="18"/>
                <w:szCs w:val="18"/>
              </w:rPr>
              <w:t>测试（蓝盾）工程技术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研究中心建设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203,389.83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796,610.17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面向云计算及下一代 互联网的异构协同式 安全管理平台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352,653.06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-240,000.00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847,346.94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广东省大数据安全与 </w:t>
            </w:r>
            <w:r>
              <w:rPr>
                <w:rFonts w:ascii="宋体" w:hAnsi="宋体" w:cs="宋体" w:eastAsia="宋体" w:hint="default"/>
                <w:spacing w:val="-2"/>
                <w:sz w:val="18"/>
                <w:szCs w:val="18"/>
              </w:rPr>
              <w:t>测试（蓝盾）工程技术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研究中心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213,559.32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836,440.68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蓝盾大数据安全综合 管理平台产业化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基于网络</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的汇通</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电子商务服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207,636.48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85,258.63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122,377.85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中经电商车队管理应 用平台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8"/>
              <w:jc w:val="both"/>
              <w:rPr>
                <w:rFonts w:ascii="宋体" w:hAnsi="宋体" w:cs="宋体" w:eastAsia="宋体" w:hint="default"/>
                <w:sz w:val="18"/>
                <w:szCs w:val="18"/>
              </w:rPr>
            </w:pPr>
            <w:r>
              <w:rPr>
                <w:rFonts w:ascii="宋体" w:hAnsi="宋体" w:cs="宋体" w:eastAsia="宋体" w:hint="default"/>
                <w:sz w:val="18"/>
                <w:szCs w:val="18"/>
              </w:rPr>
              <w:t>基于汽车后市场消费 行为协同服务链云平 台的关键技术研发及 应用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1,828,468.81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514,593.56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1,313,875.25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翔安区装修补贴款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1,971,428.56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492,857.16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1,478,571.40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844" w:type="dxa"/>
        <w:tblLayout w:type="fixed"/>
        <w:tblCellMar>
          <w:top w:w="0" w:type="dxa"/>
          <w:left w:w="0" w:type="dxa"/>
          <w:bottom w:w="0" w:type="dxa"/>
          <w:right w:w="0" w:type="dxa"/>
        </w:tblCellMar>
        <w:tblLook w:val="01E0"/>
      </w:tblPr>
      <w:tblGrid>
        <w:gridCol w:w="1845"/>
        <w:gridCol w:w="1276"/>
        <w:gridCol w:w="1134"/>
        <w:gridCol w:w="1134"/>
        <w:gridCol w:w="1134"/>
        <w:gridCol w:w="1134"/>
        <w:gridCol w:w="1276"/>
        <w:gridCol w:w="992"/>
      </w:tblGrid>
      <w:tr>
        <w:trPr>
          <w:trHeight w:val="1026"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5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6"/>
              <w:ind w:left="400" w:right="104"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广州市战略性主导产 业发展资金新业态项 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288,888.89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88,888.89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广州市工业和信息化 委员会面向传统零售 企业的汇通宝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 子平台项目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年南沙区科技项 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125,384.62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124,615.38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年南沙区科技项 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426,829.27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273,170.73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具有自断弧装置的电 源浪涌保护器的研制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安全型防雷过压保护 关键器件的研制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科技创新资金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政府土地返还款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4,242,837.55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110,442.60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4,132,394.95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网络在线教育互动一 体化综合培训服务平 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496,969.28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101,078.53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395,890.75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基于三维互动的中小 学生安全应急宣教软 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718,480.00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146,758.69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571,721.31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区科信局天河区科技 计划项目经费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蓝盾信息安全技术研 发产业园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新型研发机构新购科 研仪器补助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602,119.62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2,197,880.38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8" w:hRule="exact"/>
        </w:trPr>
        <w:tc>
          <w:tcPr>
            <w:tcW w:w="1845" w:type="dxa"/>
            <w:vMerge w:val="restart"/>
            <w:tcBorders>
              <w:top w:val="single" w:sz="4" w:space="0" w:color="000000"/>
              <w:left w:val="single" w:sz="4" w:space="0" w:color="000000"/>
              <w:right w:val="single" w:sz="4" w:space="0" w:color="000000"/>
            </w:tcBorders>
          </w:tcPr>
          <w:p>
            <w:pPr>
              <w:pStyle w:val="TableParagraph"/>
              <w:spacing w:line="319"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基于自主国密芯片的 云安全身份认证系统 研发及其产业化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48" w:hRule="exact"/>
        </w:trPr>
        <w:tc>
          <w:tcPr>
            <w:tcW w:w="1845"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z w:val="18"/>
              </w:rPr>
              <w:t>750,000.00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750,000.00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蓝盾大数据安全产业 园</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中小流域水电站群优 化调度系统科技计划</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844" w:type="dxa"/>
        <w:tblLayout w:type="fixed"/>
        <w:tblCellMar>
          <w:top w:w="0" w:type="dxa"/>
          <w:left w:w="0" w:type="dxa"/>
          <w:bottom w:w="0" w:type="dxa"/>
          <w:right w:w="0" w:type="dxa"/>
        </w:tblCellMar>
        <w:tblLook w:val="01E0"/>
      </w:tblPr>
      <w:tblGrid>
        <w:gridCol w:w="1845"/>
        <w:gridCol w:w="1276"/>
        <w:gridCol w:w="1134"/>
        <w:gridCol w:w="1134"/>
        <w:gridCol w:w="1134"/>
        <w:gridCol w:w="1134"/>
        <w:gridCol w:w="1276"/>
        <w:gridCol w:w="992"/>
      </w:tblGrid>
      <w:tr>
        <w:trPr>
          <w:trHeight w:val="1026"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5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6"/>
              <w:ind w:left="400" w:right="104"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363"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电网运行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模拟检测 控制系统研发项目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先进制造业创新 发展资金（大数据方 向）</w:t>
            </w:r>
            <w:r>
              <w:rPr>
                <w:rFonts w:ascii="Times New Roman" w:hAnsi="Times New Roman" w:cs="Times New Roman" w:eastAsia="Times New Roman" w:hint="default"/>
                <w:sz w:val="18"/>
                <w:szCs w:val="18"/>
              </w:rPr>
              <w:t>--</w:t>
            </w:r>
            <w:r>
              <w:rPr>
                <w:rFonts w:ascii="宋体" w:hAnsi="宋体" w:cs="宋体" w:eastAsia="宋体" w:hint="default"/>
                <w:sz w:val="18"/>
                <w:szCs w:val="18"/>
              </w:rPr>
              <w:t>基于云计算平台 的汽车后市场消费行 为大数据分析与应用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z w:val="18"/>
                <w:szCs w:val="18"/>
              </w:rPr>
              <w:t>面向大数据安全产业 链的协同创新项目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119,626,608.71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12,157,000.00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18,855,101.57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-1,760,000.00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111,168,507.14</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3、股本" w:id="320"/>
      <w:bookmarkEnd w:id="320"/>
      <w:r>
        <w:rPr>
          <w:b w:val="0"/>
          <w:bCs w:val="0"/>
        </w:rPr>
      </w:r>
      <w:r>
        <w:rPr>
          <w:rFonts w:ascii="Times New Roman" w:hAnsi="Times New Roman" w:cs="Times New Roman" w:eastAsia="Times New Roman" w:hint="default"/>
        </w:rPr>
        <w:t>33</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499"/>
        <w:gridCol w:w="1276"/>
        <w:gridCol w:w="1134"/>
        <w:gridCol w:w="1134"/>
        <w:gridCol w:w="939"/>
        <w:gridCol w:w="892"/>
        <w:gridCol w:w="1499"/>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7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3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4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75" w:type="dxa"/>
            <w:gridSpan w:val="5"/>
            <w:vMerge/>
            <w:tcBorders>
              <w:left w:val="single" w:sz="4" w:space="0" w:color="000000"/>
              <w:bottom w:val="single" w:sz="4" w:space="0" w:color="000000"/>
              <w:right w:val="single" w:sz="4" w:space="0" w:color="000000"/>
            </w:tcBorders>
            <w:shd w:val="clear" w:color="auto" w:fill="D2D2D2"/>
          </w:tcPr>
          <w:p>
            <w:pPr/>
          </w:p>
        </w:tc>
        <w:tc>
          <w:tcPr>
            <w:tcW w:w="14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499"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39" w:type="dxa"/>
            <w:vMerge/>
            <w:tcBorders>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14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98" w:right="0"/>
              <w:jc w:val="left"/>
              <w:rPr>
                <w:rFonts w:ascii="Times New Roman" w:hAnsi="Times New Roman" w:cs="Times New Roman" w:eastAsia="Times New Roman" w:hint="default"/>
                <w:sz w:val="18"/>
                <w:szCs w:val="18"/>
              </w:rPr>
            </w:pPr>
            <w:r>
              <w:rPr>
                <w:rFonts w:ascii="Times New Roman"/>
                <w:sz w:val="18"/>
              </w:rPr>
              <w:t>1,175,455,904.00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-90,000.00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-90,000.00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 w:right="0"/>
              <w:jc w:val="left"/>
              <w:rPr>
                <w:rFonts w:ascii="Times New Roman" w:hAnsi="Times New Roman" w:cs="Times New Roman" w:eastAsia="Times New Roman" w:hint="default"/>
                <w:sz w:val="18"/>
                <w:szCs w:val="18"/>
              </w:rPr>
            </w:pPr>
            <w:r>
              <w:rPr>
                <w:rFonts w:ascii="Times New Roman"/>
                <w:sz w:val="18"/>
              </w:rPr>
              <w:t>1,175,365,904.00</w:t>
            </w:r>
          </w:p>
        </w:tc>
      </w:tr>
    </w:tbl>
    <w:p>
      <w:pPr>
        <w:spacing w:line="240" w:lineRule="auto" w:before="3"/>
        <w:rPr>
          <w:rFonts w:ascii="宋体" w:hAnsi="宋体" w:cs="宋体" w:eastAsia="宋体" w:hint="default"/>
          <w:sz w:val="12"/>
          <w:szCs w:val="12"/>
        </w:rPr>
      </w:pPr>
    </w:p>
    <w:p>
      <w:pPr>
        <w:pStyle w:val="BodyText"/>
        <w:spacing w:line="331" w:lineRule="auto" w:before="35"/>
        <w:ind w:right="1118"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日，经第三届董事会第三十一次会议决议审议通过《关于回购注销部分限制性股票的议 案》，因激励对象中徐伟程、陈燕华、段叶华、黄玲、汤琦、胡忠祥、张荣兴、姜林等</w:t>
      </w:r>
      <w:r>
        <w:rPr>
          <w:rFonts w:ascii="Times New Roman" w:hAnsi="Times New Roman" w:cs="Times New Roman" w:eastAsia="Times New Roman" w:hint="default"/>
        </w:rPr>
        <w:t>8</w:t>
      </w:r>
      <w:r>
        <w:rPr/>
        <w:t>人因个人原因已 </w:t>
      </w:r>
      <w:r>
        <w:rPr>
          <w:spacing w:val="-1"/>
        </w:rPr>
        <w:t>离职，不符合激励条件，公司对上述</w:t>
      </w:r>
      <w:r>
        <w:rPr>
          <w:rFonts w:ascii="Times New Roman" w:hAnsi="Times New Roman" w:cs="Times New Roman" w:eastAsia="Times New Roman" w:hint="default"/>
          <w:spacing w:val="-1"/>
        </w:rPr>
        <w:t>8</w:t>
      </w:r>
      <w:r>
        <w:rPr>
          <w:spacing w:val="-1"/>
        </w:rPr>
        <w:t>人已获授权但尚未解锁的限制性股票合计</w:t>
      </w:r>
      <w:r>
        <w:rPr>
          <w:rFonts w:ascii="Times New Roman" w:hAnsi="Times New Roman" w:cs="Times New Roman" w:eastAsia="Times New Roman" w:hint="default"/>
          <w:spacing w:val="-1"/>
        </w:rPr>
        <w:t>9</w:t>
      </w:r>
      <w:r>
        <w:rPr>
          <w:spacing w:val="-1"/>
        </w:rPr>
        <w:t>万股进行回购注销。</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32"/>
        </w:rPr>
        <w:t> </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w:t>
      </w:r>
      <w:r>
        <w:rPr>
          <w:spacing w:val="-1"/>
        </w:rPr>
        <w:t>日，公司已在中国证券登记结算有限责任公司深圳分公司完成上述限制性股票的回购和注销登记手</w:t>
      </w:r>
      <w:r>
        <w:rPr>
          <w:spacing w:val="-81"/>
        </w:rPr>
        <w:t> </w:t>
      </w:r>
      <w:r>
        <w:rPr>
          <w:spacing w:val="-81"/>
        </w:rPr>
      </w:r>
      <w:r>
        <w:rPr/>
        <w:t>续。</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4、资本公积" w:id="321"/>
      <w:bookmarkEnd w:id="321"/>
      <w:r>
        <w:rPr>
          <w:b w:val="0"/>
          <w:bCs w:val="0"/>
        </w:rPr>
      </w:r>
      <w:r>
        <w:rPr>
          <w:rFonts w:ascii="Times New Roman" w:hAnsi="Times New Roman" w:cs="Times New Roman" w:eastAsia="Times New Roman" w:hint="default"/>
        </w:rPr>
        <w:t>34</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1,863,761,727.82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23,900,129.80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1,887,041,757.62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12,251,805.93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6,737,600.04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10,621,600.00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8,367,805.97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1,876,013,533.75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30,637,729.84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11,241,700.00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1,895,409,563.59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13"/>
          <w:szCs w:val="13"/>
        </w:rPr>
      </w:pPr>
    </w:p>
    <w:p>
      <w:pPr>
        <w:pStyle w:val="BodyText"/>
        <w:spacing w:line="240" w:lineRule="auto"/>
        <w:ind w:left="1554" w:right="0"/>
        <w:jc w:val="left"/>
      </w:pPr>
      <w:r>
        <w:rPr/>
        <w:t>资本公积</w:t>
      </w:r>
      <w:r>
        <w:rPr>
          <w:rFonts w:ascii="Times New Roman" w:hAnsi="Times New Roman" w:cs="Times New Roman" w:eastAsia="Times New Roman" w:hint="default"/>
        </w:rPr>
        <w:t>-</w:t>
      </w:r>
      <w:r>
        <w:rPr/>
        <w:t>资本溢价的变动由以下事项形成：</w:t>
      </w:r>
    </w:p>
    <w:p>
      <w:pPr>
        <w:pStyle w:val="BodyText"/>
        <w:spacing w:line="328" w:lineRule="auto" w:before="109"/>
        <w:ind w:left="1134" w:right="1020" w:firstLine="42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日，公司第一期解锁的限制性股票上市流通，数量为获授限制性股票总数的</w:t>
      </w:r>
      <w:r>
        <w:rPr>
          <w:rFonts w:ascii="Times New Roman" w:hAnsi="Times New Roman" w:cs="Times New Roman" w:eastAsia="Times New Roman" w:hint="default"/>
          <w:spacing w:val="-3"/>
        </w:rPr>
        <w:t>20.00%</w:t>
      </w:r>
      <w:r>
        <w:rPr>
          <w:spacing w:val="-3"/>
        </w:rPr>
        <w:t>，</w:t>
      </w:r>
      <w:r>
        <w:rPr/>
        <w:t> 将其对应的原计入资本公积</w:t>
      </w:r>
      <w:r>
        <w:rPr>
          <w:rFonts w:ascii="Times New Roman" w:hAnsi="Times New Roman" w:cs="Times New Roman" w:eastAsia="Times New Roman" w:hint="default"/>
        </w:rPr>
        <w:t>/</w:t>
      </w:r>
      <w:r>
        <w:rPr/>
        <w:t>其他资本公积的溢价调整至资本溢价，调整金额为</w:t>
      </w:r>
      <w:r>
        <w:rPr>
          <w:rFonts w:ascii="Times New Roman" w:hAnsi="Times New Roman" w:cs="Times New Roman" w:eastAsia="Times New Roman" w:hint="default"/>
        </w:rPr>
        <w:t>10,621,600.00</w:t>
      </w:r>
      <w:r>
        <w:rPr/>
        <w:t>元。</w:t>
      </w:r>
    </w:p>
    <w:p>
      <w:pPr>
        <w:spacing w:after="0" w:line="328" w:lineRule="auto"/>
        <w:jc w:val="left"/>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31" w:lineRule="auto" w:before="35"/>
        <w:ind w:right="1127" w:firstLine="420"/>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日召开的第三届董事会第三十一次会议决议审议通过的《关于回购注销部分限制性</w:t>
      </w:r>
      <w:r>
        <w:rPr/>
        <w:t> 股票的议案》，因激励对象中徐伟程、陈燕华、段叶华、黄玲、汤琦、胡忠祥、张荣兴、姜林等</w:t>
      </w:r>
      <w:r>
        <w:rPr>
          <w:rFonts w:ascii="Times New Roman" w:hAnsi="Times New Roman" w:cs="Times New Roman" w:eastAsia="Times New Roman" w:hint="default"/>
        </w:rPr>
        <w:t>8</w:t>
      </w:r>
      <w:r>
        <w:rPr/>
        <w:t>人因个</w:t>
      </w:r>
      <w:r>
        <w:rPr>
          <w:spacing w:val="-22"/>
        </w:rPr>
        <w:t> </w:t>
      </w:r>
      <w:r>
        <w:rPr>
          <w:spacing w:val="-1"/>
        </w:rPr>
        <w:t>人原因已离职，不符合激励条件，公司经批准对上述</w:t>
      </w:r>
      <w:r>
        <w:rPr>
          <w:rFonts w:ascii="Times New Roman" w:hAnsi="Times New Roman" w:cs="Times New Roman" w:eastAsia="Times New Roman" w:hint="default"/>
          <w:spacing w:val="-1"/>
        </w:rPr>
        <w:t>8</w:t>
      </w:r>
      <w:r>
        <w:rPr>
          <w:spacing w:val="-1"/>
        </w:rPr>
        <w:t>人已获授权但尚未解锁的限制性股票合计</w:t>
      </w:r>
      <w:r>
        <w:rPr>
          <w:rFonts w:ascii="Times New Roman" w:hAnsi="Times New Roman" w:cs="Times New Roman" w:eastAsia="Times New Roman" w:hint="default"/>
          <w:spacing w:val="-1"/>
        </w:rPr>
        <w:t>9</w:t>
      </w:r>
      <w:r>
        <w:rPr>
          <w:spacing w:val="-1"/>
        </w:rPr>
        <w:t>万股进行</w:t>
      </w:r>
      <w:r>
        <w:rPr>
          <w:spacing w:val="-82"/>
        </w:rPr>
        <w:t> </w:t>
      </w:r>
      <w:r>
        <w:rPr/>
        <w:t>回购注销，公司以</w:t>
      </w:r>
      <w:r>
        <w:rPr>
          <w:rFonts w:ascii="Times New Roman" w:hAnsi="Times New Roman" w:cs="Times New Roman" w:eastAsia="Times New Roman" w:hint="default"/>
        </w:rPr>
        <w:t>7.89</w:t>
      </w:r>
      <w:r>
        <w:rPr/>
        <w:t>元</w:t>
      </w:r>
      <w:r>
        <w:rPr>
          <w:rFonts w:ascii="宋体" w:hAnsi="宋体" w:cs="宋体" w:eastAsia="宋体" w:hint="default"/>
        </w:rPr>
        <w:t>/</w:t>
      </w:r>
      <w:r>
        <w:rPr/>
        <w:t>股回购，回购价与账面价之间差额为</w:t>
      </w:r>
      <w:r>
        <w:rPr>
          <w:rFonts w:ascii="Times New Roman" w:hAnsi="Times New Roman" w:cs="Times New Roman" w:eastAsia="Times New Roman" w:hint="default"/>
        </w:rPr>
        <w:t>620,100.00</w:t>
      </w:r>
      <w:r>
        <w:rPr/>
        <w:t>元，计入资本公积</w:t>
      </w:r>
      <w:r>
        <w:rPr>
          <w:rFonts w:ascii="Times New Roman" w:hAnsi="Times New Roman" w:cs="Times New Roman" w:eastAsia="Times New Roman" w:hint="default"/>
        </w:rPr>
        <w:t>-</w:t>
      </w:r>
      <w:r>
        <w:rPr/>
        <w:t>股本溢价。</w:t>
      </w:r>
    </w:p>
    <w:p>
      <w:pPr>
        <w:pStyle w:val="BodyText"/>
        <w:spacing w:line="331" w:lineRule="auto" w:before="20"/>
        <w:ind w:right="1130" w:firstLine="420"/>
        <w:jc w:val="both"/>
      </w:pPr>
      <w:r>
        <w:rPr/>
        <w:t>（</w:t>
      </w: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日签署的转让协议，公司将其持有子公司北京京穗蓝盾信息安全技术有 </w:t>
      </w:r>
      <w:r>
        <w:rPr>
          <w:spacing w:val="-2"/>
        </w:rPr>
        <w:t>限公司的</w:t>
      </w:r>
      <w:r>
        <w:rPr>
          <w:rFonts w:ascii="Times New Roman" w:hAnsi="Times New Roman" w:cs="Times New Roman" w:eastAsia="Times New Roman" w:hint="default"/>
          <w:spacing w:val="-2"/>
        </w:rPr>
        <w:t>49.00%</w:t>
      </w:r>
      <w:r>
        <w:rPr>
          <w:spacing w:val="-2"/>
        </w:rPr>
        <w:t>的股权以</w:t>
      </w:r>
      <w:r>
        <w:rPr>
          <w:rFonts w:ascii="Times New Roman" w:hAnsi="Times New Roman" w:cs="Times New Roman" w:eastAsia="Times New Roman" w:hint="default"/>
          <w:spacing w:val="-2"/>
        </w:rPr>
        <w:t>4,900,000.00</w:t>
      </w:r>
      <w:r>
        <w:rPr>
          <w:spacing w:val="-2"/>
        </w:rPr>
        <w:t>万元转让给深圳市龙赫投资管理合伙企业（有限合伙），转让价款与</w:t>
      </w:r>
      <w:r>
        <w:rPr>
          <w:spacing w:val="-90"/>
        </w:rPr>
        <w:t> </w:t>
      </w:r>
      <w:r>
        <w:rPr>
          <w:spacing w:val="-90"/>
        </w:rPr>
      </w:r>
      <w:r>
        <w:rPr/>
        <w:t>按处置的股权比例计算的子公司净资产份额</w:t>
      </w:r>
      <w:r>
        <w:rPr>
          <w:rFonts w:ascii="Times New Roman" w:hAnsi="Times New Roman" w:cs="Times New Roman" w:eastAsia="Times New Roman" w:hint="default"/>
        </w:rPr>
        <w:t>-8,378,529.80</w:t>
      </w:r>
      <w:r>
        <w:rPr/>
        <w:t>元的差额为</w:t>
      </w:r>
      <w:r>
        <w:rPr>
          <w:rFonts w:ascii="Times New Roman" w:hAnsi="Times New Roman" w:cs="Times New Roman" w:eastAsia="Times New Roman" w:hint="default"/>
        </w:rPr>
        <w:t>13,278,529.80</w:t>
      </w:r>
      <w:r>
        <w:rPr/>
        <w:t>，该差额计入资本公积</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股本溢价。本次转让后，公司持有子公司北京京穗蓝盾信息安全技术有限公司</w:t>
      </w:r>
      <w:r>
        <w:rPr>
          <w:rFonts w:ascii="Times New Roman" w:hAnsi="Times New Roman" w:cs="Times New Roman" w:eastAsia="Times New Roman" w:hint="default"/>
        </w:rPr>
        <w:t>51.00%</w:t>
      </w:r>
      <w:r>
        <w:rPr/>
        <w:t>股权。</w:t>
      </w:r>
    </w:p>
    <w:p>
      <w:pPr>
        <w:pStyle w:val="BodyText"/>
        <w:spacing w:line="348" w:lineRule="auto" w:before="21"/>
        <w:ind w:left="1554" w:right="0"/>
        <w:jc w:val="left"/>
      </w:pPr>
      <w:r>
        <w:rPr/>
        <w:t>其他资本公积变动： </w:t>
      </w:r>
      <w:r>
        <w:rPr>
          <w:spacing w:val="-1"/>
        </w:rPr>
        <w:t>公司以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日作为公司限制性股票激励计划的授予日，授予价格为</w:t>
      </w:r>
      <w:r>
        <w:rPr>
          <w:rFonts w:ascii="Times New Roman" w:hAnsi="Times New Roman" w:cs="Times New Roman" w:eastAsia="Times New Roman" w:hint="default"/>
          <w:spacing w:val="-1"/>
        </w:rPr>
        <w:t>7.89</w:t>
      </w:r>
      <w:r>
        <w:rPr>
          <w:spacing w:val="-1"/>
        </w:rPr>
        <w:t>元</w:t>
      </w:r>
      <w:r>
        <w:rPr>
          <w:rFonts w:ascii="Times New Roman" w:hAnsi="Times New Roman" w:cs="Times New Roman" w:eastAsia="Times New Roman" w:hint="default"/>
          <w:spacing w:val="-1"/>
        </w:rPr>
        <w:t>/</w:t>
      </w:r>
      <w:r>
        <w:rPr>
          <w:spacing w:val="-1"/>
        </w:rPr>
        <w:t>股，于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月向</w:t>
      </w:r>
      <w:r>
        <w:rPr/>
      </w:r>
    </w:p>
    <w:p>
      <w:pPr>
        <w:pStyle w:val="BodyText"/>
        <w:spacing w:line="331" w:lineRule="auto" w:before="4"/>
        <w:ind w:right="1131"/>
        <w:jc w:val="both"/>
      </w:pPr>
      <w:r>
        <w:rPr>
          <w:rFonts w:ascii="Times New Roman" w:hAnsi="Times New Roman" w:cs="Times New Roman" w:eastAsia="Times New Roman" w:hint="default"/>
          <w:spacing w:val="-1"/>
        </w:rPr>
        <w:t>214</w:t>
      </w:r>
      <w:r>
        <w:rPr>
          <w:spacing w:val="-1"/>
        </w:rPr>
        <w:t>名激励对象非公开发行限制性股票</w:t>
      </w:r>
      <w:r>
        <w:rPr>
          <w:rFonts w:ascii="Times New Roman" w:hAnsi="Times New Roman" w:cs="Times New Roman" w:eastAsia="Times New Roman" w:hint="default"/>
          <w:spacing w:val="-1"/>
        </w:rPr>
        <w:t>7,900,000.00</w:t>
      </w:r>
      <w:r>
        <w:rPr>
          <w:spacing w:val="-1"/>
        </w:rPr>
        <w:t>股，每股面值</w:t>
      </w:r>
      <w:r>
        <w:rPr>
          <w:rFonts w:ascii="Times New Roman" w:hAnsi="Times New Roman" w:cs="Times New Roman" w:eastAsia="Times New Roman" w:hint="default"/>
          <w:spacing w:val="-1"/>
        </w:rPr>
        <w:t>1</w:t>
      </w:r>
      <w:r>
        <w:rPr>
          <w:spacing w:val="-1"/>
        </w:rPr>
        <w:t>元，每股发行价为人民币</w:t>
      </w:r>
      <w:r>
        <w:rPr>
          <w:rFonts w:ascii="Times New Roman" w:hAnsi="Times New Roman" w:cs="Times New Roman" w:eastAsia="Times New Roman" w:hint="default"/>
          <w:spacing w:val="-1"/>
        </w:rPr>
        <w:t>7.89</w:t>
      </w:r>
      <w:r>
        <w:rPr>
          <w:spacing w:val="-1"/>
        </w:rPr>
        <w:t>元，截至本</w:t>
      </w:r>
      <w:r>
        <w:rPr>
          <w:spacing w:val="-79"/>
        </w:rPr>
        <w:t> </w:t>
      </w:r>
      <w:r>
        <w:rPr>
          <w:spacing w:val="-79"/>
        </w:rPr>
      </w:r>
      <w:r>
        <w:rPr/>
        <w:t>报告期前有</w:t>
      </w:r>
      <w:r>
        <w:rPr>
          <w:rFonts w:ascii="Times New Roman" w:hAnsi="Times New Roman" w:cs="Times New Roman" w:eastAsia="Times New Roman" w:hint="default"/>
        </w:rPr>
        <w:t>30</w:t>
      </w:r>
      <w:r>
        <w:rPr/>
        <w:t>名持有限制性股份的员工离职，应回购股票数量为</w:t>
      </w:r>
      <w:r>
        <w:rPr>
          <w:rFonts w:ascii="Times New Roman" w:hAnsi="Times New Roman" w:cs="Times New Roman" w:eastAsia="Times New Roman" w:hint="default"/>
        </w:rPr>
        <w:t>394,000.00</w:t>
      </w:r>
      <w:r>
        <w:rPr/>
        <w:t>股，</w:t>
      </w:r>
      <w:r>
        <w:rPr>
          <w:rFonts w:ascii="Times New Roman" w:hAnsi="Times New Roman" w:cs="Times New Roman" w:eastAsia="Times New Roman" w:hint="default"/>
        </w:rPr>
        <w:t>2017</w:t>
      </w:r>
      <w:r>
        <w:rPr/>
        <w:t>年已解锁</w:t>
      </w:r>
      <w:r>
        <w:rPr>
          <w:rFonts w:ascii="Times New Roman" w:hAnsi="Times New Roman" w:cs="Times New Roman" w:eastAsia="Times New Roman" w:hint="default"/>
        </w:rPr>
        <w:t>1,560,000.00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1"/>
        </w:rPr>
        <w:t>股，剩余待解锁股份数量</w:t>
      </w:r>
      <w:r>
        <w:rPr>
          <w:rFonts w:ascii="Times New Roman" w:hAnsi="Times New Roman" w:cs="Times New Roman" w:eastAsia="Times New Roman" w:hint="default"/>
          <w:spacing w:val="-1"/>
        </w:rPr>
        <w:t>5,944,000</w:t>
      </w:r>
      <w:r>
        <w:rPr>
          <w:spacing w:val="-1"/>
        </w:rPr>
        <w:t>股，按照授予日的公允价值，以授予日作为会计成本分摊的起点，本期</w:t>
      </w:r>
      <w:r>
        <w:rPr>
          <w:spacing w:val="-82"/>
        </w:rPr>
        <w:t> </w:t>
      </w:r>
      <w:r>
        <w:rPr>
          <w:spacing w:val="-82"/>
        </w:rPr>
      </w:r>
      <w:r>
        <w:rPr/>
        <w:t>应分摊的成本为</w:t>
      </w:r>
      <w:r>
        <w:rPr>
          <w:rFonts w:ascii="Times New Roman" w:hAnsi="Times New Roman" w:cs="Times New Roman" w:eastAsia="Times New Roman" w:hint="default"/>
        </w:rPr>
        <w:t>6,737,600.04</w:t>
      </w:r>
      <w:r>
        <w:rPr/>
        <w:t>元，计入其他资本公积。</w:t>
      </w:r>
    </w:p>
    <w:p>
      <w:pPr>
        <w:spacing w:line="240" w:lineRule="auto" w:before="10"/>
        <w:rPr>
          <w:rFonts w:ascii="宋体" w:hAnsi="宋体" w:cs="宋体" w:eastAsia="宋体" w:hint="default"/>
          <w:sz w:val="17"/>
          <w:szCs w:val="17"/>
        </w:rPr>
      </w:pPr>
    </w:p>
    <w:p>
      <w:pPr>
        <w:pStyle w:val="Heading3"/>
        <w:spacing w:line="240" w:lineRule="auto"/>
        <w:ind w:left="1133" w:right="0"/>
        <w:jc w:val="both"/>
        <w:rPr>
          <w:b w:val="0"/>
          <w:bCs w:val="0"/>
        </w:rPr>
      </w:pPr>
      <w:bookmarkStart w:name="35、库存股" w:id="322"/>
      <w:bookmarkEnd w:id="322"/>
      <w:r>
        <w:rPr>
          <w:b w:val="0"/>
          <w:bCs w:val="0"/>
        </w:rPr>
      </w:r>
      <w:r>
        <w:rPr>
          <w:rFonts w:ascii="Times New Roman" w:hAnsi="Times New Roman" w:cs="Times New Roman" w:eastAsia="Times New Roman" w:hint="default"/>
        </w:rPr>
        <w:t>35</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62,331,000.00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13,034,280.00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49,296,720.00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62,331,000.00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13,034,280.00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49,296,720.00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其他综合收益" w:id="323"/>
      <w:bookmarkEnd w:id="323"/>
      <w:r>
        <w:rPr>
          <w:b w:val="0"/>
          <w:bCs w:val="0"/>
        </w:rPr>
      </w:r>
      <w:r>
        <w:rPr>
          <w:rFonts w:ascii="Times New Roman" w:hAnsi="Times New Roman" w:cs="Times New Roman" w:eastAsia="Times New Roman" w:hint="default"/>
        </w:rPr>
        <w:t>36</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787"/>
        <w:gridCol w:w="1082"/>
        <w:gridCol w:w="935"/>
        <w:gridCol w:w="1152"/>
        <w:gridCol w:w="838"/>
        <w:gridCol w:w="851"/>
        <w:gridCol w:w="992"/>
        <w:gridCol w:w="920"/>
      </w:tblGrid>
      <w:tr>
        <w:trPr>
          <w:trHeight w:val="397"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47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20" w:type="dxa"/>
            <w:vMerge w:val="restart"/>
            <w:tcBorders>
              <w:top w:val="single" w:sz="4" w:space="0" w:color="000000"/>
              <w:left w:val="single" w:sz="4" w:space="0" w:color="000000"/>
              <w:right w:val="single" w:sz="4" w:space="0" w:color="000000"/>
            </w:tcBorders>
            <w:shd w:val="clear" w:color="auto" w:fill="D2D2D2"/>
          </w:tcPr>
          <w:p>
            <w:pPr/>
          </w:p>
        </w:tc>
      </w:tr>
      <w:tr>
        <w:trPr>
          <w:trHeight w:val="143" w:hRule="exact"/>
        </w:trPr>
        <w:tc>
          <w:tcPr>
            <w:tcW w:w="278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8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43" w:right="5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60"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30" w:right="41"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95"/>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87" w:type="dxa"/>
            <w:vMerge w:val="restart"/>
            <w:tcBorders>
              <w:top w:val="nil" w:sz="6" w:space="0" w:color="auto"/>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83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60,018.00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-20,542.00</w:t>
            </w:r>
            <w:r>
              <w:rPr>
                <w:rFonts w:ascii="Times New Roman"/>
                <w:sz w:val="18"/>
              </w:rPr>
            </w: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其中：外币财务报表折算差额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60,018.00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-20,542.00</w:t>
            </w:r>
            <w:r>
              <w:rPr>
                <w:rFonts w:ascii="Times New Roman"/>
                <w:sz w:val="18"/>
              </w:rPr>
            </w: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60,018.00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-80,560.00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-20,542.00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37、专项储备" w:id="324"/>
      <w:bookmarkEnd w:id="324"/>
      <w:r>
        <w:rPr>
          <w:b w:val="0"/>
          <w:bCs w:val="0"/>
        </w:rPr>
      </w:r>
      <w:r>
        <w:rPr>
          <w:rFonts w:ascii="Times New Roman" w:hAnsi="Times New Roman" w:cs="Times New Roman" w:eastAsia="Times New Roman" w:hint="default"/>
        </w:rPr>
        <w:t>37</w:t>
      </w:r>
      <w:r>
        <w:rPr/>
        <w:t>、专项储备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893,169.35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516,881.88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1,410,051.23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893,169.35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516,881.88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1,410,051.23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盈余公积" w:id="325"/>
      <w:bookmarkEnd w:id="325"/>
      <w:r>
        <w:rPr>
          <w:b w:val="0"/>
          <w:bCs w:val="0"/>
        </w:rPr>
      </w:r>
      <w:r>
        <w:rPr>
          <w:rFonts w:ascii="Times New Roman" w:hAnsi="Times New Roman" w:cs="Times New Roman" w:eastAsia="Times New Roman" w:hint="default"/>
        </w:rPr>
        <w:t>38</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30,506,420.05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32,548,685.53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30,506,420.05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32,548,685.53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未分配利润" w:id="326"/>
      <w:bookmarkEnd w:id="326"/>
      <w:r>
        <w:rPr>
          <w:b w:val="0"/>
          <w:bCs w:val="0"/>
        </w:rPr>
      </w:r>
      <w:r>
        <w:rPr>
          <w:rFonts w:ascii="Times New Roman" w:hAnsi="Times New Roman" w:cs="Times New Roman" w:eastAsia="Times New Roman" w:hint="default"/>
        </w:rPr>
        <w:t>39</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551,040,289.22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237,111,891.08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551,040,289.22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237,111,891.08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413,809,537.85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322,894,873.34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2,042,265.48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6,054,438.21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35,263,381.70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2,912,036.99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927,544,179.89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551,040,289.22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营业收入和营业成本" w:id="327"/>
      <w:bookmarkEnd w:id="327"/>
      <w:r>
        <w:rPr>
          <w:b w:val="0"/>
          <w:bCs w:val="0"/>
        </w:rPr>
      </w:r>
      <w:r>
        <w:rPr>
          <w:rFonts w:ascii="Times New Roman" w:hAnsi="Times New Roman" w:cs="Times New Roman" w:eastAsia="Times New Roman" w:hint="default"/>
        </w:rPr>
        <w:t>40</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2,190,593,449.98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983,407,240.07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1,560,588,953.18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740,623,746.01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25,882,970.89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25,641,424.79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12,915,607.54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8,394,038.31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2,216,476,420.87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1,009,048,664.86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1,573,504,560.72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749,017,784.32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税金及附加" w:id="328"/>
      <w:bookmarkEnd w:id="328"/>
      <w:r>
        <w:rPr>
          <w:b w:val="0"/>
          <w:bCs w:val="0"/>
        </w:rPr>
      </w:r>
      <w:r>
        <w:rPr>
          <w:rFonts w:ascii="Times New Roman" w:hAnsi="Times New Roman" w:cs="Times New Roman" w:eastAsia="Times New Roman" w:hint="default"/>
        </w:rPr>
        <w:t>41</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11,941,938.21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7,708,438.36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5,180,707.44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3,833,306.03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1,562,906.27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1,781,583.44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501,126.41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148,719.08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1,992,279.55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1,351,152.81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566,553.07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3,432,906.58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1,688,833.73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4,607.96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24,678,994.46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17,140,121.34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销售费用" w:id="329"/>
      <w:bookmarkEnd w:id="329"/>
      <w:r>
        <w:rPr>
          <w:b w:val="0"/>
          <w:bCs w:val="0"/>
        </w:rPr>
      </w:r>
      <w:r>
        <w:rPr>
          <w:rFonts w:ascii="Times New Roman" w:hAnsi="Times New Roman" w:cs="Times New Roman" w:eastAsia="Times New Roman" w:hint="default"/>
        </w:rPr>
        <w:t>42</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85,622,630.34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46,251,129.85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广告和业务宣传费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1,588,689.29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479,390.11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9,044,498.64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5,860,323.24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11,609,970.98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4,517,970.07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984,527.10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1,501,231.72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5,266,104.39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3,278,257.43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5,971,807.94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5,744,804.44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101,782.81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131,556.32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144,605.48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68,383.48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3,195,458.11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1,115,005.07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283,055.17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10,474,985.16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16,384,380.68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785,681.86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售后维保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635,043.78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653,042.90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141,485,597.61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80,208,718.75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3、管理费用" w:id="330"/>
      <w:bookmarkEnd w:id="330"/>
      <w:r>
        <w:rPr>
          <w:b w:val="0"/>
          <w:bCs w:val="0"/>
        </w:rPr>
      </w:r>
      <w:r>
        <w:rPr>
          <w:rFonts w:ascii="Times New Roman" w:hAnsi="Times New Roman" w:cs="Times New Roman" w:eastAsia="Times New Roman" w:hint="default"/>
        </w:rPr>
        <w:t>43</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69,767,033.35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68,118,423.10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34,517,454.47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20,755,443.91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33,178,961.62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26,650,193.11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10,365,951.22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7,969,755.67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29,642.75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927,120.46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4,232,335.29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4,926,904.02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13,436,818.91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16,881,232.75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191,727,376.53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129,285,013.46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17,869,261.91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12,753,355.92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2,869,841.01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1,896,360.23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工程专项储备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516,881.88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555,300.49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589,580.45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766,071.70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6,737,600.04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385,838,739.43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291,485,174.82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财务费用" w:id="331"/>
      <w:bookmarkEnd w:id="331"/>
      <w:r>
        <w:rPr>
          <w:b w:val="0"/>
          <w:bCs w:val="0"/>
        </w:rPr>
      </w:r>
      <w:r>
        <w:rPr>
          <w:rFonts w:ascii="Times New Roman" w:hAnsi="Times New Roman" w:cs="Times New Roman" w:eastAsia="Times New Roman" w:hint="default"/>
        </w:rPr>
        <w:t>44</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102,149,621.34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63,200,177.07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4,649,312.17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4,925,299.89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39,569.87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-166,846.23</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8,444,767.92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6,388,827.84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14,668,114.90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4,559,272.75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120,652,761.86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69,056,131.54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资产减值损失" w:id="332"/>
      <w:bookmarkEnd w:id="332"/>
      <w:r>
        <w:rPr>
          <w:b w:val="0"/>
          <w:bCs w:val="0"/>
        </w:rPr>
      </w:r>
      <w:r>
        <w:rPr>
          <w:rFonts w:ascii="Times New Roman" w:hAnsi="Times New Roman" w:cs="Times New Roman" w:eastAsia="Times New Roman" w:hint="default"/>
        </w:rPr>
        <w:t>45</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98,803,357.19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32,846,148.75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-730,392.94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3,106,485.95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2,142,355.14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672,800.14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100,888,119.53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35,952,634.70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46、投资收益" w:id="333"/>
      <w:bookmarkEnd w:id="333"/>
      <w:r>
        <w:rPr>
          <w:b w:val="0"/>
          <w:bCs w:val="0"/>
        </w:rPr>
      </w:r>
      <w:r>
        <w:rPr>
          <w:rFonts w:ascii="Times New Roman" w:hAnsi="Times New Roman" w:cs="Times New Roman" w:eastAsia="Times New Roman" w:hint="default"/>
        </w:rPr>
        <w:t>46</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-292,609.42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-32,545.22</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8,950.48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12,583.12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606,449.05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457,969.53</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335,373.23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425,424.31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7、资产处置收益" w:id="334"/>
      <w:bookmarkEnd w:id="334"/>
      <w:r>
        <w:rPr>
          <w:b w:val="0"/>
          <w:bCs w:val="0"/>
        </w:rPr>
      </w:r>
      <w:r>
        <w:rPr>
          <w:rFonts w:ascii="Times New Roman" w:hAnsi="Times New Roman" w:cs="Times New Roman" w:eastAsia="Times New Roman" w:hint="default"/>
        </w:rPr>
        <w:t>47</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-464.00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8、其他收益" w:id="335"/>
      <w:bookmarkEnd w:id="335"/>
      <w:r>
        <w:rPr>
          <w:b w:val="0"/>
          <w:bCs w:val="0"/>
        </w:rPr>
      </w:r>
      <w:r>
        <w:rPr>
          <w:rFonts w:ascii="Times New Roman" w:hAnsi="Times New Roman" w:cs="Times New Roman" w:eastAsia="Times New Roman" w:hint="default"/>
        </w:rPr>
        <w:t>48</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86,905,605.50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9、政府补助" w:id="336"/>
      <w:bookmarkEnd w:id="336"/>
      <w:r>
        <w:rPr>
          <w:b w:val="0"/>
          <w:bCs w:val="0"/>
        </w:rPr>
      </w:r>
      <w:r>
        <w:rPr>
          <w:rFonts w:ascii="Times New Roman" w:hAnsi="Times New Roman" w:cs="Times New Roman" w:eastAsia="Times New Roman" w:hint="default"/>
        </w:rPr>
        <w:t>49</w:t>
      </w:r>
      <w:r>
        <w:rPr/>
        <w:t>、政府补助</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1554" w:right="0"/>
        <w:jc w:val="left"/>
      </w:pPr>
      <w:r>
        <w:rPr/>
        <w:t>（</w:t>
      </w:r>
      <w:r>
        <w:rPr>
          <w:rFonts w:ascii="Times New Roman" w:hAnsi="Times New Roman" w:cs="Times New Roman" w:eastAsia="Times New Roman" w:hint="default"/>
        </w:rPr>
        <w:t>1</w:t>
      </w:r>
      <w:r>
        <w:rPr/>
        <w:t>）按列报项目分类的政府补助</w:t>
      </w:r>
    </w:p>
    <w:p>
      <w:pPr>
        <w:spacing w:line="240" w:lineRule="auto" w:before="9"/>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836"/>
        <w:gridCol w:w="2268"/>
        <w:gridCol w:w="2127"/>
        <w:gridCol w:w="2410"/>
      </w:tblGrid>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90" w:right="0"/>
              <w:jc w:val="left"/>
              <w:rPr>
                <w:rFonts w:ascii="宋体" w:hAnsi="宋体" w:cs="宋体" w:eastAsia="宋体" w:hint="default"/>
                <w:sz w:val="18"/>
                <w:szCs w:val="18"/>
              </w:rPr>
            </w:pPr>
            <w:r>
              <w:rPr>
                <w:rFonts w:ascii="宋体" w:hAnsi="宋体" w:cs="宋体" w:eastAsia="宋体" w:hint="default"/>
                <w:sz w:val="18"/>
                <w:szCs w:val="18"/>
              </w:rPr>
              <w:t>政府补助列报项目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11,230,000.00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79,030,000.00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32</w:t>
            </w:r>
            <w:r>
              <w:rPr>
                <w:rFonts w:ascii="宋体" w:hAnsi="宋体" w:cs="宋体" w:eastAsia="宋体" w:hint="default"/>
                <w:sz w:val="18"/>
                <w:szCs w:val="18"/>
              </w:rPr>
              <w:t>、递延收益</w:t>
            </w:r>
          </w:p>
        </w:tc>
      </w:tr>
      <w:tr>
        <w:trPr>
          <w:trHeight w:val="426"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68,050,503.93</w:t>
            </w:r>
          </w:p>
        </w:tc>
        <w:tc>
          <w:tcPr>
            <w:tcW w:w="2127"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48</w:t>
            </w:r>
            <w:r>
              <w:rPr>
                <w:rFonts w:ascii="宋体" w:hAnsi="宋体" w:cs="宋体" w:eastAsia="宋体" w:hint="default"/>
                <w:sz w:val="18"/>
                <w:szCs w:val="18"/>
              </w:rPr>
              <w:t>、其他收益</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计入营业外收入的政府补助</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15,762.25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34,923,783.29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50</w:t>
            </w:r>
            <w:r>
              <w:rPr>
                <w:rFonts w:ascii="宋体" w:hAnsi="宋体" w:cs="宋体" w:eastAsia="宋体" w:hint="default"/>
                <w:sz w:val="18"/>
                <w:szCs w:val="18"/>
              </w:rPr>
              <w:t>、营业外收入</w:t>
            </w:r>
          </w:p>
        </w:tc>
      </w:tr>
      <w:tr>
        <w:trPr>
          <w:trHeight w:val="42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79,296,266.18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113,953,783.29</w:t>
            </w:r>
          </w:p>
        </w:tc>
        <w:tc>
          <w:tcPr>
            <w:tcW w:w="24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1"/>
          <w:szCs w:val="21"/>
        </w:rPr>
      </w:pPr>
    </w:p>
    <w:p>
      <w:pPr>
        <w:pStyle w:val="BodyText"/>
        <w:spacing w:line="240" w:lineRule="auto" w:before="35"/>
        <w:ind w:left="1554" w:right="0"/>
        <w:jc w:val="left"/>
      </w:pPr>
      <w:r>
        <w:rPr>
          <w:rFonts w:ascii="Times New Roman" w:hAnsi="Times New Roman" w:cs="Times New Roman" w:eastAsia="Times New Roman" w:hint="default"/>
        </w:rPr>
        <w:t>2017</w:t>
      </w:r>
      <w:r>
        <w:rPr/>
        <w:t>年计入其他收益的政府补助中，收到的增值税退税金额为</w:t>
      </w:r>
      <w:r>
        <w:rPr>
          <w:rFonts w:ascii="Times New Roman" w:hAnsi="Times New Roman" w:cs="Times New Roman" w:eastAsia="Times New Roman" w:hint="default"/>
        </w:rPr>
        <w:t>52,317,607.19</w:t>
      </w:r>
      <w:r>
        <w:rPr/>
        <w:t>。</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bookmarkStart w:name="50、营业外收入" w:id="337"/>
      <w:bookmarkEnd w:id="337"/>
      <w:r>
        <w:rPr>
          <w:b w:val="0"/>
          <w:bCs w:val="0"/>
        </w:rPr>
      </w:r>
      <w:r>
        <w:rPr>
          <w:rFonts w:ascii="Times New Roman" w:hAnsi="Times New Roman" w:cs="Times New Roman" w:eastAsia="Times New Roman" w:hint="default"/>
        </w:rPr>
        <w:t>50</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15,762.25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26,295,276.82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15,762.25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20,684,569.77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126,503.23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481,902.21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126,503.23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142,311.68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47,467,748.80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142,311.68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955"/>
        <w:gridCol w:w="1276"/>
        <w:gridCol w:w="1276"/>
        <w:gridCol w:w="1134"/>
      </w:tblGrid>
      <w:tr>
        <w:trPr>
          <w:trHeight w:val="754"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2"/>
              <w:ind w:left="111" w:right="87"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年产业扶持资金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企业贡献奖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年广州市高新技术企业补贴奖励</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网络安全云平台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年广州市战略性新兴产业基地建设专项资金投资计划（云安全技术公共</w:t>
            </w:r>
            <w:r>
              <w:rPr>
                <w:rFonts w:ascii="宋体" w:hAnsi="宋体" w:cs="宋体" w:eastAsia="宋体" w:hint="default"/>
                <w:sz w:val="18"/>
                <w:szCs w:val="18"/>
              </w:rPr>
              <w:t> 服务平台）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2,030,349.64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年信息安全专项计划（面向云计算的网络应用安全监测审计平台）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年省信息产业发展专项现代化信息服务业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面向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网络的高性能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系统开发及产业化项目（直接购入资产）</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3"/>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年广州市战略性新兴产业示范工程的通知</w:t>
            </w:r>
            <w:r>
              <w:rPr>
                <w:rFonts w:ascii="Arial Narrow" w:hAnsi="Arial Narrow" w:cs="Arial Narrow" w:eastAsia="Arial Narrow" w:hint="default"/>
                <w:sz w:val="18"/>
                <w:szCs w:val="18"/>
              </w:rPr>
              <w:t>—</w:t>
            </w:r>
            <w:r>
              <w:rPr>
                <w:rFonts w:ascii="宋体" w:hAnsi="宋体" w:cs="宋体" w:eastAsia="宋体" w:hint="default"/>
                <w:sz w:val="18"/>
                <w:szCs w:val="18"/>
              </w:rPr>
              <w:t>穗发改</w:t>
            </w:r>
            <w:r>
              <w:rPr>
                <w:rFonts w:ascii="Times New Roman" w:hAnsi="Times New Roman" w:cs="Times New Roman" w:eastAsia="Times New Roman" w:hint="default"/>
                <w:sz w:val="18"/>
                <w:szCs w:val="18"/>
              </w:rPr>
              <w:t>[2013]308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号（面向 云计算的网络应用安全监测审计平台产业化）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年广州市战略性主导产业发展资金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面向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网络的高性能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r>
              <w:rPr>
                <w:rFonts w:ascii="宋体" w:hAnsi="宋体" w:cs="宋体" w:eastAsia="宋体" w:hint="default"/>
                <w:spacing w:val="1"/>
                <w:sz w:val="18"/>
                <w:szCs w:val="18"/>
              </w:rPr>
              <w:t> </w:t>
            </w:r>
            <w:r>
              <w:rPr>
                <w:rFonts w:ascii="宋体" w:hAnsi="宋体" w:cs="宋体" w:eastAsia="宋体" w:hint="default"/>
                <w:sz w:val="18"/>
                <w:szCs w:val="18"/>
              </w:rPr>
              <w:t>研究及产业化项目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年度省级现代服务业发展引导专项资金（云安全技术公共服务平台）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智慧城市专项项目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年广州市工程技术研究开发中心专项项目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250,521.80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关于广东省省部产学研合作专项资金、广东省中科院全面战略合作专项资金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市工信委市财政局－</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年市民营企业奖励专项</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广州市天河区财政局（</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年度园区产业扶持资金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0D0A</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161,880.33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年企业研发费用投入后补助专项</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664,260.00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年广东省企业研究开发费用省级财政补助资金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广州市天河区财政局 广东省省级企业技术改造</w:t>
            </w:r>
            <w:r>
              <w:rPr>
                <w:rFonts w:ascii="Times New Roman" w:hAnsi="Times New Roman" w:cs="Times New Roman" w:eastAsia="Times New Roman" w:hint="default"/>
                <w:sz w:val="18"/>
                <w:szCs w:val="18"/>
              </w:rPr>
              <w:t>(</w:t>
            </w:r>
            <w:r>
              <w:rPr>
                <w:rFonts w:ascii="宋体" w:hAnsi="宋体" w:cs="宋体" w:eastAsia="宋体" w:hint="default"/>
                <w:sz w:val="18"/>
                <w:szCs w:val="18"/>
              </w:rPr>
              <w:t>第二批）项目贴息</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基于关联引擎及入侵联动检测的云化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研发及产业化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网络安全云服务平台技术改造项目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900,026.49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广州市商务委员会服务贸易及服务外包公共平台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移动数据隔离的系统及方法</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5955"/>
        <w:gridCol w:w="1276"/>
        <w:gridCol w:w="1276"/>
        <w:gridCol w:w="1134"/>
      </w:tblGrid>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检测请求安全性的方法及系统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记录及回放用户的桌面操作信息的方法及设备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蓝盾网络安全云平台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广州开发区科技创新和知识产权局科技局拨市企业研发经费投入后补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85,770.00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广州开发区科技创新和知识产权局市补助科技创新专项资金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85,770.00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面向移动互联网的云安全与防护技术研究与产业化项目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博士后创新实践基地补助款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基于网络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的汇通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电子商务服务平台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中经电商车队管理应用平台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中经电商车队管理应用平台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基于汽车后市场消费行为协同服务链云平台的关键技术研发及应用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171,531.19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翔安区装修补贴款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328,571.44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年广州市企业研究开发机构建设专项项目资金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19,823.62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劳务协作奖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浦东新区</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财政扶持资金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广州市战略性主导产业发展资金新业态项目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28,777.78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年南沙区科技项目（配套奖励类）经费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广州市工业和信息化委员会面向传统零售企业的汇通宝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电子平台项目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广州市科技创新小巨人及高新技术企业补贴奖励</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广州市越秀区财政国库支付中心（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年研发费用后补助）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广州市越秀区财政国库支付中心（广州市知识产权局专利资助）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广州市越秀区科技工业和信息化局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年知识产权示范企业</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专利申请奖励款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面向大数据安全产业链的协同创新项目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广州开发区创新知识产权研发投入后补助资金</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第三批计算机软件著作权资助费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基于三维互动的中小学生安全应急宣教软件</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年度高新企业认定通过奖励</w:t>
            </w:r>
            <w:r>
              <w:rPr>
                <w:rFonts w:ascii="Times New Roman" w:hAnsi="Times New Roman" w:cs="Times New Roman" w:eastAsia="Times New Roman" w:hint="default"/>
                <w:sz w:val="18"/>
                <w:szCs w:val="18"/>
              </w:rPr>
              <w:t>-</w:t>
            </w:r>
            <w:r>
              <w:rPr>
                <w:rFonts w:ascii="宋体" w:hAnsi="宋体" w:cs="宋体" w:eastAsia="宋体" w:hint="default"/>
                <w:sz w:val="18"/>
                <w:szCs w:val="18"/>
              </w:rPr>
              <w:t>科技成果转化与扩散</w:t>
            </w:r>
            <w:r>
              <w:rPr>
                <w:rFonts w:ascii="Times New Roman" w:hAnsi="Times New Roman" w:cs="Times New Roman" w:eastAsia="Times New Roman" w:hint="default"/>
                <w:sz w:val="18"/>
                <w:szCs w:val="18"/>
              </w:rPr>
              <w:t>-</w:t>
            </w:r>
            <w:r>
              <w:rPr>
                <w:rFonts w:ascii="宋体" w:hAnsi="宋体" w:cs="宋体" w:eastAsia="宋体" w:hint="default"/>
                <w:sz w:val="18"/>
                <w:szCs w:val="18"/>
              </w:rPr>
              <w:t>市级经费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年度高新企业认定通过奖励</w:t>
            </w:r>
            <w:r>
              <w:rPr>
                <w:rFonts w:ascii="Times New Roman" w:hAnsi="Times New Roman" w:cs="Times New Roman" w:eastAsia="Times New Roman" w:hint="default"/>
                <w:sz w:val="18"/>
                <w:szCs w:val="18"/>
              </w:rPr>
              <w:t>-</w:t>
            </w:r>
            <w:r>
              <w:rPr>
                <w:rFonts w:ascii="宋体" w:hAnsi="宋体" w:cs="宋体" w:eastAsia="宋体" w:hint="default"/>
                <w:sz w:val="18"/>
                <w:szCs w:val="18"/>
              </w:rPr>
              <w:t>产业技术研究与开发</w:t>
            </w:r>
            <w:r>
              <w:rPr>
                <w:rFonts w:ascii="Times New Roman" w:hAnsi="Times New Roman" w:cs="Times New Roman" w:eastAsia="Times New Roman" w:hint="default"/>
                <w:sz w:val="18"/>
                <w:szCs w:val="18"/>
              </w:rPr>
              <w:t>-</w:t>
            </w:r>
            <w:r>
              <w:rPr>
                <w:rFonts w:ascii="宋体" w:hAnsi="宋体" w:cs="宋体" w:eastAsia="宋体" w:hint="default"/>
                <w:sz w:val="18"/>
                <w:szCs w:val="18"/>
              </w:rPr>
              <w:t>区级经费</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年度高新技术企业认定受理补贴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年软著补贴款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230,214.90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5955"/>
        <w:gridCol w:w="1276"/>
        <w:gridCol w:w="1276"/>
        <w:gridCol w:w="1134"/>
      </w:tblGrid>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网络在线教育互动一体化综合培训服务平台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101,078.51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土地返还款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110,442.60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基于网络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的汇通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电子商务服务平台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92,363.52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15,762.25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15,762.25</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26,295,276.82</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1、营业外支出" w:id="338"/>
      <w:bookmarkEnd w:id="338"/>
      <w:r>
        <w:rPr>
          <w:b w:val="0"/>
          <w:bCs w:val="0"/>
        </w:rPr>
      </w:r>
      <w:r>
        <w:rPr>
          <w:rFonts w:ascii="Times New Roman" w:hAnsi="Times New Roman" w:cs="Times New Roman" w:eastAsia="Times New Roman" w:hint="default"/>
        </w:rPr>
        <w:t>51</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04"/>
        <w:gridCol w:w="2479"/>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2,935,230.00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346,800.00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2,935,230.00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2,718,288.08</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4,747,421.57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2,718,288.08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413,415.49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75,959.32</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413,415.49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434,659.07</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159,524.87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434,659.07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6,501,592.64</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5,329,705.76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6,501,592.64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2、所得税费用" w:id="339"/>
      <w:bookmarkEnd w:id="339"/>
      <w:r>
        <w:rPr>
          <w:b w:val="0"/>
          <w:bCs w:val="0"/>
        </w:rPr>
      </w:r>
      <w:r>
        <w:rPr>
          <w:rFonts w:ascii="Times New Roman" w:hAnsi="Times New Roman" w:cs="Times New Roman" w:eastAsia="Times New Roman" w:hint="default"/>
        </w:rPr>
        <w:t>52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40"/>
      <w:bookmarkEnd w:id="34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88,596,788.66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64,443,230.91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-15,145,752.89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-15,091,772.52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73,451,035.77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49,351,458.39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41"/>
      <w:bookmarkEnd w:id="34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514,764,776.89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51,476,477.69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21,833,380.56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-3,193,036.41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5,510,129.04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-1,181,991.01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8,674,315.67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税率变动对递延所得税资产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递延所得税费用变动影响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-1,569,440.12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-8,098,799.64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73,451,035.77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其他综合收益" w:id="342"/>
      <w:bookmarkEnd w:id="342"/>
      <w:r>
        <w:rPr>
          <w:b w:val="0"/>
          <w:bCs w:val="0"/>
        </w:rPr>
      </w:r>
      <w:r>
        <w:rPr>
          <w:rFonts w:ascii="Times New Roman" w:hAnsi="Times New Roman" w:cs="Times New Roman" w:eastAsia="Times New Roman" w:hint="default"/>
        </w:rPr>
        <w:t>53</w:t>
      </w:r>
      <w:r>
        <w:rPr/>
        <w:t>、其他综合收益</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1535" w:right="7548"/>
        <w:jc w:val="center"/>
      </w:pPr>
      <w:r>
        <w:rPr/>
        <w:t>详见附注</w:t>
      </w:r>
      <w:r>
        <w:rPr>
          <w:spacing w:val="-53"/>
        </w:rPr>
        <w:t> </w:t>
      </w:r>
      <w:r>
        <w:rPr>
          <w:rFonts w:ascii="Times New Roman" w:hAnsi="Times New Roman" w:cs="Times New Roman" w:eastAsia="Times New Roman" w:hint="default"/>
        </w:rPr>
        <w:t>36</w:t>
      </w:r>
      <w:r>
        <w:rPr/>
        <w:t>、其他综合收益。</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54、现金流量表项目" w:id="343"/>
      <w:bookmarkEnd w:id="343"/>
      <w:r>
        <w:rPr>
          <w:b w:val="0"/>
          <w:bCs w:val="0"/>
        </w:rPr>
      </w:r>
      <w:r>
        <w:rPr>
          <w:rFonts w:ascii="Times New Roman" w:hAnsi="Times New Roman" w:cs="Times New Roman" w:eastAsia="Times New Roman" w:hint="default"/>
        </w:rPr>
        <w:t>54</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收到的其他与经营活动有关的现金" w:id="344"/>
      <w:bookmarkEnd w:id="34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政府专项补贴款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16,455,541.96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18,740,813.52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3,258,362.48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3,824,359.79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49,937,533.42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85,461,463.17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69,651,437.86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108,026,636.48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45"/>
      <w:bookmarkEnd w:id="34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8,443,087.95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6,358,427.84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支付的往来款、销售费用及管理费用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222,448,963.93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203,895,052.72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230,892,051.88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210,253,480.56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46"/>
      <w:bookmarkEnd w:id="34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73,840,000.00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47"/>
      <w:bookmarkEnd w:id="34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支付深圳满泰收购款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新疆丝路转让款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4,490,243.20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4,490,243.20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291,000,000.00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348"/>
      <w:bookmarkEnd w:id="34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募集资金专户利息收入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1,863,341.61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1,100,940.10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30,140,786.21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18,547,988.96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32,004,127.82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19,648,929.06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49"/>
      <w:bookmarkEnd w:id="34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支付的银行承兑汇票或履约保证金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86,520,193.57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16,262,750.00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支付融资服务费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19,016,520.85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12,499,938.00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支付的股票发行费用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5,037,568.28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股权激励股份回购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710,100.00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106,246,814.42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33,800,256.28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5、现金流量表补充资料" w:id="350"/>
      <w:bookmarkEnd w:id="350"/>
      <w:r>
        <w:rPr>
          <w:b w:val="0"/>
          <w:bCs w:val="0"/>
        </w:rPr>
      </w:r>
      <w:r>
        <w:rPr>
          <w:rFonts w:ascii="Times New Roman" w:hAnsi="Times New Roman" w:cs="Times New Roman" w:eastAsia="Times New Roman" w:hint="default"/>
        </w:rPr>
        <w:t>55</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351"/>
      <w:bookmarkEnd w:id="35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441,313,741.12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323,856,004.21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100,888,119.53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35,952,634.70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103,205,794.45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83,483,506.98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45,560,638.01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31,948,629.59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7,747,841.87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5,620,938.39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2,718,241.88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4,741,421.57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r>
        <w:rPr/>
        <w:pict>
          <v:group style="position:absolute;margin-left:223.339996pt;margin-top:132.209976pt;width:151.25pt;height:40.9pt;mso-position-horizontal-relative:page;mso-position-vertical-relative:page;z-index:-1148536" coordorigin="4467,2644" coordsize="3025,818">
            <v:group style="position:absolute;left:4478;top:2656;width:2;height:393" coordorigin="4478,2656" coordsize="2,393">
              <v:shape style="position:absolute;left:4478;top:2656;width:2;height:393" coordorigin="4478,2656" coordsize="0,393" path="m4478,2656l4478,3048e" filled="false" stroked="true" strokeweight="1.140pt" strokecolor="#ffffff">
                <v:path arrowok="t"/>
              </v:shape>
            </v:group>
            <v:group style="position:absolute;left:4490;top:2656;width:3002;height:393" coordorigin="4490,2656" coordsize="3002,393">
              <v:shape style="position:absolute;left:4490;top:2656;width:3002;height:393" coordorigin="4490,2656" coordsize="3002,393" path="m4490,3048l7491,3048,7491,2656,4490,2656,4490,3048xe" filled="true" fillcolor="#ffffff" stroked="false">
                <v:path arrowok="t"/>
                <v:fill type="solid"/>
              </v:shape>
            </v:group>
            <v:group style="position:absolute;left:4478;top:3058;width:2;height:393" coordorigin="4478,3058" coordsize="2,393">
              <v:shape style="position:absolute;left:4478;top:3058;width:2;height:393" coordorigin="4478,3058" coordsize="0,393" path="m4478,3058l4478,3450e" filled="false" stroked="true" strokeweight="1.140pt" strokecolor="#ffffff">
                <v:path arrowok="t"/>
              </v:shape>
            </v:group>
            <v:group style="position:absolute;left:4490;top:3058;width:3002;height:393" coordorigin="4490,3058" coordsize="3002,393">
              <v:shape style="position:absolute;left:4490;top:3058;width:3002;height:393" coordorigin="4490,3058" coordsize="3002,393" path="m4490,3450l7491,3450,7491,3058,4490,3058,4490,3450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102,189,191.21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63,033,330.84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-335,373.23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-425,424.31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-17,282,258.17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-19,149,916.07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1,485,320.02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16,265,898.94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-99,853,405.35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-34,487,833.13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4" w:right="0"/>
              <w:jc w:val="left"/>
              <w:rPr>
                <w:rFonts w:ascii="Times New Roman" w:hAnsi="Times New Roman" w:cs="Times New Roman" w:eastAsia="Times New Roman" w:hint="default"/>
                <w:sz w:val="18"/>
                <w:szCs w:val="18"/>
              </w:rPr>
            </w:pPr>
            <w:r>
              <w:rPr>
                <w:rFonts w:ascii="Times New Roman"/>
                <w:sz w:val="18"/>
              </w:rPr>
              <w:t>-1,400,513,844.20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-1,136,592,805.18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738,227,615.84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968,949,992.51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25,352,086.98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343,196,379.04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4,431,709.41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9,037,606.84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1,581,414,095.69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2,056,075,667.78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2,056,075,667.78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508,449,711.52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-474,661,572.09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1,547,625,956.26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52"/>
      <w:bookmarkEnd w:id="35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33,934,288.28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65,768,000.00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非同一控制下合并中经汇通电子商务有限公司</w:t>
            </w:r>
            <w:r>
              <w:rPr>
                <w:rFonts w:ascii="Times New Roman" w:hAnsi="Times New Roman" w:cs="Times New Roman" w:eastAsia="Times New Roman" w:hint="default"/>
                <w:sz w:val="18"/>
                <w:szCs w:val="18"/>
              </w:rPr>
              <w:t>&amp;</w:t>
            </w:r>
            <w:r>
              <w:rPr>
                <w:rFonts w:ascii="宋体" w:hAnsi="宋体" w:cs="宋体" w:eastAsia="宋体" w:hint="default"/>
                <w:sz w:val="18"/>
                <w:szCs w:val="18"/>
              </w:rPr>
              <w:t>汇通宝支付有</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65,768,000.00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36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322,833,711.72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收到的处置子公司的现金净额" w:id="353"/>
      <w:bookmarkEnd w:id="35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现金和现金等价物的构成" w:id="354"/>
      <w:bookmarkEnd w:id="35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1,581,414,095.69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2,056,075,667.78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320,955.16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307,063.08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1,581,093,140.53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2,055,768,604.70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1,581,414,095.69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2,056,075,667.78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6、所有权或使用权受到限制的资产" w:id="355"/>
      <w:bookmarkEnd w:id="355"/>
      <w:r>
        <w:rPr>
          <w:b w:val="0"/>
          <w:bCs w:val="0"/>
        </w:rPr>
      </w:r>
      <w:r>
        <w:rPr>
          <w:rFonts w:ascii="Times New Roman" w:hAnsi="Times New Roman" w:cs="Times New Roman" w:eastAsia="Times New Roman" w:hint="default"/>
        </w:rPr>
        <w:t>56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85,312,114.84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、货币资金（其他货币资金）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172,539,549.74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作为取得借款的抵押物</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306,571,400.00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作为取得借款的抵押物</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结构性存款，并作为取得借款的质押物</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589,423,064.58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3"/>
          <w:szCs w:val="13"/>
        </w:rPr>
      </w:pPr>
    </w:p>
    <w:p>
      <w:pPr>
        <w:pStyle w:val="BodyText"/>
        <w:spacing w:line="328" w:lineRule="auto"/>
        <w:ind w:left="1134" w:right="0" w:firstLine="420"/>
        <w:jc w:val="left"/>
      </w:pPr>
      <w:r>
        <w:rPr>
          <w:rFonts w:ascii="Times New Roman" w:hAnsi="Times New Roman" w:cs="Times New Roman" w:eastAsia="Times New Roman" w:hint="default"/>
          <w:spacing w:val="-2"/>
        </w:rPr>
        <w:t>1</w:t>
      </w:r>
      <w:r>
        <w:rPr>
          <w:spacing w:val="-2"/>
        </w:rPr>
        <w:t>、期末用于质押的编号为</w:t>
      </w:r>
      <w:r>
        <w:rPr>
          <w:rFonts w:ascii="Times New Roman" w:hAnsi="Times New Roman" w:cs="Times New Roman" w:eastAsia="Times New Roman" w:hint="default"/>
          <w:spacing w:val="-2"/>
        </w:rPr>
        <w:t>00001933</w:t>
      </w:r>
      <w:r>
        <w:rPr>
          <w:spacing w:val="-2"/>
        </w:rPr>
        <w:t>的单位定期存单账面原值为</w:t>
      </w:r>
      <w:r>
        <w:rPr>
          <w:rFonts w:ascii="Times New Roman" w:hAnsi="Times New Roman" w:cs="Times New Roman" w:eastAsia="Times New Roman" w:hint="default"/>
          <w:spacing w:val="-2"/>
        </w:rPr>
        <w:t>25,000,000.00</w:t>
      </w:r>
      <w:r>
        <w:rPr>
          <w:spacing w:val="-2"/>
        </w:rPr>
        <w:t>元，抵押资产明细详见附</w:t>
      </w:r>
      <w:r>
        <w:rPr/>
        <w:t> 注七</w:t>
      </w:r>
      <w:r>
        <w:rPr>
          <w:rFonts w:ascii="Times New Roman" w:hAnsi="Times New Roman" w:cs="Times New Roman" w:eastAsia="Times New Roman" w:hint="default"/>
        </w:rPr>
        <w:t>29</w:t>
      </w:r>
      <w:r>
        <w:rPr/>
        <w:t>、长期借款。</w:t>
      </w:r>
    </w:p>
    <w:p>
      <w:pPr>
        <w:pStyle w:val="BodyText"/>
        <w:spacing w:line="240" w:lineRule="auto" w:before="24"/>
        <w:ind w:left="1554" w:right="0"/>
        <w:jc w:val="left"/>
      </w:pPr>
      <w:r>
        <w:rPr>
          <w:rFonts w:ascii="Times New Roman" w:hAnsi="Times New Roman" w:cs="Times New Roman" w:eastAsia="Times New Roman" w:hint="default"/>
        </w:rPr>
        <w:t>2</w:t>
      </w:r>
      <w:r>
        <w:rPr/>
        <w:t>、期末用于抵押的固定资产账面原值为</w:t>
      </w:r>
      <w:r>
        <w:rPr>
          <w:rFonts w:ascii="Times New Roman" w:hAnsi="Times New Roman" w:cs="Times New Roman" w:eastAsia="Times New Roman" w:hint="default"/>
        </w:rPr>
        <w:t>172,539,549.74</w:t>
      </w:r>
      <w:r>
        <w:rPr/>
        <w:t>元，抵押资产明细详见附注七</w:t>
      </w:r>
      <w:r>
        <w:rPr>
          <w:rFonts w:ascii="Times New Roman" w:hAnsi="Times New Roman" w:cs="Times New Roman" w:eastAsia="Times New Roman" w:hint="default"/>
        </w:rPr>
        <w:t>29</w:t>
      </w:r>
      <w:r>
        <w:rPr/>
        <w:t>、长期借款。</w:t>
      </w:r>
    </w:p>
    <w:p>
      <w:pPr>
        <w:spacing w:after="0" w:line="240" w:lineRule="auto"/>
        <w:jc w:val="left"/>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left="1553" w:right="0"/>
        <w:jc w:val="left"/>
      </w:pPr>
      <w:r>
        <w:rPr>
          <w:rFonts w:ascii="Times New Roman" w:hAnsi="Times New Roman" w:cs="Times New Roman" w:eastAsia="Times New Roman" w:hint="default"/>
        </w:rPr>
        <w:t>3</w:t>
      </w:r>
      <w:r>
        <w:rPr/>
        <w:t>、期末用于抵押的无形资产账面原值为</w:t>
      </w:r>
      <w:r>
        <w:rPr>
          <w:rFonts w:ascii="Times New Roman" w:hAnsi="Times New Roman" w:cs="Times New Roman" w:eastAsia="Times New Roman" w:hint="default"/>
        </w:rPr>
        <w:t>306,571,400.00</w:t>
      </w:r>
      <w:r>
        <w:rPr/>
        <w:t>元，详见附注七</w:t>
      </w:r>
      <w:r>
        <w:rPr>
          <w:rFonts w:ascii="Times New Roman" w:hAnsi="Times New Roman" w:cs="Times New Roman" w:eastAsia="Times New Roman" w:hint="default"/>
        </w:rPr>
        <w:t>29</w:t>
      </w:r>
      <w:r>
        <w:rPr/>
        <w:t>、长期借款。</w:t>
      </w:r>
    </w:p>
    <w:p>
      <w:pPr>
        <w:spacing w:line="240" w:lineRule="auto" w:before="6"/>
        <w:rPr>
          <w:rFonts w:ascii="宋体" w:hAnsi="宋体" w:cs="宋体" w:eastAsia="宋体" w:hint="default"/>
          <w:sz w:val="24"/>
          <w:szCs w:val="24"/>
        </w:rPr>
      </w:pPr>
    </w:p>
    <w:p>
      <w:pPr>
        <w:pStyle w:val="Heading3"/>
        <w:spacing w:line="240" w:lineRule="auto"/>
        <w:ind w:left="1133" w:right="0"/>
        <w:jc w:val="left"/>
        <w:rPr>
          <w:b w:val="0"/>
          <w:bCs w:val="0"/>
        </w:rPr>
      </w:pPr>
      <w:bookmarkStart w:name="57、外币货币性项目" w:id="356"/>
      <w:bookmarkEnd w:id="356"/>
      <w:r>
        <w:rPr>
          <w:b w:val="0"/>
          <w:bCs w:val="0"/>
        </w:rPr>
      </w:r>
      <w:r>
        <w:rPr>
          <w:rFonts w:ascii="Times New Roman" w:hAnsi="Times New Roman" w:cs="Times New Roman" w:eastAsia="Times New Roman" w:hint="default"/>
        </w:rPr>
        <w:t>57</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外币货币性项目" w:id="357"/>
      <w:bookmarkEnd w:id="35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80,293.94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524,656.67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141.95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境外经营实体说明，包括对于重要的境外经营实体，应披露其境外主要经营地、记账" w:id="358"/>
      <w:bookmarkEnd w:id="35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八、合并范围的变更" w:id="359"/>
      <w:bookmarkEnd w:id="359"/>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非同一控制下企业合并" w:id="360"/>
      <w:bookmarkEnd w:id="36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期发生的非同一控制下企业合并" w:id="361"/>
      <w:bookmarkEnd w:id="36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987" w:type="dxa"/>
        <w:tblLayout w:type="fixed"/>
        <w:tblCellMar>
          <w:top w:w="0" w:type="dxa"/>
          <w:left w:w="0" w:type="dxa"/>
          <w:bottom w:w="0" w:type="dxa"/>
          <w:right w:w="0" w:type="dxa"/>
        </w:tblCellMar>
        <w:tblLook w:val="01E0"/>
      </w:tblPr>
      <w:tblGrid>
        <w:gridCol w:w="1560"/>
        <w:gridCol w:w="850"/>
        <w:gridCol w:w="1276"/>
        <w:gridCol w:w="710"/>
        <w:gridCol w:w="851"/>
        <w:gridCol w:w="851"/>
        <w:gridCol w:w="1418"/>
        <w:gridCol w:w="1276"/>
        <w:gridCol w:w="1134"/>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0" w:right="77"/>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3" w:right="72" w:hanging="540"/>
              <w:jc w:val="left"/>
              <w:rPr>
                <w:rFonts w:ascii="宋体" w:hAnsi="宋体" w:cs="宋体" w:eastAsia="宋体" w:hint="default"/>
                <w:sz w:val="18"/>
                <w:szCs w:val="18"/>
              </w:rPr>
            </w:pPr>
            <w:r>
              <w:rPr>
                <w:rFonts w:ascii="宋体" w:hAnsi="宋体" w:cs="宋体" w:eastAsia="宋体" w:hint="default"/>
                <w:sz w:val="18"/>
                <w:szCs w:val="18"/>
              </w:rPr>
              <w:t>购买日的确定依 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深圳市蓝盾满泰科 技发展有限公司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582,000,000.00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完成股权转让登 记并取得控制权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226,472,813.76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73,602,341.13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362"/>
      <w:bookmarkEnd w:id="36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63"/>
        <w:gridCol w:w="4606"/>
      </w:tblGrid>
      <w:tr>
        <w:trPr>
          <w:trHeight w:val="402" w:hRule="exact"/>
        </w:trPr>
        <w:tc>
          <w:tcPr>
            <w:tcW w:w="4963"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60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47"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582,000,000.00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582,000,000.00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88,413,983.12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493,586,016.88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3"/>
        <w:rPr>
          <w:rFonts w:ascii="宋体" w:hAnsi="宋体" w:cs="宋体" w:eastAsia="宋体" w:hint="default"/>
          <w:sz w:val="21"/>
          <w:szCs w:val="21"/>
        </w:rPr>
      </w:pPr>
    </w:p>
    <w:p>
      <w:pPr>
        <w:spacing w:line="357" w:lineRule="auto" w:before="44"/>
        <w:ind w:left="1133" w:right="589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合并成本公允价值的确定方法、或有对价及其变动的说明：无 大额商誉形成的主要原因：无</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3）被购买方于购买日可辨认资产、负债" w:id="363"/>
      <w:bookmarkEnd w:id="36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825"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35,449,328.08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35,449,328.08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133,174,451.24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133,174,451.24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28,059,777.55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28,059,777.55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13,231,780.01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12,545,147.58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30,285,255.99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67,185.16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2,173,797.90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2,173,797.90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2,873,313.54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2,873,313.54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338,787.14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338,787.14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2,480,999.82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2,480,999.82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32,431,661.06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32,431,661.06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4,635,705.49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46,462,858.29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46,462,858.29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1,182,227.37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1,182,227.37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14,667,578.53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14,667,578.53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403,822.00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403,822.00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147,356,638.53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121,087,640.76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147,356,638.53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121,087,640.76</w:t>
            </w:r>
          </w:p>
        </w:tc>
      </w:tr>
    </w:tbl>
    <w:p>
      <w:pPr>
        <w:spacing w:line="360" w:lineRule="auto" w:before="51"/>
        <w:ind w:left="1133" w:right="7333"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可辨认资产、负债公允价值的确定方法：无 企业合并中承担的被购买方的或有负债：无</w:t>
      </w:r>
    </w:p>
    <w:p>
      <w:pPr>
        <w:spacing w:after="0" w:line="36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2、同一控制下企业合并" w:id="364"/>
      <w:bookmarkEnd w:id="36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580" w:lineRule="auto"/>
        <w:ind w:left="1553" w:right="7275" w:hanging="420"/>
        <w:jc w:val="left"/>
        <w:rPr>
          <w:rFonts w:ascii="宋体" w:hAnsi="宋体" w:cs="宋体" w:eastAsia="宋体" w:hint="default"/>
          <w:b w:val="0"/>
          <w:bCs w:val="0"/>
        </w:rPr>
      </w:pPr>
      <w:bookmarkStart w:name="（1）本期发生的同一控制下企业合并" w:id="365"/>
      <w:bookmarkEnd w:id="365"/>
      <w:r>
        <w:rPr>
          <w:b w:val="0"/>
          <w:bCs w:val="0"/>
        </w:rPr>
      </w:r>
      <w:r>
        <w:rPr/>
        <w:t>（</w:t>
      </w:r>
      <w:r>
        <w:rPr>
          <w:rFonts w:ascii="Times New Roman" w:hAnsi="Times New Roman" w:cs="Times New Roman" w:eastAsia="Times New Roman" w:hint="default"/>
        </w:rPr>
        <w:t>1</w:t>
      </w:r>
      <w:r>
        <w:rPr/>
        <w:t>）本期发生的同一控制下企业合并</w:t>
      </w:r>
      <w:r>
        <w:rPr>
          <w:w w:val="99"/>
        </w:rPr>
        <w:t> </w:t>
      </w:r>
      <w:r>
        <w:rPr>
          <w:rFonts w:ascii="宋体" w:hAnsi="宋体" w:cs="宋体" w:eastAsia="宋体" w:hint="default"/>
          <w:b w:val="0"/>
          <w:bCs w:val="0"/>
        </w:rPr>
        <w:t>无。</w:t>
      </w:r>
    </w:p>
    <w:p>
      <w:pPr>
        <w:pStyle w:val="Heading3"/>
        <w:spacing w:line="580" w:lineRule="auto" w:before="37"/>
        <w:ind w:left="1553" w:right="9383" w:hanging="420"/>
        <w:jc w:val="left"/>
        <w:rPr>
          <w:rFonts w:ascii="宋体" w:hAnsi="宋体" w:cs="宋体" w:eastAsia="宋体" w:hint="default"/>
          <w:b w:val="0"/>
          <w:bCs w:val="0"/>
        </w:rPr>
      </w:pPr>
      <w:bookmarkStart w:name="（2）合并成本" w:id="366"/>
      <w:bookmarkEnd w:id="366"/>
      <w:r>
        <w:rPr>
          <w:b w:val="0"/>
          <w:bCs w:val="0"/>
        </w:rPr>
      </w:r>
      <w:r>
        <w:rPr/>
        <w:t>（</w:t>
      </w:r>
      <w:r>
        <w:rPr>
          <w:rFonts w:ascii="Times New Roman" w:hAnsi="Times New Roman" w:cs="Times New Roman" w:eastAsia="Times New Roman" w:hint="default"/>
        </w:rPr>
        <w:t>2</w:t>
      </w:r>
      <w:r>
        <w:rPr/>
        <w:t>）合并成本</w:t>
      </w:r>
      <w:r>
        <w:rPr>
          <w:w w:val="99"/>
        </w:rPr>
        <w:t> </w:t>
      </w:r>
      <w:r>
        <w:rPr>
          <w:rFonts w:ascii="宋体" w:hAnsi="宋体" w:cs="宋体" w:eastAsia="宋体" w:hint="default"/>
          <w:b w:val="0"/>
          <w:bCs w:val="0"/>
        </w:rPr>
        <w:t>无。</w:t>
      </w:r>
    </w:p>
    <w:p>
      <w:pPr>
        <w:pStyle w:val="Heading3"/>
        <w:spacing w:line="580" w:lineRule="auto" w:before="36"/>
        <w:ind w:left="1553" w:right="6642" w:hanging="420"/>
        <w:jc w:val="left"/>
        <w:rPr>
          <w:rFonts w:ascii="宋体" w:hAnsi="宋体" w:cs="宋体" w:eastAsia="宋体" w:hint="default"/>
          <w:b w:val="0"/>
          <w:bCs w:val="0"/>
        </w:rPr>
      </w:pPr>
      <w:bookmarkStart w:name="（3）合并日被合并方资产、负债的账面价值" w:id="367"/>
      <w:bookmarkEnd w:id="367"/>
      <w:r>
        <w:rPr>
          <w:b w:val="0"/>
          <w:bCs w:val="0"/>
        </w:rPr>
      </w:r>
      <w:r>
        <w:rPr/>
        <w:t>（</w:t>
      </w:r>
      <w:r>
        <w:rPr>
          <w:rFonts w:ascii="Times New Roman" w:hAnsi="Times New Roman" w:cs="Times New Roman" w:eastAsia="Times New Roman" w:hint="default"/>
        </w:rPr>
        <w:t>3</w:t>
      </w:r>
      <w:r>
        <w:rPr/>
        <w:t>）合并日被合并方资产、负债的账面价值</w:t>
      </w:r>
      <w:r>
        <w:rPr>
          <w:w w:val="99"/>
        </w:rPr>
        <w:t> </w:t>
      </w:r>
      <w:r>
        <w:rPr>
          <w:rFonts w:ascii="宋体" w:hAnsi="宋体" w:cs="宋体" w:eastAsia="宋体" w:hint="default"/>
          <w:b w:val="0"/>
          <w:bCs w:val="0"/>
        </w:rPr>
        <w:t>无。</w:t>
      </w:r>
    </w:p>
    <w:p>
      <w:pPr>
        <w:pStyle w:val="Heading3"/>
        <w:spacing w:line="240" w:lineRule="auto" w:before="37"/>
        <w:ind w:left="1133" w:right="0"/>
        <w:jc w:val="left"/>
        <w:rPr>
          <w:b w:val="0"/>
          <w:bCs w:val="0"/>
        </w:rPr>
      </w:pPr>
      <w:bookmarkStart w:name="3、反向购买" w:id="368"/>
      <w:bookmarkEnd w:id="36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6"/>
        <w:rPr>
          <w:rFonts w:ascii="宋体" w:hAnsi="宋体" w:cs="宋体" w:eastAsia="宋体" w:hint="default"/>
          <w:b/>
          <w:bCs/>
          <w:sz w:val="31"/>
          <w:szCs w:val="31"/>
        </w:rPr>
      </w:pPr>
    </w:p>
    <w:p>
      <w:pPr>
        <w:pStyle w:val="BodyText"/>
        <w:spacing w:line="240" w:lineRule="auto"/>
        <w:ind w:left="1553" w:right="0"/>
        <w:jc w:val="left"/>
      </w:pPr>
      <w:r>
        <w:rPr/>
        <w:t>本报告期内未发生反向购买。</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4、处置子公司" w:id="369"/>
      <w:bookmarkEnd w:id="36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10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9"/>
        <w:gridCol w:w="1276"/>
        <w:gridCol w:w="708"/>
        <w:gridCol w:w="710"/>
        <w:gridCol w:w="1134"/>
        <w:gridCol w:w="2978"/>
        <w:gridCol w:w="1417"/>
      </w:tblGrid>
      <w:tr>
        <w:trPr>
          <w:trHeight w:val="165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丧失控制权时点的确定依据</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2"/>
              <w:jc w:val="both"/>
              <w:rPr>
                <w:rFonts w:ascii="宋体" w:hAnsi="宋体" w:cs="宋体" w:eastAsia="宋体" w:hint="default"/>
                <w:sz w:val="18"/>
                <w:szCs w:val="18"/>
              </w:rPr>
            </w:pPr>
            <w:r>
              <w:rPr>
                <w:rFonts w:ascii="宋体" w:hAnsi="宋体" w:cs="宋体" w:eastAsia="宋体" w:hint="default"/>
                <w:sz w:val="18"/>
                <w:szCs w:val="18"/>
              </w:rPr>
              <w:t>处置价款与处置 投资对应的合并 财务报表层面享 有该子公司净资 产份额的差额</w:t>
            </w:r>
          </w:p>
        </w:tc>
      </w:tr>
      <w:tr>
        <w:trPr>
          <w:trHeight w:val="21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5"/>
              <w:jc w:val="left"/>
              <w:rPr>
                <w:rFonts w:ascii="宋体" w:hAnsi="宋体" w:cs="宋体" w:eastAsia="宋体" w:hint="default"/>
                <w:sz w:val="18"/>
                <w:szCs w:val="18"/>
              </w:rPr>
            </w:pPr>
            <w:r>
              <w:rPr>
                <w:rFonts w:ascii="宋体" w:hAnsi="宋体" w:cs="宋体" w:eastAsia="宋体" w:hint="default"/>
                <w:sz w:val="18"/>
                <w:szCs w:val="18"/>
              </w:rPr>
              <w:t>新疆丝路蓝盾教 育科技有限公司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55.00%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①股权转让协议已签署并生效；</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②已完成了产权交易手续；</w:t>
            </w:r>
          </w:p>
          <w:p>
            <w:pPr>
              <w:pStyle w:val="TableParagraph"/>
              <w:spacing w:line="319" w:lineRule="auto" w:before="115"/>
              <w:ind w:left="22" w:right="63"/>
              <w:jc w:val="left"/>
              <w:rPr>
                <w:rFonts w:ascii="宋体" w:hAnsi="宋体" w:cs="宋体" w:eastAsia="宋体" w:hint="default"/>
                <w:sz w:val="18"/>
                <w:szCs w:val="18"/>
              </w:rPr>
            </w:pPr>
            <w:r>
              <w:rPr>
                <w:rFonts w:ascii="宋体" w:hAnsi="宋体" w:cs="宋体" w:eastAsia="宋体" w:hint="default"/>
                <w:sz w:val="18"/>
                <w:szCs w:val="18"/>
              </w:rPr>
              <w:t>③公司的生产经营已经由新股东接手 </w:t>
            </w:r>
            <w:r>
              <w:rPr>
                <w:rFonts w:ascii="宋体" w:hAnsi="宋体" w:cs="宋体" w:eastAsia="宋体" w:hint="default"/>
                <w:spacing w:val="-4"/>
                <w:sz w:val="18"/>
                <w:szCs w:val="18"/>
              </w:rPr>
              <w:t>负责，原股东已经退出生产经营管理</w:t>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④已经收到了全部的股权转让款；</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⑤工商登记已变更；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162" w:lineRule="exact"/>
              <w:ind w:left="753" w:right="0"/>
              <w:jc w:val="left"/>
              <w:rPr>
                <w:rFonts w:ascii="Times New Roman" w:hAnsi="Times New Roman" w:cs="Times New Roman" w:eastAsia="Times New Roman" w:hint="default"/>
                <w:sz w:val="18"/>
                <w:szCs w:val="18"/>
              </w:rPr>
            </w:pPr>
            <w:r>
              <w:rPr>
                <w:rFonts w:ascii="Times New Roman"/>
                <w:sz w:val="18"/>
              </w:rPr>
              <w:t>5,366.24</w:t>
            </w:r>
          </w:p>
          <w:p>
            <w:pPr>
              <w:pStyle w:val="TableParagraph"/>
              <w:spacing w:line="19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before="51"/>
        <w:ind w:left="1134" w:right="0" w:firstLine="0"/>
        <w:jc w:val="left"/>
        <w:rPr>
          <w:rFonts w:ascii="宋体" w:hAnsi="宋体" w:cs="宋体" w:eastAsia="宋体" w:hint="default"/>
          <w:sz w:val="18"/>
          <w:szCs w:val="18"/>
        </w:rPr>
      </w:pPr>
      <w:r>
        <w:rPr/>
        <w:pict>
          <v:group style="position:absolute;margin-left:468.119995pt;margin-top:-63.648277pt;width:70.350pt;height:63.15pt;mso-position-horizontal-relative:page;mso-position-vertical-relative:paragraph;z-index:-1148512" coordorigin="9362,-1273" coordsize="1407,1263">
            <v:group style="position:absolute;left:9374;top:-1262;width:2;height:392" coordorigin="9374,-1262" coordsize="2,392">
              <v:shape style="position:absolute;left:9374;top:-1262;width:2;height:392" coordorigin="9374,-1262" coordsize="0,392" path="m9374,-1262l9374,-870e" filled="false" stroked="true" strokeweight="1.140pt" strokecolor="#ffffff">
                <v:path arrowok="t"/>
              </v:shape>
            </v:group>
            <v:group style="position:absolute;left:9362;top:-870;width:1407;height:861" coordorigin="9362,-870" coordsize="1407,861">
              <v:shape style="position:absolute;left:9362;top:-870;width:1407;height:861" coordorigin="9362,-870" coordsize="1407,861" path="m9362,-10l10769,-10,10769,-870,9362,-870,9362,-10xe" filled="true" fillcolor="#ffffff" stroked="false">
                <v:path arrowok="t"/>
                <v:fill type="solid"/>
              </v:shape>
            </v:group>
            <v:group style="position:absolute;left:9385;top:-1262;width:1361;height:392" coordorigin="9385,-1262" coordsize="1361,392">
              <v:shape style="position:absolute;left:9385;top:-1262;width:1361;height:392" coordorigin="9385,-1262" coordsize="1361,392" path="m9385,-870l10746,-870,10746,-1262,9385,-1262,9385,-870xe" filled="true" fillcolor="#ffffff" stroked="false">
                <v:path arrowok="t"/>
                <v:fill type="solid"/>
              </v:shape>
            </v:group>
            <w10:wrap type="none"/>
          </v:group>
        </w:pict>
      </w:r>
      <w:r>
        <w:rPr>
          <w:rFonts w:ascii="宋体" w:hAnsi="宋体" w:cs="宋体" w:eastAsia="宋体" w:hint="default"/>
          <w:sz w:val="18"/>
          <w:szCs w:val="18"/>
        </w:rPr>
        <w:t>是否存在通过多次交易分步处置对子公司投资且在本期丧失控制权的情形</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其他原因的合并范围变动" w:id="370"/>
      <w:bookmarkEnd w:id="37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13"/>
          <w:szCs w:val="13"/>
        </w:rPr>
      </w:pPr>
    </w:p>
    <w:p>
      <w:pPr>
        <w:pStyle w:val="BodyText"/>
        <w:spacing w:line="240" w:lineRule="auto"/>
        <w:ind w:left="155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日，公司控股子公司深圳市蓝盾满泰科技发展有限公司投资设立全资子公司广州市满泰</w:t>
      </w:r>
    </w:p>
    <w:p>
      <w:pPr>
        <w:spacing w:after="0" w:line="240" w:lineRule="auto"/>
        <w:jc w:val="left"/>
        <w:sectPr>
          <w:type w:val="continuous"/>
          <w:pgSz w:w="11910" w:h="16840"/>
          <w:pgMar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信息科技有限公司，注册资本</w:t>
      </w:r>
      <w:r>
        <w:rPr>
          <w:rFonts w:ascii="Times New Roman" w:hAnsi="Times New Roman" w:cs="Times New Roman" w:eastAsia="Times New Roman" w:hint="default"/>
        </w:rPr>
        <w:t>100,000,000,00</w:t>
      </w:r>
      <w:r>
        <w:rPr/>
        <w:t>元。</w:t>
      </w:r>
    </w:p>
    <w:p>
      <w:pPr>
        <w:pStyle w:val="BodyText"/>
        <w:spacing w:line="331" w:lineRule="auto" w:before="109"/>
        <w:ind w:left="1134" w:right="1131"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日，公司与广西立德众人信息技术有限公司投资设立蓝盾股份控股子公司广西蓝盾智慧城</w:t>
      </w:r>
      <w:r>
        <w:rPr/>
        <w:t> 市信息技术有限公司，注册资本</w:t>
      </w:r>
      <w:r>
        <w:rPr>
          <w:rFonts w:ascii="Times New Roman" w:hAnsi="Times New Roman" w:cs="Times New Roman" w:eastAsia="Times New Roman" w:hint="default"/>
        </w:rPr>
        <w:t>10,000,000</w:t>
      </w:r>
      <w:r>
        <w:rPr/>
        <w:t>元，公司认缴出资额为</w:t>
      </w:r>
      <w:r>
        <w:rPr>
          <w:rFonts w:ascii="Times New Roman" w:hAnsi="Times New Roman" w:cs="Times New Roman" w:eastAsia="Times New Roman" w:hint="default"/>
        </w:rPr>
        <w:t>510,000.00</w:t>
      </w:r>
      <w:r>
        <w:rPr/>
        <w:t>元，持股比例为</w:t>
      </w:r>
      <w:r>
        <w:rPr>
          <w:rFonts w:ascii="Times New Roman" w:hAnsi="Times New Roman" w:cs="Times New Roman" w:eastAsia="Times New Roman" w:hint="default"/>
        </w:rPr>
        <w:t>51.00%</w:t>
      </w:r>
      <w:r>
        <w:rPr/>
        <w:t>。</w:t>
      </w:r>
    </w:p>
    <w:p>
      <w:pPr>
        <w:pStyle w:val="BodyText"/>
        <w:spacing w:line="331" w:lineRule="auto" w:before="21"/>
        <w:ind w:right="1131"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8</w:t>
      </w:r>
      <w:r>
        <w:rPr>
          <w:spacing w:val="-1"/>
        </w:rPr>
        <w:t>日，公司与新疆软件园有限责任公司签订股权转让协议，双方约定，以新疆丝路蓝盾教育</w:t>
      </w:r>
      <w:r>
        <w:rPr/>
        <w:t> 科技有限公司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日的净资产</w:t>
      </w:r>
      <w:r>
        <w:rPr>
          <w:rFonts w:ascii="Times New Roman" w:hAnsi="Times New Roman" w:cs="Times New Roman" w:eastAsia="Times New Roman" w:hint="default"/>
        </w:rPr>
        <w:t>9,990,243.20</w:t>
      </w:r>
      <w:r>
        <w:rPr/>
        <w:t>元为基准，公司将其持有的新疆丝路蓝盾教育科技有限 </w:t>
      </w:r>
      <w:r>
        <w:rPr>
          <w:spacing w:val="-2"/>
        </w:rPr>
        <w:t>公司全部股权</w:t>
      </w:r>
      <w:r>
        <w:rPr>
          <w:rFonts w:ascii="Times New Roman" w:hAnsi="Times New Roman" w:cs="Times New Roman" w:eastAsia="Times New Roman" w:hint="default"/>
          <w:spacing w:val="-2"/>
        </w:rPr>
        <w:t>55.00%</w:t>
      </w:r>
      <w:r>
        <w:rPr>
          <w:spacing w:val="-2"/>
        </w:rPr>
        <w:t>以</w:t>
      </w:r>
      <w:r>
        <w:rPr>
          <w:rFonts w:ascii="Times New Roman" w:hAnsi="Times New Roman" w:cs="Times New Roman" w:eastAsia="Times New Roman" w:hint="default"/>
          <w:spacing w:val="-2"/>
        </w:rPr>
        <w:t>5,500,000.00</w:t>
      </w:r>
      <w:r>
        <w:rPr>
          <w:spacing w:val="-2"/>
        </w:rPr>
        <w:t>元的转让价格转让给新疆软件园，此次转让后，公司不再持有新疆丝路</w:t>
      </w:r>
      <w:r>
        <w:rPr>
          <w:spacing w:val="-87"/>
        </w:rPr>
        <w:t> </w:t>
      </w:r>
      <w:r>
        <w:rPr>
          <w:spacing w:val="-87"/>
        </w:rPr>
      </w:r>
      <w:r>
        <w:rPr/>
        <w:t>蓝盾教育科技有限公司股份。</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九、在其他主体中的权益" w:id="371"/>
      <w:bookmarkEnd w:id="37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在子公司中的权益" w:id="372"/>
      <w:bookmarkEnd w:id="37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企业集团的构成" w:id="373"/>
      <w:bookmarkEnd w:id="37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19"/>
        <w:gridCol w:w="851"/>
        <w:gridCol w:w="851"/>
        <w:gridCol w:w="1700"/>
        <w:gridCol w:w="710"/>
        <w:gridCol w:w="708"/>
        <w:gridCol w:w="1985"/>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30" w:right="59"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教育培训服务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研究和试验发展</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西咸新区蓝盾信息安全技术有限公司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48"/>
              <w:jc w:val="left"/>
              <w:rPr>
                <w:rFonts w:ascii="宋体" w:hAnsi="宋体" w:cs="宋体" w:eastAsia="宋体" w:hint="default"/>
                <w:sz w:val="18"/>
                <w:szCs w:val="18"/>
              </w:rPr>
            </w:pPr>
            <w:r>
              <w:rPr>
                <w:rFonts w:ascii="宋体" w:hAnsi="宋体" w:cs="宋体" w:eastAsia="宋体" w:hint="default"/>
                <w:spacing w:val="-10"/>
                <w:sz w:val="18"/>
                <w:szCs w:val="18"/>
              </w:rPr>
              <w:t>雷电防护（电磁安防）</w:t>
            </w:r>
            <w:r>
              <w:rPr>
                <w:rFonts w:ascii="宋体" w:hAnsi="宋体" w:cs="宋体" w:eastAsia="宋体" w:hint="default"/>
                <w:sz w:val="18"/>
                <w:szCs w:val="18"/>
              </w:rPr>
            </w:r>
          </w:p>
        </w:tc>
        <w:tc>
          <w:tcPr>
            <w:tcW w:w="71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392" w:lineRule="exact"/>
              <w:ind w:left="16" w:right="-28"/>
              <w:jc w:val="left"/>
              <w:rPr>
                <w:rFonts w:ascii="宋体" w:hAnsi="宋体" w:cs="宋体" w:eastAsia="宋体" w:hint="default"/>
                <w:sz w:val="20"/>
                <w:szCs w:val="20"/>
              </w:rPr>
            </w:pPr>
            <w:r>
              <w:rPr>
                <w:rFonts w:ascii="宋体" w:hAnsi="宋体" w:cs="宋体" w:eastAsia="宋体" w:hint="default"/>
                <w:position w:val="-7"/>
                <w:sz w:val="20"/>
                <w:szCs w:val="20"/>
              </w:rPr>
              <w:pict>
                <v:group style="width:32.75pt;height:19.650pt;mso-position-horizontal-relative:char;mso-position-vertical-relative:line" coordorigin="0,0" coordsize="655,393">
                  <v:group style="position:absolute;left:0;top:0;width:655;height:393" coordorigin="0,0" coordsize="655,393">
                    <v:shape style="position:absolute;left:0;top:0;width:655;height:393" coordorigin="0,0" coordsize="655,393" path="m0,392l654,392,654,0,0,0,0,392xe" filled="true" fillcolor="#ffffff" stroked="false">
                      <v:path arrowok="t"/>
                      <v:fill type="solid"/>
                    </v:shape>
                  </v:group>
                </v:group>
              </w:pict>
            </w:r>
            <w:r>
              <w:rPr>
                <w:rFonts w:ascii="宋体" w:hAnsi="宋体" w:cs="宋体" w:eastAsia="宋体" w:hint="default"/>
                <w:position w:val="-7"/>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3119"/>
        <w:gridCol w:w="851"/>
        <w:gridCol w:w="851"/>
        <w:gridCol w:w="1700"/>
        <w:gridCol w:w="710"/>
        <w:gridCol w:w="708"/>
        <w:gridCol w:w="1985"/>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信息传输、软件和信 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信息传输、软件和信 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广州蓝盾数据安全科技创新有限公司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科学研究和技术服务 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高安市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高安市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福建中经汇通有限责任公司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广州蓝盾工控技术有限公司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科学研究和技术服务 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新疆蓝盾信息安全技术有限公司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伊犁州霍 尔果斯市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伊犁州霍 尔果斯市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信息传输、软件和信 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信息传输、软件和信 息技术服务业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软件和信息技术服务 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北京华炜思创科技有限公司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科技推广和应用服务 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香港蓝盾信息安全科技有限公司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line="240" w:lineRule="auto" w:before="10"/>
        <w:rPr>
          <w:rFonts w:ascii="宋体" w:hAnsi="宋体" w:cs="宋体" w:eastAsia="宋体" w:hint="default"/>
          <w:sz w:val="13"/>
          <w:szCs w:val="13"/>
        </w:rPr>
      </w:pPr>
    </w:p>
    <w:p>
      <w:pPr>
        <w:spacing w:line="331" w:lineRule="auto" w:before="0"/>
        <w:ind w:left="1134" w:right="0" w:firstLine="420"/>
        <w:jc w:val="left"/>
        <w:rPr>
          <w:rFonts w:ascii="宋体" w:hAnsi="宋体" w:cs="宋体" w:eastAsia="宋体" w:hint="default"/>
          <w:sz w:val="18"/>
          <w:szCs w:val="18"/>
        </w:rPr>
      </w:pPr>
      <w:r>
        <w:rPr>
          <w:rFonts w:ascii="宋体" w:hAnsi="宋体" w:cs="宋体" w:eastAsia="宋体" w:hint="default"/>
          <w:spacing w:val="-1"/>
          <w:sz w:val="21"/>
          <w:szCs w:val="21"/>
        </w:rPr>
        <w:t>广东蓝盾新微安全科技有限公司、广东蓝盾教育科技有限公司、广州市满泰信息科技有限公司的少数</w:t>
      </w:r>
      <w:r>
        <w:rPr>
          <w:rFonts w:ascii="宋体" w:hAnsi="宋体" w:cs="宋体" w:eastAsia="宋体" w:hint="default"/>
          <w:sz w:val="21"/>
          <w:szCs w:val="21"/>
        </w:rPr>
        <w:t> 股东尚未投入资本金，表决权为</w:t>
      </w:r>
      <w:r>
        <w:rPr>
          <w:rFonts w:ascii="Times New Roman" w:hAnsi="Times New Roman" w:cs="Times New Roman" w:eastAsia="Times New Roman" w:hint="default"/>
          <w:sz w:val="21"/>
          <w:szCs w:val="21"/>
        </w:rPr>
        <w:t>100.00%</w:t>
      </w:r>
      <w:r>
        <w:rPr>
          <w:rFonts w:ascii="宋体" w:hAnsi="宋体" w:cs="宋体" w:eastAsia="宋体" w:hint="default"/>
          <w:sz w:val="21"/>
          <w:szCs w:val="21"/>
        </w:rPr>
        <w:t>。 </w:t>
      </w:r>
      <w:r>
        <w:rPr>
          <w:rFonts w:ascii="宋体" w:hAnsi="宋体" w:cs="宋体" w:eastAsia="宋体" w:hint="default"/>
          <w:sz w:val="18"/>
          <w:szCs w:val="18"/>
        </w:rPr>
        <w:t>持有半数或以下表决权但仍控制被投资单位、以及持有半数以上表决权但不控制被投资单位的依据：</w:t>
      </w:r>
    </w:p>
    <w:p>
      <w:pPr>
        <w:pStyle w:val="BodyText"/>
        <w:spacing w:line="240" w:lineRule="auto" w:before="111"/>
        <w:ind w:left="1554" w:right="0"/>
        <w:jc w:val="left"/>
      </w:pPr>
      <w:r>
        <w:rPr/>
        <w:t>子公司广东汇青信息科技有限公司，持股比例为</w:t>
      </w:r>
      <w:r>
        <w:rPr>
          <w:rFonts w:ascii="Times New Roman" w:hAnsi="Times New Roman" w:cs="Times New Roman" w:eastAsia="Times New Roman" w:hint="default"/>
        </w:rPr>
        <w:t>50.00%</w:t>
      </w:r>
      <w:r>
        <w:rPr/>
        <w:t>，公司对其经营管理有重大影响。</w:t>
      </w:r>
    </w:p>
    <w:p>
      <w:pPr>
        <w:spacing w:before="86"/>
        <w:ind w:left="1134" w:right="0"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w:t>
      </w:r>
    </w:p>
    <w:p>
      <w:pPr>
        <w:spacing w:line="240" w:lineRule="auto" w:before="9"/>
        <w:rPr>
          <w:rFonts w:ascii="宋体" w:hAnsi="宋体" w:cs="宋体" w:eastAsia="宋体" w:hint="default"/>
          <w:sz w:val="13"/>
          <w:szCs w:val="13"/>
        </w:rPr>
      </w:pPr>
    </w:p>
    <w:p>
      <w:pPr>
        <w:pStyle w:val="BodyText"/>
        <w:spacing w:line="240" w:lineRule="auto"/>
        <w:ind w:left="1554" w:right="0"/>
        <w:jc w:val="left"/>
      </w:pPr>
      <w:r>
        <w:rPr/>
        <w:t>报告期内公司无持有半数以上表决权但不控制被投资单位的。</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w:t>
      </w:r>
    </w:p>
    <w:p>
      <w:pPr>
        <w:spacing w:line="240" w:lineRule="auto" w:before="9"/>
        <w:rPr>
          <w:rFonts w:ascii="宋体" w:hAnsi="宋体" w:cs="宋体" w:eastAsia="宋体" w:hint="default"/>
          <w:sz w:val="13"/>
          <w:szCs w:val="13"/>
        </w:rPr>
      </w:pPr>
    </w:p>
    <w:p>
      <w:pPr>
        <w:pStyle w:val="BodyText"/>
        <w:spacing w:line="240" w:lineRule="auto"/>
        <w:ind w:left="1553" w:right="0"/>
        <w:jc w:val="left"/>
      </w:pP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重要的非全资子公司" w:id="374"/>
      <w:bookmarkEnd w:id="37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978"/>
        <w:gridCol w:w="1559"/>
        <w:gridCol w:w="1702"/>
        <w:gridCol w:w="1420"/>
        <w:gridCol w:w="1913"/>
      </w:tblGrid>
      <w:tr>
        <w:trPr>
          <w:trHeight w:val="76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74" w:right="3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4" w:right="75"/>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582,480.42</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18,246,082.10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-2,976,951.19</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570,592.12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295,636.87</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-8,082,892.93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-34,859.85</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3,726,386.22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29,440,936.45</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88,382,554.30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-3,352.22</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295,547.78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196,594.06</w:t>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3,089,467.80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w:t>
      </w:r>
    </w:p>
    <w:p>
      <w:pPr>
        <w:spacing w:line="240" w:lineRule="auto" w:before="10"/>
        <w:rPr>
          <w:rFonts w:ascii="宋体" w:hAnsi="宋体" w:cs="宋体" w:eastAsia="宋体" w:hint="default"/>
          <w:sz w:val="13"/>
          <w:szCs w:val="13"/>
        </w:rPr>
      </w:pPr>
    </w:p>
    <w:p>
      <w:pPr>
        <w:pStyle w:val="BodyText"/>
        <w:spacing w:line="348" w:lineRule="auto"/>
        <w:ind w:right="0" w:firstLine="420"/>
        <w:jc w:val="left"/>
      </w:pPr>
      <w:r>
        <w:rPr>
          <w:spacing w:val="-1"/>
        </w:rPr>
        <w:t>广东蓝盾新微安全科技有限公司、广东蓝盾教育科技有限公司、广州市满泰信息科技有限公司的少数</w:t>
      </w:r>
      <w:r>
        <w:rPr/>
        <w:t> 股东尚未投入资本金，不享有少数股东权益。</w:t>
      </w:r>
    </w:p>
    <w:p>
      <w:pPr>
        <w:spacing w:after="0" w:line="348" w:lineRule="auto"/>
        <w:jc w:val="left"/>
        <w:sectPr>
          <w:pgSz w:w="11910" w:h="16840"/>
          <w:pgMar w:header="0" w:footer="979" w:top="1100" w:bottom="1160" w:left="0" w:right="0"/>
        </w:sectPr>
      </w:pPr>
    </w:p>
    <w:p>
      <w:pPr>
        <w:spacing w:line="240" w:lineRule="auto" w:before="12"/>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680" w:right="0"/>
        <w:jc w:val="left"/>
        <w:rPr>
          <w:b w:val="0"/>
          <w:bCs w:val="0"/>
        </w:rPr>
      </w:pPr>
      <w:bookmarkStart w:name="（3）重要非全资子公司的主要财务信息" w:id="375"/>
      <w:bookmarkEnd w:id="37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16"/>
          <w:szCs w:val="16"/>
        </w:rPr>
      </w:pPr>
    </w:p>
    <w:p>
      <w:pPr>
        <w:spacing w:before="44"/>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702"/>
        <w:gridCol w:w="1276"/>
        <w:gridCol w:w="1134"/>
        <w:gridCol w:w="1277"/>
        <w:gridCol w:w="1276"/>
        <w:gridCol w:w="993"/>
        <w:gridCol w:w="1276"/>
        <w:gridCol w:w="1134"/>
        <w:gridCol w:w="1134"/>
        <w:gridCol w:w="1134"/>
        <w:gridCol w:w="993"/>
        <w:gridCol w:w="991"/>
        <w:gridCol w:w="1134"/>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23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2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广东蓝盾乐庚信息技 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58,551,500.33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19,881,742.87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78,433,243.20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30,455,346.89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571,721.31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31,027,068.20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45,428,174.95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19,445,186.75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64,873,361.70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18,767,130.</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718,480.00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19,485,610.11</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东莞市新铂铼电子有 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14,284,896.57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4,824,160.80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19,109,057.37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9,454,470.49</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9,454,470.49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14,205,692.06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5,584,805.68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19,790,497.74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10,750,267.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10,750,267.30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广东蓝盾新微安全科 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11,910,010.30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872,682.63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12,782,692.93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5,165,033.20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5,265,033.20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2,237,242.21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221,810.76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2,459,052.97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464,902.54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564,902.54</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广东汇青信息科技有 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985,388.85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778,667.36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1,764,056.21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622,871.98</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622,871.98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7,275,647.13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199,269.02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7,474,916.15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379,829.54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379,829.54</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广东蓝盾教育科技有 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932,440.59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932,440.59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967,535.47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967,535.47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广州天锐锋信息科技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6,683,538.76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1,810,435.25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8,493,974.01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1,840,378.52</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1,840,378.52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6,957,677.66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173,572.84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7,131,250.50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999,378.46</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999,378.46</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新疆丝路蓝盾教育科 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9,980,400.56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9,980,400.56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4,938.00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4,938.00</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深圳市蓝盾满泰科技 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307,431,825.15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87,769,576.28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395,201,401.43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199,702,419.54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200,511,419.54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广西蓝盾智慧城市信 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602,398.60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603,158.74</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北京京穗蓝盾信息安 全技术有限公司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15,317,212.38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498,060.83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15,815,273.21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32,310,973.07</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32,310,973.07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left"/>
              <w:rPr>
                <w:rFonts w:ascii="宋体" w:hAnsi="宋体" w:cs="宋体" w:eastAsia="宋体" w:hint="default"/>
                <w:sz w:val="18"/>
                <w:szCs w:val="18"/>
              </w:rPr>
            </w:pPr>
            <w:r>
              <w:rPr>
                <w:rFonts w:ascii="宋体" w:hAnsi="宋体" w:cs="宋体" w:eastAsia="宋体" w:hint="default"/>
                <w:sz w:val="18"/>
                <w:szCs w:val="18"/>
              </w:rPr>
              <w:t>广州市满泰信息科技 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1"/>
          <w:footerReference w:type="default" r:id="rId32"/>
          <w:pgSz w:w="16840" w:h="11910" w:orient="landscape"/>
          <w:pgMar w:header="867" w:footer="979" w:top="1060" w:bottom="1160" w:left="760" w:right="0"/>
          <w:pgNumType w:start="194"/>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0"/>
        <w:ind w:left="0" w:right="1535"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262"/>
        <w:gridCol w:w="1274"/>
        <w:gridCol w:w="1276"/>
        <w:gridCol w:w="1277"/>
        <w:gridCol w:w="1559"/>
        <w:gridCol w:w="1276"/>
        <w:gridCol w:w="1134"/>
        <w:gridCol w:w="1277"/>
        <w:gridCol w:w="1559"/>
      </w:tblGrid>
      <w:tr>
        <w:trPr>
          <w:trHeight w:val="402" w:hRule="exact"/>
        </w:trPr>
        <w:tc>
          <w:tcPr>
            <w:tcW w:w="3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3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2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44,261,913.18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1,456,201.06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1,456,201.06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7,179,921.67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30,460,834.00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4,791,741.30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4,791,741.30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-2,905,976.63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18,004,025.64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614,356.44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614,356.44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653,939.63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19,576,427.82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1,465,394.87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1,465,394.87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3,626,301.41</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5,809,230.75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2,041,896.38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2,041,896.38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-1,023,953.45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660,711.66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-1,487,030.42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-1,487,030.42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-2,037,066.07</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187,141.54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-5,953,902.38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-5,953,902.38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-5,419,976.37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-2,897,043.43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-2,897,043.43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-2,846,916.92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-34,594.88</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-34,594.88</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-35,094.88</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-32,964.53</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-32,964.53</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-32,464.53</w:t>
            </w:r>
            <w:r>
              <w:rPr>
                <w:rFonts w:ascii="Times New Roman"/>
                <w:sz w:val="18"/>
              </w:rPr>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4,548,441.77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521,723.45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521,723.45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-475,264.27</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2,339,682.46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401,952.86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401,952.86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-1,422,091.38</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新疆丝路蓝盾教育科技有限公司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-24,537.44</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-24,537.44</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-19,599.44</w:t>
            </w:r>
            <w:r>
              <w:rPr>
                <w:rFonts w:ascii="Times New Roman"/>
                <w:sz w:val="18"/>
              </w:rPr>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226,472,813.76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73,602,341.13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73,602,341.13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9,555,337.30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-6,841.26</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-6,841.26</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-10,451.40</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17,560,159.33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-16,602,507.04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-16,602,507.04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910,486.36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广州市满泰信息科技有限公司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78" w:lineRule="auto" w:before="35"/>
        <w:ind w:left="560" w:right="9078" w:hanging="420"/>
        <w:jc w:val="left"/>
        <w:rPr>
          <w:rFonts w:ascii="宋体" w:hAnsi="宋体" w:cs="宋体" w:eastAsia="宋体" w:hint="default"/>
          <w:sz w:val="21"/>
          <w:szCs w:val="21"/>
        </w:rPr>
      </w:pPr>
      <w:bookmarkStart w:name="（4）使用企业集团资产和清偿企业集团债务的重大限制" w:id="376"/>
      <w:bookmarkEnd w:id="3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b/>
          <w:bCs/>
          <w:w w:val="99"/>
          <w:sz w:val="21"/>
          <w:szCs w:val="21"/>
        </w:rPr>
        <w:t> </w:t>
      </w:r>
      <w:r>
        <w:rPr>
          <w:rFonts w:ascii="宋体" w:hAnsi="宋体" w:cs="宋体" w:eastAsia="宋体" w:hint="default"/>
          <w:sz w:val="21"/>
          <w:szCs w:val="21"/>
        </w:rPr>
        <w:t>公司不存在使用企业集团资产和清偿企业集团债务的重大限制。</w:t>
      </w:r>
    </w:p>
    <w:p>
      <w:pPr>
        <w:spacing w:after="0" w:line="578" w:lineRule="auto"/>
        <w:jc w:val="left"/>
        <w:rPr>
          <w:rFonts w:ascii="宋体" w:hAnsi="宋体" w:cs="宋体" w:eastAsia="宋体" w:hint="default"/>
          <w:sz w:val="21"/>
          <w:szCs w:val="21"/>
        </w:rPr>
        <w:sectPr>
          <w:pgSz w:w="16840" w:h="11910" w:orient="landscape"/>
          <w:pgMar w:header="867" w:footer="979" w:top="1060" w:bottom="1160" w:left="130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2、在子公司的所有者权益份额发生变化且仍控制子公司的交易" w:id="377"/>
      <w:bookmarkEnd w:id="37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702" w:lineRule="exact" w:before="6"/>
        <w:ind w:left="1553" w:right="1303" w:hanging="420"/>
        <w:jc w:val="left"/>
        <w:rPr>
          <w:rFonts w:ascii="宋体" w:hAnsi="宋体" w:cs="宋体" w:eastAsia="宋体" w:hint="default"/>
          <w:sz w:val="21"/>
          <w:szCs w:val="21"/>
        </w:rPr>
      </w:pPr>
      <w:bookmarkStart w:name="（1）在子公司所有者权益份额发生变化的情况说明" w:id="378"/>
      <w:bookmarkEnd w:id="3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z w:val="21"/>
          <w:szCs w:val="21"/>
        </w:rPr>
        <w:t>根据</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日签署的转让协议，公司将其持有子公司北京京穗蓝盾信息安全技术有限公司的</w:t>
      </w:r>
    </w:p>
    <w:p>
      <w:pPr>
        <w:pStyle w:val="BodyText"/>
        <w:spacing w:line="331" w:lineRule="auto" w:before="14"/>
        <w:ind w:left="1134" w:right="1127"/>
        <w:jc w:val="left"/>
      </w:pPr>
      <w:r>
        <w:rPr>
          <w:rFonts w:ascii="Times New Roman" w:hAnsi="Times New Roman" w:cs="Times New Roman" w:eastAsia="Times New Roman" w:hint="default"/>
        </w:rPr>
        <w:t>49.00%</w:t>
      </w:r>
      <w:r>
        <w:rPr/>
        <w:t>股权以</w:t>
      </w:r>
      <w:r>
        <w:rPr>
          <w:rFonts w:ascii="Times New Roman" w:hAnsi="Times New Roman" w:cs="Times New Roman" w:eastAsia="Times New Roman" w:hint="default"/>
        </w:rPr>
        <w:t>49,000,000.00</w:t>
      </w:r>
      <w:r>
        <w:rPr/>
        <w:t>元转让给深圳市龙赫投资管理合伙企业（有限合伙），此次转让后，公司持有 北京京穗蓝盾信息安全技术有限公司</w:t>
      </w:r>
      <w:r>
        <w:rPr>
          <w:rFonts w:ascii="Times New Roman" w:hAnsi="Times New Roman" w:cs="Times New Roman" w:eastAsia="Times New Roman" w:hint="default"/>
        </w:rPr>
        <w:t>51.00%</w:t>
      </w:r>
      <w:r>
        <w:rPr/>
        <w:t>股权。</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交易对于少数股东权益及归属于母公司所有者权益的影响" w:id="379"/>
      <w:bookmarkEnd w:id="37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47"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8,378,529.80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13,278,529.80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13,278,529.80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80"/>
      <w:bookmarkEnd w:id="38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81"/>
      <w:bookmarkEnd w:id="38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19"/>
        <w:gridCol w:w="1277"/>
        <w:gridCol w:w="850"/>
        <w:gridCol w:w="1559"/>
        <w:gridCol w:w="710"/>
        <w:gridCol w:w="692"/>
        <w:gridCol w:w="1366"/>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64"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广东亚太电子商务研究院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广州蓝盾中植智慧安全科技合伙企业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40.00%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在合营企业或联营企业的持股比例不同于表决权比例的说明：无</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或以上表决权但不具有重大影响的依据：无</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重要联营企业的主要财务信息" w:id="382"/>
      <w:bookmarkEnd w:id="382"/>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c>
          <w:tcPr>
            <w:tcW w:w="2392"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00" w:right="111" w:hanging="90"/>
              <w:jc w:val="left"/>
              <w:rPr>
                <w:rFonts w:ascii="宋体" w:hAnsi="宋体" w:cs="宋体" w:eastAsia="宋体" w:hint="default"/>
                <w:sz w:val="18"/>
                <w:szCs w:val="18"/>
              </w:rPr>
            </w:pPr>
            <w:r>
              <w:rPr>
                <w:rFonts w:ascii="宋体" w:hAnsi="宋体" w:cs="宋体" w:eastAsia="宋体" w:hint="default"/>
                <w:sz w:val="18"/>
                <w:szCs w:val="18"/>
              </w:rPr>
              <w:t>深圳市蓝盾中美信息技术创 新投资企业（有限合伙）</w:t>
            </w:r>
          </w:p>
        </w:tc>
        <w:tc>
          <w:tcPr>
            <w:tcW w:w="239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
        </w:tc>
        <w:tc>
          <w:tcPr>
            <w:tcW w:w="2393" w:type="dxa"/>
            <w:vMerge/>
            <w:tcBorders>
              <w:left w:val="single" w:sz="9" w:space="0" w:color="D2D2D2"/>
              <w:right w:val="single" w:sz="4" w:space="0" w:color="000000"/>
            </w:tcBorders>
            <w:shd w:val="clear" w:color="auto" w:fill="E0FFFF"/>
          </w:tcPr>
          <w:p>
            <w:pPr/>
          </w:p>
        </w:tc>
        <w:tc>
          <w:tcPr>
            <w:tcW w:w="2392" w:type="dxa"/>
            <w:vMerge/>
            <w:tcBorders>
              <w:left w:val="single" w:sz="4" w:space="0" w:color="000000"/>
              <w:right w:val="single" w:sz="4" w:space="0" w:color="000000"/>
            </w:tcBorders>
            <w:shd w:val="clear" w:color="auto" w:fill="E0FFFF"/>
          </w:tcPr>
          <w:p>
            <w:pPr/>
          </w:p>
        </w:tc>
        <w:tc>
          <w:tcPr>
            <w:tcW w:w="2392" w:type="dxa"/>
            <w:vMerge/>
            <w:tcBorders>
              <w:left w:val="single" w:sz="4" w:space="0" w:color="000000"/>
              <w:right w:val="single" w:sz="4" w:space="0" w:color="000000"/>
            </w:tcBorders>
            <w:shd w:val="clear" w:color="auto" w:fill="E0FFFF"/>
          </w:tcPr>
          <w:p>
            <w:pPr/>
          </w:p>
        </w:tc>
      </w:tr>
      <w:tr>
        <w:trPr>
          <w:trHeight w:val="16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9" w:space="0" w:color="D2D2D2"/>
              <w:bottom w:val="single" w:sz="4" w:space="0" w:color="000000"/>
              <w:right w:val="single" w:sz="4" w:space="0" w:color="000000"/>
            </w:tcBorders>
            <w:shd w:val="clear" w:color="auto" w:fill="E0FFFF"/>
          </w:tcPr>
          <w:p>
            <w:pPr/>
          </w:p>
        </w:tc>
        <w:tc>
          <w:tcPr>
            <w:tcW w:w="2392" w:type="dxa"/>
            <w:vMerge/>
            <w:tcBorders>
              <w:left w:val="single" w:sz="4" w:space="0" w:color="000000"/>
              <w:bottom w:val="single" w:sz="4" w:space="0" w:color="000000"/>
              <w:right w:val="single" w:sz="4" w:space="0" w:color="000000"/>
            </w:tcBorders>
            <w:shd w:val="clear" w:color="auto" w:fill="E0FFFF"/>
          </w:tcPr>
          <w:p>
            <w:pPr/>
          </w:p>
        </w:tc>
        <w:tc>
          <w:tcPr>
            <w:tcW w:w="2392" w:type="dxa"/>
            <w:vMerge/>
            <w:tcBorders>
              <w:left w:val="single" w:sz="4" w:space="0" w:color="000000"/>
              <w:bottom w:val="single" w:sz="4" w:space="0" w:color="000000"/>
              <w:right w:val="single" w:sz="4" w:space="0" w:color="000000"/>
            </w:tcBorders>
            <w:shd w:val="clear" w:color="auto" w:fill="E0FFFF"/>
          </w:tcPr>
          <w:p>
            <w:pP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314" w:right="0"/>
              <w:jc w:val="left"/>
              <w:rPr>
                <w:rFonts w:ascii="Times New Roman" w:hAnsi="Times New Roman" w:cs="Times New Roman" w:eastAsia="Times New Roman" w:hint="default"/>
                <w:sz w:val="18"/>
                <w:szCs w:val="18"/>
              </w:rPr>
            </w:pPr>
            <w:r>
              <w:rPr>
                <w:rFonts w:ascii="Times New Roman"/>
                <w:sz w:val="18"/>
              </w:rPr>
              <w:t>10,193,062.29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4" w:right="0"/>
              <w:jc w:val="left"/>
              <w:rPr>
                <w:rFonts w:ascii="Times New Roman" w:hAnsi="Times New Roman" w:cs="Times New Roman" w:eastAsia="Times New Roman" w:hint="default"/>
                <w:sz w:val="18"/>
                <w:szCs w:val="18"/>
              </w:rPr>
            </w:pPr>
            <w:r>
              <w:rPr>
                <w:rFonts w:ascii="Times New Roman"/>
                <w:sz w:val="18"/>
              </w:rPr>
              <w:t>12,003,041.67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4" w:right="0"/>
              <w:jc w:val="left"/>
              <w:rPr>
                <w:rFonts w:ascii="Times New Roman" w:hAnsi="Times New Roman" w:cs="Times New Roman" w:eastAsia="Times New Roman" w:hint="default"/>
                <w:sz w:val="18"/>
                <w:szCs w:val="18"/>
              </w:rPr>
            </w:pPr>
            <w:r>
              <w:rPr>
                <w:rFonts w:ascii="Times New Roman"/>
                <w:sz w:val="18"/>
              </w:rPr>
              <w:t>10,835,473.66</w:t>
            </w:r>
          </w:p>
        </w:tc>
      </w:tr>
    </w:tbl>
    <w:p>
      <w:pPr>
        <w:spacing w:after="0" w:line="240" w:lineRule="auto"/>
        <w:jc w:val="left"/>
        <w:rPr>
          <w:rFonts w:ascii="Times New Roman" w:hAnsi="Times New Roman" w:cs="Times New Roman" w:eastAsia="Times New Roman" w:hint="default"/>
          <w:sz w:val="18"/>
          <w:szCs w:val="18"/>
        </w:rPr>
        <w:sectPr>
          <w:headerReference w:type="default" r:id="rId33"/>
          <w:footerReference w:type="default" r:id="rId34"/>
          <w:pgSz w:w="11910" w:h="16840"/>
          <w:pgMar w:header="877" w:footer="979" w:top="1100" w:bottom="1160" w:left="0" w:right="0"/>
          <w:pgNumType w:start="196"/>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237,783.53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310,755.01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10,430,845.82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12,003,041.67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11,146,228.67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4,226,389.62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4,005,630.63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4,226,389.62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4,005,630.63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6,204,456.20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12,003,041.67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7,140,598.04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按持股比例计算的净资产份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1,861,336.86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5,001,267.36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2,142,179.41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-1,861,336.86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-1,861,336.86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-285.18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对联营企业权益投资的账面 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5,001,267.36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2,141,894.23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存在公开报价的联营企业权 益投资的公允价值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3,388,154.29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3,388,154.29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-57,965.50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1,757.17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-57,965.50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1,757.17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本年度收到的来自联营企业 的股利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78" w:lineRule="auto" w:before="35"/>
        <w:ind w:left="1554" w:right="7063" w:hanging="420"/>
        <w:jc w:val="left"/>
        <w:rPr>
          <w:rFonts w:ascii="宋体" w:hAnsi="宋体" w:cs="宋体" w:eastAsia="宋体" w:hint="default"/>
          <w:sz w:val="21"/>
          <w:szCs w:val="21"/>
        </w:rPr>
      </w:pPr>
      <w:bookmarkStart w:name="（3）与合营企业投资相关的未确认承诺" w:id="383"/>
      <w:bookmarkEnd w:id="3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t>公司无需要披露的承诺事项。</w:t>
      </w:r>
    </w:p>
    <w:p>
      <w:pPr>
        <w:spacing w:line="580" w:lineRule="auto" w:before="40"/>
        <w:ind w:left="1554" w:right="3883" w:hanging="420"/>
        <w:jc w:val="left"/>
        <w:rPr>
          <w:rFonts w:ascii="宋体" w:hAnsi="宋体" w:cs="宋体" w:eastAsia="宋体" w:hint="default"/>
          <w:sz w:val="21"/>
          <w:szCs w:val="21"/>
        </w:rPr>
      </w:pPr>
      <w:bookmarkStart w:name="（4）与合营企业或联营企业投资相关的或有负债" w:id="384"/>
      <w:bookmarkEnd w:id="384"/>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）与合营企业或联营企业投资相关的或有负债</w:t>
      </w:r>
      <w:r>
        <w:rPr>
          <w:rFonts w:ascii="宋体" w:hAnsi="宋体" w:cs="宋体" w:eastAsia="宋体" w:hint="default"/>
          <w:b/>
          <w:bCs/>
          <w:spacing w:val="20"/>
          <w:w w:val="95"/>
          <w:sz w:val="21"/>
          <w:szCs w:val="21"/>
        </w:rPr>
        <w:t> </w:t>
      </w:r>
      <w:r>
        <w:rPr>
          <w:rFonts w:ascii="宋体" w:hAnsi="宋体" w:cs="宋体" w:eastAsia="宋体" w:hint="default"/>
          <w:b/>
          <w:bCs/>
          <w:spacing w:val="20"/>
          <w:w w:val="95"/>
          <w:sz w:val="21"/>
          <w:szCs w:val="21"/>
        </w:rPr>
      </w:r>
      <w:r>
        <w:rPr>
          <w:rFonts w:ascii="宋体" w:hAnsi="宋体" w:cs="宋体" w:eastAsia="宋体" w:hint="default"/>
          <w:sz w:val="21"/>
          <w:szCs w:val="21"/>
        </w:rPr>
        <w:t>公司不存在需要披露的或有事项。</w:t>
      </w:r>
    </w:p>
    <w:p>
      <w:pPr>
        <w:pStyle w:val="Heading2"/>
        <w:spacing w:line="240" w:lineRule="auto" w:before="13"/>
        <w:ind w:left="1134" w:right="0"/>
        <w:jc w:val="left"/>
        <w:rPr>
          <w:b w:val="0"/>
          <w:bCs w:val="0"/>
        </w:rPr>
      </w:pPr>
      <w:bookmarkStart w:name="十、关联方及关联交易" w:id="385"/>
      <w:bookmarkEnd w:id="385"/>
      <w:r>
        <w:rPr>
          <w:b w:val="0"/>
          <w:bCs w:val="0"/>
        </w:rPr>
      </w:r>
      <w:r>
        <w:rPr/>
        <w:t>十、关联方及关联交易</w:t>
      </w:r>
      <w:r>
        <w:rPr>
          <w:b w:val="0"/>
          <w:bCs w:val="0"/>
        </w:rPr>
      </w:r>
    </w:p>
    <w:p>
      <w:pPr>
        <w:spacing w:line="240" w:lineRule="auto" w:before="10"/>
        <w:rPr>
          <w:rFonts w:ascii="宋体" w:hAnsi="宋体" w:cs="宋体" w:eastAsia="宋体" w:hint="default"/>
          <w:b/>
          <w:bCs/>
          <w:sz w:val="24"/>
          <w:szCs w:val="24"/>
        </w:rPr>
      </w:pPr>
    </w:p>
    <w:p>
      <w:pPr>
        <w:spacing w:line="595" w:lineRule="auto" w:before="0"/>
        <w:ind w:left="1554" w:right="5922" w:hanging="420"/>
        <w:jc w:val="left"/>
        <w:rPr>
          <w:rFonts w:ascii="宋体" w:hAnsi="宋体" w:cs="宋体" w:eastAsia="宋体" w:hint="default"/>
          <w:sz w:val="21"/>
          <w:szCs w:val="21"/>
        </w:rPr>
      </w:pPr>
      <w:bookmarkStart w:name="1、本企业的母公司情况" w:id="386"/>
      <w:bookmarkEnd w:id="38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本企业最终控制方是柯宗庆、柯宗贵兄弟二人。</w:t>
      </w:r>
    </w:p>
    <w:p>
      <w:pPr>
        <w:spacing w:after="0" w:line="595"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pStyle w:val="BodyText"/>
        <w:spacing w:line="328" w:lineRule="auto"/>
        <w:ind w:right="1129" w:firstLine="420"/>
        <w:jc w:val="left"/>
      </w:pPr>
      <w:r>
        <w:rPr>
          <w:spacing w:val="-1"/>
        </w:rPr>
        <w:t>截止至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日，中经汇通有限责任公司持有公司</w:t>
      </w:r>
      <w:r>
        <w:rPr>
          <w:rFonts w:ascii="Times New Roman" w:hAnsi="Times New Roman" w:cs="Times New Roman" w:eastAsia="Times New Roman" w:hint="default"/>
          <w:spacing w:val="-1"/>
        </w:rPr>
        <w:t>9.57%</w:t>
      </w:r>
      <w:r>
        <w:rPr>
          <w:spacing w:val="-1"/>
        </w:rPr>
        <w:t>股权，根据其于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日与上市</w:t>
      </w:r>
      <w:r>
        <w:rPr/>
        <w:t> 公司实际控制人签署的《一致行动协议》，中经汇通有限责任公司与公司实际控制人构成一致行动人。</w:t>
      </w:r>
    </w:p>
    <w:p>
      <w:pPr>
        <w:spacing w:line="240" w:lineRule="auto" w:before="11"/>
        <w:rPr>
          <w:rFonts w:ascii="宋体" w:hAnsi="宋体" w:cs="宋体" w:eastAsia="宋体" w:hint="default"/>
          <w:sz w:val="19"/>
          <w:szCs w:val="19"/>
        </w:rPr>
      </w:pPr>
    </w:p>
    <w:p>
      <w:pPr>
        <w:spacing w:line="578" w:lineRule="auto" w:before="0"/>
        <w:ind w:left="1553" w:right="5188" w:hanging="420"/>
        <w:jc w:val="left"/>
        <w:rPr>
          <w:rFonts w:ascii="宋体" w:hAnsi="宋体" w:cs="宋体" w:eastAsia="宋体" w:hint="default"/>
          <w:sz w:val="21"/>
          <w:szCs w:val="21"/>
        </w:rPr>
      </w:pPr>
      <w:bookmarkStart w:name="2、本企业的子公司情况" w:id="387"/>
      <w:bookmarkEnd w:id="38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w:t>
      </w:r>
      <w:r>
        <w:rPr>
          <w:rFonts w:ascii="Times New Roman" w:hAnsi="Times New Roman" w:cs="Times New Roman" w:eastAsia="Times New Roman" w:hint="default"/>
          <w:sz w:val="21"/>
          <w:szCs w:val="21"/>
        </w:rPr>
        <w:t>1</w:t>
      </w:r>
      <w:r>
        <w:rPr>
          <w:rFonts w:ascii="宋体" w:hAnsi="宋体" w:cs="宋体" w:eastAsia="宋体" w:hint="default"/>
          <w:sz w:val="21"/>
          <w:szCs w:val="21"/>
        </w:rPr>
        <w:t>、在子公司的权益。</w:t>
      </w:r>
    </w:p>
    <w:p>
      <w:pPr>
        <w:pStyle w:val="Heading3"/>
        <w:spacing w:line="282" w:lineRule="exact"/>
        <w:ind w:left="1133" w:right="0"/>
        <w:jc w:val="left"/>
        <w:rPr>
          <w:b w:val="0"/>
          <w:bCs w:val="0"/>
        </w:rPr>
      </w:pPr>
      <w:bookmarkStart w:name="3、本企业合营和联营企业情况" w:id="388"/>
      <w:bookmarkEnd w:id="38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31"/>
          <w:szCs w:val="31"/>
        </w:rPr>
      </w:pPr>
    </w:p>
    <w:p>
      <w:pPr>
        <w:pStyle w:val="BodyText"/>
        <w:spacing w:line="362" w:lineRule="auto"/>
        <w:ind w:left="1553" w:right="0"/>
        <w:jc w:val="left"/>
      </w:pPr>
      <w:r>
        <w:rPr/>
        <w:t>本企业重要的合营或联营企业详见附注九 </w:t>
      </w:r>
      <w:r>
        <w:rPr>
          <w:rFonts w:ascii="Times New Roman" w:hAnsi="Times New Roman" w:cs="Times New Roman" w:eastAsia="Times New Roman" w:hint="default"/>
        </w:rPr>
        <w:t>3</w:t>
      </w:r>
      <w:r>
        <w:rPr/>
        <w:t>、在合营安排或联营企业中的权益。 </w:t>
      </w:r>
      <w:r>
        <w:rPr>
          <w:spacing w:val="-1"/>
        </w:rPr>
        <w:t>本期与本公司发生关联方交易，或前期与本公司发生关联方交易形成余额的其他合营或联营企业情况</w:t>
      </w:r>
    </w:p>
    <w:p>
      <w:pPr>
        <w:pStyle w:val="BodyText"/>
        <w:spacing w:line="240" w:lineRule="auto" w:before="17"/>
        <w:ind w:right="0"/>
        <w:jc w:val="left"/>
      </w:pPr>
      <w:r>
        <w:rPr/>
        <w:t>如下：</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广东亚太电子商务研究院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广州蓝盾中植智慧安全科技合伙企业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关联方情况" w:id="389"/>
      <w:bookmarkEnd w:id="38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广州中科蓝华生物科技有限公司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母公司实际控制人及其关联自然人控制的企业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广州蓝耀医药科技有限公司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母公司实际控制人及其关联自然人控制的企业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广州蓝锦生物科技有限公司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母公司实际控制人及其关联自然人控制的企业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广州蓝亮医药科技有限公司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母公司实际控制人及其关联自然人控制的企业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广州融轩投资咨询有限公司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母公司实际控制人控制的企业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8"/>
              <w:jc w:val="left"/>
              <w:rPr>
                <w:rFonts w:ascii="宋体" w:hAnsi="宋体" w:cs="宋体" w:eastAsia="宋体" w:hint="default"/>
                <w:sz w:val="18"/>
                <w:szCs w:val="18"/>
              </w:rPr>
            </w:pPr>
            <w:r>
              <w:rPr>
                <w:rFonts w:ascii="宋体" w:hAnsi="宋体" w:cs="宋体" w:eastAsia="宋体" w:hint="default"/>
                <w:sz w:val="18"/>
                <w:szCs w:val="18"/>
              </w:rPr>
              <w:t>广东攸米电子商务有限公司（原名：广东益街坊电子商务有 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广州市昇佰投资管理合伙企业（有限合伙）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广州臻泰企业咨询管理合伙企业（有限合伙）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母公司实际控制人及其关联自然人控制的企业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广东蓝盾赢融资产管理有限公司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母公司实际控制人及其关联自然人控制的企业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广州景辕投资管理合伙企业（有限合伙）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广州景轩投资管理有限公司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广州奥邦投资咨询有限公司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广西壮方生物科技有限公司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母公司实际控制人及其关联自然人控制的企业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广东蓝安控股有限公司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母公司实际控制人及其关联自然人控制的企业</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广东蓝御房地产开发有限公司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母公司实际控制人及其关联自然人控制的企业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广州市创御信息科技有限公司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广州腾硕投资管理有限公司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广州仁强投资管理合伙企业（有限合伙）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萍乡市智逸投资管理合伙企业（有限合伙）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广东格灵教育信息技术有限公司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广东捷晶软件科技有限公司（原名：广东格灵冠军教育技术 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广州外语通软件科技有限公司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广州美声计算机科技有限公司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广州趣学软件科技有限公司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广州格灵教育科技有限公司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深圳欣昌管理咨询合伙企业（有限合伙）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深圳市华融股权投资管理有限公司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深圳市景诚投资管理有限公司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广州庆澳电子科技有限公司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母公司监事的关联自然人控制的企业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广州市饶兴投资管理有限公司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母公司监事的关联自然人控制的企业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广州市协瑞投资咨询有限公司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母公司监事的关联自然人控制的企业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广州兴饶创业投资企业（有限合伙）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母公司监事的关联自然人控制的企业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石河子欣晟股权投资有限合伙企业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母公司监事任职及其关联自然人控制的企业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广州聆创信息科技有限公司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母公司监事的关联自然人控制的企业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广州中朗投资咨询有限公司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母公司监事的关联自然人控制的企业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萍乡市瑞兴达投资管理合伙企业（有限合伙）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母公司监事的关联自然人控制的企业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深圳前海博益互联网金融服务有限公司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母公司董事投资及任职的企业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广州市加立宏投资管理合伙企业（有限合伙）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母公司关联自然人控制企业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珠海华威达投资企业（有限合伙）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母公司董事投资及任职企业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深圳市冠萃教育投资有限公司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母公司董事投资及任职企业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广东迅通科技股份有限公司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母公司实际控制人关联自然人控制企业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广东迅通信息传输分析有限公司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母公司实际控制人关联自然人控制企业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广东迅网视通科技有限公司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母公司实际控制人关联自然人控制企业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索菲亚家居股份有限公司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深圳市德赛电池科技股份有限公司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广州地铁集团有限公司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广州越秀集团有限公司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金鹰基金管理有限公司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深圳太辰光通信股份有限公司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广东百合医疗科技股份有限公司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广州安必平医药科技股份有限公司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广东电声市场营销股份有限公司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广州中康资讯股份有限公司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母公司独立董事任职公司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广州民营投资股份有限公司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母公司实际控制人任职及母公司投资的企业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广州发投投资管理有限公司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母公司实际控制人关联自然人任职的企业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广州御希信息技术有限公司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母公司高管的关联自然人控制的企业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国保联盟信息安全技术有限公司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母公司高管任职的企业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水晶球教育信息技术有限公司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母公司监事的关联自然人任职的企业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珠海横琴蓝曜投资管理合伙企业（有限合伙）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广州蓝盾中植资产管理有限公司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母公司董事任职的企业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Swoop Success International</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Holding Group  </w:t>
            </w:r>
            <w:r>
              <w:rPr>
                <w:rFonts w:ascii="Times New Roman"/>
                <w:spacing w:val="38"/>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Chinex International</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(HK) Group</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广州市经汇投资管理有限公司（原名：广州市通汇科技有限 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Winner choice International</w:t>
            </w:r>
            <w:r>
              <w:rPr>
                <w:rFonts w:ascii="Times New Roman"/>
                <w:spacing w:val="-1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Access Universe International</w:t>
            </w:r>
            <w:r>
              <w:rPr>
                <w:rFonts w:ascii="Times New Roman"/>
                <w:spacing w:val="-8"/>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(Cayman)Holdings</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China Express Group</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广州航运汇通有限责任公司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母公司实际控制人的关联自然人控制的企业</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关联交易情况" w:id="390"/>
      <w:bookmarkEnd w:id="39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91"/>
      <w:bookmarkEnd w:id="39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13"/>
          <w:szCs w:val="13"/>
        </w:rPr>
      </w:pPr>
    </w:p>
    <w:p>
      <w:pPr>
        <w:pStyle w:val="BodyText"/>
        <w:spacing w:line="240" w:lineRule="auto"/>
        <w:ind w:left="1554" w:right="0"/>
        <w:jc w:val="left"/>
      </w:pPr>
      <w:r>
        <w:rPr/>
        <w:t>存在控制关系且已纳入公司合并财务报表范围的子公司，其相互间交易及母子公司交易已作抵销。</w:t>
      </w:r>
    </w:p>
    <w:p>
      <w:pPr>
        <w:spacing w:after="0" w:line="240" w:lineRule="auto"/>
        <w:jc w:val="left"/>
        <w:sectPr>
          <w:footerReference w:type="default" r:id="rId35"/>
          <w:pgSz w:w="11910" w:h="16840"/>
          <w:pgMar w:footer="979" w:header="877"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2）关联租赁情况" w:id="392"/>
      <w:bookmarkEnd w:id="39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2127"/>
        <w:gridCol w:w="2410"/>
        <w:gridCol w:w="2196"/>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广东蓝盾赢融资产管理有限公司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房屋出租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29,239.49</w:t>
            </w: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line="240" w:lineRule="auto" w:before="10"/>
        <w:rPr>
          <w:rFonts w:ascii="宋体" w:hAnsi="宋体" w:cs="宋体" w:eastAsia="宋体" w:hint="default"/>
          <w:sz w:val="13"/>
          <w:szCs w:val="13"/>
        </w:rPr>
      </w:pPr>
    </w:p>
    <w:p>
      <w:pPr>
        <w:pStyle w:val="BodyText"/>
        <w:spacing w:line="240" w:lineRule="auto"/>
        <w:ind w:left="1535" w:right="9911"/>
        <w:jc w:val="center"/>
      </w:pPr>
      <w:r>
        <w:rPr/>
        <w:t>无。</w:t>
      </w:r>
    </w:p>
    <w:p>
      <w:pPr>
        <w:spacing w:line="240" w:lineRule="auto" w:before="8"/>
        <w:rPr>
          <w:rFonts w:ascii="宋体" w:hAnsi="宋体" w:cs="宋体" w:eastAsia="宋体" w:hint="default"/>
          <w:sz w:val="25"/>
          <w:szCs w:val="25"/>
        </w:rPr>
      </w:pPr>
    </w:p>
    <w:p>
      <w:pPr>
        <w:pStyle w:val="Heading3"/>
        <w:spacing w:line="240" w:lineRule="auto"/>
        <w:ind w:left="1133" w:right="0"/>
        <w:jc w:val="left"/>
        <w:rPr>
          <w:b w:val="0"/>
          <w:bCs w:val="0"/>
        </w:rPr>
      </w:pPr>
      <w:bookmarkStart w:name="（3）关联担保情况" w:id="393"/>
      <w:bookmarkEnd w:id="393"/>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line="240" w:lineRule="auto" w:before="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36"/>
          <w:pgSz w:w="11910" w:h="16840"/>
          <w:pgMar w:footer="979" w:header="877" w:top="1100" w:bottom="1160" w:left="0" w:right="0"/>
          <w:pgNumType w:start="201"/>
        </w:sectPr>
      </w:pPr>
    </w:p>
    <w:p>
      <w:pPr>
        <w:pStyle w:val="BodyText"/>
        <w:spacing w:line="240" w:lineRule="auto" w:before="35"/>
        <w:ind w:left="1553" w:right="-19"/>
        <w:jc w:val="left"/>
      </w:pPr>
      <w:r>
        <w:rPr/>
        <w:t>无。</w:t>
      </w:r>
    </w:p>
    <w:p>
      <w:pPr>
        <w:spacing w:before="102"/>
        <w:ind w:left="1133" w:right="-19"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2755" w:space="60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62"/>
        <w:gridCol w:w="992"/>
        <w:gridCol w:w="1702"/>
        <w:gridCol w:w="1702"/>
        <w:gridCol w:w="1914"/>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262"/>
        <w:gridCol w:w="992"/>
        <w:gridCol w:w="1702"/>
        <w:gridCol w:w="1702"/>
        <w:gridCol w:w="1914"/>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柯瑞坤、柯宗贵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
                <w:sz w:val="18"/>
                <w:szCs w:val="18"/>
              </w:rPr>
              <w:t>中经汇通有限责任公司、柯宗耀、李庆红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柯宗贵、柯宗庆、柯宗耀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柯宗耀、李庆红、柯瑞达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262"/>
        <w:gridCol w:w="992"/>
        <w:gridCol w:w="1702"/>
        <w:gridCol w:w="1702"/>
        <w:gridCol w:w="1914"/>
      </w:tblGrid>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柯宗耀、李庆红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柯宗庆、柯宗贵、柯宗耀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柯宗耀、柯宗贵、柯宗庆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4）关键管理人员报酬" w:id="394"/>
      <w:bookmarkEnd w:id="394"/>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395"/>
      <w:bookmarkEnd w:id="39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项目" w:id="396"/>
      <w:bookmarkEnd w:id="396"/>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712"/>
        <w:gridCol w:w="2268"/>
        <w:gridCol w:w="2196"/>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9" w:right="0"/>
              <w:jc w:val="left"/>
              <w:rPr>
                <w:rFonts w:ascii="Times New Roman" w:hAnsi="Times New Roman" w:cs="Times New Roman" w:eastAsia="Times New Roman" w:hint="default"/>
                <w:sz w:val="18"/>
                <w:szCs w:val="18"/>
              </w:rPr>
            </w:pPr>
            <w:r>
              <w:rPr>
                <w:rFonts w:ascii="Times New Roman"/>
                <w:sz w:val="18"/>
              </w:rPr>
              <w:t>65,768,000.00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广东蓝盾赢融资产管理有限公司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一、股份支付" w:id="397"/>
      <w:bookmarkEnd w:id="397"/>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支付总体情况" w:id="398"/>
      <w:bookmarkEnd w:id="39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股票，</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BodyText"/>
        <w:spacing w:line="338" w:lineRule="auto"/>
        <w:ind w:left="1134" w:right="1131" w:firstLine="420"/>
        <w:jc w:val="both"/>
      </w:pPr>
      <w:r>
        <w:rPr>
          <w:spacing w:val="-1"/>
        </w:rPr>
        <w:t>（</w:t>
      </w:r>
      <w:r>
        <w:rPr>
          <w:rFonts w:ascii="Times New Roman" w:hAnsi="Times New Roman" w:cs="Times New Roman" w:eastAsia="Times New Roman" w:hint="default"/>
          <w:spacing w:val="-1"/>
        </w:rPr>
        <w:t>1</w:t>
      </w:r>
      <w:r>
        <w:rPr>
          <w:spacing w:val="-1"/>
        </w:rPr>
        <w:t>）根据公司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日召开的第三届董事会第三十一次会议通过了《关于公司限制性股票激励</w:t>
      </w:r>
      <w:r>
        <w:rPr/>
        <w:t> </w:t>
      </w:r>
      <w:r>
        <w:rPr>
          <w:spacing w:val="-1"/>
        </w:rPr>
        <w:t>计划第一个解锁期条件成就的议案》，符合第一期限制性股票激励计划解锁条件，可申请解锁的限制性股</w:t>
      </w:r>
      <w:r>
        <w:rPr>
          <w:spacing w:val="-83"/>
        </w:rPr>
        <w:t> </w:t>
      </w:r>
      <w:r>
        <w:rPr>
          <w:spacing w:val="-83"/>
        </w:rPr>
      </w:r>
      <w:r>
        <w:rPr/>
        <w:t>票数量为</w:t>
      </w:r>
      <w:r>
        <w:rPr>
          <w:rFonts w:ascii="Times New Roman" w:hAnsi="Times New Roman" w:cs="Times New Roman" w:eastAsia="Times New Roman" w:hint="default"/>
        </w:rPr>
        <w:t>1,562,000.00</w:t>
      </w:r>
      <w:r>
        <w:rPr/>
        <w:t>股</w:t>
      </w:r>
    </w:p>
    <w:p>
      <w:pPr>
        <w:pStyle w:val="BodyText"/>
        <w:spacing w:line="331" w:lineRule="auto" w:before="133"/>
        <w:ind w:right="1132" w:firstLine="420"/>
        <w:jc w:val="both"/>
      </w:pPr>
      <w:r>
        <w:rPr>
          <w:spacing w:val="-1"/>
        </w:rPr>
        <w:t>（</w:t>
      </w:r>
      <w:r>
        <w:rPr>
          <w:rFonts w:ascii="Times New Roman" w:hAnsi="Times New Roman" w:cs="Times New Roman" w:eastAsia="Times New Roman" w:hint="default"/>
          <w:spacing w:val="-1"/>
        </w:rPr>
        <w:t>2</w:t>
      </w:r>
      <w:r>
        <w:rPr>
          <w:spacing w:val="-1"/>
        </w:rPr>
        <w:t>）根据公司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日召开的第三届董事会第三十一次会议通过了《关于回购注销部分限制性</w:t>
      </w:r>
      <w:r>
        <w:rPr/>
        <w:t> 股票的议案》。公司本期回购注销不符合解锁条件的限制性股票共</w:t>
      </w:r>
      <w:r>
        <w:rPr>
          <w:rFonts w:ascii="Times New Roman" w:hAnsi="Times New Roman" w:cs="Times New Roman" w:eastAsia="Times New Roman" w:hint="default"/>
        </w:rPr>
        <w:t>90,000.00</w:t>
      </w:r>
      <w:r>
        <w:rPr/>
        <w:t>股。</w:t>
      </w:r>
    </w:p>
    <w:p>
      <w:pPr>
        <w:spacing w:line="240" w:lineRule="auto" w:before="10"/>
        <w:rPr>
          <w:rFonts w:ascii="宋体" w:hAnsi="宋体" w:cs="宋体" w:eastAsia="宋体" w:hint="default"/>
          <w:sz w:val="17"/>
          <w:szCs w:val="17"/>
        </w:rPr>
      </w:pPr>
    </w:p>
    <w:p>
      <w:pPr>
        <w:pStyle w:val="Heading3"/>
        <w:spacing w:line="240" w:lineRule="auto"/>
        <w:ind w:left="1133" w:right="0"/>
        <w:jc w:val="left"/>
        <w:rPr>
          <w:b w:val="0"/>
          <w:bCs w:val="0"/>
        </w:rPr>
      </w:pPr>
      <w:bookmarkStart w:name="2、以权益结算的股份支付情况" w:id="399"/>
      <w:bookmarkEnd w:id="39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结合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期权定价模型以及金融工程中的无套利 理论和看涨</w:t>
            </w:r>
            <w:r>
              <w:rPr>
                <w:rFonts w:ascii="Times New Roman" w:hAnsi="Times New Roman" w:cs="Times New Roman" w:eastAsia="Times New Roman" w:hint="default"/>
                <w:sz w:val="18"/>
                <w:szCs w:val="18"/>
              </w:rPr>
              <w:t>-</w:t>
            </w:r>
            <w:r>
              <w:rPr>
                <w:rFonts w:ascii="宋体" w:hAnsi="宋体" w:cs="宋体" w:eastAsia="宋体" w:hint="default"/>
                <w:sz w:val="18"/>
                <w:szCs w:val="18"/>
              </w:rPr>
              <w:t>看跌平价关系式确定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激励对象持有的股份数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18,733,246.51</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6,737,600.04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现金结算的股份支付情况" w:id="400"/>
      <w:bookmarkEnd w:id="40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580" w:lineRule="auto" w:before="0"/>
        <w:ind w:left="1553" w:right="7393" w:hanging="420"/>
        <w:jc w:val="left"/>
        <w:rPr>
          <w:rFonts w:ascii="宋体" w:hAnsi="宋体" w:cs="宋体" w:eastAsia="宋体" w:hint="default"/>
          <w:sz w:val="21"/>
          <w:szCs w:val="21"/>
        </w:rPr>
      </w:pPr>
      <w:bookmarkStart w:name="4、股份支付的修改、终止情况" w:id="401"/>
      <w:bookmarkEnd w:id="40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无股份支付的修改、终止情况。</w:t>
      </w:r>
    </w:p>
    <w:p>
      <w:pPr>
        <w:spacing w:after="0" w:line="58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二、承诺及或有事项" w:id="402"/>
      <w:bookmarkEnd w:id="402"/>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403"/>
      <w:bookmarkEnd w:id="40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6"/>
        <w:rPr>
          <w:rFonts w:ascii="宋体" w:hAnsi="宋体" w:cs="宋体" w:eastAsia="宋体" w:hint="default"/>
          <w:b/>
          <w:bCs/>
          <w:sz w:val="31"/>
          <w:szCs w:val="31"/>
        </w:rPr>
      </w:pPr>
    </w:p>
    <w:p>
      <w:pPr>
        <w:pStyle w:val="BodyText"/>
        <w:tabs>
          <w:tab w:pos="9161" w:val="left" w:leader="none"/>
          <w:tab w:pos="9628" w:val="left" w:leader="none"/>
          <w:tab w:pos="10095" w:val="left" w:leader="none"/>
          <w:tab w:pos="10562" w:val="left" w:leader="none"/>
        </w:tabs>
        <w:spacing w:line="331" w:lineRule="auto"/>
        <w:ind w:right="1026" w:firstLine="420"/>
        <w:jc w:val="left"/>
      </w:pP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3-5</w:t>
      </w:r>
      <w:r>
        <w:rPr>
          <w:spacing w:val="-2"/>
        </w:rPr>
        <w:t>月向交通银行天河北支行借入借款</w:t>
      </w:r>
      <w:r>
        <w:rPr>
          <w:rFonts w:ascii="Times New Roman" w:hAnsi="Times New Roman" w:cs="Times New Roman" w:eastAsia="Times New Roman" w:hint="default"/>
          <w:spacing w:val="-2"/>
        </w:rPr>
        <w:t>195,044,286.46</w:t>
      </w:r>
      <w:r>
        <w:rPr>
          <w:spacing w:val="-2"/>
        </w:rPr>
        <w:t>元，其中</w:t>
      </w:r>
      <w:r>
        <w:rPr>
          <w:rFonts w:ascii="Times New Roman" w:hAnsi="Times New Roman" w:cs="Times New Roman" w:eastAsia="Times New Roman" w:hint="default"/>
          <w:spacing w:val="-2"/>
        </w:rPr>
        <w:t>29,610,000.00</w:t>
      </w:r>
      <w:r>
        <w:rPr>
          <w:spacing w:val="-2"/>
        </w:rPr>
        <w:t>元的借款期限</w:t>
      </w:r>
      <w:r>
        <w:rPr/>
        <w:t> </w:t>
      </w:r>
      <w:r>
        <w:rPr>
          <w:spacing w:val="-6"/>
        </w:rPr>
        <w:t>为</w:t>
      </w:r>
      <w:r>
        <w:rPr>
          <w:rFonts w:ascii="Times New Roman" w:hAnsi="Times New Roman" w:cs="Times New Roman" w:eastAsia="Times New Roman" w:hint="default"/>
          <w:spacing w:val="-6"/>
        </w:rPr>
        <w:t>8</w:t>
      </w:r>
      <w:r>
        <w:rPr>
          <w:spacing w:val="-6"/>
        </w:rPr>
        <w:t>年，利率为</w:t>
      </w:r>
      <w:r>
        <w:rPr>
          <w:rFonts w:ascii="Times New Roman" w:hAnsi="Times New Roman" w:cs="Times New Roman" w:eastAsia="Times New Roman" w:hint="default"/>
          <w:spacing w:val="-6"/>
        </w:rPr>
        <w:t>5.50%</w:t>
      </w:r>
      <w:r>
        <w:rPr>
          <w:spacing w:val="-6"/>
        </w:rPr>
        <w:t>；金额为</w:t>
      </w:r>
      <w:r>
        <w:rPr>
          <w:rFonts w:ascii="Times New Roman" w:hAnsi="Times New Roman" w:cs="Times New Roman" w:eastAsia="Times New Roman" w:hint="default"/>
          <w:spacing w:val="-6"/>
        </w:rPr>
        <w:t>60,000,000.00</w:t>
      </w:r>
      <w:r>
        <w:rPr>
          <w:spacing w:val="-6"/>
        </w:rPr>
        <w:t>元的借款期限为</w:t>
      </w:r>
      <w:r>
        <w:rPr>
          <w:rFonts w:ascii="Times New Roman" w:hAnsi="Times New Roman" w:cs="Times New Roman" w:eastAsia="Times New Roman" w:hint="default"/>
          <w:spacing w:val="-6"/>
        </w:rPr>
        <w:t>3</w:t>
      </w:r>
      <w:r>
        <w:rPr>
          <w:spacing w:val="-6"/>
        </w:rPr>
        <w:t>年，利率为</w:t>
      </w:r>
      <w:r>
        <w:rPr>
          <w:rFonts w:ascii="Times New Roman" w:hAnsi="Times New Roman" w:cs="Times New Roman" w:eastAsia="Times New Roman" w:hint="default"/>
          <w:spacing w:val="-6"/>
        </w:rPr>
        <w:t>6.33%</w:t>
      </w:r>
      <w:r>
        <w:rPr>
          <w:spacing w:val="-6"/>
        </w:rPr>
        <w:t>，</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11</w:t>
      </w:r>
      <w:r>
        <w:rPr>
          <w:spacing w:val="-6"/>
        </w:rPr>
        <w:t>月偿还</w:t>
      </w:r>
      <w:r>
        <w:rPr>
          <w:rFonts w:ascii="Times New Roman" w:hAnsi="Times New Roman" w:cs="Times New Roman" w:eastAsia="Times New Roman" w:hint="default"/>
          <w:spacing w:val="-6"/>
        </w:rPr>
        <w:t>10,000,000.00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月偿还</w:t>
      </w:r>
      <w:r>
        <w:rPr>
          <w:rFonts w:ascii="Times New Roman" w:hAnsi="Times New Roman" w:cs="Times New Roman" w:eastAsia="Times New Roman" w:hint="default"/>
        </w:rPr>
        <w:t>10,000,000.00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月偿还</w:t>
      </w:r>
      <w:r>
        <w:rPr>
          <w:rFonts w:ascii="Times New Roman" w:hAnsi="Times New Roman" w:cs="Times New Roman" w:eastAsia="Times New Roman" w:hint="default"/>
        </w:rPr>
        <w:t>10,000,000.00</w:t>
      </w:r>
      <w:r>
        <w:rPr/>
        <w:t>元；金额为</w:t>
      </w:r>
      <w:r>
        <w:rPr>
          <w:rFonts w:ascii="Times New Roman" w:hAnsi="Times New Roman" w:cs="Times New Roman" w:eastAsia="Times New Roman" w:hint="default"/>
        </w:rPr>
        <w:t>80,814,286.46</w:t>
      </w:r>
      <w:r>
        <w:rPr/>
        <w:t>元的借款期限为 </w:t>
      </w:r>
      <w:r>
        <w:rPr>
          <w:rFonts w:ascii="Times New Roman" w:hAnsi="Times New Roman" w:cs="Times New Roman" w:eastAsia="Times New Roman" w:hint="default"/>
        </w:rPr>
        <w:t>8</w:t>
      </w:r>
      <w:r>
        <w:rPr/>
        <w:t>年，利率为</w:t>
      </w:r>
      <w:r>
        <w:rPr>
          <w:rFonts w:ascii="Times New Roman" w:hAnsi="Times New Roman" w:cs="Times New Roman" w:eastAsia="Times New Roman" w:hint="default"/>
        </w:rPr>
        <w:t>6.50%</w:t>
      </w:r>
      <w:r>
        <w:rPr/>
        <w:t>；金额为</w:t>
      </w:r>
      <w:r>
        <w:rPr>
          <w:rFonts w:ascii="Times New Roman" w:hAnsi="Times New Roman" w:cs="Times New Roman" w:eastAsia="Times New Roman" w:hint="default"/>
        </w:rPr>
        <w:t>25,420,000.00</w:t>
      </w:r>
      <w:r>
        <w:rPr/>
        <w:t>元的借款期限为</w:t>
      </w:r>
      <w:r>
        <w:rPr>
          <w:rFonts w:ascii="Times New Roman" w:hAnsi="Times New Roman" w:cs="Times New Roman" w:eastAsia="Times New Roman" w:hint="default"/>
        </w:rPr>
        <w:t>8</w:t>
      </w:r>
      <w:r>
        <w:rPr/>
        <w:t>年，利率为</w:t>
      </w:r>
      <w:r>
        <w:rPr>
          <w:rFonts w:ascii="Times New Roman" w:hAnsi="Times New Roman" w:cs="Times New Roman" w:eastAsia="Times New Roman" w:hint="default"/>
        </w:rPr>
        <w:t>7.38%</w:t>
      </w:r>
      <w:r>
        <w:rPr/>
        <w:t>。以公司位于广州市天河区天 </w:t>
      </w:r>
      <w:r>
        <w:rPr>
          <w:spacing w:val="-5"/>
        </w:rPr>
        <w:t>慧路</w:t>
      </w:r>
      <w:r>
        <w:rPr>
          <w:rFonts w:ascii="Times New Roman" w:hAnsi="Times New Roman" w:cs="Times New Roman" w:eastAsia="Times New Roman" w:hint="default"/>
          <w:spacing w:val="-5"/>
        </w:rPr>
        <w:t>1</w:t>
      </w:r>
      <w:r>
        <w:rPr>
          <w:spacing w:val="-5"/>
        </w:rPr>
        <w:t>层</w:t>
      </w:r>
      <w:r>
        <w:rPr>
          <w:rFonts w:ascii="Times New Roman" w:hAnsi="Times New Roman" w:cs="Times New Roman" w:eastAsia="Times New Roman" w:hint="default"/>
          <w:spacing w:val="-5"/>
        </w:rPr>
        <w:t>-6</w:t>
      </w:r>
      <w:r>
        <w:rPr>
          <w:spacing w:val="-5"/>
        </w:rPr>
        <w:t>层办公楼及地下车位（房产编号为穗字第</w:t>
      </w:r>
      <w:r>
        <w:rPr>
          <w:rFonts w:ascii="Times New Roman" w:hAnsi="Times New Roman" w:cs="Times New Roman" w:eastAsia="Times New Roman" w:hint="default"/>
          <w:spacing w:val="-5"/>
        </w:rPr>
        <w:t>0150277328</w:t>
      </w:r>
      <w:r>
        <w:rPr>
          <w:spacing w:val="-5"/>
        </w:rPr>
        <w:t>号、穗字第</w:t>
      </w:r>
      <w:r>
        <w:rPr>
          <w:rFonts w:ascii="Times New Roman" w:hAnsi="Times New Roman" w:cs="Times New Roman" w:eastAsia="Times New Roman" w:hint="default"/>
          <w:spacing w:val="-5"/>
        </w:rPr>
        <w:t>0150277133</w:t>
      </w:r>
      <w:r>
        <w:rPr>
          <w:spacing w:val="-5"/>
        </w:rPr>
        <w:t>号、穗字第</w:t>
      </w:r>
      <w:r>
        <w:rPr>
          <w:rFonts w:ascii="Times New Roman" w:hAnsi="Times New Roman" w:cs="Times New Roman" w:eastAsia="Times New Roman" w:hint="default"/>
          <w:spacing w:val="-5"/>
        </w:rPr>
        <w:t>0150277134</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6"/>
        </w:rPr>
        <w:t>号、穗字第</w:t>
      </w:r>
      <w:r>
        <w:rPr>
          <w:rFonts w:ascii="Times New Roman" w:hAnsi="Times New Roman" w:cs="Times New Roman" w:eastAsia="Times New Roman" w:hint="default"/>
          <w:spacing w:val="-6"/>
        </w:rPr>
        <w:t>0150277135</w:t>
      </w:r>
      <w:r>
        <w:rPr>
          <w:spacing w:val="-6"/>
        </w:rPr>
        <w:t>号、穗字第</w:t>
      </w:r>
      <w:r>
        <w:rPr>
          <w:rFonts w:ascii="Times New Roman" w:hAnsi="Times New Roman" w:cs="Times New Roman" w:eastAsia="Times New Roman" w:hint="default"/>
          <w:spacing w:val="-6"/>
        </w:rPr>
        <w:t>0150277136</w:t>
      </w:r>
      <w:r>
        <w:rPr>
          <w:spacing w:val="-6"/>
        </w:rPr>
        <w:t>号、穗字第</w:t>
      </w:r>
      <w:r>
        <w:rPr>
          <w:rFonts w:ascii="Times New Roman" w:hAnsi="Times New Roman" w:cs="Times New Roman" w:eastAsia="Times New Roman" w:hint="default"/>
          <w:spacing w:val="-6"/>
        </w:rPr>
        <w:t>0150277137</w:t>
      </w:r>
      <w:r>
        <w:rPr>
          <w:spacing w:val="-6"/>
        </w:rPr>
        <w:t>号、地下车位：</w:t>
      </w:r>
      <w:r>
        <w:rPr>
          <w:rFonts w:ascii="Times New Roman" w:hAnsi="Times New Roman" w:cs="Times New Roman" w:eastAsia="Times New Roman" w:hint="default"/>
          <w:spacing w:val="-6"/>
        </w:rPr>
        <w:t>0150277124-0150277224</w:t>
      </w:r>
      <w:r>
        <w:rPr>
          <w:spacing w:val="-6"/>
        </w:rPr>
        <w:t>；</w:t>
      </w:r>
      <w:r>
        <w:rPr>
          <w:spacing w:val="-72"/>
        </w:rPr>
        <w:t> </w:t>
      </w:r>
      <w:r>
        <w:rPr>
          <w:rFonts w:ascii="Times New Roman" w:hAnsi="Times New Roman" w:cs="Times New Roman" w:eastAsia="Times New Roman" w:hint="default"/>
          <w:spacing w:val="-1"/>
        </w:rPr>
        <w:t>0150277451-0150277499</w:t>
      </w:r>
      <w:r>
        <w:rPr>
          <w:spacing w:val="-1"/>
        </w:rPr>
        <w:t>；</w:t>
      </w:r>
      <w:r>
        <w:rPr>
          <w:rFonts w:ascii="Times New Roman" w:hAnsi="Times New Roman" w:cs="Times New Roman" w:eastAsia="Times New Roman" w:hint="default"/>
          <w:spacing w:val="-1"/>
        </w:rPr>
        <w:t>0150277501-0150277549</w:t>
      </w:r>
      <w:r>
        <w:rPr>
          <w:spacing w:val="-1"/>
        </w:rPr>
        <w:t>；</w:t>
      </w:r>
      <w:r>
        <w:rPr>
          <w:rFonts w:ascii="Times New Roman" w:hAnsi="Times New Roman" w:cs="Times New Roman" w:eastAsia="Times New Roman" w:hint="default"/>
          <w:spacing w:val="-1"/>
        </w:rPr>
        <w:t>0150277551-0150277552</w:t>
      </w:r>
      <w:r>
        <w:rPr>
          <w:spacing w:val="-1"/>
        </w:rPr>
        <w:t>号。）账</w:t>
        <w:tab/>
      </w:r>
      <w:r>
        <w:rPr/>
        <w:t>面</w:t>
        <w:tab/>
        <w:t>原</w:t>
        <w:tab/>
        <w:t>值</w:t>
        <w:tab/>
        <w:t>为</w:t>
      </w:r>
    </w:p>
    <w:p>
      <w:pPr>
        <w:pStyle w:val="BodyText"/>
        <w:spacing w:line="331" w:lineRule="auto" w:before="20"/>
        <w:ind w:right="1130"/>
        <w:jc w:val="both"/>
      </w:pPr>
      <w:r>
        <w:rPr>
          <w:rFonts w:ascii="Times New Roman" w:hAnsi="Times New Roman" w:cs="Times New Roman" w:eastAsia="Times New Roman" w:hint="default"/>
        </w:rPr>
        <w:t>172,539,549.74</w:t>
      </w:r>
      <w:r>
        <w:rPr/>
        <w:t>元，以及萝岗基建土地产权穗国府用</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05000113</w:t>
      </w:r>
      <w:r>
        <w:rPr/>
        <w:t>号无形资产账面原值为</w:t>
      </w:r>
      <w:r>
        <w:rPr>
          <w:rFonts w:ascii="Times New Roman" w:hAnsi="Times New Roman" w:cs="Times New Roman" w:eastAsia="Times New Roman" w:hint="default"/>
        </w:rPr>
        <w:t>6,571,400.00</w:t>
      </w:r>
      <w:r>
        <w:rPr/>
        <w:t>元</w:t>
      </w:r>
      <w:r>
        <w:rPr>
          <w:spacing w:val="-29"/>
        </w:rPr>
        <w:t> </w:t>
      </w:r>
      <w:r>
        <w:rPr>
          <w:spacing w:val="2"/>
        </w:rPr>
        <w:t>作为抵押。</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月，公司向浙商银行股份有限公司广州分行借入借款</w:t>
      </w:r>
      <w:r>
        <w:rPr>
          <w:rFonts w:ascii="Times New Roman" w:hAnsi="Times New Roman" w:cs="Times New Roman" w:eastAsia="Times New Roman" w:hint="default"/>
          <w:spacing w:val="2"/>
        </w:rPr>
        <w:t>300,000,000.00</w:t>
      </w:r>
      <w:r>
        <w:rPr>
          <w:spacing w:val="2"/>
        </w:rPr>
        <w:t>元，借款期限为</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43"/>
        </w:rPr>
        <w:t> </w:t>
      </w:r>
      <w:r>
        <w:rPr>
          <w:spacing w:val="-1"/>
        </w:rPr>
        <w:t>年，利率为</w:t>
      </w:r>
      <w:r>
        <w:rPr>
          <w:rFonts w:ascii="Times New Roman" w:hAnsi="Times New Roman" w:cs="Times New Roman" w:eastAsia="Times New Roman" w:hint="default"/>
          <w:spacing w:val="-1"/>
        </w:rPr>
        <w:t>6.17%</w:t>
      </w:r>
      <w:r>
        <w:rPr>
          <w:spacing w:val="-1"/>
        </w:rPr>
        <w:t>，以公司位于成都高新区中和街道观东社区</w:t>
      </w:r>
      <w:r>
        <w:rPr>
          <w:rFonts w:ascii="Times New Roman" w:hAnsi="Times New Roman" w:cs="Times New Roman" w:eastAsia="Times New Roman" w:hint="default"/>
          <w:spacing w:val="-1"/>
        </w:rPr>
        <w:t>8</w:t>
      </w:r>
      <w:r>
        <w:rPr>
          <w:spacing w:val="-1"/>
        </w:rPr>
        <w:t>组、</w:t>
      </w:r>
      <w:r>
        <w:rPr>
          <w:rFonts w:ascii="Times New Roman" w:hAnsi="Times New Roman" w:cs="Times New Roman" w:eastAsia="Times New Roman" w:hint="default"/>
          <w:spacing w:val="-1"/>
        </w:rPr>
        <w:t>9</w:t>
      </w:r>
      <w:r>
        <w:rPr>
          <w:spacing w:val="-1"/>
        </w:rPr>
        <w:t>组（成高国用（</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31151</w:t>
      </w:r>
      <w:r>
        <w:rPr>
          <w:spacing w:val="-1"/>
        </w:rPr>
        <w:t>号无形</w:t>
      </w:r>
      <w:r>
        <w:rPr>
          <w:spacing w:val="-100"/>
        </w:rPr>
        <w:t> </w:t>
      </w:r>
      <w:r>
        <w:rPr/>
        <w:t>资产账面价值</w:t>
      </w:r>
      <w:r>
        <w:rPr>
          <w:rFonts w:ascii="Times New Roman" w:hAnsi="Times New Roman" w:cs="Times New Roman" w:eastAsia="Times New Roman" w:hint="default"/>
        </w:rPr>
        <w:t>300,000,000.00</w:t>
      </w:r>
      <w:r>
        <w:rPr/>
        <w:t>元作为抵押。</w:t>
      </w: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2、或有事项" w:id="404"/>
      <w:bookmarkEnd w:id="40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80" w:lineRule="auto" w:before="0"/>
        <w:ind w:left="1554" w:right="6762" w:hanging="420"/>
        <w:jc w:val="left"/>
        <w:rPr>
          <w:rFonts w:ascii="宋体" w:hAnsi="宋体" w:cs="宋体" w:eastAsia="宋体" w:hint="default"/>
          <w:sz w:val="21"/>
          <w:szCs w:val="21"/>
        </w:rPr>
      </w:pPr>
      <w:bookmarkStart w:name="（1）资产负债表日存在的重要或有事项" w:id="405"/>
      <w:bookmarkEnd w:id="4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bookmarkStart w:name="公司不存在需要披露的重要或有事项。" w:id="406"/>
      <w:bookmarkEnd w:id="406"/>
      <w:r>
        <w:rPr>
          <w:rFonts w:ascii="宋体" w:hAnsi="宋体" w:cs="宋体" w:eastAsia="宋体" w:hint="default"/>
          <w:b/>
          <w:bCs/>
          <w:w w:val="99"/>
          <w:sz w:val="21"/>
          <w:szCs w:val="21"/>
        </w:rPr>
      </w:r>
      <w:r>
        <w:rPr>
          <w:rFonts w:ascii="宋体" w:hAnsi="宋体" w:cs="宋体" w:eastAsia="宋体" w:hint="default"/>
          <w:sz w:val="21"/>
          <w:szCs w:val="21"/>
        </w:rPr>
        <w:t>公司不存在需要披露的重要或有事项。</w:t>
      </w:r>
    </w:p>
    <w:p>
      <w:pPr>
        <w:spacing w:line="578" w:lineRule="auto" w:before="37"/>
        <w:ind w:left="1554" w:right="5587" w:hanging="420"/>
        <w:jc w:val="left"/>
        <w:rPr>
          <w:rFonts w:ascii="宋体" w:hAnsi="宋体" w:cs="宋体" w:eastAsia="宋体" w:hint="default"/>
          <w:sz w:val="21"/>
          <w:szCs w:val="21"/>
        </w:rPr>
      </w:pPr>
      <w:bookmarkStart w:name="（2）公司没有需要披露的重要或有事项，也应予以说明" w:id="407"/>
      <w:bookmarkEnd w:id="4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pStyle w:val="Heading2"/>
        <w:spacing w:line="240" w:lineRule="auto" w:before="17"/>
        <w:ind w:left="1134" w:right="0"/>
        <w:jc w:val="left"/>
        <w:rPr>
          <w:b w:val="0"/>
          <w:bCs w:val="0"/>
        </w:rPr>
      </w:pPr>
      <w:bookmarkStart w:name="十三、资产负债表日后事项" w:id="408"/>
      <w:bookmarkEnd w:id="408"/>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资产负债表日后事项说明" w:id="409"/>
      <w:bookmarkEnd w:id="409"/>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6"/>
        <w:rPr>
          <w:rFonts w:ascii="宋体" w:hAnsi="宋体" w:cs="宋体" w:eastAsia="宋体" w:hint="default"/>
          <w:b/>
          <w:bCs/>
          <w:sz w:val="31"/>
          <w:szCs w:val="31"/>
        </w:rPr>
      </w:pPr>
    </w:p>
    <w:p>
      <w:pPr>
        <w:pStyle w:val="BodyText"/>
        <w:spacing w:line="331" w:lineRule="auto"/>
        <w:ind w:left="1134" w:right="118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日，公司第三届董事会第三十九次（临时）会议审议通过《关于全资子公司终止投资产 业基金暨关联交易的议案》，公司决定终止广州蓝盾睿科信息产业股权投资基金合伙企业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投资 事宜。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日，公司已经取得广州市工商行政管理局核准简易注销通知书。</w:t>
      </w:r>
    </w:p>
    <w:p>
      <w:pPr>
        <w:pStyle w:val="BodyText"/>
        <w:spacing w:line="240" w:lineRule="auto" w:before="20"/>
        <w:ind w:left="1554" w:right="0"/>
        <w:jc w:val="left"/>
      </w:pPr>
      <w:r>
        <w:rPr/>
        <w:t>公司第三届董事会第四十二次会议于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日决议通过以截至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pStyle w:val="BodyText"/>
        <w:spacing w:line="240" w:lineRule="auto" w:before="109"/>
        <w:ind w:left="1134" w:right="0"/>
        <w:jc w:val="left"/>
      </w:pPr>
      <w:r>
        <w:rPr>
          <w:rFonts w:ascii="Times New Roman" w:hAnsi="Times New Roman" w:cs="Times New Roman" w:eastAsia="Times New Roman" w:hint="default"/>
        </w:rPr>
        <w:t>1,175,365,904.00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0.36</w:t>
      </w:r>
      <w:r>
        <w:rPr/>
        <w:t>元人民币（含税），合计派发现金红利</w:t>
      </w:r>
    </w:p>
    <w:p>
      <w:pPr>
        <w:pStyle w:val="BodyText"/>
        <w:spacing w:line="240" w:lineRule="auto" w:before="110"/>
        <w:ind w:left="1134" w:right="0"/>
        <w:jc w:val="left"/>
      </w:pPr>
      <w:r>
        <w:rPr>
          <w:rFonts w:ascii="Times New Roman" w:hAnsi="Times New Roman" w:cs="Times New Roman" w:eastAsia="Times New Roman" w:hint="default"/>
        </w:rPr>
        <w:t>42,313,172.54</w:t>
      </w:r>
      <w:r>
        <w:rPr/>
        <w:t>元。</w:t>
      </w:r>
    </w:p>
    <w:p>
      <w:pPr>
        <w:spacing w:after="0" w:line="240" w:lineRule="auto"/>
        <w:jc w:val="left"/>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四、母公司财务报表主要项目注释" w:id="410"/>
      <w:bookmarkEnd w:id="410"/>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 w:id="411"/>
      <w:bookmarkEnd w:id="41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分类披露" w:id="412"/>
      <w:bookmarkEnd w:id="41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431" w:type="dxa"/>
        <w:tblLayout w:type="fixed"/>
        <w:tblCellMar>
          <w:top w:w="0" w:type="dxa"/>
          <w:left w:w="0" w:type="dxa"/>
          <w:bottom w:w="0" w:type="dxa"/>
          <w:right w:w="0" w:type="dxa"/>
        </w:tblCellMar>
        <w:tblLook w:val="01E0"/>
      </w:tblPr>
      <w:tblGrid>
        <w:gridCol w:w="982"/>
        <w:gridCol w:w="1276"/>
        <w:gridCol w:w="708"/>
        <w:gridCol w:w="1134"/>
        <w:gridCol w:w="710"/>
        <w:gridCol w:w="1134"/>
        <w:gridCol w:w="1276"/>
        <w:gridCol w:w="710"/>
        <w:gridCol w:w="1134"/>
        <w:gridCol w:w="708"/>
        <w:gridCol w:w="1276"/>
      </w:tblGrid>
      <w:tr>
        <w:trPr>
          <w:trHeight w:val="397" w:hRule="exact"/>
        </w:trPr>
        <w:tc>
          <w:tcPr>
            <w:tcW w:w="982" w:type="dxa"/>
            <w:vMerge w:val="restart"/>
            <w:tcBorders>
              <w:top w:val="single" w:sz="4" w:space="0" w:color="000000"/>
              <w:left w:val="single" w:sz="4" w:space="0" w:color="000000"/>
              <w:right w:val="single" w:sz="4" w:space="0" w:color="000000"/>
            </w:tcBorders>
            <w:shd w:val="clear" w:color="auto" w:fill="D2D2D2"/>
          </w:tcPr>
          <w:p>
            <w:pPr/>
          </w:p>
        </w:tc>
        <w:tc>
          <w:tcPr>
            <w:tcW w:w="4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6"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67"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982"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r>
      <w:tr>
        <w:trPr>
          <w:trHeight w:val="181" w:hRule="exact"/>
        </w:trPr>
        <w:tc>
          <w:tcPr>
            <w:tcW w:w="982"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9"/>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116,911,378.71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42,079,804.84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35.99%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74,831,573.87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189,444,413.52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34,975,525.68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18.46%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154,468,887.84</w:t>
            </w:r>
          </w:p>
        </w:tc>
      </w:tr>
      <w:tr>
        <w:trPr>
          <w:trHeight w:val="402"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116,911,378.71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42,079,804.84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35.99%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74,831,573.87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189,444,413.52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34,975,525.68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18.46%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154,468,887.84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2,944,638.50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147,231.93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32,405,300.52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3,240,530.05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50,322,506.75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15,096,752.03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10,350,475.68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5,175,237.84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8,201,447.85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6,561,158.28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11,858,894.72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11,858,894.72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116,083,264.02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42,079,804.84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553"/>
        <w:gridCol w:w="2267"/>
        <w:gridCol w:w="2411"/>
        <w:gridCol w:w="2410"/>
      </w:tblGrid>
      <w:tr>
        <w:trPr>
          <w:trHeight w:val="322" w:hRule="exact"/>
        </w:trPr>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553" w:type="dxa"/>
            <w:vMerge/>
            <w:tcBorders>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828,114.69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828,114.69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160" w:left="0" w:right="0"/>
        </w:sectPr>
      </w:pPr>
    </w:p>
    <w:p>
      <w:pPr>
        <w:spacing w:line="240" w:lineRule="auto" w:before="10"/>
        <w:rPr>
          <w:rFonts w:ascii="宋体" w:hAnsi="宋体" w:cs="宋体" w:eastAsia="宋体" w:hint="default"/>
          <w:sz w:val="20"/>
          <w:szCs w:val="20"/>
        </w:rPr>
      </w:pPr>
    </w:p>
    <w:p>
      <w:pPr>
        <w:spacing w:line="578" w:lineRule="auto" w:before="35"/>
        <w:ind w:left="1553" w:right="6502" w:hanging="420"/>
        <w:jc w:val="left"/>
        <w:rPr>
          <w:rFonts w:ascii="宋体" w:hAnsi="宋体" w:cs="宋体" w:eastAsia="宋体" w:hint="default"/>
          <w:sz w:val="21"/>
          <w:szCs w:val="21"/>
        </w:rPr>
      </w:pPr>
      <w:bookmarkStart w:name="（2）本期计提、收回或转回的坏账准备情况" w:id="413"/>
      <w:bookmarkEnd w:id="4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10,351,518.78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Heading3"/>
        <w:spacing w:line="283" w:lineRule="exact"/>
        <w:ind w:left="1133" w:right="0"/>
        <w:jc w:val="left"/>
        <w:rPr>
          <w:b w:val="0"/>
          <w:bCs w:val="0"/>
        </w:rPr>
      </w:pPr>
      <w:bookmarkStart w:name="（3）本期实际核销的应收账款情况" w:id="414"/>
      <w:bookmarkEnd w:id="41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3,247,239.62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10"/>
        <w:gridCol w:w="852"/>
        <w:gridCol w:w="1134"/>
        <w:gridCol w:w="2976"/>
        <w:gridCol w:w="992"/>
        <w:gridCol w:w="1205"/>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1" w:right="59"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履行的核销 程序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肇庆金世纪建设发展有限公司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458,948.00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预计无法收回款项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中国人民解放军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部队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341,592.05</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预计无法收回款项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日芯光伏科技有限公司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295,529.16</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预计无法收回款项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佛山市南海区中医院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292,000.00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预计无法收回款项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中信保诚人寿保险有限公司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250,825.74</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账龄较长</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预计无法收回款项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1,638,894.95</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名的应收账款情况" w:id="415"/>
      <w:bookmarkEnd w:id="41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836"/>
        <w:gridCol w:w="1985"/>
        <w:gridCol w:w="2693"/>
        <w:gridCol w:w="2126"/>
      </w:tblGrid>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占应收账款期末余额的比例</w:t>
            </w:r>
            <w:r>
              <w:rPr>
                <w:rFonts w:ascii="Times New Roman" w:hAnsi="Times New Roman" w:cs="Times New Roman" w:eastAsia="Times New Roman"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8,063,138.40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806,313.84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广东兴业国际实业有限公司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7,553,859.76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6,043,087.81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广州德合电子科技有限公司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5,989,500.00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1,072,850.00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清远市人民政府办公室</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4,693,615.60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4,693,615.60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广州憨明电子科技有限公司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4,524,573.00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1,357,371.90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30,824,686.76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13,973,239.15</w:t>
            </w:r>
          </w:p>
        </w:tc>
      </w:tr>
    </w:tbl>
    <w:p>
      <w:pPr>
        <w:spacing w:line="240" w:lineRule="auto" w:before="2"/>
        <w:rPr>
          <w:rFonts w:ascii="宋体" w:hAnsi="宋体" w:cs="宋体" w:eastAsia="宋体" w:hint="default"/>
          <w:b/>
          <w:bCs/>
          <w:sz w:val="19"/>
          <w:szCs w:val="19"/>
        </w:rPr>
      </w:pPr>
    </w:p>
    <w:p>
      <w:pPr>
        <w:pStyle w:val="Heading3"/>
        <w:spacing w:line="578" w:lineRule="auto" w:before="35"/>
        <w:ind w:left="1554" w:right="6641" w:hanging="420"/>
        <w:jc w:val="left"/>
        <w:rPr>
          <w:rFonts w:ascii="宋体" w:hAnsi="宋体" w:cs="宋体" w:eastAsia="宋体" w:hint="default"/>
          <w:b w:val="0"/>
          <w:bCs w:val="0"/>
        </w:rPr>
      </w:pPr>
      <w:bookmarkStart w:name="（5）因金融资产转移而终止确认的应收账款" w:id="416"/>
      <w:bookmarkEnd w:id="416"/>
      <w:r>
        <w:rPr>
          <w:b w:val="0"/>
          <w:bCs w:val="0"/>
        </w:rPr>
      </w:r>
      <w:r>
        <w:rPr/>
        <w:t>（</w:t>
      </w: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3"/>
        <w:spacing w:line="580" w:lineRule="auto" w:before="40"/>
        <w:ind w:left="1554" w:right="5798" w:hanging="420"/>
        <w:jc w:val="left"/>
        <w:rPr>
          <w:rFonts w:ascii="宋体" w:hAnsi="宋体" w:cs="宋体" w:eastAsia="宋体" w:hint="default"/>
          <w:b w:val="0"/>
          <w:bCs w:val="0"/>
        </w:rPr>
      </w:pPr>
      <w:bookmarkStart w:name="（6）转移应收账款且继续涉入形成的资产、负债金额" w:id="417"/>
      <w:bookmarkEnd w:id="417"/>
      <w:r>
        <w:rPr>
          <w:b w:val="0"/>
          <w:bCs w:val="0"/>
        </w:rPr>
      </w: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spacing w:after="0" w:line="580" w:lineRule="auto"/>
        <w:jc w:val="left"/>
        <w:rPr>
          <w:rFonts w:ascii="宋体" w:hAnsi="宋体" w:cs="宋体" w:eastAsia="宋体" w:hint="default"/>
        </w:rPr>
        <w:sectPr>
          <w:pgSz w:w="11910" w:h="16840"/>
          <w:pgMar w:header="877" w:footer="979" w:top="1100" w:bottom="1160" w:left="0" w:right="0"/>
        </w:sectPr>
      </w:pPr>
    </w:p>
    <w:p>
      <w:pPr>
        <w:spacing w:line="240" w:lineRule="auto" w:before="9"/>
        <w:rPr>
          <w:rFonts w:ascii="宋体" w:hAnsi="宋体" w:cs="宋体" w:eastAsia="宋体" w:hint="default"/>
          <w:sz w:val="20"/>
          <w:szCs w:val="20"/>
        </w:rPr>
      </w:pPr>
    </w:p>
    <w:p>
      <w:pPr>
        <w:pStyle w:val="Heading3"/>
        <w:spacing w:line="240" w:lineRule="auto" w:before="35"/>
        <w:ind w:left="1133" w:right="0"/>
        <w:jc w:val="left"/>
        <w:rPr>
          <w:b w:val="0"/>
          <w:bCs w:val="0"/>
        </w:rPr>
      </w:pPr>
      <w:bookmarkStart w:name="2、其他应收款" w:id="418"/>
      <w:bookmarkEnd w:id="41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其他应收款分类披露" w:id="419"/>
      <w:bookmarkEnd w:id="41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431" w:type="dxa"/>
        <w:tblLayout w:type="fixed"/>
        <w:tblCellMar>
          <w:top w:w="0" w:type="dxa"/>
          <w:left w:w="0" w:type="dxa"/>
          <w:bottom w:w="0" w:type="dxa"/>
          <w:right w:w="0" w:type="dxa"/>
        </w:tblCellMar>
        <w:tblLook w:val="01E0"/>
      </w:tblPr>
      <w:tblGrid>
        <w:gridCol w:w="1396"/>
        <w:gridCol w:w="1145"/>
        <w:gridCol w:w="709"/>
        <w:gridCol w:w="1134"/>
        <w:gridCol w:w="710"/>
        <w:gridCol w:w="1134"/>
        <w:gridCol w:w="1134"/>
        <w:gridCol w:w="708"/>
        <w:gridCol w:w="992"/>
        <w:gridCol w:w="708"/>
        <w:gridCol w:w="1134"/>
      </w:tblGrid>
      <w:tr>
        <w:trPr>
          <w:trHeight w:val="403"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83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2"/>
              <w:ind w:left="169"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52"/>
              <w:ind w:left="167"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6" w:type="dxa"/>
            <w:vMerge w:val="restart"/>
            <w:tcBorders>
              <w:top w:val="nil" w:sz="6" w:space="0" w:color="auto"/>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96"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81"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4"/>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5,995,370.00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5,995,370.00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4,325,911.06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429,550.36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3,896,360.70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2,519,396.15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891,782.46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35.40%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1,627,613.69</w:t>
            </w:r>
          </w:p>
        </w:tc>
      </w:tr>
      <w:tr>
        <w:trPr>
          <w:trHeight w:val="40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10,321,281.06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6,424,920.36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3,896,360.70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2,519,396.15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891,782.46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35.40%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1,627,613.69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455" w:space="3375"/>
            <w:col w:w="308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44"/>
        <w:ind w:left="0" w:right="1137" w:firstLine="0"/>
        <w:jc w:val="right"/>
        <w:rPr>
          <w:rFonts w:ascii="宋体" w:hAnsi="宋体" w:cs="宋体" w:eastAsia="宋体" w:hint="default"/>
          <w:sz w:val="18"/>
          <w:szCs w:val="18"/>
        </w:rPr>
      </w:pPr>
      <w:r>
        <w:rPr/>
        <w:pict>
          <v:shape style="position:absolute;margin-left:56.459999pt;margin-top:-61.198277pt;width:479.3pt;height:101.0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9"/>
                    <w:gridCol w:w="1134"/>
                    <w:gridCol w:w="1134"/>
                    <w:gridCol w:w="851"/>
                    <w:gridCol w:w="3333"/>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54"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4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四川龙商汇实业有限公司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4,988,000.00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4,988,000.00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该公司涉嫌诈骗，预计款项无法收回。</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广州慧泽计算机系统工程有限公司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1,007,370.00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1,007,370.00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该公司涉嫌合同诈骗，预计款项无法收回</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5,995,370.00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5,995,370.00</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00" w:bottom="1160" w:left="0" w:right="0"/>
        </w:sectPr>
      </w:pPr>
    </w:p>
    <w:p>
      <w:pPr>
        <w:spacing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172,921.79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8,646.09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6,160.60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169,064.00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50,719.20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45,670.00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63,124.00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50,499.20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267,855.27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267,855.27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825,911.06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429,550.36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after="0"/>
        <w:jc w:val="left"/>
        <w:rPr>
          <w:rFonts w:ascii="宋体" w:hAnsi="宋体" w:cs="宋体" w:eastAsia="宋体" w:hint="default"/>
          <w:sz w:val="18"/>
          <w:szCs w:val="18"/>
        </w:rPr>
        <w:sectPr>
          <w:type w:val="continuous"/>
          <w:pgSz w:w="11910" w:h="16840"/>
          <w:pgMar w:top="1100" w:bottom="1160" w:left="0" w:right="0"/>
        </w:sectPr>
      </w:pPr>
    </w:p>
    <w:p>
      <w:pPr>
        <w:spacing w:line="240" w:lineRule="auto" w:before="13"/>
        <w:rPr>
          <w:rFonts w:ascii="宋体" w:hAnsi="宋体" w:cs="宋体" w:eastAsia="宋体" w:hint="default"/>
          <w:sz w:val="21"/>
          <w:szCs w:val="21"/>
        </w:rPr>
      </w:pPr>
    </w:p>
    <w:p>
      <w:pPr>
        <w:spacing w:line="338" w:lineRule="auto" w:before="44"/>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553"/>
        <w:gridCol w:w="2267"/>
        <w:gridCol w:w="2411"/>
        <w:gridCol w:w="2410"/>
      </w:tblGrid>
      <w:tr>
        <w:trPr>
          <w:trHeight w:val="322" w:hRule="exact"/>
        </w:trPr>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553" w:type="dxa"/>
            <w:vMerge/>
            <w:tcBorders>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7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spacing w:line="578" w:lineRule="auto" w:before="35"/>
        <w:ind w:left="1554" w:right="6605" w:hanging="420"/>
        <w:jc w:val="left"/>
        <w:rPr>
          <w:rFonts w:ascii="宋体" w:hAnsi="宋体" w:cs="宋体" w:eastAsia="宋体" w:hint="default"/>
          <w:sz w:val="21"/>
          <w:szCs w:val="21"/>
        </w:rPr>
      </w:pPr>
      <w:bookmarkStart w:name="（2）本期计提、收回或转回的坏账准备情况" w:id="420"/>
      <w:bookmarkEnd w:id="4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5,773,188.30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Heading3"/>
        <w:spacing w:line="282" w:lineRule="exact"/>
        <w:ind w:right="0"/>
        <w:jc w:val="left"/>
        <w:rPr>
          <w:b w:val="0"/>
          <w:bCs w:val="0"/>
        </w:rPr>
      </w:pPr>
      <w:bookmarkStart w:name="（3）本期实际核销的其他应收款情况" w:id="421"/>
      <w:bookmarkEnd w:id="42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240,050.40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28"/>
        <w:gridCol w:w="1416"/>
        <w:gridCol w:w="993"/>
        <w:gridCol w:w="2410"/>
        <w:gridCol w:w="1419"/>
        <w:gridCol w:w="1205"/>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广东省边防总队训练基地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南京市公共资源交易中心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广州大学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75,453.30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广州医学院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43,797.10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预计无法收回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核销审批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199,250.40</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应收款按款项性质分类情况" w:id="422"/>
      <w:bookmarkEnd w:id="42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776,373.30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1,442,946.15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49,111.80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76,450.00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425.96</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预付原材料款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5,995,370.00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10,321,281.06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2,519,396.15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5）按欠款方归集的期末余额前五名的其他应收款情况" w:id="423"/>
      <w:bookmarkEnd w:id="42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1701"/>
        <w:gridCol w:w="1134"/>
        <w:gridCol w:w="709"/>
        <w:gridCol w:w="1575"/>
        <w:gridCol w:w="1615"/>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2" w:right="6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四川龙商汇实业有限公司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一年以上预付材料款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4,988,000.00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4,988,000.00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广州慧泽计算机系统工程有限公司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一年以上预付材料款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1,007,370.00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1,007,370.00</w:t>
            </w:r>
          </w:p>
        </w:tc>
      </w:tr>
      <w:tr>
        <w:trPr>
          <w:trHeight w:val="40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广州市悦禾物业管理有限公司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21,864.75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年以内</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1,093.24</w:t>
            </w:r>
          </w:p>
        </w:tc>
      </w:tr>
      <w:tr>
        <w:trPr>
          <w:trHeight w:val="402" w:hRule="exact"/>
        </w:trPr>
        <w:tc>
          <w:tcPr>
            <w:tcW w:w="2836" w:type="dxa"/>
            <w:vMerge/>
            <w:tcBorders>
              <w:left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355.00</w:t>
            </w:r>
          </w:p>
        </w:tc>
      </w:tr>
      <w:tr>
        <w:trPr>
          <w:trHeight w:val="402" w:hRule="exact"/>
        </w:trPr>
        <w:tc>
          <w:tcPr>
            <w:tcW w:w="2836" w:type="dxa"/>
            <w:vMerge/>
            <w:tcBorders>
              <w:left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2836"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147,855.27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年以上</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147,855.27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禾田投资集团有限公司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101,259.28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年以内</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5,062.96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东莞市财政局虎门港分局</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28,200.00</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6,366,899.30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6,179,436.47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424"/>
      <w:bookmarkEnd w:id="42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4"/>
        <w:gridCol w:w="1417"/>
        <w:gridCol w:w="994"/>
        <w:gridCol w:w="1416"/>
        <w:gridCol w:w="1419"/>
        <w:gridCol w:w="974"/>
        <w:gridCol w:w="1367"/>
      </w:tblGrid>
      <w:tr>
        <w:trPr>
          <w:trHeight w:val="206"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vMerge/>
            <w:tcBorders>
              <w:left w:val="single" w:sz="4" w:space="0" w:color="000000"/>
              <w:bottom w:val="single" w:sz="4" w:space="0" w:color="000000"/>
              <w:right w:val="single" w:sz="4" w:space="0" w:color="000000"/>
            </w:tcBorders>
            <w:shd w:val="clear" w:color="auto" w:fill="D2D2D2"/>
          </w:tcPr>
          <w:p>
            <w:pPr/>
          </w:p>
        </w:tc>
        <w:tc>
          <w:tcPr>
            <w:tcW w:w="376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3,306,800,556.20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3,306,800,556.20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2,471,633,702.47</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2,471,633,702.47</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5,001,267.36</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5,001,267.36</w:t>
            </w:r>
          </w:p>
        </w:tc>
        <w:tc>
          <w:tcPr>
            <w:tcW w:w="141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3,311,801,823.56</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3,311,801,823.56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2,471,633,702.47</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2,471,633,702.47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25"/>
      <w:bookmarkEnd w:id="42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19"/>
        <w:gridCol w:w="1418"/>
        <w:gridCol w:w="1276"/>
        <w:gridCol w:w="852"/>
        <w:gridCol w:w="1416"/>
        <w:gridCol w:w="852"/>
        <w:gridCol w:w="850"/>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205,713,675.40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203,201,040.13</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408,914,715.53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13,061,437.37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36,272.41</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13,097,709.78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19,228,747.40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562,222.35</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19,790,969.75</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19"/>
        <w:gridCol w:w="1418"/>
        <w:gridCol w:w="1276"/>
        <w:gridCol w:w="852"/>
        <w:gridCol w:w="1416"/>
        <w:gridCol w:w="852"/>
        <w:gridCol w:w="85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4,138,234.08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3,581,612.92</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7,719,847.00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成都蓝盾网信科技有限公司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360,105,000.00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44,895,000.00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西咸新区蓝都信息安全有限公司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广东蓝盾教育科技有限公司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香港蓝盾投资管理有限公司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1,396,752.00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1,396,752.00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421,489,856.22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879,605.92</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422,369,462.14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汇通宝支 付有限责任公司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广州天锐锋信息科技有限公司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新疆丝路蓝盾教育科技有限公司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深圳市蓝盾满泰科技发展有限公司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广西蓝盾智慧城市信息技术有限公司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广州蓝盾数据安全科技创新有限公司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湖北蓝盾信息安全技术有限公司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2,471,633,702.47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835,166,853.73</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3,306,800,556.20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26"/>
      <w:bookmarkEnd w:id="42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44" w:type="dxa"/>
        <w:tblLayout w:type="fixed"/>
        <w:tblCellMar>
          <w:top w:w="0" w:type="dxa"/>
          <w:left w:w="0" w:type="dxa"/>
          <w:bottom w:w="0" w:type="dxa"/>
          <w:right w:w="0" w:type="dxa"/>
        </w:tblCellMar>
        <w:tblLook w:val="01E0"/>
      </w:tblPr>
      <w:tblGrid>
        <w:gridCol w:w="1560"/>
        <w:gridCol w:w="709"/>
        <w:gridCol w:w="1134"/>
        <w:gridCol w:w="568"/>
        <w:gridCol w:w="850"/>
        <w:gridCol w:w="851"/>
        <w:gridCol w:w="709"/>
        <w:gridCol w:w="850"/>
        <w:gridCol w:w="710"/>
        <w:gridCol w:w="425"/>
        <w:gridCol w:w="1134"/>
        <w:gridCol w:w="852"/>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60" w:right="7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09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61" w:right="5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3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03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深圳市蓝盾中美信 息技术创新投资企 业（有限合伙）</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5,000,000.00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1,267.36</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5,001,267.36</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5,000,000.00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5,001,267.36</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5,000,000.00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1,267.36</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5,001,267.36</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427"/>
      <w:bookmarkEnd w:id="42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266,109,470.38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72,622,737.67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317,166,351.13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123,304,396.52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1,448,203.02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667,489.70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1,365,695.58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594,935.40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267,557,673.40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73,290,227.37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318,532,046.71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123,899,331.92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28"/>
      <w:bookmarkEnd w:id="42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1,267.36</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五、补充资料" w:id="429"/>
      <w:bookmarkEnd w:id="429"/>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430"/>
      <w:bookmarkEnd w:id="43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-2,709,755.40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34,603,760.56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12,583.12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-3,656,801.33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606,449.05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3,843,162.69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278,832.68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24,734,240.63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410"/>
        <w:gridCol w:w="2127"/>
        <w:gridCol w:w="5033"/>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9" w:right="0"/>
              <w:jc w:val="left"/>
              <w:rPr>
                <w:rFonts w:ascii="Times New Roman" w:hAnsi="Times New Roman" w:cs="Times New Roman" w:eastAsia="Times New Roman" w:hint="default"/>
                <w:sz w:val="18"/>
                <w:szCs w:val="18"/>
              </w:rPr>
            </w:pPr>
            <w:r>
              <w:rPr>
                <w:rFonts w:ascii="Times New Roman"/>
                <w:sz w:val="18"/>
              </w:rPr>
              <w:t>52,317,607.19</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依据国家对软件行业的总体政策导向，预期软件增值税退税的税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收优惠政策将在较长时期内保持稳定，故定义为经常性损益。</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净资产收益率及每股收益" w:id="431"/>
      <w:bookmarkEnd w:id="43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75"/>
        <w:ind w:right="1536"/>
        <w:jc w:val="center"/>
        <w:rPr>
          <w:b w:val="0"/>
          <w:bCs w:val="0"/>
        </w:rPr>
      </w:pPr>
      <w:bookmarkStart w:name="第十二节 备查文件目录" w:id="432"/>
      <w:bookmarkEnd w:id="432"/>
      <w:r>
        <w:rPr>
          <w:b w:val="0"/>
          <w:bCs w:val="0"/>
        </w:rPr>
      </w:r>
      <w:bookmarkStart w:name="_bookmark11" w:id="433"/>
      <w:bookmarkEnd w:id="433"/>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7"/>
          <w:szCs w:val="47"/>
        </w:rPr>
      </w:pPr>
    </w:p>
    <w:p>
      <w:pPr>
        <w:pStyle w:val="BodyText"/>
        <w:spacing w:line="350" w:lineRule="auto"/>
        <w:ind w:right="0" w:firstLine="420"/>
        <w:jc w:val="left"/>
      </w:pPr>
      <w:r>
        <w:rPr>
          <w:spacing w:val="-1"/>
        </w:rPr>
        <w:t>一、载有公司法定代表人、主管会计工作负责人、公司会计机构负责人（会计主管人员）签名并盖章</w:t>
      </w:r>
      <w:r>
        <w:rPr/>
        <w:t> 的财务报表。</w:t>
      </w:r>
    </w:p>
    <w:p>
      <w:pPr>
        <w:pStyle w:val="BodyText"/>
        <w:spacing w:line="384" w:lineRule="auto" w:before="67"/>
        <w:ind w:left="1553" w:right="2143"/>
        <w:jc w:val="left"/>
      </w:pPr>
      <w:r>
        <w:rPr/>
        <w:t>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2017</w:t>
      </w:r>
      <w:r>
        <w:rPr/>
        <w:t>年年度报告文本原件。</w:t>
      </w:r>
    </w:p>
    <w:p>
      <w:pPr>
        <w:pStyle w:val="BodyText"/>
        <w:spacing w:line="240" w:lineRule="auto" w:before="9"/>
        <w:ind w:left="1553" w:right="0"/>
        <w:jc w:val="left"/>
      </w:pPr>
      <w:r>
        <w:rPr/>
        <w:t>五、其他相关资料。</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1553" w:right="0"/>
        <w:jc w:val="left"/>
      </w:pPr>
      <w:r>
        <w:rPr/>
        <w:t>以上备查文件的备置地点：公司证券部</w:t>
      </w:r>
    </w:p>
    <w:sectPr>
      <w:pgSz w:w="11910" w:h="16840"/>
      <w:pgMar w:header="877" w:footer="979" w:top="11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49424" type="#_x0000_t75" stroked="false">
          <v:imagedata r:id="rId1" o:title=""/>
        </v:shape>
      </w:pict>
    </w:r>
    <w:r>
      <w:rPr/>
      <w:pict>
        <v:shape style="position:absolute;margin-left:527.679993pt;margin-top:781.957947pt;width:13pt;height:11pt;mso-position-horizontal-relative:page;mso-position-vertical-relative:page;z-index:-1149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148872" type="#_x0000_t75" stroked="false">
          <v:imagedata r:id="rId1" o:title=""/>
        </v:shape>
      </w:pict>
    </w:r>
    <w:r>
      <w:rPr/>
      <w:pict>
        <v:shape style="position:absolute;margin-left:754.47998pt;margin-top:535.357971pt;width:17.5pt;height:11pt;mso-position-horizontal-relative:page;mso-position-vertical-relative:page;z-index:-1148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48776" type="#_x0000_t75" stroked="false">
          <v:imagedata r:id="rId1" o:title=""/>
        </v:shape>
      </w:pict>
    </w:r>
    <w:r>
      <w:rPr/>
      <w:pict>
        <v:shape style="position:absolute;margin-left:523.179993pt;margin-top:781.957947pt;width:17.5pt;height:11pt;mso-position-horizontal-relative:page;mso-position-vertical-relative:page;z-index:-1148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48728" type="#_x0000_t75" stroked="false">
          <v:imagedata r:id="rId1" o:title=""/>
        </v:shape>
      </w:pict>
    </w:r>
    <w:r>
      <w:rPr/>
      <w:pict>
        <v:shape style="position:absolute;margin-left:524.179993pt;margin-top:781.957947pt;width:15.5pt;height:11pt;mso-position-horizontal-relative:page;mso-position-vertical-relative:page;z-index:-1148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48680" type="#_x0000_t75" stroked="false">
          <v:imagedata r:id="rId1" o:title=""/>
        </v:shape>
      </w:pict>
    </w:r>
    <w:r>
      <w:rPr/>
      <w:pict>
        <v:shape style="position:absolute;margin-left:523.179993pt;margin-top:781.957947pt;width:17.5pt;height:11pt;mso-position-horizontal-relative:page;mso-position-vertical-relative:page;z-index:-1148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149352" type="#_x0000_t75" stroked="false">
          <v:imagedata r:id="rId1" o:title=""/>
        </v:shape>
      </w:pict>
    </w:r>
    <w:r>
      <w:rPr/>
      <w:pict>
        <v:shape style="position:absolute;margin-left:758.97998pt;margin-top:535.357971pt;width:13pt;height:11pt;mso-position-horizontal-relative:page;mso-position-vertical-relative:page;z-index:-1149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49256" type="#_x0000_t75" stroked="false">
          <v:imagedata r:id="rId1" o:title=""/>
        </v:shape>
      </w:pict>
    </w:r>
    <w:r>
      <w:rPr/>
      <w:pict>
        <v:shape style="position:absolute;margin-left:527.679993pt;margin-top:781.957947pt;width:13pt;height:11pt;mso-position-horizontal-relative:page;mso-position-vertical-relative:page;z-index:-1149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149184" type="#_x0000_t75" stroked="false">
          <v:imagedata r:id="rId1" o:title=""/>
        </v:shape>
      </w:pict>
    </w:r>
    <w:r>
      <w:rPr/>
      <w:pict>
        <v:shape style="position:absolute;margin-left:759.97998pt;margin-top:535.357971pt;width:11pt;height:11pt;mso-position-horizontal-relative:page;mso-position-vertical-relative:page;z-index:-1149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149136" type="#_x0000_t75" stroked="false">
          <v:imagedata r:id="rId1" o:title=""/>
        </v:shape>
      </w:pict>
    </w:r>
    <w:r>
      <w:rPr/>
      <w:pict>
        <v:shape style="position:absolute;margin-left:755.47998pt;margin-top:535.357971pt;width:15.5pt;height:11pt;mso-position-horizontal-relative:page;mso-position-vertical-relative:page;z-index:-1149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149088" type="#_x0000_t75" stroked="false">
          <v:imagedata r:id="rId1" o:title=""/>
        </v:shape>
      </w:pict>
    </w:r>
    <w:r>
      <w:rPr/>
      <w:pict>
        <v:shape style="position:absolute;margin-left:754.47998pt;margin-top:535.357971pt;width:17.5pt;height:11pt;mso-position-horizontal-relative:page;mso-position-vertical-relative:page;z-index:-1149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48992" type="#_x0000_t75" stroked="false">
          <v:imagedata r:id="rId1" o:title=""/>
        </v:shape>
      </w:pict>
    </w:r>
    <w:r>
      <w:rPr/>
      <w:pict>
        <v:shape style="position:absolute;margin-left:523.179993pt;margin-top:781.957947pt;width:17.5pt;height:11pt;mso-position-horizontal-relative:page;mso-position-vertical-relative:page;z-index:-1148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48944" type="#_x0000_t75" stroked="false">
          <v:imagedata r:id="rId1" o:title=""/>
        </v:shape>
      </w:pict>
    </w:r>
    <w:r>
      <w:rPr/>
      <w:pict>
        <v:shape style="position:absolute;margin-left:523.179993pt;margin-top:781.957947pt;width:17.5pt;height:11pt;mso-position-horizontal-relative:page;mso-position-vertical-relative:page;z-index:-1148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14947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160004pt;margin-top:42.865608pt;width:195.55pt;height:11.5pt;mso-position-horizontal-relative:page;mso-position-vertical-relative:page;z-index:-1149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55pt;height:11.5pt;mso-position-horizontal-relative:page;mso-position-vertical-relative:page;z-index:-1149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14930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160004pt;margin-top:42.865608pt;width:195.55pt;height:11.5pt;mso-position-horizontal-relative:page;mso-position-vertical-relative:page;z-index:-1149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55pt;height:11.5pt;mso-position-horizontal-relative:page;mso-position-vertical-relative:page;z-index:-1149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14904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160004pt;margin-top:42.865608pt;width:195.55pt;height:11.5pt;mso-position-horizontal-relative:page;mso-position-vertical-relative:page;z-index:-1149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55pt;height:11.5pt;mso-position-horizontal-relative:page;mso-position-vertical-relative:page;z-index:-1148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14882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160004pt;margin-top:42.865608pt;width:195.55pt;height:11.5pt;mso-position-horizontal-relative:page;mso-position-vertical-relative:page;z-index:-1148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6"/>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21"/>
      <w:szCs w:val="21"/>
    </w:rPr>
  </w:style>
  <w:style w:styleId="Heading1" w:type="paragraph">
    <w:name w:val="Heading 1"/>
    <w:basedOn w:val="Normal"/>
    <w:uiPriority w:val="1"/>
    <w:qFormat/>
    <w:pPr>
      <w:spacing w:before="1"/>
      <w:ind w:left="153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bluedon.com/" TargetMode="External"/><Relationship Id="rId9" Type="http://schemas.openxmlformats.org/officeDocument/2006/relationships/hyperlink" Target="mailto:stock@chinabluedon.cn" TargetMode="External"/><Relationship Id="rId10" Type="http://schemas.openxmlformats.org/officeDocument/2006/relationships/hyperlink" Target="mailto:lee_bluedon@163.com" TargetMode="External"/><Relationship Id="rId11" Type="http://schemas.openxmlformats.org/officeDocument/2006/relationships/hyperlink" Target="mailto:weiyy@chinabluedon.cn"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hyperlink" Target="http://irm.cninfo.com.cn/ssessgs/S300297/index.html"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yperlink" Target="http://www.cninfo.com.cn/cninfo-new/disclosure/szse_gem/b"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image" Target="media/image5.jpeg"/><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eader" Target="header5.xml"/><Relationship Id="rId26" Type="http://schemas.openxmlformats.org/officeDocument/2006/relationships/footer" Target="footer7.xml"/><Relationship Id="rId27" Type="http://schemas.openxmlformats.org/officeDocument/2006/relationships/header" Target="header6.xml"/><Relationship Id="rId28" Type="http://schemas.openxmlformats.org/officeDocument/2006/relationships/footer" Target="footer8.xml"/><Relationship Id="rId29" Type="http://schemas.openxmlformats.org/officeDocument/2006/relationships/image" Target="media/image4.png"/><Relationship Id="rId30" Type="http://schemas.openxmlformats.org/officeDocument/2006/relationships/footer" Target="footer9.xml"/><Relationship Id="rId31" Type="http://schemas.openxmlformats.org/officeDocument/2006/relationships/header" Target="header7.xml"/><Relationship Id="rId32" Type="http://schemas.openxmlformats.org/officeDocument/2006/relationships/footer" Target="footer10.xml"/><Relationship Id="rId33" Type="http://schemas.openxmlformats.org/officeDocument/2006/relationships/header" Target="header8.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4.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dc:creator>
  <dcterms:created xsi:type="dcterms:W3CDTF">2020-05-03T00:27:42Z</dcterms:created>
  <dcterms:modified xsi:type="dcterms:W3CDTF">2020-05-03T00:27:42Z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2018-05-21T00:00:00Z</vt:filetime>
  </property>
  <property fmtid="{D5CDD505-2E9C-101B-9397-08002B2CF9AE}" pid="3" name="Creator">
    <vt:lpwstr>Microsoft® Office Word 2007</vt:lpwstr>
  </property>
  <property fmtid="{D5CDD505-2E9C-101B-9397-08002B2CF9AE}" pid="4" name="LastSaved">
    <vt:filetime>2020-05-02T00:00:00Z</vt:filetime>
  </property>
</Properties>
</file>