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598" w:lineRule="exact"/>
        <w:ind w:left="128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4682882" cy="10149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682882" cy="1014983"/>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8"/>
        <w:rPr>
          <w:rFonts w:ascii="Times New Roman" w:hAnsi="Times New Roman" w:cs="Times New Roman" w:eastAsia="Times New Roman" w:hint="default"/>
          <w:sz w:val="13"/>
          <w:szCs w:val="13"/>
        </w:rPr>
      </w:pPr>
    </w:p>
    <w:p>
      <w:pPr>
        <w:spacing w:line="460" w:lineRule="exact" w:before="0"/>
        <w:ind w:left="295" w:right="1279" w:firstLine="0"/>
        <w:jc w:val="center"/>
        <w:rPr>
          <w:rFonts w:ascii="宋体" w:hAnsi="宋体" w:cs="宋体" w:eastAsia="宋体" w:hint="default"/>
          <w:sz w:val="36"/>
          <w:szCs w:val="36"/>
        </w:rPr>
      </w:pPr>
      <w:r>
        <w:rPr>
          <w:rFonts w:ascii="宋体" w:hAnsi="宋体" w:cs="宋体" w:eastAsia="宋体" w:hint="default"/>
          <w:b/>
          <w:bCs/>
          <w:sz w:val="36"/>
          <w:szCs w:val="36"/>
        </w:rPr>
        <w:t>蓝盾信息安全技术股份有限公司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25"/>
          <w:szCs w:val="25"/>
        </w:rPr>
      </w:pPr>
    </w:p>
    <w:p>
      <w:pPr>
        <w:spacing w:before="0"/>
        <w:ind w:left="298" w:right="1279" w:firstLine="0"/>
        <w:jc w:val="center"/>
        <w:rPr>
          <w:rFonts w:ascii="宋体" w:hAnsi="宋体" w:cs="宋体" w:eastAsia="宋体" w:hint="default"/>
          <w:sz w:val="32"/>
          <w:szCs w:val="32"/>
        </w:rPr>
      </w:pPr>
      <w:bookmarkStart w:name="2019年年度报告" w:id="1"/>
      <w:bookmarkEnd w:id="1"/>
      <w:r>
        <w:rPr/>
      </w: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25"/>
          <w:szCs w:val="25"/>
        </w:rPr>
      </w:pPr>
    </w:p>
    <w:p>
      <w:pPr>
        <w:spacing w:before="0"/>
        <w:ind w:left="301" w:right="12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2"/>
      <w:bookmarkEnd w:id="2"/>
      <w:r>
        <w:rPr>
          <w:b w:val="0"/>
          <w:bCs w:val="0"/>
        </w:rPr>
      </w:r>
      <w:bookmarkStart w:name="_bookmark0" w:id="3"/>
      <w:bookmarkEnd w:id="3"/>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大华会计师事务所（特殊普通合伙）为本公司出具了带持续经营重大不确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定性段落的无保留意见的审计报告，本公司董事会、监事会对相关事项亦有详</w:t>
      </w:r>
      <w:r>
        <w:rPr>
          <w:rFonts w:ascii="宋体" w:hAnsi="宋体" w:cs="宋体" w:eastAsia="宋体" w:hint="default"/>
          <w:b/>
          <w:bCs/>
          <w:w w:val="99"/>
          <w:sz w:val="28"/>
          <w:szCs w:val="28"/>
        </w:rPr>
        <w:t> </w:t>
      </w:r>
      <w:r>
        <w:rPr>
          <w:rFonts w:ascii="宋体" w:hAnsi="宋体" w:cs="宋体" w:eastAsia="宋体" w:hint="default"/>
          <w:b/>
          <w:bCs/>
          <w:sz w:val="28"/>
          <w:szCs w:val="28"/>
        </w:rPr>
        <w:t>细说明，请投资者注意阅读。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公司负责人柯宗贵、主管会计工作负责人景丽及会计机构负责人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陈晓生声明：保证年度报告中财务报告的真实、准确、完整。</w:t>
      </w:r>
      <w:r>
        <w:rPr>
          <w:rFonts w:ascii="宋体" w:hAnsi="宋体" w:cs="宋体" w:eastAsia="宋体" w:hint="default"/>
          <w:sz w:val="28"/>
          <w:szCs w:val="28"/>
        </w:rPr>
      </w:r>
    </w:p>
    <w:p>
      <w:pPr>
        <w:spacing w:line="475" w:lineRule="auto" w:before="145"/>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spacing w:val="2"/>
          <w:sz w:val="28"/>
          <w:szCs w:val="28"/>
        </w:rPr>
      </w:r>
    </w:p>
    <w:p>
      <w:pPr>
        <w:spacing w:line="350" w:lineRule="exact" w:before="0"/>
        <w:ind w:left="152" w:right="982" w:firstLine="0"/>
        <w:jc w:val="left"/>
        <w:rPr>
          <w:rFonts w:ascii="宋体" w:hAnsi="宋体" w:cs="宋体" w:eastAsia="宋体" w:hint="default"/>
          <w:sz w:val="28"/>
          <w:szCs w:val="28"/>
        </w:rPr>
      </w:pPr>
      <w:r>
        <w:rPr>
          <w:rFonts w:ascii="宋体" w:hAnsi="宋体" w:cs="宋体" w:eastAsia="宋体" w:hint="default"/>
          <w:b/>
          <w:bCs/>
          <w:spacing w:val="2"/>
          <w:sz w:val="28"/>
          <w:szCs w:val="28"/>
        </w:rPr>
        <w:t>者的实质承诺，投资者及相关人士均应对此保持足够的风险认识，并且应当理</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75" w:lineRule="auto" w:before="0"/>
        <w:ind w:left="714" w:right="1133" w:hanging="563"/>
        <w:jc w:val="left"/>
        <w:rPr>
          <w:rFonts w:ascii="宋体" w:hAnsi="宋体" w:cs="宋体" w:eastAsia="宋体" w:hint="default"/>
          <w:sz w:val="28"/>
          <w:szCs w:val="28"/>
        </w:rPr>
      </w:pPr>
      <w:r>
        <w:rPr>
          <w:rFonts w:ascii="宋体" w:hAnsi="宋体" w:cs="宋体" w:eastAsia="宋体" w:hint="default"/>
          <w:b/>
          <w:bCs/>
          <w:sz w:val="28"/>
          <w:szCs w:val="28"/>
        </w:rPr>
        <w:t>解计划、预测与承诺之间的差异。敬请投资者注意投资风险。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本公司请投资者认真阅读本年度报告全文，并特别注意下列风险因素：公</w:t>
      </w:r>
      <w:r>
        <w:rPr>
          <w:rFonts w:ascii="宋体" w:hAnsi="宋体" w:cs="宋体" w:eastAsia="宋体" w:hint="default"/>
          <w:spacing w:val="2"/>
          <w:sz w:val="28"/>
          <w:szCs w:val="28"/>
        </w:rPr>
      </w:r>
    </w:p>
    <w:p>
      <w:pPr>
        <w:spacing w:line="350" w:lineRule="exact" w:before="0"/>
        <w:ind w:left="152" w:right="982" w:firstLine="0"/>
        <w:jc w:val="left"/>
        <w:rPr>
          <w:rFonts w:ascii="宋体" w:hAnsi="宋体" w:cs="宋体" w:eastAsia="宋体" w:hint="default"/>
          <w:sz w:val="28"/>
          <w:szCs w:val="28"/>
        </w:rPr>
      </w:pPr>
      <w:r>
        <w:rPr>
          <w:rFonts w:ascii="宋体" w:hAnsi="宋体" w:cs="宋体" w:eastAsia="宋体" w:hint="default"/>
          <w:b/>
          <w:bCs/>
          <w:spacing w:val="2"/>
          <w:sz w:val="28"/>
          <w:szCs w:val="28"/>
        </w:rPr>
        <w:t>司存在投资并购及管理风险、固定资产折旧、无形资产摊销给公司经营业绩造</w:t>
      </w:r>
      <w:r>
        <w:rPr>
          <w:rFonts w:ascii="宋体" w:hAnsi="宋体" w:cs="宋体" w:eastAsia="宋体" w:hint="default"/>
          <w:spacing w:val="2"/>
          <w:sz w:val="28"/>
          <w:szCs w:val="28"/>
        </w:rPr>
      </w:r>
    </w:p>
    <w:p>
      <w:pPr>
        <w:spacing w:line="240" w:lineRule="auto" w:before="10"/>
        <w:rPr>
          <w:rFonts w:ascii="宋体" w:hAnsi="宋体" w:cs="宋体" w:eastAsia="宋体" w:hint="default"/>
          <w:b/>
          <w:bCs/>
          <w:sz w:val="19"/>
          <w:szCs w:val="19"/>
        </w:rPr>
      </w:pPr>
    </w:p>
    <w:p>
      <w:pPr>
        <w:spacing w:line="408" w:lineRule="auto" w:before="0"/>
        <w:ind w:left="152" w:right="982" w:firstLine="0"/>
        <w:jc w:val="left"/>
        <w:rPr>
          <w:rFonts w:ascii="宋体" w:hAnsi="宋体" w:cs="宋体" w:eastAsia="宋体" w:hint="default"/>
          <w:sz w:val="28"/>
          <w:szCs w:val="28"/>
        </w:rPr>
      </w:pPr>
      <w:r>
        <w:rPr>
          <w:rFonts w:ascii="宋体" w:hAnsi="宋体" w:cs="宋体" w:eastAsia="宋体" w:hint="default"/>
          <w:b/>
          <w:bCs/>
          <w:spacing w:val="-2"/>
          <w:sz w:val="28"/>
          <w:szCs w:val="28"/>
        </w:rPr>
        <w:t>成的风险、技术失密和核心技术人员流失的风险、技术开发和升级滞后的风险、</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8"/>
          <w:sz w:val="28"/>
          <w:szCs w:val="28"/>
        </w:rPr>
        <w:t>应收账款风险等风险。详细内容见本报告</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第四节</w:t>
      </w:r>
      <w:r>
        <w:rPr>
          <w:rFonts w:ascii="宋体" w:hAnsi="宋体" w:cs="宋体" w:eastAsia="宋体" w:hint="default"/>
          <w:b/>
          <w:bCs/>
          <w:spacing w:val="-45"/>
          <w:sz w:val="28"/>
          <w:szCs w:val="28"/>
        </w:rPr>
        <w:t> </w:t>
      </w:r>
      <w:r>
        <w:rPr>
          <w:rFonts w:ascii="宋体" w:hAnsi="宋体" w:cs="宋体" w:eastAsia="宋体" w:hint="default"/>
          <w:b/>
          <w:bCs/>
          <w:spacing w:val="7"/>
          <w:sz w:val="28"/>
          <w:szCs w:val="28"/>
        </w:rPr>
        <w:t>经营情况讨论与分析之九、</w:t>
      </w:r>
      <w:r>
        <w:rPr>
          <w:rFonts w:ascii="宋体" w:hAnsi="宋体" w:cs="宋体" w:eastAsia="宋体" w:hint="default"/>
          <w:spacing w:val="7"/>
          <w:sz w:val="28"/>
          <w:szCs w:val="28"/>
        </w:rPr>
      </w:r>
    </w:p>
    <w:p>
      <w:pPr>
        <w:spacing w:line="446" w:lineRule="auto" w:before="19"/>
        <w:ind w:left="714" w:right="2602" w:hanging="563"/>
        <w:jc w:val="left"/>
        <w:rPr>
          <w:rFonts w:ascii="宋体" w:hAnsi="宋体" w:cs="宋体" w:eastAsia="宋体" w:hint="default"/>
          <w:sz w:val="28"/>
          <w:szCs w:val="28"/>
        </w:rPr>
      </w:pPr>
      <w:r>
        <w:rPr>
          <w:rFonts w:ascii="宋体" w:hAnsi="宋体" w:cs="宋体" w:eastAsia="宋体" w:hint="default"/>
          <w:b/>
          <w:bCs/>
          <w:sz w:val="28"/>
          <w:szCs w:val="28"/>
        </w:rPr>
        <w:t>（三）影响公司发展的主要风险及对策</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line="44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spacing w:line="460" w:lineRule="exact" w:before="0"/>
        <w:ind w:left="301" w:right="127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before="110"/>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258</w:t>
            </w:r>
            <w:r>
              <w:rPr>
                <w:rFonts w:ascii="Times New Roman" w:hAnsi="Times New Roman" w:cs="Times New Roman" w:eastAsia="Times New Roman" w:hint="default"/>
                <w:b w:val="0"/>
                <w:bCs w:val="0"/>
              </w:rPr>
            </w:r>
          </w:hyperlink>
        </w:p>
        <w:p>
          <w:pPr>
            <w:pStyle w:val="TOC1"/>
            <w:tabs>
              <w:tab w:pos="9783" w:val="right" w:leader="dot"/>
            </w:tabs>
            <w:spacing w:line="240" w:lineRule="auto" w:before="109"/>
            <w:ind w:right="0"/>
            <w:jc w:val="left"/>
            <w:rPr>
              <w:rFonts w:ascii="Times New Roman" w:hAnsi="Times New Roman" w:cs="Times New Roman" w:eastAsia="Times New Roman" w:hint="default"/>
              <w:b w:val="0"/>
              <w:bCs w:val="0"/>
            </w:rPr>
          </w:pPr>
          <w:hyperlink w:history="true" w:anchor="_bookmark13">
            <w:r>
              <w:rPr/>
              <w:t>第十四节</w:t>
            </w:r>
            <w:r>
              <w:rPr>
                <w:spacing w:val="-2"/>
              </w:rPr>
              <w:t> </w:t>
            </w:r>
            <w:r>
              <w:rPr/>
              <w:t>商誉减值测试报告</w:t>
            </w:r>
            <w:r>
              <w:rPr>
                <w:rFonts w:ascii="Times New Roman" w:hAnsi="Times New Roman" w:cs="Times New Roman" w:eastAsia="Times New Roman" w:hint="default"/>
              </w:rPr>
              <w:tab/>
              <w:t>259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0"/>
          <w:szCs w:val="30"/>
        </w:rPr>
      </w:pPr>
    </w:p>
    <w:p>
      <w:pPr>
        <w:spacing w:before="0"/>
        <w:ind w:left="301" w:right="127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公司、本公司、母公司、蓝盾股份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柯宗庆、柯宗贵兄弟二人</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蓝盾技术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华炜科技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广州华炜科技有限公司，公司全资子公司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汇通宝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汇通宝支付有限责任公司，公司全资子公司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中经汇通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中经汇通有限责任公司，公司股东，且为公司控股股东的一致行动人</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满泰科技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深圳市蓝盾满泰科技发展有限公司，公司控股子公司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和诚科技</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广东和诚科技孵化器有限公司，原为公司全资子公司；截至本报告出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具日，公司已完成该子公司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股权转让事项</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瑞兴达投资</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南平市瑞兴达股权投资合伙企</w:t>
            </w:r>
            <w:r>
              <w:rPr>
                <w:rFonts w:ascii="宋体" w:hAnsi="宋体" w:cs="宋体" w:eastAsia="宋体" w:hint="default"/>
                <w:spacing w:val="-70"/>
                <w:sz w:val="18"/>
                <w:szCs w:val="18"/>
              </w:rPr>
              <w:t>业</w:t>
            </w: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收</w:t>
            </w:r>
            <w:r>
              <w:rPr>
                <w:rFonts w:ascii="宋体" w:hAnsi="宋体" w:cs="宋体" w:eastAsia="宋体" w:hint="default"/>
                <w:sz w:val="18"/>
                <w:szCs w:val="18"/>
              </w:rPr>
              <w:t>购满</w:t>
            </w:r>
            <w:r>
              <w:rPr>
                <w:rFonts w:ascii="宋体" w:hAnsi="宋体" w:cs="宋体" w:eastAsia="宋体" w:hint="default"/>
                <w:spacing w:val="2"/>
                <w:sz w:val="18"/>
                <w:szCs w:val="18"/>
              </w:rPr>
              <w:t>泰</w:t>
            </w:r>
            <w:r>
              <w:rPr>
                <w:rFonts w:ascii="宋体" w:hAnsi="宋体" w:cs="宋体" w:eastAsia="宋体" w:hint="default"/>
                <w:sz w:val="18"/>
                <w:szCs w:val="18"/>
              </w:rPr>
              <w:t>科技</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股权的交易对方之一，满泰科技业绩承诺的利润补偿方</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用于保证信息安全的各种软件产品和相关的软硬一体化产品</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安全解决方案</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根据客户需求，按行业为客户设置或组建能满足其个性化需求的信息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安全系统，提供从安全方案设计、方案实施、系统测试到系统验收的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信息安全整体解决方案，满足客户对信息安全的全方位需求</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根据客户需求提供与信息安全相关的安全测评、技术支持、安全管理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咨询、系统维护、运营管理、安全培训、安全托管等内容</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云安全运营</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22"/>
              <w:jc w:val="both"/>
              <w:rPr>
                <w:rFonts w:ascii="宋体" w:hAnsi="宋体" w:cs="宋体" w:eastAsia="宋体" w:hint="default"/>
                <w:sz w:val="18"/>
                <w:szCs w:val="18"/>
              </w:rPr>
            </w:pPr>
            <w:r>
              <w:rPr>
                <w:rFonts w:ascii="宋体" w:hAnsi="宋体" w:cs="宋体" w:eastAsia="宋体" w:hint="default"/>
                <w:spacing w:val="-2"/>
                <w:sz w:val="18"/>
                <w:szCs w:val="18"/>
              </w:rPr>
              <w:t>利用先进的云计算技术，搭建云安全综合运营平台，为客户提供诸如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网站安全防护等一系列服务，让客户得到</w:t>
            </w:r>
            <w:r>
              <w:rPr>
                <w:rFonts w:ascii="Times New Roman" w:hAnsi="Times New Roman" w:cs="Times New Roman" w:eastAsia="Times New Roman" w:hint="default"/>
                <w:sz w:val="18"/>
                <w:szCs w:val="18"/>
              </w:rPr>
              <w:t>"</w:t>
            </w:r>
            <w:r>
              <w:rPr>
                <w:rFonts w:ascii="宋体" w:hAnsi="宋体" w:cs="宋体" w:eastAsia="宋体" w:hint="default"/>
                <w:sz w:val="18"/>
                <w:szCs w:val="18"/>
              </w:rPr>
              <w:t>零部署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零维护</w:t>
            </w:r>
            <w:r>
              <w:rPr>
                <w:rFonts w:ascii="Times New Roman" w:hAnsi="Times New Roman" w:cs="Times New Roman" w:eastAsia="Times New Roman" w:hint="default"/>
                <w:sz w:val="18"/>
                <w:szCs w:val="18"/>
              </w:rPr>
              <w:t>"</w:t>
            </w:r>
            <w:r>
              <w:rPr>
                <w:rFonts w:ascii="宋体" w:hAnsi="宋体" w:cs="宋体" w:eastAsia="宋体" w:hint="default"/>
                <w:sz w:val="18"/>
                <w:szCs w:val="18"/>
              </w:rPr>
              <w:t>等一站 式的智能安全防护体验</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大安全</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49"/>
              <w:ind w:left="28" w:right="-10"/>
              <w:jc w:val="left"/>
              <w:rPr>
                <w:rFonts w:ascii="宋体" w:hAnsi="宋体" w:cs="宋体" w:eastAsia="宋体" w:hint="default"/>
                <w:sz w:val="18"/>
                <w:szCs w:val="18"/>
              </w:rPr>
            </w:pPr>
            <w:r>
              <w:rPr>
                <w:rFonts w:ascii="宋体" w:hAnsi="宋体" w:cs="宋体" w:eastAsia="宋体" w:hint="default"/>
                <w:sz w:val="18"/>
                <w:szCs w:val="18"/>
              </w:rPr>
              <w:t>公司近年提出的产业发展战略，通过</w:t>
            </w:r>
            <w:r>
              <w:rPr>
                <w:rFonts w:ascii="Times New Roman" w:hAnsi="Times New Roman" w:cs="Times New Roman" w:eastAsia="Times New Roman" w:hint="default"/>
                <w:sz w:val="18"/>
                <w:szCs w:val="18"/>
              </w:rPr>
              <w:t>"</w:t>
            </w:r>
            <w:r>
              <w:rPr>
                <w:rFonts w:ascii="宋体" w:hAnsi="宋体" w:cs="宋体" w:eastAsia="宋体" w:hint="default"/>
                <w:sz w:val="18"/>
                <w:szCs w:val="18"/>
              </w:rPr>
              <w:t>内生</w:t>
            </w:r>
            <w:r>
              <w:rPr>
                <w:rFonts w:ascii="Times New Roman" w:hAnsi="Times New Roman" w:cs="Times New Roman" w:eastAsia="Times New Roman" w:hint="default"/>
                <w:sz w:val="18"/>
                <w:szCs w:val="18"/>
              </w:rPr>
              <w:t>+</w:t>
            </w:r>
            <w:r>
              <w:rPr>
                <w:rFonts w:ascii="宋体" w:hAnsi="宋体" w:cs="宋体" w:eastAsia="宋体" w:hint="default"/>
                <w:sz w:val="18"/>
                <w:szCs w:val="18"/>
              </w:rPr>
              <w:t>外延</w:t>
            </w:r>
            <w:r>
              <w:rPr>
                <w:rFonts w:ascii="Times New Roman" w:hAnsi="Times New Roman" w:cs="Times New Roman" w:eastAsia="Times New Roman" w:hint="default"/>
                <w:sz w:val="18"/>
                <w:szCs w:val="18"/>
              </w:rPr>
              <w:t>"</w:t>
            </w:r>
            <w:r>
              <w:rPr>
                <w:rFonts w:ascii="宋体" w:hAnsi="宋体" w:cs="宋体" w:eastAsia="宋体" w:hint="default"/>
                <w:sz w:val="18"/>
                <w:szCs w:val="18"/>
              </w:rPr>
              <w:t>双轮驱动的方式， 紧抓信息安全产业外延不断扩大的机遇，发展出以网络安全为核心， 以军工安全、互联网应用安全以及云计算安全等新兴技术安全为重要 方向的</w:t>
            </w:r>
            <w:r>
              <w:rPr>
                <w:rFonts w:ascii="Times New Roman" w:hAnsi="Times New Roman" w:cs="Times New Roman" w:eastAsia="Times New Roman" w:hint="default"/>
                <w:sz w:val="18"/>
                <w:szCs w:val="18"/>
              </w:rPr>
              <w:t>"</w:t>
            </w:r>
            <w:r>
              <w:rPr>
                <w:rFonts w:ascii="宋体" w:hAnsi="宋体" w:cs="宋体" w:eastAsia="宋体" w:hint="default"/>
                <w:sz w:val="18"/>
                <w:szCs w:val="18"/>
              </w:rPr>
              <w:t>大安全</w:t>
            </w:r>
            <w:r>
              <w:rPr>
                <w:rFonts w:ascii="Times New Roman" w:hAnsi="Times New Roman" w:cs="Times New Roman" w:eastAsia="Times New Roman" w:hint="default"/>
                <w:sz w:val="18"/>
                <w:szCs w:val="18"/>
              </w:rPr>
              <w:t>"</w:t>
            </w:r>
            <w:r>
              <w:rPr>
                <w:rFonts w:ascii="宋体" w:hAnsi="宋体" w:cs="宋体" w:eastAsia="宋体" w:hint="default"/>
                <w:sz w:val="18"/>
                <w:szCs w:val="18"/>
              </w:rPr>
              <w:t>产业生态体系</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雪亮工程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是充分发挥视频监控系统的作用来推进社会治安防控体系建设的一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94.5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个国家重点建设项目</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CMMI5</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软件能力成熟度模型集成，是由美国国防部与卡内基</w:t>
                        </w:r>
                        <w:r>
                          <w:rPr>
                            <w:rFonts w:ascii="Times New Roman" w:hAnsi="Times New Roman" w:cs="Times New Roman" w:eastAsia="Times New Roman" w:hint="default"/>
                            <w:sz w:val="18"/>
                            <w:szCs w:val="18"/>
                          </w:rPr>
                          <w:t>-</w:t>
                        </w:r>
                        <w:r>
                          <w:rPr>
                            <w:rFonts w:ascii="宋体" w:hAnsi="宋体" w:cs="宋体" w:eastAsia="宋体" w:hint="default"/>
                            <w:sz w:val="18"/>
                            <w:szCs w:val="18"/>
                          </w:rPr>
                          <w:t>梅隆大学和美 国国防工业协会共同开发和制定的一套评估认证体系，</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模型分 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CMMI5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级为最高级，标志着企业在标准化、规范化、 成熟度等方面表现优秀</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云等保高密度安全虚机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主要依据等保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，为解决云服务客户业务系统云等保安全而设计的 </w:t>
                        </w:r>
                        <w:r>
                          <w:rPr>
                            <w:rFonts w:ascii="宋体" w:hAnsi="宋体" w:cs="宋体" w:eastAsia="宋体" w:hint="default"/>
                            <w:spacing w:val="-2"/>
                            <w:sz w:val="18"/>
                            <w:szCs w:val="18"/>
                          </w:rPr>
                          <w:t>产品，可从网络和通信安全、设备和计算安全、应用和数据安全、安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全管理等方面对业务系统进行防护</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EcOS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容器云平台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Docker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容器技术，搭载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Kubernetes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Newben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自研调度 </w:t>
                        </w:r>
                        <w:r>
                          <w:rPr>
                            <w:rFonts w:ascii="宋体" w:hAnsi="宋体" w:cs="宋体" w:eastAsia="宋体" w:hint="default"/>
                            <w:spacing w:val="-2"/>
                            <w:sz w:val="18"/>
                            <w:szCs w:val="18"/>
                          </w:rPr>
                          <w:t>引擎，适用于多行业用户及对安全保密有高要求的单位，并可根据用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户需求进行定制与适配</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VPN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即虚拟专用网络，通过对数据包的加密和数据包目标地址的转换实现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远程访问</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Docker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是一个开源的应用容器引擎，可打包应用以及依赖包到一个可移植容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器中，然后发布到任何流行的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机器上，也可以实现虚拟化</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等级保护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信息安全等级保护，是对信息和信息载体按照重要性等级分级别进行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保护的一种工作，包括定级、备案、安全建设和整改、信息安全等级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测评、信息安全检查五个阶段，要求不同安全等级的信息系统应具有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不同的安全保护能力</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分级保护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涉密信息系统分级保护，根据其涉密信息系统处理信息的最高密级， </w:t>
                        </w:r>
                        <w:r>
                          <w:rPr>
                            <w:rFonts w:ascii="宋体" w:hAnsi="宋体" w:cs="宋体" w:eastAsia="宋体" w:hint="default"/>
                            <w:spacing w:val="-3"/>
                            <w:sz w:val="18"/>
                            <w:szCs w:val="18"/>
                          </w:rPr>
                          <w:t>可以划分为秘密级、机密级和机密级（增强）、绝密级三个等级，是</w:t>
                        </w:r>
                        <w:r>
                          <w:rPr>
                            <w:rFonts w:ascii="宋体" w:hAnsi="宋体" w:cs="宋体" w:eastAsia="宋体" w:hint="default"/>
                            <w:sz w:val="18"/>
                            <w:szCs w:val="18"/>
                          </w:rPr>
                          <w:t> 等级保护在涉密领域的具体体现</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电磁安防</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防止电磁场、电磁脉冲对各类信息、控制、通信和电子设备的攻击、 干扰和破坏，而采取的抑制防护的安全措施</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云安全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1"/>
                            <w:sz w:val="18"/>
                            <w:szCs w:val="18"/>
                          </w:rPr>
                          <w:t>一是云计算安全，是指云计算自身的安全保护；二是安全云服务，是</w:t>
                        </w:r>
                        <w:r>
                          <w:rPr>
                            <w:rFonts w:ascii="宋体" w:hAnsi="宋体" w:cs="宋体" w:eastAsia="宋体" w:hint="default"/>
                            <w:sz w:val="18"/>
                            <w:szCs w:val="18"/>
                          </w:rPr>
                          <w:t> 指传统安全产品的云化</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态势感知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both"/>
                          <w:rPr>
                            <w:rFonts w:ascii="宋体" w:hAnsi="宋体" w:cs="宋体" w:eastAsia="宋体" w:hint="default"/>
                            <w:sz w:val="18"/>
                            <w:szCs w:val="18"/>
                          </w:rPr>
                        </w:pPr>
                        <w:r>
                          <w:rPr>
                            <w:rFonts w:ascii="宋体" w:hAnsi="宋体" w:cs="宋体" w:eastAsia="宋体" w:hint="default"/>
                            <w:spacing w:val="-2"/>
                            <w:sz w:val="18"/>
                            <w:szCs w:val="18"/>
                          </w:rPr>
                          <w:t>是一种基于环境的、动态、整体地洞悉安全风险的能力，是以安全大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数据为基础，从全局视角提升对安全威胁的发现识别、理解分析、响</w:t>
                        </w:r>
                        <w:r>
                          <w:rPr>
                            <w:rFonts w:ascii="宋体" w:hAnsi="宋体" w:cs="宋体" w:eastAsia="宋体" w:hint="default"/>
                            <w:sz w:val="18"/>
                            <w:szCs w:val="18"/>
                          </w:rPr>
                          <w:t> </w:t>
                        </w:r>
                        <w:r>
                          <w:rPr>
                            <w:rFonts w:ascii="宋体" w:hAnsi="宋体" w:cs="宋体" w:eastAsia="宋体" w:hint="default"/>
                            <w:spacing w:val="-2"/>
                            <w:sz w:val="18"/>
                            <w:szCs w:val="18"/>
                          </w:rPr>
                          <w:t>应处置能力的一种方式，最终是为了决策与行动，是安全能力的落地</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人工智能防火墙</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防火墙</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公司自主研发的一款基于机器学习威胁检测的</w:t>
                        </w:r>
                        <w:r>
                          <w:rPr>
                            <w:rFonts w:ascii="Times New Roman" w:hAnsi="Times New Roman" w:cs="Times New Roman" w:eastAsia="Times New Roman" w:hint="default"/>
                            <w:sz w:val="18"/>
                            <w:szCs w:val="18"/>
                          </w:rPr>
                          <w:t>"</w:t>
                        </w:r>
                        <w:r>
                          <w:rPr>
                            <w:rFonts w:ascii="宋体" w:hAnsi="宋体" w:cs="宋体" w:eastAsia="宋体" w:hint="default"/>
                            <w:sz w:val="18"/>
                            <w:szCs w:val="18"/>
                          </w:rPr>
                          <w:t>第三代防火墙</w:t>
                        </w:r>
                        <w:r>
                          <w:rPr>
                            <w:rFonts w:ascii="Times New Roman" w:hAnsi="Times New Roman" w:cs="Times New Roman" w:eastAsia="Times New Roman" w:hint="default"/>
                            <w:sz w:val="18"/>
                            <w:szCs w:val="18"/>
                          </w:rPr>
                          <w:t>"</w:t>
                        </w:r>
                        <w:r>
                          <w:rPr>
                            <w:rFonts w:ascii="宋体" w:hAnsi="宋体" w:cs="宋体" w:eastAsia="宋体" w:hint="default"/>
                            <w:sz w:val="18"/>
                            <w:szCs w:val="18"/>
                          </w:rPr>
                          <w:t>，可通 过机器学习模型判定安全威胁，并能检测木马变种和未知威胁攻击、 </w:t>
                        </w:r>
                        <w:r>
                          <w:rPr>
                            <w:rFonts w:ascii="Times New Roman" w:hAnsi="Times New Roman" w:cs="Times New Roman" w:eastAsia="Times New Roman" w:hint="default"/>
                            <w:sz w:val="18"/>
                            <w:szCs w:val="18"/>
                          </w:rPr>
                          <w:t>0 day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攻击等，误报率极低，且能做到主动防御</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软件基因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软件基因</w:t>
                        </w:r>
                        <w:r>
                          <w:rPr>
                            <w:rFonts w:ascii="Times New Roman" w:hAnsi="Times New Roman" w:cs="Times New Roman" w:eastAsia="Times New Roman" w:hint="default"/>
                            <w:sz w:val="18"/>
                            <w:szCs w:val="18"/>
                          </w:rPr>
                          <w:t>"</w:t>
                        </w:r>
                        <w:r>
                          <w:rPr>
                            <w:rFonts w:ascii="宋体" w:hAnsi="宋体" w:cs="宋体" w:eastAsia="宋体" w:hint="default"/>
                            <w:sz w:val="18"/>
                            <w:szCs w:val="18"/>
                          </w:rPr>
                          <w:t>是软件体上具有功能或携带信息的二进制片段，支撑着软 </w:t>
                        </w:r>
                        <w:r>
                          <w:rPr>
                            <w:rFonts w:ascii="宋体" w:hAnsi="宋体" w:cs="宋体" w:eastAsia="宋体" w:hint="default"/>
                            <w:spacing w:val="-4"/>
                            <w:sz w:val="18"/>
                            <w:szCs w:val="18"/>
                          </w:rPr>
                          <w:t>件的基本构造，存储着软件生命周期的全部信息，如同生物体的基因</w:t>
                        </w:r>
                        <w:r>
                          <w:rPr>
                            <w:rFonts w:ascii="宋体" w:hAnsi="宋体" w:cs="宋体" w:eastAsia="宋体" w:hint="default"/>
                            <w:sz w:val="18"/>
                            <w:szCs w:val="18"/>
                          </w:rPr>
                          <w:t> 具有物质性和信息性</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虚拟化技术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一种资源管理技术，是将计算机的各种实体资源，如服务器、网络、 </w:t>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切割的障碍，使用户可以比原本的组态更好的方式来应用这些资源</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蓝盾信息安全技术股份有限公司限制性股票激励计划</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可转债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蓝盾信息安全技术股份有限公司公开发行的可转换公司债券，发行规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日成功发行，并于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日起在深交所挂牌交易上市</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第二节公司简介和主要财务指标" w:id="4"/>
      <w:bookmarkEnd w:id="4"/>
      <w:r>
        <w:rPr>
          <w:b w:val="0"/>
          <w:bCs w:val="0"/>
        </w:rPr>
      </w:r>
      <w:bookmarkStart w:name="_bookmark1" w:id="5"/>
      <w:bookmarkEnd w:id="5"/>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432648"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6"/>
      <w:bookmarkEnd w:id="6"/>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Bluedon Information Security Technologies</w:t>
            </w:r>
            <w:r>
              <w:rPr>
                <w:rFonts w:ascii="Times New Roman"/>
                <w:spacing w:val="-30"/>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BLUEDON</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柯宗贵</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510000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510000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www.bluedon.com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stock@chinabluedon.cn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7"/>
      <w:bookmarkEnd w:id="7"/>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李根森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林振邦</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ligensen@chinabluedon.cn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lzb@chinabluedon.cn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8"/>
      <w:bookmarkEnd w:id="8"/>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其他有关资料" w:id="9"/>
      <w:bookmarkEnd w:id="9"/>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主要会计数据和财务指标" w:id="10"/>
      <w:bookmarkEnd w:id="10"/>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8"/>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1,919,439,845.55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2,281,935,557.26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2,216,476,420.87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-936,517,823.35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397,943,111.27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413,809,537.85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-946,449,769.96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345,794,218.30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-373.70%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389,075,297.22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-288,458,944.06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169,254,449.47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35,832,086.98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8,640,524,189.12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9,889,170,613.39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8,288,981,155.41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3,848,684,180.14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4,443,787,786.28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3,982,961,122.24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1,249,806,051</w:t>
            </w:r>
          </w:p>
        </w:tc>
      </w:tr>
    </w:tbl>
    <w:p>
      <w:pPr>
        <w:spacing w:line="319" w:lineRule="auto" w:before="49"/>
        <w:ind w:left="152" w:right="982"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金额</w:t>
      </w:r>
    </w:p>
    <w:p>
      <w:pPr>
        <w:spacing w:before="5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-0.7493</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分季度主要财务指标" w:id="11"/>
      <w:bookmarkEnd w:id="11"/>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430,599,460.46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545,905,975.06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326,687,649.30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616,246,760.73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66,858,047.52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78,355,456.18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30,370,532.55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-1,112,101,859.60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59,916,716.89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65,222,707.66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34,258,027.00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-1,105,847,221.51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-408,850,615.15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-113,771,172.95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143,609,082.50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90,553,761.54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26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境内外会计准则下会计数据差异原因说明" w:id="15"/>
      <w:bookmarkEnd w:id="15"/>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八、非经常性损益项目及金额" w:id="16"/>
      <w:bookmarkEnd w:id="16"/>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-29,684,286.64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13,328,057.42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-2,709,755.40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40,043,900.60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47,240,978.00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34,603,760.56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-8,775.44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97,546.74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12,583.12</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-515,058.84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-1,550,758.32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-3,656,801.33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19,802.85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858,061.23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606,449.05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201,268.14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7,148,104.44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3,843,162.69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-277,632.22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676,887.66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278,832.68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9,931,946.61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52,148,892.97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24,734,240.63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2"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43"/>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9"/>
              <w:jc w:val="righ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1" w:right="0"/>
              <w:jc w:val="left"/>
              <w:rPr>
                <w:rFonts w:ascii="Times New Roman" w:hAnsi="Times New Roman" w:cs="Times New Roman" w:eastAsia="Times New Roman" w:hint="default"/>
                <w:sz w:val="18"/>
                <w:szCs w:val="18"/>
              </w:rPr>
            </w:pPr>
            <w:r>
              <w:rPr>
                <w:rFonts w:ascii="Times New Roman"/>
                <w:sz w:val="18"/>
              </w:rPr>
              <w:t>48,008,301.35</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依据国家对软件行业的总体政策导向，预期软件增值税退税的税 收优惠政策将在较长时期内保持稳定，故定义为经常性损益。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5" w:right="1279"/>
        <w:jc w:val="center"/>
        <w:rPr>
          <w:b w:val="0"/>
          <w:bCs w:val="0"/>
        </w:rPr>
      </w:pPr>
      <w:bookmarkStart w:name="第三节公司业务概要" w:id="17"/>
      <w:bookmarkEnd w:id="17"/>
      <w:r>
        <w:rPr>
          <w:b w:val="0"/>
          <w:bCs w:val="0"/>
        </w:rPr>
      </w:r>
      <w:bookmarkStart w:name="_bookmark2" w:id="18"/>
      <w:bookmarkEnd w:id="18"/>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4"/>
        <w:rPr>
          <w:rFonts w:ascii="宋体" w:hAnsi="宋体" w:cs="宋体" w:eastAsia="宋体" w:hint="default"/>
          <w:b/>
          <w:bCs/>
          <w:sz w:val="31"/>
          <w:szCs w:val="31"/>
        </w:rPr>
      </w:pPr>
    </w:p>
    <w:p>
      <w:pPr>
        <w:spacing w:line="384" w:lineRule="auto" w:before="0"/>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（一）公司的主要业务和产品</w:t>
      </w:r>
      <w:r>
        <w:rPr>
          <w:rFonts w:ascii="宋体" w:hAnsi="宋体" w:cs="宋体" w:eastAsia="宋体" w:hint="default"/>
          <w:b/>
          <w:bCs/>
          <w:w w:val="100"/>
          <w:sz w:val="21"/>
          <w:szCs w:val="21"/>
        </w:rPr>
        <w:t> </w:t>
      </w:r>
      <w:r>
        <w:rPr>
          <w:rFonts w:ascii="宋体" w:hAnsi="宋体" w:cs="宋体" w:eastAsia="宋体" w:hint="default"/>
          <w:spacing w:val="-2"/>
          <w:sz w:val="21"/>
          <w:szCs w:val="21"/>
        </w:rPr>
        <w:t>公司成立于</w:t>
      </w:r>
      <w:r>
        <w:rPr>
          <w:rFonts w:ascii="Times New Roman" w:hAnsi="Times New Roman" w:cs="Times New Roman" w:eastAsia="Times New Roman" w:hint="default"/>
          <w:spacing w:val="-2"/>
          <w:sz w:val="21"/>
          <w:szCs w:val="21"/>
        </w:rPr>
        <w:t>1999</w:t>
      </w:r>
      <w:r>
        <w:rPr>
          <w:rFonts w:ascii="宋体" w:hAnsi="宋体" w:cs="宋体" w:eastAsia="宋体" w:hint="default"/>
          <w:spacing w:val="-2"/>
          <w:sz w:val="21"/>
          <w:szCs w:val="21"/>
        </w:rPr>
        <w:t>年，成立以来一直专注于网络信息安全领域，以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国际一流的信息安全企业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为战略远</w:t>
      </w:r>
    </w:p>
    <w:p>
      <w:pPr>
        <w:pStyle w:val="BodyText"/>
        <w:spacing w:line="245" w:lineRule="exact"/>
        <w:ind w:right="0"/>
        <w:jc w:val="both"/>
      </w:pPr>
      <w:r>
        <w:rPr/>
        <w:t>景，致力于成为我国智慧安全的领导者。公司构建了以安全产品为基础，覆盖安全方案、安全服务、安全</w:t>
      </w:r>
    </w:p>
    <w:p>
      <w:pPr>
        <w:pStyle w:val="BodyText"/>
        <w:spacing w:line="340" w:lineRule="auto" w:before="126"/>
        <w:ind w:right="1126"/>
        <w:jc w:val="both"/>
      </w:pPr>
      <w:r>
        <w:rPr>
          <w:spacing w:val="-2"/>
        </w:rPr>
        <w:t>运营的完整业务生态，为各大行业客户提供一站式的信息安全整体解决方案。同时，公司也瞄准了信息安</w:t>
      </w:r>
      <w:r>
        <w:rPr>
          <w:spacing w:val="-43"/>
        </w:rPr>
        <w:t> </w:t>
      </w:r>
      <w:r>
        <w:rPr>
          <w:spacing w:val="-43"/>
        </w:rPr>
      </w:r>
      <w:r>
        <w:rPr>
          <w:spacing w:val="-3"/>
        </w:rPr>
        <w:t>全外延不断扩大的趋势及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5G</w:t>
      </w:r>
      <w:r>
        <w:rPr>
          <w:spacing w:val="-3"/>
        </w:rPr>
        <w:t>、</w:t>
      </w:r>
      <w:r>
        <w:rPr>
          <w:rFonts w:ascii="Times New Roman" w:hAnsi="Times New Roman" w:cs="Times New Roman" w:eastAsia="Times New Roman" w:hint="default"/>
          <w:spacing w:val="-3"/>
        </w:rPr>
        <w:t>AI</w:t>
      </w:r>
      <w:r>
        <w:rPr>
          <w:spacing w:val="-3"/>
        </w:rPr>
        <w:t>、物联网</w:t>
      </w:r>
      <w:r>
        <w:rPr>
          <w:rFonts w:ascii="Times New Roman" w:hAnsi="Times New Roman" w:cs="Times New Roman" w:eastAsia="Times New Roman" w:hint="default"/>
          <w:spacing w:val="-3"/>
        </w:rPr>
        <w:t>”</w:t>
      </w:r>
      <w:r>
        <w:rPr>
          <w:spacing w:val="-3"/>
        </w:rPr>
        <w:t>背景下对网络信息安全性能的深度依托，通过</w:t>
      </w:r>
      <w:r>
        <w:rPr>
          <w:rFonts w:ascii="Times New Roman" w:hAnsi="Times New Roman" w:cs="Times New Roman" w:eastAsia="Times New Roman" w:hint="default"/>
          <w:spacing w:val="-3"/>
        </w:rPr>
        <w:t>“</w:t>
      </w:r>
      <w:r>
        <w:rPr>
          <w:spacing w:val="-3"/>
        </w:rPr>
        <w:t>自主研发</w:t>
      </w:r>
      <w:r>
        <w:rPr>
          <w:rFonts w:ascii="Times New Roman" w:hAnsi="Times New Roman" w:cs="Times New Roman" w:eastAsia="Times New Roman" w:hint="default"/>
          <w:spacing w:val="-3"/>
        </w:rPr>
        <w:t>+</w:t>
      </w:r>
      <w:r>
        <w:rPr>
          <w:spacing w:val="-3"/>
        </w:rPr>
        <w:t>投资</w:t>
      </w:r>
      <w:r>
        <w:rPr>
          <w:spacing w:val="-35"/>
        </w:rPr>
        <w:t> </w:t>
      </w:r>
      <w:r>
        <w:rPr/>
        <w:t>并购</w:t>
      </w:r>
      <w:r>
        <w:rPr>
          <w:rFonts w:ascii="Times New Roman" w:hAnsi="Times New Roman" w:cs="Times New Roman" w:eastAsia="Times New Roman" w:hint="default"/>
        </w:rPr>
        <w:t>”</w:t>
      </w:r>
      <w:r>
        <w:rPr/>
        <w:t>双轮驱动的方式，持续推进</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产业发展战略，积极构建完整的</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产业生态版图。</w:t>
      </w:r>
    </w:p>
    <w:p>
      <w:pPr>
        <w:pStyle w:val="BodyText"/>
        <w:spacing w:line="345" w:lineRule="auto" w:before="51"/>
        <w:ind w:right="982" w:firstLine="420"/>
        <w:jc w:val="left"/>
      </w:pPr>
      <w:r>
        <w:rPr/>
        <w:t>公司近年来不断淬炼核心关键技术，持续加大信息安全新技术开发，将人工智能、软件基因、大数据</w:t>
      </w:r>
      <w:r>
        <w:rPr>
          <w:w w:val="100"/>
        </w:rPr>
        <w:t> </w:t>
      </w:r>
      <w:r>
        <w:rPr>
          <w:spacing w:val="-2"/>
        </w:rPr>
        <w:t>分析、虚拟化等前沿核心技术应用于全线传统安全产品中，使其实现全面技术升级，并在业内率先推出人</w:t>
      </w:r>
      <w:r>
        <w:rPr>
          <w:spacing w:val="-43"/>
        </w:rPr>
        <w:t> </w:t>
      </w:r>
      <w:r>
        <w:rPr>
          <w:spacing w:val="-43"/>
        </w:rPr>
      </w:r>
      <w:r>
        <w:rPr/>
        <w:t>工智能防火墙、深度态势感知平台、虚拟化（云）安全产品、容器云平台、云等保高密度安全虚机等一系</w:t>
      </w:r>
      <w:r>
        <w:rPr>
          <w:w w:val="100"/>
        </w:rPr>
        <w:t> </w:t>
      </w:r>
      <w:r>
        <w:rPr>
          <w:spacing w:val="-2"/>
        </w:rPr>
        <w:t>列具有核心竞争力的下一代网络安全技术产品，极大的提升了公司的竞争实力。同时，公司瞄准信息安全</w:t>
      </w:r>
      <w:r>
        <w:rPr>
          <w:spacing w:val="-44"/>
        </w:rPr>
        <w:t> </w:t>
      </w:r>
      <w:r>
        <w:rPr>
          <w:spacing w:val="-44"/>
        </w:rPr>
      </w:r>
      <w:r>
        <w:rPr>
          <w:spacing w:val="-2"/>
        </w:rPr>
        <w:t>外延不断扩展的契机，通过自主研发、合作研发以及投资并购等方式，初步实现了安全空间拓展。如公司</w:t>
      </w:r>
      <w:r>
        <w:rPr>
          <w:spacing w:val="-50"/>
        </w:rPr>
        <w:t> </w:t>
      </w:r>
      <w:r>
        <w:rPr>
          <w:spacing w:val="-50"/>
        </w:rPr>
      </w:r>
      <w:r>
        <w:rPr>
          <w:spacing w:val="-5"/>
        </w:rPr>
        <w:t>通过收购华炜科技，拓展至电磁安防等物理安全、军工安全领域，并积极向能效管控和立体安检领域发展；</w:t>
      </w:r>
      <w:r>
        <w:rPr>
          <w:spacing w:val="-3"/>
        </w:rPr>
        <w:t> </w:t>
      </w:r>
      <w:r>
        <w:rPr>
          <w:spacing w:val="-3"/>
        </w:rPr>
      </w:r>
      <w:r>
        <w:rPr>
          <w:spacing w:val="-2"/>
        </w:rPr>
        <w:t>通过收购满泰科技，以行业化的方式切入至工控安全及工业互联网安全领域；通过研发物联网智慧安防应</w:t>
      </w:r>
      <w:r>
        <w:rPr>
          <w:spacing w:val="-43"/>
        </w:rPr>
        <w:t> </w:t>
      </w:r>
      <w:r>
        <w:rPr>
          <w:spacing w:val="-43"/>
        </w:rPr>
      </w:r>
      <w:r>
        <w:rPr>
          <w:spacing w:val="-2"/>
        </w:rPr>
        <w:t>用管理平台、人像识别系统、智慧城市安全运营平台等产品，布局智慧城市安全运营领域；通过自主研发</w:t>
      </w:r>
      <w:r>
        <w:rPr>
          <w:spacing w:val="-50"/>
        </w:rPr>
        <w:t> </w:t>
      </w:r>
      <w:r>
        <w:rPr>
          <w:spacing w:val="-50"/>
        </w:rPr>
      </w:r>
      <w:r>
        <w:rPr/>
        <w:t>和技术合作，渗透至视频监控接入安全、车辆信息安全检测等物联网安全领域。公司未来将以</w:t>
      </w:r>
      <w:r>
        <w:rPr>
          <w:rFonts w:ascii="Times New Roman" w:hAnsi="Times New Roman" w:cs="Times New Roman" w:eastAsia="Times New Roman" w:hint="default"/>
        </w:rPr>
        <w:t>“</w:t>
      </w:r>
      <w:r>
        <w:rPr/>
        <w:t>自主可控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为思路、以</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IT</w:t>
      </w:r>
      <w:r>
        <w:rPr/>
        <w:t>安全</w:t>
      </w:r>
      <w:r>
        <w:rPr>
          <w:rFonts w:ascii="Times New Roman" w:hAnsi="Times New Roman" w:cs="Times New Roman" w:eastAsia="Times New Roman" w:hint="default"/>
        </w:rPr>
        <w:t>”</w:t>
      </w:r>
      <w:r>
        <w:rPr/>
        <w:t>为切入点，逐步下沉至安全路由交换、安全可信服务器、安全存储、安全芯片</w:t>
      </w:r>
      <w:r>
        <w:rPr>
          <w:spacing w:val="-102"/>
        </w:rPr>
        <w:t> </w:t>
      </w:r>
      <w:r>
        <w:rPr>
          <w:spacing w:val="-102"/>
        </w:rPr>
      </w:r>
      <w:r>
        <w:rPr/>
        <w:t>等关键信息基础设施安全领域，实现</w:t>
      </w:r>
      <w:r>
        <w:rPr>
          <w:rFonts w:ascii="Times New Roman" w:hAnsi="Times New Roman" w:cs="Times New Roman" w:eastAsia="Times New Roman" w:hint="default"/>
        </w:rPr>
        <w:t>IT</w:t>
      </w:r>
      <w:r>
        <w:rPr/>
        <w:t>基础覆盖，积极参与国家新型基础设施建设。</w:t>
      </w:r>
    </w:p>
    <w:p>
      <w:pPr>
        <w:pStyle w:val="BodyText"/>
        <w:spacing w:line="240" w:lineRule="auto" w:before="46"/>
        <w:ind w:left="573" w:right="1133"/>
        <w:jc w:val="left"/>
      </w:pPr>
      <w:r>
        <w:rPr/>
        <w:t>报告期内，公司的主营业务所涉及的产品和服务主要包括以下几方面：</w:t>
      </w:r>
    </w:p>
    <w:p>
      <w:pPr>
        <w:pStyle w:val="BodyText"/>
        <w:spacing w:line="362" w:lineRule="auto" w:before="166"/>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、安全产品</w:t>
      </w:r>
      <w:r>
        <w:rPr>
          <w:rFonts w:ascii="宋体" w:hAnsi="宋体" w:cs="宋体" w:eastAsia="宋体" w:hint="default"/>
          <w:b/>
          <w:bCs/>
          <w:w w:val="100"/>
        </w:rPr>
        <w:t> </w:t>
      </w:r>
      <w:r>
        <w:rPr>
          <w:spacing w:val="-3"/>
        </w:rPr>
        <w:t>安全产品方面，公司创建性地提出了</w:t>
      </w:r>
      <w:r>
        <w:rPr>
          <w:rFonts w:ascii="Times New Roman" w:hAnsi="Times New Roman" w:cs="Times New Roman" w:eastAsia="Times New Roman" w:hint="default"/>
          <w:spacing w:val="-3"/>
        </w:rPr>
        <w:t>“</w:t>
      </w:r>
      <w:r>
        <w:rPr>
          <w:spacing w:val="-3"/>
        </w:rPr>
        <w:t>主动、自动、联动</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w:t>
      </w:r>
      <w:r>
        <w:rPr>
          <w:spacing w:val="-3"/>
        </w:rPr>
        <w:t>动立方</w:t>
      </w:r>
      <w:r>
        <w:rPr>
          <w:rFonts w:ascii="Times New Roman" w:hAnsi="Times New Roman" w:cs="Times New Roman" w:eastAsia="Times New Roman" w:hint="default"/>
          <w:spacing w:val="-3"/>
        </w:rPr>
        <w:t>”</w:t>
      </w:r>
      <w:r>
        <w:rPr>
          <w:spacing w:val="-3"/>
        </w:rPr>
        <w:t>产品理念，并形成了完整的</w:t>
      </w:r>
      <w:r>
        <w:rPr>
          <w:rFonts w:ascii="Times New Roman" w:hAnsi="Times New Roman" w:cs="Times New Roman" w:eastAsia="Times New Roman" w:hint="default"/>
          <w:spacing w:val="-3"/>
        </w:rPr>
        <w:t>“</w:t>
      </w:r>
      <w:r>
        <w:rPr>
          <w:spacing w:val="-3"/>
        </w:rPr>
        <w:t>智慧</w:t>
      </w:r>
    </w:p>
    <w:p>
      <w:pPr>
        <w:pStyle w:val="BodyText"/>
        <w:spacing w:line="340" w:lineRule="auto"/>
        <w:ind w:right="1126"/>
        <w:jc w:val="both"/>
      </w:pPr>
      <w:r>
        <w:rPr/>
        <w:t>安全</w:t>
      </w:r>
      <w:r>
        <w:rPr>
          <w:rFonts w:ascii="Times New Roman" w:hAnsi="Times New Roman" w:cs="Times New Roman" w:eastAsia="Times New Roman" w:hint="default"/>
        </w:rPr>
        <w:t>”</w:t>
      </w:r>
      <w:r>
        <w:rPr/>
        <w:t>产品体系。从产品类型来看，公司的安全产品涵盖了云安全、边界安全、应用安全、审计安全、安</w:t>
      </w:r>
      <w:r>
        <w:rPr>
          <w:spacing w:val="-17"/>
        </w:rPr>
        <w:t> </w:t>
      </w:r>
      <w:r>
        <w:rPr>
          <w:spacing w:val="-17"/>
        </w:rPr>
      </w:r>
      <w:r>
        <w:rPr>
          <w:spacing w:val="-2"/>
        </w:rPr>
        <w:t>全管理、物理空间安全等类型，各项产品均通过国家公安、安全、军队等权威主管部门检测认证，并实现</w:t>
      </w:r>
      <w:r>
        <w:rPr>
          <w:spacing w:val="-43"/>
        </w:rPr>
        <w:t> </w:t>
      </w:r>
      <w:r>
        <w:rPr>
          <w:spacing w:val="-43"/>
        </w:rPr>
      </w:r>
      <w:r>
        <w:rPr/>
        <w:t>了全线安全产品的人工智能化。公司主要产品情况如下：</w:t>
      </w:r>
    </w:p>
    <w:p>
      <w:pPr>
        <w:pStyle w:val="BodyText"/>
        <w:spacing w:line="343" w:lineRule="auto" w:before="76"/>
        <w:ind w:right="1126" w:firstLine="420"/>
        <w:jc w:val="both"/>
      </w:pPr>
      <w:r>
        <w:rPr/>
        <w:t>（</w:t>
      </w:r>
      <w:r>
        <w:rPr>
          <w:rFonts w:ascii="Times New Roman" w:hAnsi="Times New Roman" w:cs="Times New Roman" w:eastAsia="Times New Roman" w:hint="default"/>
        </w:rPr>
        <w:t>1</w:t>
      </w:r>
      <w:r>
        <w:rPr/>
        <w:t>）云安全产品：蓝盾云安全产品基于信息系统安全等级保护要求、</w:t>
      </w:r>
      <w:r>
        <w:rPr>
          <w:rFonts w:ascii="Times New Roman" w:hAnsi="Times New Roman" w:cs="Times New Roman" w:eastAsia="Times New Roman" w:hint="default"/>
        </w:rPr>
        <w:t>CSA</w:t>
      </w:r>
      <w:r>
        <w:rPr/>
        <w:t>安全技术标准要求，可对</w:t>
      </w:r>
      <w:r>
        <w:rPr>
          <w:w w:val="100"/>
        </w:rPr>
        <w:t> </w:t>
      </w:r>
      <w:r>
        <w:rPr>
          <w:spacing w:val="-2"/>
        </w:rPr>
        <w:t>云内网络和通信安全、设备和计算安全、应用和数据安全进行防护，可按需灵活部署，实现云租户自定义</w:t>
      </w:r>
      <w:r>
        <w:rPr>
          <w:spacing w:val="-50"/>
        </w:rPr>
        <w:t> </w:t>
      </w:r>
      <w:r>
        <w:rPr>
          <w:spacing w:val="-50"/>
        </w:rPr>
      </w:r>
      <w:r>
        <w:rPr>
          <w:spacing w:val="-2"/>
        </w:rPr>
        <w:t>安全能力，主要包括云监测、云桌面、安全云平台（云防线）、云管理、虚拟化（云）安全、容器云等产</w:t>
      </w:r>
      <w:r>
        <w:rPr>
          <w:spacing w:val="-44"/>
        </w:rPr>
        <w:t> </w:t>
      </w:r>
      <w:r>
        <w:rPr>
          <w:spacing w:val="-44"/>
        </w:rPr>
      </w:r>
      <w:r>
        <w:rPr/>
        <w:t>品。</w:t>
      </w:r>
    </w:p>
    <w:p>
      <w:pPr>
        <w:pStyle w:val="BodyText"/>
        <w:spacing w:line="328" w:lineRule="auto" w:before="76"/>
        <w:ind w:right="1133" w:firstLine="420"/>
        <w:jc w:val="left"/>
      </w:pPr>
      <w:r>
        <w:rPr>
          <w:spacing w:val="-1"/>
        </w:rPr>
        <w:t>（</w:t>
      </w:r>
      <w:r>
        <w:rPr>
          <w:rFonts w:ascii="Times New Roman" w:hAnsi="Times New Roman" w:cs="Times New Roman" w:eastAsia="Times New Roman" w:hint="default"/>
          <w:spacing w:val="-1"/>
        </w:rPr>
        <w:t>2</w:t>
      </w:r>
      <w:r>
        <w:rPr>
          <w:spacing w:val="-1"/>
        </w:rPr>
        <w:t>）边界安全产品：部署在安全域的边界上，用于防御安全域外部对内部网络</w:t>
      </w:r>
      <w:r>
        <w:rPr>
          <w:rFonts w:ascii="Times New Roman" w:hAnsi="Times New Roman" w:cs="Times New Roman" w:eastAsia="Times New Roman" w:hint="default"/>
          <w:spacing w:val="-1"/>
        </w:rPr>
        <w:t>/</w:t>
      </w:r>
      <w:r>
        <w:rPr>
          <w:spacing w:val="-1"/>
        </w:rPr>
        <w:t>主机设备进行攻击、</w:t>
      </w:r>
      <w:r>
        <w:rPr>
          <w:w w:val="100"/>
        </w:rPr>
        <w:t> </w:t>
      </w:r>
      <w:r>
        <w:rPr>
          <w:spacing w:val="-4"/>
        </w:rPr>
        <w:t>渗透或安全域内部网络</w:t>
      </w:r>
      <w:r>
        <w:rPr>
          <w:rFonts w:ascii="Times New Roman" w:hAnsi="Times New Roman" w:cs="Times New Roman" w:eastAsia="Times New Roman" w:hint="default"/>
          <w:spacing w:val="-4"/>
        </w:rPr>
        <w:t>/</w:t>
      </w:r>
      <w:r>
        <w:rPr>
          <w:spacing w:val="-4"/>
        </w:rPr>
        <w:t>主机设备向外部泄漏敏感信息的信息安全产品，主要包括防火墙、</w:t>
      </w:r>
      <w:r>
        <w:rPr>
          <w:rFonts w:ascii="Times New Roman" w:hAnsi="Times New Roman" w:cs="Times New Roman" w:eastAsia="Times New Roman" w:hint="default"/>
          <w:spacing w:val="-4"/>
        </w:rPr>
        <w:t>AI</w:t>
      </w:r>
      <w:r>
        <w:rPr>
          <w:spacing w:val="-4"/>
        </w:rPr>
        <w:t>防火墙、防毒</w:t>
      </w:r>
    </w:p>
    <w:p>
      <w:pPr>
        <w:spacing w:after="0" w:line="32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38" w:lineRule="auto"/>
        <w:ind w:right="1129"/>
        <w:jc w:val="both"/>
      </w:pPr>
      <w:r>
        <w:rPr/>
        <w:t>墙、入侵检测系统、入侵防御系统、漏洞扫描系统、</w:t>
      </w:r>
      <w:r>
        <w:rPr>
          <w:rFonts w:ascii="Times New Roman" w:hAnsi="Times New Roman" w:cs="Times New Roman" w:eastAsia="Times New Roman" w:hint="default"/>
        </w:rPr>
        <w:t>VPN</w:t>
      </w:r>
      <w:r>
        <w:rPr/>
        <w:t>安全网关、</w:t>
      </w:r>
      <w:r>
        <w:rPr>
          <w:rFonts w:ascii="Times New Roman" w:hAnsi="Times New Roman" w:cs="Times New Roman" w:eastAsia="Times New Roman" w:hint="default"/>
        </w:rPr>
        <w:t>DDoS</w:t>
      </w:r>
      <w:r>
        <w:rPr/>
        <w:t>防御网关、网闸、流量控制管</w:t>
      </w:r>
      <w:r>
        <w:rPr>
          <w:spacing w:val="-26"/>
        </w:rPr>
        <w:t> </w:t>
      </w:r>
      <w:r>
        <w:rPr>
          <w:spacing w:val="-26"/>
        </w:rPr>
      </w:r>
      <w:r>
        <w:rPr>
          <w:spacing w:val="-2"/>
        </w:rPr>
        <w:t>理系统、综合安全网关、安全隔离与信息交换系统、安全隔离与信息单向导入系统、信息安全共享控制平</w:t>
      </w:r>
      <w:r>
        <w:rPr>
          <w:spacing w:val="-47"/>
        </w:rPr>
        <w:t> </w:t>
      </w:r>
      <w:r>
        <w:rPr>
          <w:spacing w:val="-47"/>
        </w:rPr>
      </w:r>
      <w:r>
        <w:rPr/>
        <w:t>台等产品。</w:t>
      </w:r>
    </w:p>
    <w:p>
      <w:pPr>
        <w:pStyle w:val="BodyText"/>
        <w:spacing w:line="343" w:lineRule="auto" w:before="80"/>
        <w:ind w:right="1126" w:firstLine="420"/>
        <w:jc w:val="both"/>
      </w:pPr>
      <w:r>
        <w:rPr/>
        <w:t>（</w:t>
      </w:r>
      <w:r>
        <w:rPr>
          <w:rFonts w:ascii="Times New Roman" w:hAnsi="Times New Roman" w:cs="Times New Roman" w:eastAsia="Times New Roman" w:hint="default"/>
        </w:rPr>
        <w:t>3</w:t>
      </w:r>
      <w:r>
        <w:rPr/>
        <w:t>）安全管理产品：在统一的管理平台系统中集成了终端管理、网络管理、业务系统管理、资产管</w:t>
      </w:r>
      <w:r>
        <w:rPr>
          <w:w w:val="100"/>
        </w:rPr>
        <w:t> </w:t>
      </w:r>
      <w:r>
        <w:rPr>
          <w:spacing w:val="-2"/>
        </w:rPr>
        <w:t>理等诸多功能，对内部网络安全域内所有计算机以及网络资源上的重要信息进行安全管理的产品，主要包</w:t>
      </w:r>
      <w:r>
        <w:rPr>
          <w:spacing w:val="-43"/>
        </w:rPr>
        <w:t> </w:t>
      </w:r>
      <w:r>
        <w:rPr>
          <w:spacing w:val="-43"/>
        </w:rPr>
      </w:r>
      <w:r>
        <w:rPr>
          <w:spacing w:val="-2"/>
        </w:rPr>
        <w:t>括态势感知平台、安全综合运维管理平台、内网安全管理及审计系统、业务监控系统、网络准入系统、移</w:t>
      </w:r>
      <w:r>
        <w:rPr>
          <w:spacing w:val="-43"/>
        </w:rPr>
        <w:t> </w:t>
      </w:r>
      <w:r>
        <w:rPr>
          <w:spacing w:val="-43"/>
        </w:rPr>
      </w:r>
      <w:r>
        <w:rPr/>
        <w:t>动存储介质安全管理系统、威胁分析系统等产品。</w:t>
      </w:r>
    </w:p>
    <w:p>
      <w:pPr>
        <w:pStyle w:val="BodyText"/>
        <w:spacing w:line="331" w:lineRule="auto" w:before="74"/>
        <w:ind w:right="1126" w:firstLine="420"/>
        <w:jc w:val="both"/>
      </w:pPr>
      <w:r>
        <w:rPr/>
        <w:t>（</w:t>
      </w:r>
      <w:r>
        <w:rPr>
          <w:rFonts w:ascii="Times New Roman" w:hAnsi="Times New Roman" w:cs="Times New Roman" w:eastAsia="Times New Roman" w:hint="default"/>
        </w:rPr>
        <w:t>4</w:t>
      </w:r>
      <w:r>
        <w:rPr/>
        <w:t>）应用安全产品：部署在特定的应用系统中，用于保障应用安全的信息安全产品，主要包括网页</w:t>
      </w:r>
      <w:r>
        <w:rPr>
          <w:w w:val="100"/>
        </w:rPr>
        <w:t> </w:t>
      </w:r>
      <w:r>
        <w:rPr>
          <w:spacing w:val="-2"/>
        </w:rPr>
        <w:t>防篡改保护系统、</w:t>
      </w:r>
      <w:r>
        <w:rPr>
          <w:rFonts w:ascii="Times New Roman" w:hAnsi="Times New Roman" w:cs="Times New Roman" w:eastAsia="Times New Roman" w:hint="default"/>
          <w:spacing w:val="-2"/>
        </w:rPr>
        <w:t>Web</w:t>
      </w:r>
      <w:r>
        <w:rPr>
          <w:spacing w:val="-2"/>
        </w:rPr>
        <w:t>应用防护系统、电子文档安全管理系统、反垃圾邮件系统、服务器管理系统、黑客</w:t>
      </w:r>
      <w:r>
        <w:rPr>
          <w:spacing w:val="-16"/>
        </w:rPr>
        <w:t> </w:t>
      </w:r>
      <w:r>
        <w:rPr>
          <w:spacing w:val="-16"/>
        </w:rPr>
      </w:r>
      <w:r>
        <w:rPr/>
        <w:t>追踪系统等产品。</w:t>
      </w:r>
    </w:p>
    <w:p>
      <w:pPr>
        <w:pStyle w:val="BodyText"/>
        <w:spacing w:line="343" w:lineRule="auto" w:before="87"/>
        <w:ind w:right="1126" w:firstLine="420"/>
        <w:jc w:val="both"/>
      </w:pPr>
      <w:r>
        <w:rPr/>
        <w:t>（</w:t>
      </w:r>
      <w:r>
        <w:rPr>
          <w:rFonts w:ascii="Times New Roman" w:hAnsi="Times New Roman" w:cs="Times New Roman" w:eastAsia="Times New Roman" w:hint="default"/>
        </w:rPr>
        <w:t>5</w:t>
      </w:r>
      <w:r>
        <w:rPr/>
        <w:t>）审计安全产品：通过网络数据的采集、分析、识别，实时动态监测通信内容、网络行为和网络</w:t>
      </w:r>
      <w:r>
        <w:rPr>
          <w:w w:val="100"/>
        </w:rPr>
        <w:t> </w:t>
      </w:r>
      <w:r>
        <w:rPr>
          <w:spacing w:val="-2"/>
        </w:rPr>
        <w:t>流量，发现和捕获各种敏感信息、入侵行为和违规行为，实时报警响应并为用户提供取证手段的信息安全</w:t>
      </w:r>
      <w:r>
        <w:rPr>
          <w:spacing w:val="-44"/>
        </w:rPr>
        <w:t> </w:t>
      </w:r>
      <w:r>
        <w:rPr>
          <w:spacing w:val="-44"/>
        </w:rPr>
      </w:r>
      <w:r>
        <w:rPr>
          <w:spacing w:val="-2"/>
        </w:rPr>
        <w:t>产品，主要包括业务应用安全审计平台、信息安全管理审计系统、账号集中管理与审计系统、数据库及业</w:t>
      </w:r>
      <w:r>
        <w:rPr>
          <w:spacing w:val="-50"/>
        </w:rPr>
        <w:t> </w:t>
      </w:r>
      <w:r>
        <w:rPr>
          <w:spacing w:val="-50"/>
        </w:rPr>
      </w:r>
      <w:r>
        <w:rPr/>
        <w:t>务应用安全监控审计系统、互联网审计系统、全网搜索系统等产品。</w:t>
      </w:r>
    </w:p>
    <w:p>
      <w:pPr>
        <w:pStyle w:val="BodyText"/>
        <w:spacing w:line="338" w:lineRule="auto" w:before="74"/>
        <w:ind w:right="1105" w:firstLine="420"/>
        <w:jc w:val="both"/>
      </w:pPr>
      <w:r>
        <w:rPr/>
        <w:t>（</w:t>
      </w:r>
      <w:r>
        <w:rPr>
          <w:rFonts w:ascii="Times New Roman" w:hAnsi="Times New Roman" w:cs="Times New Roman" w:eastAsia="Times New Roman" w:hint="default"/>
        </w:rPr>
        <w:t>6</w:t>
      </w:r>
      <w:r>
        <w:rPr/>
        <w:t>）物理空间安全产品：用以保护环境、设备、设施以及介质免遭物理破坏以及维护公共空间安防</w:t>
      </w:r>
      <w:r>
        <w:rPr>
          <w:w w:val="100"/>
        </w:rPr>
        <w:t> </w:t>
      </w:r>
      <w:r>
        <w:rPr>
          <w:spacing w:val="-2"/>
        </w:rPr>
        <w:t>等安全产品，主要包括电磁安防系列产品、智慧安防系列产品、雷达监测系列产品、车辆信息安全检测、</w:t>
      </w:r>
      <w:r>
        <w:rPr>
          <w:spacing w:val="-21"/>
        </w:rPr>
        <w:t> </w:t>
      </w:r>
      <w:r>
        <w:rPr>
          <w:spacing w:val="-21"/>
        </w:rPr>
      </w:r>
      <w:r>
        <w:rPr/>
        <w:t>工控安全监测及自动化等产品。</w:t>
      </w:r>
    </w:p>
    <w:p>
      <w:pPr>
        <w:pStyle w:val="BodyText"/>
        <w:spacing w:line="328" w:lineRule="auto" w:before="80"/>
        <w:ind w:right="1136" w:firstLine="420"/>
        <w:jc w:val="both"/>
      </w:pPr>
      <w:r>
        <w:rPr/>
        <w:t>（</w:t>
      </w:r>
      <w:r>
        <w:rPr>
          <w:rFonts w:ascii="Times New Roman" w:hAnsi="Times New Roman" w:cs="Times New Roman" w:eastAsia="Times New Roman" w:hint="default"/>
        </w:rPr>
        <w:t>7</w:t>
      </w:r>
      <w:r>
        <w:rPr/>
        <w:t>）工控安全产品：为工业控制系统提供安全防护，主要包括工控防火墙、工业审计系统、工控主</w:t>
      </w:r>
      <w:r>
        <w:rPr>
          <w:w w:val="100"/>
        </w:rPr>
        <w:t> </w:t>
      </w:r>
      <w:r>
        <w:rPr/>
        <w:t>机卫士、工控统一安全管控平台、电力工控安全综合监测系统等工业安全产品。</w:t>
      </w:r>
    </w:p>
    <w:p>
      <w:pPr>
        <w:pStyle w:val="BodyText"/>
        <w:spacing w:line="362" w:lineRule="auto" w:before="89"/>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、安全解决方案</w:t>
      </w:r>
      <w:r>
        <w:rPr>
          <w:rFonts w:ascii="宋体" w:hAnsi="宋体" w:cs="宋体" w:eastAsia="宋体" w:hint="default"/>
          <w:b/>
          <w:bCs/>
          <w:w w:val="100"/>
        </w:rPr>
        <w:t> </w:t>
      </w:r>
      <w:r>
        <w:rPr>
          <w:spacing w:val="-2"/>
        </w:rPr>
        <w:t>随着我国信息化及互联网的深入发展，客户对信息安全的需求已不仅仅停留在安全产品堆叠的层面，</w:t>
      </w:r>
    </w:p>
    <w:p>
      <w:pPr>
        <w:pStyle w:val="BodyText"/>
        <w:spacing w:line="348" w:lineRule="auto" w:before="19"/>
        <w:ind w:right="982"/>
        <w:jc w:val="left"/>
      </w:pPr>
      <w:r>
        <w:rPr>
          <w:spacing w:val="-2"/>
        </w:rPr>
        <w:t>更需要把安全作为系统搭建的基础及核心考虑因素之一，从而构建智能、联动、全面、可感知的整体安全</w:t>
      </w:r>
      <w:r>
        <w:rPr>
          <w:spacing w:val="-44"/>
        </w:rPr>
        <w:t> </w:t>
      </w:r>
      <w:r>
        <w:rPr>
          <w:spacing w:val="-44"/>
        </w:rPr>
      </w:r>
      <w:r>
        <w:rPr>
          <w:spacing w:val="-2"/>
        </w:rPr>
        <w:t>防护体系。同时，随着虚拟化、云计算技术的广泛应用，信息安全行业的竞争逐渐从安全产品的竞争发展</w:t>
      </w:r>
      <w:r>
        <w:rPr>
          <w:spacing w:val="-47"/>
        </w:rPr>
        <w:t> </w:t>
      </w:r>
      <w:r>
        <w:rPr>
          <w:spacing w:val="-47"/>
        </w:rPr>
      </w:r>
      <w:r>
        <w:rPr>
          <w:spacing w:val="-2"/>
        </w:rPr>
        <w:t>成为安全能力及安全解决方案的竞争。公司作为国内最早的信息安全解决方案提供商之一，通过多年来的</w:t>
      </w:r>
      <w:r>
        <w:rPr>
          <w:spacing w:val="-43"/>
        </w:rPr>
        <w:t> </w:t>
      </w:r>
      <w:r>
        <w:rPr>
          <w:spacing w:val="-43"/>
        </w:rPr>
      </w:r>
      <w:r>
        <w:rPr/>
        <w:t>行业积累，以行业最佳实践和国际标准为基础，组建了蓝盾解决方案中心，全面推进</w:t>
      </w:r>
      <w:r>
        <w:rPr>
          <w:rFonts w:ascii="Times New Roman" w:hAnsi="Times New Roman" w:cs="Times New Roman" w:eastAsia="Times New Roman" w:hint="default"/>
        </w:rPr>
        <w:t>“</w:t>
      </w:r>
      <w:r>
        <w:rPr/>
        <w:t>解决方案驱动</w:t>
      </w:r>
      <w:r>
        <w:rPr>
          <w:rFonts w:ascii="Times New Roman" w:hAnsi="Times New Roman" w:cs="Times New Roman" w:eastAsia="Times New Roman" w:hint="default"/>
        </w:rPr>
        <w:t>”</w:t>
      </w:r>
      <w:r>
        <w:rPr/>
        <w:t>的新</w:t>
      </w:r>
      <w:r>
        <w:rPr>
          <w:w w:val="100"/>
        </w:rPr>
        <w:t> </w:t>
      </w:r>
      <w:r>
        <w:rPr>
          <w:spacing w:val="-2"/>
        </w:rPr>
        <w:t>模式，将公司的行业经验、产品研发经验与客户需求进行提炼，结合新技术的应用，形成以解决行业发展</w:t>
      </w:r>
      <w:r>
        <w:rPr>
          <w:spacing w:val="-50"/>
        </w:rPr>
        <w:t> </w:t>
      </w:r>
      <w:r>
        <w:rPr>
          <w:spacing w:val="-50"/>
        </w:rPr>
      </w:r>
      <w:r>
        <w:rPr>
          <w:spacing w:val="-2"/>
        </w:rPr>
        <w:t>需求为基础的专业安全解决方案。公司目前已在政府、公安、教育、军工、医疗、电信、金融、交通、电</w:t>
      </w:r>
      <w:r>
        <w:rPr>
          <w:spacing w:val="-45"/>
        </w:rPr>
        <w:t> </w:t>
      </w:r>
      <w:r>
        <w:rPr>
          <w:spacing w:val="-45"/>
        </w:rPr>
      </w:r>
      <w:r>
        <w:rPr>
          <w:spacing w:val="-5"/>
        </w:rPr>
        <w:t>力、制造、税务、环保、运营商等十多个行业以及等级保护、分级保护、雪亮工程、智能社区、智慧城市、</w:t>
      </w:r>
      <w:r>
        <w:rPr>
          <w:spacing w:val="-7"/>
        </w:rPr>
        <w:t> </w:t>
      </w:r>
      <w:r>
        <w:rPr>
          <w:spacing w:val="-7"/>
        </w:rPr>
      </w:r>
      <w:r>
        <w:rPr>
          <w:spacing w:val="-3"/>
        </w:rPr>
        <w:t>人脸识别、数据安全、网站安全、工控安全、电磁安防、应急管理、区域信息化、安全教育校企合作、安</w:t>
      </w:r>
      <w:r>
        <w:rPr>
          <w:spacing w:val="-5"/>
        </w:rPr>
        <w:t> </w:t>
      </w:r>
      <w:r>
        <w:rPr>
          <w:spacing w:val="-5"/>
        </w:rPr>
      </w:r>
      <w:r>
        <w:rPr/>
        <w:t>全整体外包服务、安全综合管理等应用领域形成成熟的一站式安全解决方案，并通过行业化营销的方式，</w:t>
      </w:r>
      <w:r>
        <w:rPr>
          <w:w w:val="100"/>
        </w:rPr>
        <w:t> </w:t>
      </w:r>
      <w:r>
        <w:rPr/>
        <w:t>在各大行业迅速渗透。</w:t>
      </w:r>
    </w:p>
    <w:p>
      <w:pPr>
        <w:pStyle w:val="BodyText"/>
        <w:spacing w:line="362" w:lineRule="auto" w:before="70"/>
        <w:ind w:left="573" w:right="1133" w:firstLine="2"/>
        <w:jc w:val="left"/>
      </w:pPr>
      <w:r>
        <w:rPr>
          <w:rFonts w:ascii="Times New Roman" w:hAnsi="Times New Roman" w:cs="Times New Roman" w:eastAsia="Times New Roman" w:hint="default"/>
          <w:b/>
          <w:bCs/>
        </w:rPr>
        <w:t>3</w:t>
      </w:r>
      <w:r>
        <w:rPr>
          <w:rFonts w:ascii="宋体" w:hAnsi="宋体" w:cs="宋体" w:eastAsia="宋体" w:hint="default"/>
          <w:b/>
          <w:bCs/>
        </w:rPr>
        <w:t>、安全服务</w:t>
      </w:r>
      <w:r>
        <w:rPr>
          <w:rFonts w:ascii="宋体" w:hAnsi="宋体" w:cs="宋体" w:eastAsia="宋体" w:hint="default"/>
          <w:b/>
          <w:bCs/>
          <w:w w:val="100"/>
        </w:rPr>
        <w:t> </w:t>
      </w:r>
      <w:r>
        <w:rPr>
          <w:spacing w:val="-2"/>
        </w:rPr>
        <w:t>安全服务方面，公司根据客户的实际需求，提供包括运维服务、紧急响应服务、等级保护、网络安全</w:t>
      </w:r>
    </w:p>
    <w:p>
      <w:pPr>
        <w:spacing w:after="0" w:line="362"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40" w:lineRule="auto"/>
        <w:ind w:right="982"/>
        <w:jc w:val="left"/>
      </w:pPr>
      <w:r>
        <w:rPr/>
        <w:t>评估、系统集成与安装服务、软件开发服务、技术支持、远程监控服务、网络防病毒服务、安全管理策略</w:t>
      </w:r>
      <w:r>
        <w:rPr>
          <w:w w:val="100"/>
        </w:rPr>
        <w:t> </w:t>
      </w:r>
      <w:r>
        <w:rPr>
          <w:spacing w:val="-3"/>
        </w:rPr>
        <w:t>服务、安全培训服务、安全信息通告服务、安全巡检服务、数据库专项服务、安全加固服务、</w:t>
      </w:r>
      <w:r>
        <w:rPr>
          <w:rFonts w:ascii="Times New Roman" w:hAnsi="Times New Roman" w:cs="Times New Roman" w:eastAsia="Times New Roman" w:hint="default"/>
          <w:spacing w:val="-3"/>
        </w:rPr>
        <w:t>ISO27000</w:t>
      </w:r>
      <w:r>
        <w:rPr>
          <w:spacing w:val="-3"/>
        </w:rPr>
        <w:t>体</w:t>
      </w:r>
      <w:r>
        <w:rPr>
          <w:spacing w:val="-16"/>
        </w:rPr>
        <w:t> </w:t>
      </w:r>
      <w:r>
        <w:rPr/>
        <w:t>系建设服务、业务流评估服务、体系建设咨询、安全事件处置和应急预案服务等全方位的专业安全服务。</w:t>
      </w:r>
      <w:r>
        <w:rPr>
          <w:w w:val="100"/>
        </w:rPr>
        <w:t> </w:t>
      </w:r>
      <w:r>
        <w:rPr>
          <w:spacing w:val="-5"/>
        </w:rPr>
        <w:t>此外，公司依托完整的云安全系列产品，不断完善云安全运营服务体系，通过建设一站式安全云计算体系，</w:t>
      </w:r>
      <w:r>
        <w:rPr>
          <w:spacing w:val="-4"/>
        </w:rPr>
        <w:t> </w:t>
      </w:r>
      <w:r>
        <w:rPr>
          <w:spacing w:val="-4"/>
        </w:rPr>
      </w:r>
      <w:r>
        <w:rPr/>
        <w:t>全方位升级公司的云端安全防护服务能力水平，并通过自建以及与</w:t>
      </w:r>
      <w:r>
        <w:rPr>
          <w:rFonts w:ascii="Times New Roman" w:hAnsi="Times New Roman" w:cs="Times New Roman" w:eastAsia="Times New Roman" w:hint="default"/>
        </w:rPr>
        <w:t>IDC</w:t>
      </w:r>
      <w:r>
        <w:rPr/>
        <w:t>、电信运营商合作运营等模式，将</w:t>
      </w:r>
      <w:r>
        <w:rPr>
          <w:spacing w:val="-74"/>
        </w:rPr>
        <w:t> </w:t>
      </w:r>
      <w:r>
        <w:rPr>
          <w:spacing w:val="-74"/>
        </w:rPr>
      </w:r>
      <w:r>
        <w:rPr/>
        <w:t>云计算解决方案能力及云安全服务能力打造为公司的核心能力之一。</w:t>
      </w:r>
    </w:p>
    <w:p>
      <w:pPr>
        <w:pStyle w:val="BodyText"/>
        <w:spacing w:line="362" w:lineRule="auto" w:before="78"/>
        <w:ind w:left="573" w:right="1133" w:firstLine="2"/>
        <w:jc w:val="left"/>
      </w:pPr>
      <w:r>
        <w:rPr>
          <w:rFonts w:ascii="Times New Roman" w:hAnsi="Times New Roman" w:cs="Times New Roman" w:eastAsia="Times New Roman" w:hint="default"/>
          <w:b/>
          <w:bCs/>
        </w:rPr>
        <w:t>4</w:t>
      </w:r>
      <w:r>
        <w:rPr>
          <w:rFonts w:ascii="宋体" w:hAnsi="宋体" w:cs="宋体" w:eastAsia="宋体" w:hint="default"/>
          <w:b/>
          <w:bCs/>
        </w:rPr>
        <w:t>、电商运营服务</w:t>
      </w:r>
      <w:r>
        <w:rPr>
          <w:rFonts w:ascii="宋体" w:hAnsi="宋体" w:cs="宋体" w:eastAsia="宋体" w:hint="default"/>
          <w:b/>
          <w:bCs/>
          <w:w w:val="100"/>
        </w:rPr>
        <w:t> </w:t>
      </w:r>
      <w:r>
        <w:rPr>
          <w:spacing w:val="-2"/>
        </w:rPr>
        <w:t>公司全资子公司中经电商及汇通宝作为公司电商运营服务业务的运营主体，通过向油品零售商、电信</w:t>
      </w:r>
    </w:p>
    <w:p>
      <w:pPr>
        <w:pStyle w:val="BodyText"/>
        <w:spacing w:line="350" w:lineRule="auto" w:before="19"/>
        <w:ind w:right="1126"/>
        <w:jc w:val="both"/>
      </w:pPr>
      <w:r>
        <w:rPr>
          <w:spacing w:val="-2"/>
        </w:rPr>
        <w:t>运营商、银行、保险机构、商超、百货、餐饮、汽车服务商户等商户提供网络营销、运营管理、客户管理</w:t>
      </w:r>
      <w:r>
        <w:rPr>
          <w:spacing w:val="-48"/>
        </w:rPr>
        <w:t> </w:t>
      </w:r>
      <w:r>
        <w:rPr>
          <w:spacing w:val="-48"/>
        </w:rPr>
      </w:r>
      <w:r>
        <w:rPr>
          <w:spacing w:val="-2"/>
        </w:rPr>
        <w:t>以及积分管理等推广运营服务、系统服务和增值服务，并将非油商户推广运营服务、增值服务作为发展重</w:t>
      </w:r>
      <w:r>
        <w:rPr>
          <w:spacing w:val="-43"/>
        </w:rPr>
        <w:t> </w:t>
      </w:r>
      <w:r>
        <w:rPr>
          <w:spacing w:val="-43"/>
        </w:rPr>
      </w:r>
      <w:r>
        <w:rPr/>
        <w:t>心，积极开展相关业务。</w:t>
      </w:r>
    </w:p>
    <w:p>
      <w:pPr>
        <w:pStyle w:val="BodyText"/>
        <w:spacing w:line="350" w:lineRule="auto" w:before="67"/>
        <w:ind w:right="1126" w:firstLine="420"/>
        <w:jc w:val="both"/>
      </w:pPr>
      <w:r>
        <w:rPr>
          <w:spacing w:val="-2"/>
        </w:rPr>
        <w:t>报告期内，宏观经济形势及行业监管政策发生较大变化，受中美贸易摩擦对物流行业的影响、合作机</w:t>
      </w:r>
      <w:r>
        <w:rPr>
          <w:w w:val="100"/>
        </w:rPr>
        <w:t> </w:t>
      </w:r>
      <w:r>
        <w:rPr>
          <w:spacing w:val="2"/>
        </w:rPr>
        <w:t>构保险行业的合规监管以及融资难融资贵等多方面因素影响，中经电商业务发展及融资渠道受到较大影</w:t>
      </w:r>
      <w:r>
        <w:rPr>
          <w:spacing w:val="-19"/>
        </w:rPr>
        <w:t> </w:t>
      </w:r>
      <w:r>
        <w:rPr>
          <w:spacing w:val="-19"/>
        </w:rPr>
      </w:r>
      <w:r>
        <w:rPr>
          <w:spacing w:val="-2"/>
        </w:rPr>
        <w:t>响，业绩未达预期。公司正在积极寻求解决方案，包括但不限于帮助中经电商进行业务转型、探索剥离方</w:t>
      </w:r>
      <w:r>
        <w:rPr>
          <w:spacing w:val="-47"/>
        </w:rPr>
        <w:t> </w:t>
      </w:r>
      <w:r>
        <w:rPr>
          <w:spacing w:val="-47"/>
        </w:rPr>
      </w:r>
      <w:r>
        <w:rPr/>
        <w:t>案等。</w:t>
      </w:r>
    </w:p>
    <w:p>
      <w:pPr>
        <w:pStyle w:val="BodyText"/>
        <w:spacing w:line="240" w:lineRule="auto" w:before="70"/>
        <w:ind w:left="573" w:right="1133"/>
        <w:jc w:val="left"/>
      </w:pPr>
      <w:r>
        <w:rPr/>
        <w:t>报告期内，中经电商及汇通宝业务类型、截至报告期末的用户数量、合作商户数量情况如下：</w:t>
      </w:r>
    </w:p>
    <w:p>
      <w:pPr>
        <w:pStyle w:val="BodyText"/>
        <w:spacing w:line="240" w:lineRule="auto" w:before="164"/>
        <w:ind w:left="0" w:right="112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2977"/>
        <w:gridCol w:w="2126"/>
        <w:gridCol w:w="2268"/>
        <w:gridCol w:w="2269"/>
      </w:tblGrid>
      <w:tr>
        <w:trPr>
          <w:trHeight w:val="427" w:hRule="exact"/>
        </w:trPr>
        <w:tc>
          <w:tcPr>
            <w:tcW w:w="96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根据业务类型分类</w:t>
            </w:r>
            <w:r>
              <w:rPr>
                <w:rFonts w:ascii="宋体" w:hAnsi="宋体" w:cs="宋体" w:eastAsia="宋体" w:hint="default"/>
                <w:sz w:val="18"/>
                <w:szCs w:val="18"/>
              </w:rPr>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收入类型</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同期增减</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推广运营服务收入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197,546,135.07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278,983,068.92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-29.19%</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3" w:right="0"/>
              <w:jc w:val="left"/>
              <w:rPr>
                <w:rFonts w:ascii="宋体" w:hAnsi="宋体" w:cs="宋体" w:eastAsia="宋体" w:hint="default"/>
                <w:sz w:val="18"/>
                <w:szCs w:val="18"/>
              </w:rPr>
            </w:pPr>
            <w:r>
              <w:rPr>
                <w:rFonts w:ascii="宋体" w:hAnsi="宋体" w:cs="宋体" w:eastAsia="宋体" w:hint="default"/>
                <w:sz w:val="18"/>
                <w:szCs w:val="18"/>
              </w:rPr>
              <w:t>非油商户运营推广收入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118,198,800.57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106,643,177.58</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10.84%</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3" w:right="0"/>
              <w:jc w:val="left"/>
              <w:rPr>
                <w:rFonts w:ascii="宋体" w:hAnsi="宋体" w:cs="宋体" w:eastAsia="宋体" w:hint="default"/>
                <w:sz w:val="18"/>
                <w:szCs w:val="18"/>
              </w:rPr>
            </w:pPr>
            <w:r>
              <w:rPr>
                <w:rFonts w:ascii="宋体" w:hAnsi="宋体" w:cs="宋体" w:eastAsia="宋体" w:hint="default"/>
                <w:sz w:val="18"/>
                <w:szCs w:val="18"/>
              </w:rPr>
              <w:t>油品商户运营推广收入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79,347,334.50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172,339,891.34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-53.96%</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系统服务收入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9,783.04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7,774,021.53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-99.87%</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增值服务收入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194,155,935.18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320,634,383.27</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-39.45%</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3" w:right="0"/>
              <w:jc w:val="left"/>
              <w:rPr>
                <w:rFonts w:ascii="宋体" w:hAnsi="宋体" w:cs="宋体" w:eastAsia="宋体" w:hint="default"/>
                <w:sz w:val="18"/>
                <w:szCs w:val="18"/>
              </w:rPr>
            </w:pPr>
            <w:r>
              <w:rPr>
                <w:rFonts w:ascii="宋体" w:hAnsi="宋体" w:cs="宋体" w:eastAsia="宋体" w:hint="default"/>
                <w:sz w:val="18"/>
                <w:szCs w:val="18"/>
              </w:rPr>
              <w:t>保险增值服务收入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152,833,648.63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311,291,007.12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-50.90%</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3" w:right="0"/>
              <w:jc w:val="left"/>
              <w:rPr>
                <w:rFonts w:ascii="宋体" w:hAnsi="宋体" w:cs="宋体" w:eastAsia="宋体" w:hint="default"/>
                <w:sz w:val="18"/>
                <w:szCs w:val="18"/>
              </w:rPr>
            </w:pPr>
            <w:r>
              <w:rPr>
                <w:rFonts w:ascii="宋体" w:hAnsi="宋体" w:cs="宋体" w:eastAsia="宋体" w:hint="default"/>
                <w:spacing w:val="-3"/>
                <w:sz w:val="18"/>
                <w:szCs w:val="18"/>
              </w:rPr>
              <w:t>银行、电信积分奖励增值服务收入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41,322,286.55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9,343,376.15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342.26%</w:t>
            </w:r>
          </w:p>
        </w:tc>
      </w:tr>
      <w:tr>
        <w:trPr>
          <w:trHeight w:val="425"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sz w:val="18"/>
              </w:rPr>
              <w:t>1,398,970.73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Times New Roman" w:hAnsi="Times New Roman" w:cs="Times New Roman" w:eastAsia="Times New Roman" w:hint="default"/>
                <w:sz w:val="18"/>
                <w:szCs w:val="18"/>
              </w:rPr>
            </w:pPr>
            <w:r>
              <w:rPr>
                <w:rFonts w:ascii="Times New Roman"/>
                <w:sz w:val="18"/>
              </w:rPr>
              <w:t>691,326.80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 w:right="0"/>
              <w:jc w:val="center"/>
              <w:rPr>
                <w:rFonts w:ascii="Times New Roman" w:hAnsi="Times New Roman" w:cs="Times New Roman" w:eastAsia="Times New Roman" w:hint="default"/>
                <w:sz w:val="18"/>
                <w:szCs w:val="18"/>
              </w:rPr>
            </w:pPr>
            <w:r>
              <w:rPr>
                <w:rFonts w:ascii="Times New Roman"/>
                <w:sz w:val="18"/>
              </w:rPr>
              <w:t>102.36%</w:t>
            </w:r>
          </w:p>
        </w:tc>
      </w:tr>
      <w:tr>
        <w:trPr>
          <w:trHeight w:val="430"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393,110,824.02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608,082,800.52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-35.35%</w:t>
            </w:r>
          </w:p>
        </w:tc>
      </w:tr>
    </w:tbl>
    <w:p>
      <w:pPr>
        <w:spacing w:line="240" w:lineRule="auto" w:before="12"/>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2410"/>
        <w:gridCol w:w="2410"/>
        <w:gridCol w:w="2412"/>
        <w:gridCol w:w="2408"/>
      </w:tblGrid>
      <w:tr>
        <w:trPr>
          <w:trHeight w:val="427" w:hRule="exact"/>
        </w:trPr>
        <w:tc>
          <w:tcPr>
            <w:tcW w:w="96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根据合作商户类型分类</w:t>
            </w:r>
            <w:r>
              <w:rPr>
                <w:rFonts w:ascii="宋体" w:hAnsi="宋体" w:cs="宋体" w:eastAsia="宋体" w:hint="default"/>
                <w:sz w:val="18"/>
                <w:szCs w:val="18"/>
              </w:rPr>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合作商户类型</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合作商户数量（个）</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交易金额（元）</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交易金额占比</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油品合作商户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5,011</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1,268,678,035.08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79.56%</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非油品合作商户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12,311</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3496,241,668.98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21.44%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10"/>
        <w:gridCol w:w="2410"/>
        <w:gridCol w:w="2412"/>
        <w:gridCol w:w="2408"/>
      </w:tblGrid>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17,322</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69" w:right="0"/>
              <w:jc w:val="left"/>
              <w:rPr>
                <w:rFonts w:ascii="Times New Roman" w:hAnsi="Times New Roman" w:cs="Times New Roman" w:eastAsia="Times New Roman" w:hint="default"/>
                <w:sz w:val="18"/>
                <w:szCs w:val="18"/>
              </w:rPr>
            </w:pPr>
            <w:r>
              <w:rPr>
                <w:rFonts w:ascii="Times New Roman"/>
                <w:sz w:val="18"/>
              </w:rPr>
              <w:t>1,614,919,704.06</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23"/>
          <w:szCs w:val="23"/>
        </w:rPr>
      </w:pPr>
    </w:p>
    <w:tbl>
      <w:tblPr>
        <w:tblW w:w="0" w:type="auto"/>
        <w:jc w:val="left"/>
        <w:tblInd w:w="145" w:type="dxa"/>
        <w:tblLayout w:type="fixed"/>
        <w:tblCellMar>
          <w:top w:w="0" w:type="dxa"/>
          <w:left w:w="0" w:type="dxa"/>
          <w:bottom w:w="0" w:type="dxa"/>
          <w:right w:w="0" w:type="dxa"/>
        </w:tblCellMar>
        <w:tblLook w:val="01E0"/>
      </w:tblPr>
      <w:tblGrid>
        <w:gridCol w:w="2410"/>
        <w:gridCol w:w="2410"/>
        <w:gridCol w:w="2412"/>
        <w:gridCol w:w="2408"/>
      </w:tblGrid>
      <w:tr>
        <w:trPr>
          <w:trHeight w:val="427" w:hRule="exact"/>
        </w:trPr>
        <w:tc>
          <w:tcPr>
            <w:tcW w:w="96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根据客户类型分类</w:t>
            </w:r>
            <w:r>
              <w:rPr>
                <w:rFonts w:ascii="宋体" w:hAnsi="宋体" w:cs="宋体" w:eastAsia="宋体" w:hint="default"/>
                <w:sz w:val="18"/>
                <w:szCs w:val="18"/>
              </w:rPr>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客户类型</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客户数量（个）</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交易金额（元）</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交易金额占比</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机构用户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13,996</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347,983,939.29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21.55%</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个人用户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28,944,762</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1,266,935,764.77</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78.45%</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28,958,758</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1,614,919,704.06</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3"/>
        <w:rPr>
          <w:rFonts w:ascii="宋体" w:hAnsi="宋体" w:cs="宋体" w:eastAsia="宋体" w:hint="default"/>
          <w:sz w:val="5"/>
          <w:szCs w:val="5"/>
        </w:rPr>
      </w:pPr>
    </w:p>
    <w:p>
      <w:pPr>
        <w:pStyle w:val="Heading3"/>
        <w:spacing w:line="240" w:lineRule="auto" w:before="36"/>
        <w:ind w:left="575" w:right="1133"/>
        <w:jc w:val="left"/>
        <w:rPr>
          <w:b w:val="0"/>
          <w:bCs w:val="0"/>
        </w:rPr>
      </w:pPr>
      <w:r>
        <w:rPr/>
        <w:t>（二）主要的业绩驱动因素</w:t>
      </w:r>
      <w:r>
        <w:rPr>
          <w:b w:val="0"/>
          <w:bCs w:val="0"/>
        </w:rPr>
      </w:r>
    </w:p>
    <w:p>
      <w:pPr>
        <w:spacing w:line="362" w:lineRule="auto" w:before="164"/>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、行业及政策推动因素</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近年来国内外重大网络安全事件频发，涉及政府、企业和社会各个领域，信息安全形势严峻。面对日</w:t>
      </w:r>
    </w:p>
    <w:p>
      <w:pPr>
        <w:pStyle w:val="BodyText"/>
        <w:spacing w:line="336" w:lineRule="auto" w:before="19"/>
        <w:ind w:right="1126"/>
        <w:jc w:val="both"/>
      </w:pPr>
      <w:r>
        <w:rPr>
          <w:spacing w:val="-2"/>
        </w:rPr>
        <w:t>益复杂的网络安全形势，党和国家高度重视，各项法律法规和政策不断出台，网络安全已经上升为国家安</w:t>
      </w:r>
      <w:r>
        <w:rPr>
          <w:spacing w:val="-43"/>
        </w:rPr>
        <w:t> </w:t>
      </w:r>
      <w:r>
        <w:rPr>
          <w:spacing w:val="-43"/>
        </w:rPr>
      </w:r>
      <w:r>
        <w:rPr>
          <w:spacing w:val="-2"/>
        </w:rPr>
        <w:t>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日，《中华人民共和国网络安全法》正式施行，确立我国网络安全领域的</w:t>
      </w:r>
      <w:r>
        <w:rPr>
          <w:rFonts w:ascii="Times New Roman" w:hAnsi="Times New Roman" w:cs="Times New Roman" w:eastAsia="Times New Roman" w:hint="default"/>
          <w:spacing w:val="-2"/>
        </w:rPr>
        <w:t>“</w:t>
      </w:r>
      <w:r>
        <w:rPr>
          <w:spacing w:val="-2"/>
        </w:rPr>
        <w:t>基本法</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w:t>
      </w:r>
      <w:r>
        <w:rPr>
          <w:rFonts w:ascii="Times New Roman" w:hAnsi="Times New Roman" w:cs="Times New Roman" w:eastAsia="Times New Roman" w:hint="default"/>
        </w:rPr>
        <w:t>5</w:t>
      </w:r>
      <w:r>
        <w:rPr/>
        <w:t>月，网络安全等级保护核心标准《信息安全技术网络安全等级保护测评要求》、《信息安全技术网络</w:t>
      </w:r>
      <w:r>
        <w:rPr>
          <w:spacing w:val="-25"/>
        </w:rPr>
        <w:t> </w:t>
      </w:r>
      <w:r>
        <w:rPr>
          <w:spacing w:val="-25"/>
        </w:rPr>
      </w:r>
      <w:r>
        <w:rPr>
          <w:spacing w:val="-2"/>
        </w:rPr>
        <w:t>安全等级保护基本要求》、《信息安全技术网络安全等级保护安全设计技术要求》正式发布，并于</w:t>
      </w:r>
      <w:r>
        <w:rPr>
          <w:rFonts w:ascii="Times New Roman" w:hAnsi="Times New Roman" w:cs="Times New Roman" w:eastAsia="Times New Roman" w:hint="default"/>
          <w:spacing w:val="-2"/>
        </w:rPr>
        <w:t>2019</w:t>
      </w:r>
      <w:r>
        <w:rPr>
          <w:spacing w:val="-2"/>
        </w:rPr>
        <w:t>年</w:t>
      </w:r>
      <w:r>
        <w:rPr>
          <w:spacing w:val="-40"/>
        </w:rPr>
        <w:t> </w:t>
      </w:r>
      <w:r>
        <w:rPr>
          <w:rFonts w:ascii="Times New Roman" w:hAnsi="Times New Roman" w:cs="Times New Roman" w:eastAsia="Times New Roman" w:hint="default"/>
          <w:spacing w:val="-3"/>
        </w:rPr>
        <w:t>12</w:t>
      </w:r>
      <w:r>
        <w:rPr>
          <w:spacing w:val="-3"/>
        </w:rPr>
        <w:t>月开始实施，我国等级保护制度进入</w:t>
      </w:r>
      <w:r>
        <w:rPr>
          <w:rFonts w:ascii="Times New Roman" w:hAnsi="Times New Roman" w:cs="Times New Roman" w:eastAsia="Times New Roman" w:hint="default"/>
          <w:spacing w:val="-3"/>
        </w:rPr>
        <w:t>2.0</w:t>
      </w:r>
      <w:r>
        <w:rPr>
          <w:spacing w:val="-3"/>
        </w:rPr>
        <w:t>时代。网络安全已经上升为国家战略，相关政策指引推动我国网</w:t>
      </w:r>
      <w:r>
        <w:rPr>
          <w:spacing w:val="-46"/>
        </w:rPr>
        <w:t> </w:t>
      </w:r>
      <w:r>
        <w:rPr>
          <w:spacing w:val="-46"/>
        </w:rPr>
      </w:r>
      <w:r>
        <w:rPr>
          <w:spacing w:val="-3"/>
        </w:rPr>
        <w:t>络安全行业持续发展，信息安全市场需求持续提升。同时，随着</w:t>
      </w:r>
      <w:r>
        <w:rPr>
          <w:rFonts w:ascii="Times New Roman" w:hAnsi="Times New Roman" w:cs="Times New Roman" w:eastAsia="Times New Roman" w:hint="default"/>
          <w:spacing w:val="-3"/>
        </w:rPr>
        <w:t>5G</w:t>
      </w:r>
      <w:r>
        <w:rPr>
          <w:spacing w:val="-3"/>
        </w:rPr>
        <w:t>技术、云计算、大数据、物联网、人工</w:t>
      </w:r>
      <w:r>
        <w:rPr>
          <w:spacing w:val="-47"/>
        </w:rPr>
        <w:t> </w:t>
      </w:r>
      <w:r>
        <w:rPr>
          <w:spacing w:val="-47"/>
        </w:rPr>
      </w:r>
      <w:r>
        <w:rPr>
          <w:spacing w:val="-2"/>
        </w:rPr>
        <w:t>智能、区块链等新兴技术的广泛应用，新兴安全需求也在不断产生，合规性需求与自发性需求共同驱动着</w:t>
      </w:r>
      <w:r>
        <w:rPr>
          <w:spacing w:val="-44"/>
        </w:rPr>
        <w:t> </w:t>
      </w:r>
      <w:r>
        <w:rPr>
          <w:spacing w:val="-44"/>
        </w:rPr>
      </w:r>
      <w:r>
        <w:rPr/>
        <w:t>行业空间及公司业务的持续发展。</w:t>
      </w:r>
    </w:p>
    <w:p>
      <w:pPr>
        <w:pStyle w:val="BodyText"/>
        <w:spacing w:line="362" w:lineRule="auto" w:before="80"/>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、市场拓展因素</w:t>
      </w:r>
      <w:r>
        <w:rPr>
          <w:rFonts w:ascii="宋体" w:hAnsi="宋体" w:cs="宋体" w:eastAsia="宋体" w:hint="default"/>
          <w:b/>
          <w:bCs/>
          <w:w w:val="100"/>
        </w:rPr>
        <w:t> </w:t>
      </w:r>
      <w:r>
        <w:rPr>
          <w:spacing w:val="-4"/>
        </w:rPr>
        <w:t>报告期内，公司网络信息安全业务经营较为稳定。随着</w:t>
      </w:r>
      <w:r>
        <w:rPr>
          <w:rFonts w:ascii="Times New Roman" w:hAnsi="Times New Roman" w:cs="Times New Roman" w:eastAsia="Times New Roman" w:hint="default"/>
          <w:spacing w:val="-4"/>
        </w:rPr>
        <w:t>“</w:t>
      </w:r>
      <w:r>
        <w:rPr>
          <w:spacing w:val="-4"/>
        </w:rPr>
        <w:t>等保</w:t>
      </w:r>
      <w:r>
        <w:rPr>
          <w:rFonts w:ascii="Times New Roman" w:hAnsi="Times New Roman" w:cs="Times New Roman" w:eastAsia="Times New Roman" w:hint="default"/>
          <w:spacing w:val="-4"/>
        </w:rPr>
        <w:t>2.0</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自主可控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安可项目</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雪亮工</w:t>
      </w:r>
    </w:p>
    <w:p>
      <w:pPr>
        <w:pStyle w:val="BodyText"/>
        <w:spacing w:line="336" w:lineRule="auto"/>
        <w:ind w:right="1128"/>
        <w:jc w:val="both"/>
      </w:pPr>
      <w:r>
        <w:rPr/>
        <w:t>程</w:t>
      </w:r>
      <w:r>
        <w:rPr>
          <w:rFonts w:ascii="Times New Roman" w:hAnsi="Times New Roman" w:cs="Times New Roman" w:eastAsia="Times New Roman" w:hint="default"/>
        </w:rPr>
        <w:t>”</w:t>
      </w:r>
      <w:r>
        <w:rPr/>
        <w:t>等重点项目的推广及落地实施，行业增量市场空间进一步扩大，公司的态势感知平台、安全云桌面、</w:t>
      </w:r>
      <w:r>
        <w:rPr>
          <w:spacing w:val="-18"/>
        </w:rPr>
        <w:t> </w:t>
      </w:r>
      <w:r>
        <w:rPr>
          <w:spacing w:val="-18"/>
        </w:rPr>
      </w:r>
      <w:r>
        <w:rPr>
          <w:rFonts w:ascii="Times New Roman" w:hAnsi="Times New Roman" w:cs="Times New Roman" w:eastAsia="Times New Roman" w:hint="default"/>
          <w:spacing w:val="-3"/>
        </w:rPr>
        <w:t>AI</w:t>
      </w:r>
      <w:r>
        <w:rPr>
          <w:spacing w:val="-3"/>
        </w:rPr>
        <w:t>防火墙等主动防御性产品市场销量得到进一步提升。此外，控股子公司满泰科技业务稳步拓展，</w:t>
      </w:r>
      <w:r>
        <w:rPr>
          <w:rFonts w:ascii="Times New Roman" w:hAnsi="Times New Roman" w:cs="Times New Roman" w:eastAsia="Times New Roman" w:hint="default"/>
          <w:spacing w:val="-3"/>
        </w:rPr>
        <w:t>2019</w:t>
      </w:r>
      <w:r>
        <w:rPr>
          <w:spacing w:val="-3"/>
        </w:rPr>
        <w:t>年</w:t>
      </w:r>
      <w:r>
        <w:rPr>
          <w:spacing w:val="-4"/>
        </w:rPr>
        <w:t> </w:t>
      </w:r>
      <w:r>
        <w:rPr>
          <w:spacing w:val="-2"/>
        </w:rPr>
        <w:t>净利润较上年同期稳步增长。后续，公司将聚焦网络信息安全主业，把握政策红利，积极参与国家网络安</w:t>
      </w:r>
      <w:r>
        <w:rPr>
          <w:spacing w:val="-47"/>
        </w:rPr>
        <w:t> </w:t>
      </w:r>
      <w:r>
        <w:rPr>
          <w:spacing w:val="-47"/>
        </w:rPr>
      </w:r>
      <w:r>
        <w:rPr/>
        <w:t>全体系建设。</w:t>
      </w:r>
    </w:p>
    <w:p>
      <w:pPr>
        <w:pStyle w:val="Heading3"/>
        <w:spacing w:line="240" w:lineRule="auto" w:before="80"/>
        <w:ind w:left="575" w:right="1133"/>
        <w:jc w:val="left"/>
        <w:rPr>
          <w:b w:val="0"/>
          <w:bCs w:val="0"/>
        </w:rPr>
      </w:pPr>
      <w:r>
        <w:rPr/>
        <w:t>（三）报告期内公司所属行业的发展情况以及公司的行业地位</w:t>
      </w:r>
      <w:r>
        <w:rPr>
          <w:b w:val="0"/>
          <w:bCs w:val="0"/>
        </w:rPr>
      </w:r>
    </w:p>
    <w:p>
      <w:pPr>
        <w:pStyle w:val="BodyText"/>
        <w:spacing w:line="362" w:lineRule="auto" w:before="166"/>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、行业发展情况</w:t>
      </w:r>
      <w:r>
        <w:rPr>
          <w:rFonts w:ascii="宋体" w:hAnsi="宋体" w:cs="宋体" w:eastAsia="宋体" w:hint="default"/>
          <w:b/>
          <w:bCs/>
          <w:w w:val="100"/>
        </w:rPr>
        <w:t> </w:t>
      </w:r>
      <w:r>
        <w:rPr>
          <w:spacing w:val="-3"/>
        </w:rPr>
        <w:t>云计算、大数据、物联网、人工智能、区块链、</w:t>
      </w:r>
      <w:r>
        <w:rPr>
          <w:rFonts w:ascii="Times New Roman" w:hAnsi="Times New Roman" w:cs="Times New Roman" w:eastAsia="Times New Roman" w:hint="default"/>
          <w:spacing w:val="-3"/>
        </w:rPr>
        <w:t>5G</w:t>
      </w:r>
      <w:r>
        <w:rPr>
          <w:spacing w:val="-3"/>
        </w:rPr>
        <w:t>技术等新兴技术的广泛应用不断拓宽安全产业的市</w:t>
      </w:r>
    </w:p>
    <w:p>
      <w:pPr>
        <w:pStyle w:val="BodyText"/>
        <w:spacing w:line="348" w:lineRule="auto"/>
        <w:ind w:right="982"/>
        <w:jc w:val="left"/>
      </w:pPr>
      <w:r>
        <w:rPr>
          <w:spacing w:val="-5"/>
        </w:rPr>
        <w:t>场空间，对信息安全提出了新的要求（如云安全、数据安全、物联网安全、工控安全、基础设施安全等），</w:t>
      </w:r>
      <w:r>
        <w:rPr>
          <w:spacing w:val="-9"/>
        </w:rPr>
        <w:t> </w:t>
      </w:r>
      <w:r>
        <w:rPr>
          <w:spacing w:val="-9"/>
        </w:rPr>
      </w:r>
      <w:r>
        <w:rPr/>
        <w:t>政策层面也发生了一系列对行业有深远影响的事件：</w:t>
      </w:r>
    </w:p>
    <w:p>
      <w:pPr>
        <w:pStyle w:val="BodyText"/>
        <w:spacing w:line="343" w:lineRule="auto" w:before="72"/>
        <w:ind w:right="1126" w:firstLine="420"/>
        <w:jc w:val="both"/>
      </w:pPr>
      <w:r>
        <w:rPr>
          <w:spacing w:val="-2"/>
        </w:rPr>
        <w:t>（</w:t>
      </w:r>
      <w:r>
        <w:rPr>
          <w:rFonts w:ascii="Times New Roman" w:hAnsi="Times New Roman" w:cs="Times New Roman" w:eastAsia="Times New Roman" w:hint="default"/>
          <w:spacing w:val="-2"/>
        </w:rPr>
        <w:t>1</w:t>
      </w:r>
      <w:r>
        <w:rPr>
          <w:spacing w:val="-2"/>
        </w:rPr>
        <w:t>）中共中央、国务院印发了《粤港澳大湾区发展规划纲要》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18</w:t>
      </w:r>
      <w:r>
        <w:rPr>
          <w:spacing w:val="-2"/>
        </w:rPr>
        <w:t>日，中共中央、国务院印</w:t>
      </w:r>
      <w:r>
        <w:rPr>
          <w:w w:val="100"/>
        </w:rPr>
        <w:t> </w:t>
      </w:r>
      <w:r>
        <w:rPr>
          <w:spacing w:val="-2"/>
        </w:rPr>
        <w:t>发了《粤港澳大湾区发展规划纲要》。《纲要》中提到要求各地区各部门加强基础设施建设，畅通对外联</w:t>
      </w:r>
      <w:r>
        <w:rPr>
          <w:spacing w:val="-45"/>
        </w:rPr>
        <w:t> </w:t>
      </w:r>
      <w:r>
        <w:rPr>
          <w:spacing w:val="-45"/>
        </w:rPr>
      </w:r>
      <w:r>
        <w:rPr>
          <w:spacing w:val="-2"/>
        </w:rPr>
        <w:t>系通道，提升内部联通水平，推动形成布局合理、功能完善、衔接顺畅、运作高效的基础设施网络，为粤</w:t>
      </w:r>
      <w:r>
        <w:rPr>
          <w:spacing w:val="-41"/>
        </w:rPr>
        <w:t> </w:t>
      </w:r>
      <w:r>
        <w:rPr>
          <w:spacing w:val="-41"/>
        </w:rPr>
      </w:r>
      <w:r>
        <w:rPr>
          <w:spacing w:val="-2"/>
        </w:rPr>
        <w:t>港澳大湾区经济社会发展提供有力支撑。就</w:t>
      </w:r>
      <w:r>
        <w:rPr>
          <w:rFonts w:ascii="Times New Roman" w:hAnsi="Times New Roman" w:cs="Times New Roman" w:eastAsia="Times New Roman" w:hint="default"/>
          <w:spacing w:val="-2"/>
        </w:rPr>
        <w:t>“</w:t>
      </w:r>
      <w:r>
        <w:rPr>
          <w:spacing w:val="-2"/>
        </w:rPr>
        <w:t>优化提升信息基础设施</w:t>
      </w:r>
      <w:r>
        <w:rPr>
          <w:rFonts w:ascii="Times New Roman" w:hAnsi="Times New Roman" w:cs="Times New Roman" w:eastAsia="Times New Roman" w:hint="default"/>
          <w:spacing w:val="-2"/>
        </w:rPr>
        <w:t>”</w:t>
      </w:r>
      <w:r>
        <w:rPr>
          <w:spacing w:val="-2"/>
        </w:rPr>
        <w:t>，提出构建新一代信息基础设施、建</w:t>
      </w:r>
    </w:p>
    <w:p>
      <w:pPr>
        <w:spacing w:after="0" w:line="34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both"/>
      </w:pPr>
      <w:r>
        <w:rPr/>
        <w:t>成智慧城市群、提升网络安全保障水平。</w:t>
      </w:r>
    </w:p>
    <w:p>
      <w:pPr>
        <w:pStyle w:val="BodyText"/>
        <w:spacing w:line="240" w:lineRule="auto" w:before="164"/>
        <w:ind w:left="573" w:right="1133"/>
        <w:jc w:val="left"/>
      </w:pPr>
      <w:r>
        <w:rPr/>
        <w:t>（</w:t>
      </w:r>
      <w:r>
        <w:rPr>
          <w:rFonts w:ascii="Times New Roman" w:hAnsi="Times New Roman" w:cs="Times New Roman" w:eastAsia="Times New Roman" w:hint="default"/>
        </w:rPr>
        <w:t>2</w:t>
      </w:r>
      <w:r>
        <w:rPr/>
        <w:t>）我国等级保护制度进入</w:t>
      </w:r>
      <w:r>
        <w:rPr>
          <w:rFonts w:ascii="Times New Roman" w:hAnsi="Times New Roman" w:cs="Times New Roman" w:eastAsia="Times New Roman" w:hint="default"/>
        </w:rPr>
        <w:t>2.0</w:t>
      </w:r>
      <w:r>
        <w:rPr/>
        <w:t>时代</w:t>
      </w:r>
    </w:p>
    <w:p>
      <w:pPr>
        <w:pStyle w:val="BodyText"/>
        <w:spacing w:line="336" w:lineRule="auto" w:before="151"/>
        <w:ind w:right="982"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月，网络安全等级保护核心标准《信息安全技术网络安全等级保护测评要求》、《信息安全</w:t>
      </w:r>
      <w:r>
        <w:rPr>
          <w:w w:val="100"/>
        </w:rPr>
        <w:t> </w:t>
      </w:r>
      <w:r>
        <w:rPr>
          <w:spacing w:val="-2"/>
        </w:rPr>
        <w:t>技术网络安全等级保护基本要求》、《信息安全技术网络安全等级保护安全设计技术要求》正式发布，并</w:t>
      </w:r>
      <w:r>
        <w:rPr>
          <w:spacing w:val="-43"/>
        </w:rPr>
        <w:t> </w:t>
      </w:r>
      <w:r>
        <w:rPr>
          <w:spacing w:val="-43"/>
        </w:rPr>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月开始实施，我国等级保护制度进入</w:t>
      </w:r>
      <w:r>
        <w:rPr>
          <w:rFonts w:ascii="Times New Roman" w:hAnsi="Times New Roman" w:cs="Times New Roman" w:eastAsia="Times New Roman" w:hint="default"/>
          <w:spacing w:val="-2"/>
        </w:rPr>
        <w:t>2.0</w:t>
      </w:r>
      <w:r>
        <w:rPr>
          <w:spacing w:val="-2"/>
        </w:rPr>
        <w:t>时代。等保</w:t>
      </w:r>
      <w:r>
        <w:rPr>
          <w:rFonts w:ascii="Times New Roman" w:hAnsi="Times New Roman" w:cs="Times New Roman" w:eastAsia="Times New Roman" w:hint="default"/>
          <w:spacing w:val="-2"/>
        </w:rPr>
        <w:t>2.0</w:t>
      </w:r>
      <w:r>
        <w:rPr>
          <w:spacing w:val="-2"/>
        </w:rPr>
        <w:t>从立法层面提升了信息安全的合规要求，</w:t>
      </w:r>
      <w:r>
        <w:rPr>
          <w:spacing w:val="-32"/>
        </w:rPr>
        <w:t> </w:t>
      </w:r>
      <w:r>
        <w:rPr>
          <w:spacing w:val="-32"/>
        </w:rPr>
      </w:r>
      <w:r>
        <w:rPr/>
        <w:t>明确了整体信息安全防御标准纲领，将有利于带动信息安全的新一轮市场增量。</w:t>
      </w:r>
    </w:p>
    <w:p>
      <w:pPr>
        <w:pStyle w:val="BodyText"/>
        <w:spacing w:line="240" w:lineRule="auto" w:before="80"/>
        <w:ind w:left="573" w:right="1133"/>
        <w:jc w:val="left"/>
      </w:pPr>
      <w:r>
        <w:rPr/>
        <w:t>（</w:t>
      </w:r>
      <w:r>
        <w:rPr>
          <w:rFonts w:ascii="Times New Roman" w:hAnsi="Times New Roman" w:cs="Times New Roman" w:eastAsia="Times New Roman" w:hint="default"/>
        </w:rPr>
        <w:t>3</w:t>
      </w:r>
      <w:r>
        <w:rPr/>
        <w:t>）《国家网络安全产业发展规划》正式发布</w:t>
      </w:r>
    </w:p>
    <w:p>
      <w:pPr>
        <w:pStyle w:val="BodyText"/>
        <w:spacing w:line="331" w:lineRule="auto" w:before="148"/>
        <w:ind w:right="1132"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日，《国家网络安全产业发展规划》正式发布，工业和信息化部与北京市人民政府决定</w:t>
      </w:r>
      <w:r>
        <w:rPr>
          <w:w w:val="100"/>
        </w:rPr>
        <w:t> </w:t>
      </w:r>
      <w:r>
        <w:rPr/>
        <w:t>建设国家网络安全产业园区。根据规划，到</w:t>
      </w:r>
      <w:r>
        <w:rPr>
          <w:rFonts w:ascii="Times New Roman" w:hAnsi="Times New Roman" w:cs="Times New Roman" w:eastAsia="Times New Roman" w:hint="default"/>
        </w:rPr>
        <w:t>2020</w:t>
      </w:r>
      <w:r>
        <w:rPr/>
        <w:t>年，依托产业园带动北京市网络安全产业规模超过</w:t>
      </w:r>
      <w:r>
        <w:rPr>
          <w:rFonts w:ascii="Times New Roman" w:hAnsi="Times New Roman" w:cs="Times New Roman" w:eastAsia="Times New Roman" w:hint="default"/>
        </w:rPr>
        <w:t>1,000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3"/>
        </w:rPr>
        <w:t>亿元，拉动</w:t>
      </w:r>
      <w:r>
        <w:rPr>
          <w:rFonts w:ascii="Times New Roman" w:hAnsi="Times New Roman" w:cs="Times New Roman" w:eastAsia="Times New Roman" w:hint="default"/>
          <w:spacing w:val="-3"/>
        </w:rPr>
        <w:t>GDP</w:t>
      </w:r>
      <w:r>
        <w:rPr>
          <w:spacing w:val="-3"/>
        </w:rPr>
        <w:t>增长超过</w:t>
      </w:r>
      <w:r>
        <w:rPr>
          <w:rFonts w:ascii="Times New Roman" w:hAnsi="Times New Roman" w:cs="Times New Roman" w:eastAsia="Times New Roman" w:hint="default"/>
          <w:spacing w:val="-3"/>
        </w:rPr>
        <w:t>3,300</w:t>
      </w:r>
      <w:r>
        <w:rPr>
          <w:spacing w:val="-3"/>
        </w:rPr>
        <w:t>亿元，打造不少于</w:t>
      </w:r>
      <w:r>
        <w:rPr>
          <w:rFonts w:ascii="Times New Roman" w:hAnsi="Times New Roman" w:cs="Times New Roman" w:eastAsia="Times New Roman" w:hint="default"/>
          <w:spacing w:val="-3"/>
        </w:rPr>
        <w:t>3</w:t>
      </w:r>
      <w:r>
        <w:rPr>
          <w:spacing w:val="-3"/>
        </w:rPr>
        <w:t>家年收入超过</w:t>
      </w:r>
      <w:r>
        <w:rPr>
          <w:rFonts w:ascii="Times New Roman" w:hAnsi="Times New Roman" w:cs="Times New Roman" w:eastAsia="Times New Roman" w:hint="default"/>
          <w:spacing w:val="-3"/>
        </w:rPr>
        <w:t>100</w:t>
      </w:r>
      <w:r>
        <w:rPr>
          <w:spacing w:val="-3"/>
        </w:rPr>
        <w:t>亿元的骨干企业。到</w:t>
      </w:r>
      <w:r>
        <w:rPr>
          <w:rFonts w:ascii="Times New Roman" w:hAnsi="Times New Roman" w:cs="Times New Roman" w:eastAsia="Times New Roman" w:hint="default"/>
          <w:spacing w:val="-3"/>
        </w:rPr>
        <w:t>2025</w:t>
      </w:r>
      <w:r>
        <w:rPr>
          <w:spacing w:val="-3"/>
        </w:rPr>
        <w:t>年，依托产业</w:t>
      </w:r>
      <w:r>
        <w:rPr>
          <w:spacing w:val="-34"/>
        </w:rPr>
        <w:t> </w:t>
      </w:r>
      <w:r>
        <w:rPr>
          <w:spacing w:val="-34"/>
        </w:rPr>
      </w:r>
      <w:r>
        <w:rPr/>
        <w:t>园建成我国网络安全产业</w:t>
      </w:r>
      <w:r>
        <w:rPr>
          <w:rFonts w:ascii="Times New Roman" w:hAnsi="Times New Roman" w:cs="Times New Roman" w:eastAsia="Times New Roman" w:hint="default"/>
        </w:rPr>
        <w:t>“</w:t>
      </w:r>
      <w:r>
        <w:rPr/>
        <w:t>五个基地</w:t>
      </w:r>
      <w:r>
        <w:rPr>
          <w:rFonts w:ascii="Times New Roman" w:hAnsi="Times New Roman" w:cs="Times New Roman" w:eastAsia="Times New Roman" w:hint="default"/>
        </w:rPr>
        <w:t>”</w:t>
      </w:r>
      <w:r>
        <w:rPr/>
        <w:t>。</w:t>
      </w:r>
    </w:p>
    <w:p>
      <w:pPr>
        <w:pStyle w:val="BodyText"/>
        <w:spacing w:line="240" w:lineRule="auto" w:before="62"/>
        <w:ind w:left="573" w:right="1133"/>
        <w:jc w:val="left"/>
      </w:pPr>
      <w:r>
        <w:rPr/>
        <w:t>（</w:t>
      </w:r>
      <w:r>
        <w:rPr>
          <w:rFonts w:ascii="Times New Roman" w:hAnsi="Times New Roman" w:cs="Times New Roman" w:eastAsia="Times New Roman" w:hint="default"/>
        </w:rPr>
        <w:t>4</w:t>
      </w:r>
      <w:r>
        <w:rPr/>
        <w:t>）工信部就《关于促进网络安全产业发展的指导意见》公开征求意见</w:t>
      </w:r>
    </w:p>
    <w:p>
      <w:pPr>
        <w:pStyle w:val="BodyText"/>
        <w:spacing w:line="331" w:lineRule="auto" w:before="148"/>
        <w:ind w:right="1131"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日，为贯彻落实《中华人民共和国网络安全法》，积极发展网络安全产业，工业和信息</w:t>
      </w:r>
      <w:r>
        <w:rPr>
          <w:w w:val="100"/>
        </w:rPr>
        <w:t> </w:t>
      </w:r>
      <w:r>
        <w:rPr>
          <w:spacing w:val="-1"/>
        </w:rPr>
        <w:t>化部会同有关部门起草了《关于促进网络安全产业发展的指导意见</w:t>
      </w:r>
      <w:r>
        <w:rPr>
          <w:rFonts w:ascii="Times New Roman" w:hAnsi="Times New Roman" w:cs="Times New Roman" w:eastAsia="Times New Roman" w:hint="default"/>
          <w:spacing w:val="-1"/>
        </w:rPr>
        <w:t>(</w:t>
      </w:r>
      <w:r>
        <w:rPr>
          <w:spacing w:val="-1"/>
        </w:rPr>
        <w:t>征求意见稿</w:t>
      </w:r>
      <w:r>
        <w:rPr>
          <w:rFonts w:ascii="Times New Roman" w:hAnsi="Times New Roman" w:cs="Times New Roman" w:eastAsia="Times New Roman" w:hint="default"/>
          <w:spacing w:val="-1"/>
        </w:rPr>
        <w:t>)</w:t>
      </w:r>
      <w:r>
        <w:rPr>
          <w:spacing w:val="-1"/>
        </w:rPr>
        <w:t>》，并面向社会公开征求</w:t>
      </w:r>
      <w:r>
        <w:rPr>
          <w:spacing w:val="-11"/>
        </w:rPr>
        <w:t> </w:t>
      </w:r>
      <w:r>
        <w:rPr/>
        <w:t>意见。提出</w:t>
      </w:r>
      <w:r>
        <w:rPr>
          <w:rFonts w:ascii="Times New Roman" w:hAnsi="Times New Roman" w:cs="Times New Roman" w:eastAsia="Times New Roman" w:hint="default"/>
        </w:rPr>
        <w:t>“</w:t>
      </w:r>
      <w:r>
        <w:rPr/>
        <w:t>到</w:t>
      </w:r>
      <w:r>
        <w:rPr>
          <w:rFonts w:ascii="Times New Roman" w:hAnsi="Times New Roman" w:cs="Times New Roman" w:eastAsia="Times New Roman" w:hint="default"/>
        </w:rPr>
        <w:t>2025</w:t>
      </w:r>
      <w:r>
        <w:rPr/>
        <w:t>年，培育形成一批年营收超过</w:t>
      </w:r>
      <w:r>
        <w:rPr>
          <w:rFonts w:ascii="Times New Roman" w:hAnsi="Times New Roman" w:cs="Times New Roman" w:eastAsia="Times New Roman" w:hint="default"/>
        </w:rPr>
        <w:t>20</w:t>
      </w:r>
      <w:r>
        <w:rPr/>
        <w:t>亿的网络安全企业，形成若干具有国际竞争力的网络</w:t>
      </w:r>
      <w:r>
        <w:rPr>
          <w:spacing w:val="-20"/>
        </w:rPr>
        <w:t> </w:t>
      </w:r>
      <w:r>
        <w:rPr>
          <w:spacing w:val="-20"/>
        </w:rPr>
      </w:r>
      <w:r>
        <w:rPr/>
        <w:t>安全骨干企业，网络安全产业规模超过</w:t>
      </w:r>
      <w:r>
        <w:rPr>
          <w:rFonts w:ascii="Times New Roman" w:hAnsi="Times New Roman" w:cs="Times New Roman" w:eastAsia="Times New Roman" w:hint="default"/>
        </w:rPr>
        <w:t>2000</w:t>
      </w:r>
      <w:r>
        <w:rPr/>
        <w:t>亿</w:t>
      </w:r>
      <w:r>
        <w:rPr>
          <w:rFonts w:ascii="Times New Roman" w:hAnsi="Times New Roman" w:cs="Times New Roman" w:eastAsia="Times New Roman" w:hint="default"/>
        </w:rPr>
        <w:t>”</w:t>
      </w:r>
      <w:r>
        <w:rPr/>
        <w:t>的发展目标。</w:t>
      </w:r>
    </w:p>
    <w:p>
      <w:pPr>
        <w:pStyle w:val="BodyText"/>
        <w:spacing w:line="350" w:lineRule="auto" w:before="60"/>
        <w:ind w:right="982" w:firstLine="420"/>
        <w:jc w:val="left"/>
      </w:pPr>
      <w:r>
        <w:rPr>
          <w:spacing w:val="-5"/>
        </w:rPr>
        <w:t>可见，报告期内，无论是信息安全自发需求的提升，还是国家政策法规的支持、行业技术标准的制定，</w:t>
      </w:r>
      <w:r>
        <w:rPr>
          <w:w w:val="100"/>
        </w:rPr>
        <w:t> </w:t>
      </w:r>
      <w:r>
        <w:rPr/>
        <w:t>都极大推动了信息安全行业的发展。</w:t>
      </w:r>
    </w:p>
    <w:p>
      <w:pPr>
        <w:pStyle w:val="BodyText"/>
        <w:spacing w:line="364" w:lineRule="auto" w:before="68"/>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、公司的行业地位</w:t>
      </w:r>
      <w:r>
        <w:rPr>
          <w:rFonts w:ascii="宋体" w:hAnsi="宋体" w:cs="宋体" w:eastAsia="宋体" w:hint="default"/>
          <w:b/>
          <w:bCs/>
          <w:w w:val="100"/>
        </w:rPr>
        <w:t> </w:t>
      </w:r>
      <w:r>
        <w:rPr>
          <w:spacing w:val="-2"/>
        </w:rPr>
        <w:t>公司是国内信息安全行业的领先企业之一，致力于成为我国智慧安全的领导者。报告期内，公司网络</w:t>
      </w:r>
    </w:p>
    <w:p>
      <w:pPr>
        <w:pStyle w:val="BodyText"/>
        <w:spacing w:line="331" w:lineRule="auto" w:before="14"/>
        <w:ind w:right="1126"/>
        <w:jc w:val="both"/>
      </w:pPr>
      <w:r>
        <w:rPr>
          <w:spacing w:val="-2"/>
        </w:rPr>
        <w:t>信息安全业务经营较为稳定，在业内的知名度和影响力不断提升。同时，随着公司</w:t>
      </w:r>
      <w:r>
        <w:rPr>
          <w:rFonts w:ascii="Times New Roman" w:hAnsi="Times New Roman" w:cs="Times New Roman" w:eastAsia="Times New Roman" w:hint="default"/>
          <w:spacing w:val="-2"/>
        </w:rPr>
        <w:t>“</w:t>
      </w:r>
      <w:r>
        <w:rPr>
          <w:spacing w:val="-2"/>
        </w:rPr>
        <w:t>大安全</w:t>
      </w:r>
      <w:r>
        <w:rPr>
          <w:rFonts w:ascii="Times New Roman" w:hAnsi="Times New Roman" w:cs="Times New Roman" w:eastAsia="Times New Roman" w:hint="default"/>
          <w:spacing w:val="-2"/>
        </w:rPr>
        <w:t>”</w:t>
      </w:r>
      <w:r>
        <w:rPr>
          <w:spacing w:val="-2"/>
        </w:rPr>
        <w:t>产业发展战略</w:t>
      </w:r>
      <w:r>
        <w:rPr>
          <w:spacing w:val="-17"/>
        </w:rPr>
        <w:t> </w:t>
      </w:r>
      <w:r>
        <w:rPr>
          <w:spacing w:val="-17"/>
        </w:rPr>
      </w:r>
      <w:r>
        <w:rPr>
          <w:spacing w:val="-2"/>
        </w:rPr>
        <w:t>的推进及</w:t>
      </w:r>
      <w:r>
        <w:rPr>
          <w:rFonts w:ascii="Times New Roman" w:hAnsi="Times New Roman" w:cs="Times New Roman" w:eastAsia="Times New Roman" w:hint="default"/>
          <w:spacing w:val="-2"/>
        </w:rPr>
        <w:t>“</w:t>
      </w:r>
      <w:r>
        <w:rPr>
          <w:spacing w:val="-2"/>
        </w:rPr>
        <w:t>智慧安全</w:t>
      </w:r>
      <w:r>
        <w:rPr>
          <w:rFonts w:ascii="Times New Roman" w:hAnsi="Times New Roman" w:cs="Times New Roman" w:eastAsia="Times New Roman" w:hint="default"/>
          <w:spacing w:val="-2"/>
        </w:rPr>
        <w:t>”</w:t>
      </w:r>
      <w:r>
        <w:rPr>
          <w:spacing w:val="-2"/>
        </w:rPr>
        <w:t>理念的深化，公司在产品和业务上的差异化优势以及在研发创新上的技术优势逐步显</w:t>
      </w:r>
      <w:r>
        <w:rPr>
          <w:spacing w:val="-17"/>
        </w:rPr>
        <w:t> </w:t>
      </w:r>
      <w:r>
        <w:rPr>
          <w:spacing w:val="-17"/>
        </w:rPr>
      </w:r>
      <w:r>
        <w:rPr/>
        <w:t>现，市场竞争力得到较大提升。</w:t>
      </w:r>
    </w:p>
    <w:p>
      <w:pPr>
        <w:pStyle w:val="BodyText"/>
        <w:spacing w:line="350" w:lineRule="auto" w:before="84"/>
        <w:ind w:right="1126" w:firstLine="420"/>
        <w:jc w:val="both"/>
      </w:pPr>
      <w:r>
        <w:rPr>
          <w:spacing w:val="-2"/>
        </w:rPr>
        <w:t>此外，公司收购的中经电商及汇通宝是国内油品电商领域知名的推广运营服务商；公司收购的华炜科</w:t>
      </w:r>
      <w:r>
        <w:rPr>
          <w:w w:val="100"/>
        </w:rPr>
        <w:t> </w:t>
      </w:r>
      <w:r>
        <w:rPr>
          <w:spacing w:val="-2"/>
        </w:rPr>
        <w:t>技是电磁安防领域的龙头厂商之一，在军工、高铁等业务领域具备较强的核心竞争力，并积极向能效管控</w:t>
      </w:r>
      <w:r>
        <w:rPr>
          <w:spacing w:val="-45"/>
        </w:rPr>
        <w:t> </w:t>
      </w:r>
      <w:r>
        <w:rPr>
          <w:spacing w:val="-45"/>
        </w:rPr>
      </w:r>
      <w:r>
        <w:rPr>
          <w:spacing w:val="-2"/>
        </w:rPr>
        <w:t>和立体安检领域发展；公司收购的满泰科技是国内知名的水利水电综合自动化及信息化整体解决方案提供</w:t>
      </w:r>
      <w:r>
        <w:rPr>
          <w:spacing w:val="-42"/>
        </w:rPr>
        <w:t> </w:t>
      </w:r>
      <w:r>
        <w:rPr>
          <w:spacing w:val="-42"/>
        </w:rPr>
      </w:r>
      <w:r>
        <w:rPr/>
        <w:t>商，可提供成熟的工控综合自动化及工控系统安全解决方案。</w:t>
      </w:r>
    </w:p>
    <w:p>
      <w:pPr>
        <w:spacing w:line="386" w:lineRule="auto" w:before="6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（四）客户所处行业分析</w:t>
      </w:r>
      <w:r>
        <w:rPr>
          <w:rFonts w:ascii="宋体" w:hAnsi="宋体" w:cs="宋体" w:eastAsia="宋体" w:hint="default"/>
          <w:b/>
          <w:bCs/>
          <w:w w:val="100"/>
          <w:sz w:val="21"/>
          <w:szCs w:val="21"/>
        </w:rPr>
        <w:t> </w:t>
      </w:r>
      <w:r>
        <w:rPr>
          <w:rFonts w:ascii="宋体" w:hAnsi="宋体" w:cs="宋体" w:eastAsia="宋体" w:hint="default"/>
          <w:spacing w:val="-2"/>
          <w:sz w:val="21"/>
          <w:szCs w:val="21"/>
        </w:rPr>
        <w:t>公司主要客户为政府机关、系统集成商、教育机构、制造贸易、电信业、军工、铁路、电力、石油石</w:t>
      </w:r>
    </w:p>
    <w:p>
      <w:pPr>
        <w:pStyle w:val="BodyText"/>
        <w:spacing w:line="343" w:lineRule="auto"/>
        <w:ind w:right="1126"/>
        <w:jc w:val="both"/>
      </w:pPr>
      <w:r>
        <w:rPr>
          <w:spacing w:val="-2"/>
        </w:rPr>
        <w:t>化等行业的大中型用户，随着《中华人民共和国网络安全法》、《网络安全等级保护条例》等法律法规的</w:t>
      </w:r>
      <w:r>
        <w:rPr>
          <w:spacing w:val="-45"/>
        </w:rPr>
        <w:t> </w:t>
      </w:r>
      <w:r>
        <w:rPr>
          <w:spacing w:val="-45"/>
        </w:rPr>
      </w:r>
      <w:r>
        <w:rPr>
          <w:spacing w:val="-2"/>
        </w:rPr>
        <w:t>深入推进，这些客户的合规性需求与自发性需求在逐年增长。同时，随着云计算、大数据、人工智能、物</w:t>
      </w:r>
      <w:r>
        <w:rPr>
          <w:spacing w:val="-42"/>
        </w:rPr>
        <w:t> </w:t>
      </w:r>
      <w:r>
        <w:rPr>
          <w:spacing w:val="-42"/>
        </w:rPr>
      </w:r>
      <w:r>
        <w:rPr>
          <w:spacing w:val="-3"/>
        </w:rPr>
        <w:t>联网、工业互联网、</w:t>
      </w:r>
      <w:r>
        <w:rPr>
          <w:rFonts w:ascii="Times New Roman" w:hAnsi="Times New Roman" w:cs="Times New Roman" w:eastAsia="Times New Roman" w:hint="default"/>
          <w:spacing w:val="-3"/>
        </w:rPr>
        <w:t>5G</w:t>
      </w:r>
      <w:r>
        <w:rPr>
          <w:spacing w:val="-3"/>
        </w:rPr>
        <w:t>技术等信息化技术的蓬勃发展并提升到国家和企业的战略层面，这些客户的信息化</w:t>
      </w:r>
      <w:r>
        <w:rPr>
          <w:spacing w:val="-41"/>
        </w:rPr>
        <w:t> </w:t>
      </w:r>
      <w:r>
        <w:rPr>
          <w:spacing w:val="-41"/>
        </w:rPr>
      </w:r>
      <w:r>
        <w:rPr>
          <w:spacing w:val="-2"/>
        </w:rPr>
        <w:t>投资日益增加，市场容量和规模也在逐步扩大。公司面临广阔的市场前景，公司将抓住机遇聚焦网络信息</w:t>
      </w:r>
    </w:p>
    <w:p>
      <w:pPr>
        <w:spacing w:after="0" w:line="34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1133"/>
        <w:jc w:val="left"/>
      </w:pPr>
      <w:r>
        <w:rPr/>
        <w:t>安全主业，把握政策红利，积极参与国家网络安全体系建设。</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12"/>
        <w:gridCol w:w="8447"/>
      </w:tblGrid>
      <w:tr>
        <w:trPr>
          <w:trHeight w:val="185"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4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4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80"/>
              <w:jc w:val="center"/>
              <w:rPr>
                <w:rFonts w:ascii="宋体" w:hAnsi="宋体" w:cs="宋体" w:eastAsia="宋体" w:hint="default"/>
                <w:sz w:val="18"/>
                <w:szCs w:val="18"/>
              </w:rPr>
            </w:pPr>
            <w:r>
              <w:rPr>
                <w:rFonts w:ascii="宋体" w:hAnsi="宋体" w:cs="宋体" w:eastAsia="宋体" w:hint="default"/>
                <w:sz w:val="18"/>
                <w:szCs w:val="18"/>
              </w:rPr>
              <w:t>部分投资公司的股权因持股比例下降到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以下，核算科目从长期股权投资调整到其他非流动金融资产。</w:t>
            </w: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447"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447"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447" w:type="dxa"/>
            <w:tcBorders>
              <w:top w:val="single" w:sz="4" w:space="0" w:color="000000"/>
              <w:left w:val="single" w:sz="13"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3"/>
      <w:bookmarkEnd w:id="23"/>
      <w:r>
        <w:rPr>
          <w:b w:val="0"/>
          <w:bCs w:val="0"/>
        </w:rPr>
      </w:r>
      <w:r>
        <w:rPr/>
        <w:t>三、核心竞争力分析</w:t>
      </w:r>
      <w:r>
        <w:rPr>
          <w:b w:val="0"/>
          <w:bCs w:val="0"/>
        </w:rPr>
      </w:r>
    </w:p>
    <w:p>
      <w:pPr>
        <w:spacing w:line="240" w:lineRule="auto" w:before="7"/>
        <w:rPr>
          <w:rFonts w:ascii="宋体" w:hAnsi="宋体" w:cs="宋体" w:eastAsia="宋体" w:hint="default"/>
          <w:b/>
          <w:bCs/>
          <w:sz w:val="31"/>
          <w:szCs w:val="31"/>
        </w:rPr>
      </w:pPr>
    </w:p>
    <w:p>
      <w:pPr>
        <w:pStyle w:val="BodyText"/>
        <w:spacing w:line="343" w:lineRule="auto"/>
        <w:ind w:right="1126" w:firstLine="420"/>
        <w:jc w:val="both"/>
      </w:pPr>
      <w:r>
        <w:rPr>
          <w:spacing w:val="-2"/>
        </w:rPr>
        <w:t>公司自成立以来一直专注于网络信息安全领域，经过十多年的积累和沉淀，目前已成为国内信息安全</w:t>
      </w:r>
      <w:r>
        <w:rPr>
          <w:w w:val="100"/>
        </w:rPr>
        <w:t> </w:t>
      </w:r>
      <w:r>
        <w:rPr>
          <w:spacing w:val="-2"/>
        </w:rPr>
        <w:t>龙头企业之一，业务区域及品牌影响力也在全国范围内不断扩大和提升，整体规模位居行业前列。公司在</w:t>
      </w:r>
      <w:r>
        <w:rPr>
          <w:spacing w:val="-45"/>
        </w:rPr>
        <w:t> </w:t>
      </w:r>
      <w:r>
        <w:rPr>
          <w:spacing w:val="-45"/>
        </w:rPr>
      </w:r>
      <w:r>
        <w:rPr>
          <w:spacing w:val="-2"/>
        </w:rPr>
        <w:t>业内首倡了</w:t>
      </w:r>
      <w:r>
        <w:rPr>
          <w:rFonts w:ascii="Times New Roman" w:hAnsi="Times New Roman" w:cs="Times New Roman" w:eastAsia="Times New Roman" w:hint="default"/>
          <w:spacing w:val="-2"/>
        </w:rPr>
        <w:t>“</w:t>
      </w:r>
      <w:r>
        <w:rPr>
          <w:spacing w:val="-2"/>
        </w:rPr>
        <w:t>智慧安全</w:t>
      </w:r>
      <w:r>
        <w:rPr>
          <w:rFonts w:ascii="Times New Roman" w:hAnsi="Times New Roman" w:cs="Times New Roman" w:eastAsia="Times New Roman" w:hint="default"/>
          <w:spacing w:val="-2"/>
        </w:rPr>
        <w:t>”</w:t>
      </w:r>
      <w:r>
        <w:rPr>
          <w:spacing w:val="-2"/>
        </w:rPr>
        <w:t>的理念，通过打造完整的智慧安全产品体系，致力于成为我国智慧安全的领导者，</w:t>
      </w:r>
      <w:r>
        <w:rPr>
          <w:spacing w:val="-18"/>
        </w:rPr>
        <w:t> </w:t>
      </w:r>
      <w:r>
        <w:rPr>
          <w:spacing w:val="-18"/>
        </w:rPr>
      </w:r>
      <w:r>
        <w:rPr/>
        <w:t>加上在新兴技术领域的不断创新，公司的核心竞争力得到持续的巩固和提升，主要体现在以下方面：</w:t>
      </w:r>
    </w:p>
    <w:p>
      <w:pPr>
        <w:spacing w:line="362" w:lineRule="auto" w:before="76"/>
        <w:ind w:left="573" w:right="1133"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大安全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产业战略优势</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公司近年提出</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大安全</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产业发展战略，紧抓信息安全产业外延不断扩大的机遇，构建了完整的</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大安全</w:t>
      </w:r>
      <w:r>
        <w:rPr>
          <w:rFonts w:ascii="Times New Roman" w:hAnsi="Times New Roman" w:cs="Times New Roman" w:eastAsia="Times New Roman" w:hint="default"/>
          <w:spacing w:val="-6"/>
          <w:w w:val="100"/>
          <w:sz w:val="21"/>
          <w:szCs w:val="21"/>
        </w:rPr>
        <w:t>”</w:t>
      </w:r>
    </w:p>
    <w:p>
      <w:pPr>
        <w:pStyle w:val="BodyText"/>
        <w:spacing w:line="348" w:lineRule="auto"/>
        <w:ind w:right="1126"/>
        <w:jc w:val="both"/>
      </w:pPr>
      <w:r>
        <w:rPr>
          <w:spacing w:val="-2"/>
        </w:rPr>
        <w:t>产业生态版图，业务方向、业务区域及市场空间得以迅速扩大。公司未来将继续以集团化的思路运作，不</w:t>
      </w:r>
      <w:r>
        <w:rPr>
          <w:spacing w:val="-47"/>
        </w:rPr>
        <w:t> </w:t>
      </w:r>
      <w:r>
        <w:rPr>
          <w:spacing w:val="-47"/>
        </w:rPr>
      </w:r>
      <w:r>
        <w:rPr>
          <w:spacing w:val="-2"/>
        </w:rPr>
        <w:t>断强化各子公司的优势领域，加强子公司之间的技术和业务联动，及时研判行业发展趋势，持续推进外延</w:t>
      </w:r>
      <w:r>
        <w:rPr>
          <w:spacing w:val="-43"/>
        </w:rPr>
        <w:t> </w:t>
      </w:r>
      <w:r>
        <w:rPr>
          <w:spacing w:val="-43"/>
        </w:rPr>
      </w:r>
      <w:r>
        <w:rPr/>
        <w:t>并购布局，充分发挥</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产业发展战略带来的先发优势。</w:t>
      </w:r>
    </w:p>
    <w:p>
      <w:pPr>
        <w:pStyle w:val="BodyText"/>
        <w:spacing w:line="364" w:lineRule="auto" w:before="44"/>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、技术研发优势</w:t>
      </w:r>
      <w:r>
        <w:rPr>
          <w:rFonts w:ascii="宋体" w:hAnsi="宋体" w:cs="宋体" w:eastAsia="宋体" w:hint="default"/>
          <w:b/>
          <w:bCs/>
          <w:w w:val="100"/>
        </w:rPr>
        <w:t> </w:t>
      </w:r>
      <w:r>
        <w:rPr>
          <w:spacing w:val="-2"/>
        </w:rPr>
        <w:t>公司始终以自主创新为发展源动力，以技术研发领先优势抢占市场，经过十多年的探索和积累，已掌</w:t>
      </w:r>
    </w:p>
    <w:p>
      <w:pPr>
        <w:pStyle w:val="BodyText"/>
        <w:spacing w:line="345" w:lineRule="auto" w:before="15"/>
        <w:ind w:right="1104"/>
        <w:jc w:val="both"/>
      </w:pPr>
      <w:r>
        <w:rPr>
          <w:spacing w:val="-2"/>
        </w:rPr>
        <w:t>握了信息安全领域内的主要核心技术，并实现了全线安全产品的人工智能化。公司目前掌握的主要技术处</w:t>
      </w:r>
      <w:r>
        <w:rPr>
          <w:spacing w:val="-44"/>
        </w:rPr>
        <w:t> </w:t>
      </w:r>
      <w:r>
        <w:rPr>
          <w:spacing w:val="-44"/>
        </w:rPr>
      </w:r>
      <w:r>
        <w:rPr>
          <w:spacing w:val="-2"/>
        </w:rPr>
        <w:t>于国内领先地位，凭借领先的技术实力，公司先后承担并实施了包括国家公安部科技攻关项目在内的数十</w:t>
      </w:r>
      <w:r>
        <w:rPr>
          <w:spacing w:val="-43"/>
        </w:rPr>
        <w:t> </w:t>
      </w:r>
      <w:r>
        <w:rPr>
          <w:spacing w:val="-43"/>
        </w:rPr>
      </w:r>
      <w:r>
        <w:rPr>
          <w:spacing w:val="-2"/>
        </w:rPr>
        <w:t>项国家级、部级、省市区级的重点信息安全科研项目，并为国家公安部等部委制定行业技术标准发挥了重</w:t>
      </w:r>
      <w:r>
        <w:rPr>
          <w:spacing w:val="-43"/>
        </w:rPr>
        <w:t> </w:t>
      </w:r>
      <w:r>
        <w:rPr>
          <w:spacing w:val="-43"/>
        </w:rPr>
      </w:r>
      <w:r>
        <w:rPr>
          <w:spacing w:val="-2"/>
        </w:rPr>
        <w:t>要作用。其中，公司在云安全方面具备一定先发优势，通过持续加大研发投入，形成了云监测、云桌面、</w:t>
      </w:r>
      <w:r>
        <w:rPr>
          <w:spacing w:val="-21"/>
        </w:rPr>
        <w:t> </w:t>
      </w:r>
      <w:r>
        <w:rPr>
          <w:spacing w:val="-21"/>
        </w:rPr>
      </w:r>
      <w:r>
        <w:rPr>
          <w:spacing w:val="-2"/>
        </w:rPr>
        <w:t>安全云平台（云防线）、云管理、虚拟化（云）安全、容器云一系列云安全产品。同时，公司通过整合内</w:t>
      </w:r>
      <w:r>
        <w:rPr>
          <w:spacing w:val="-44"/>
        </w:rPr>
        <w:t> </w:t>
      </w:r>
      <w:r>
        <w:rPr>
          <w:spacing w:val="-44"/>
        </w:rPr>
      </w:r>
      <w:r>
        <w:rPr>
          <w:spacing w:val="-2"/>
        </w:rPr>
        <w:t>嵌多种</w:t>
      </w:r>
      <w:r>
        <w:rPr>
          <w:rFonts w:ascii="Times New Roman" w:hAnsi="Times New Roman" w:cs="Times New Roman" w:eastAsia="Times New Roman" w:hint="default"/>
          <w:spacing w:val="-2"/>
        </w:rPr>
        <w:t>AI</w:t>
      </w:r>
      <w:r>
        <w:rPr>
          <w:spacing w:val="-2"/>
        </w:rPr>
        <w:t>引擎安全防护产品，从</w:t>
      </w:r>
      <w:r>
        <w:rPr>
          <w:rFonts w:ascii="Times New Roman" w:hAnsi="Times New Roman" w:cs="Times New Roman" w:eastAsia="Times New Roman" w:hint="default"/>
          <w:spacing w:val="-2"/>
        </w:rPr>
        <w:t>IAAS</w:t>
      </w:r>
      <w:r>
        <w:rPr>
          <w:spacing w:val="-2"/>
        </w:rPr>
        <w:t>层的基础云计算、云存储和云桌面等，到</w:t>
      </w:r>
      <w:r>
        <w:rPr>
          <w:rFonts w:ascii="Times New Roman" w:hAnsi="Times New Roman" w:cs="Times New Roman" w:eastAsia="Times New Roman" w:hint="default"/>
          <w:spacing w:val="-2"/>
        </w:rPr>
        <w:t>PAAS</w:t>
      </w:r>
      <w:r>
        <w:rPr>
          <w:spacing w:val="-2"/>
        </w:rPr>
        <w:t>层的八大虚拟安全产</w:t>
      </w:r>
      <w:r>
        <w:rPr>
          <w:spacing w:val="-30"/>
        </w:rPr>
        <w:t> </w:t>
      </w:r>
      <w:r>
        <w:rPr>
          <w:spacing w:val="-30"/>
        </w:rPr>
      </w:r>
      <w:r>
        <w:rPr/>
        <w:t>品，再到</w:t>
      </w:r>
      <w:r>
        <w:rPr>
          <w:rFonts w:ascii="Times New Roman" w:hAnsi="Times New Roman" w:cs="Times New Roman" w:eastAsia="Times New Roman" w:hint="default"/>
        </w:rPr>
        <w:t>SAAS</w:t>
      </w:r>
      <w:r>
        <w:rPr/>
        <w:t>层的云防线、云监测等服务，探索出了云安全运营服务的业务模式，为信息安全防护提供</w:t>
      </w:r>
    </w:p>
    <w:p>
      <w:pPr>
        <w:spacing w:after="0" w:line="345"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both"/>
      </w:pPr>
      <w:r>
        <w:rPr/>
        <w:t>全方位的保驾护航。</w:t>
      </w:r>
    </w:p>
    <w:p>
      <w:pPr>
        <w:pStyle w:val="BodyText"/>
        <w:spacing w:line="364" w:lineRule="auto" w:before="164"/>
        <w:ind w:left="573" w:right="1133" w:firstLine="2"/>
        <w:jc w:val="left"/>
      </w:pPr>
      <w:r>
        <w:rPr>
          <w:rFonts w:ascii="Times New Roman" w:hAnsi="Times New Roman" w:cs="Times New Roman" w:eastAsia="Times New Roman" w:hint="default"/>
          <w:b/>
          <w:bCs/>
        </w:rPr>
        <w:t>3</w:t>
      </w:r>
      <w:r>
        <w:rPr>
          <w:rFonts w:ascii="宋体" w:hAnsi="宋体" w:cs="宋体" w:eastAsia="宋体" w:hint="default"/>
          <w:b/>
          <w:bCs/>
        </w:rPr>
        <w:t>、专业资质优势</w:t>
      </w:r>
      <w:r>
        <w:rPr>
          <w:rFonts w:ascii="宋体" w:hAnsi="宋体" w:cs="宋体" w:eastAsia="宋体" w:hint="default"/>
          <w:b/>
          <w:bCs/>
          <w:w w:val="100"/>
        </w:rPr>
        <w:t> </w:t>
      </w:r>
      <w:r>
        <w:rPr>
          <w:spacing w:val="-2"/>
        </w:rPr>
        <w:t>作为专业技术要求极高的行业，获得资质或许可的多少是衡量信息安全企业竞争实力的重要标准。截</w:t>
      </w:r>
    </w:p>
    <w:p>
      <w:pPr>
        <w:pStyle w:val="BodyText"/>
        <w:spacing w:line="338" w:lineRule="auto" w:before="14"/>
        <w:ind w:right="982"/>
        <w:jc w:val="left"/>
      </w:pPr>
      <w:r>
        <w:rPr>
          <w:spacing w:val="-2"/>
        </w:rPr>
        <w:t>至报告期末，公司凭借领先的技术优势及丰富的案例优势，已拥有产品销售许可证</w:t>
      </w:r>
      <w:r>
        <w:rPr>
          <w:rFonts w:ascii="Times New Roman" w:hAnsi="Times New Roman" w:cs="Times New Roman" w:eastAsia="Times New Roman" w:hint="default"/>
          <w:spacing w:val="-2"/>
        </w:rPr>
        <w:t>41</w:t>
      </w:r>
      <w:r>
        <w:rPr>
          <w:spacing w:val="-2"/>
        </w:rPr>
        <w:t>项、中国信息安全认</w:t>
      </w:r>
      <w:r>
        <w:rPr>
          <w:spacing w:val="-40"/>
        </w:rPr>
        <w:t> </w:t>
      </w:r>
      <w:r>
        <w:rPr>
          <w:spacing w:val="-40"/>
        </w:rPr>
      </w:r>
      <w:r>
        <w:rPr>
          <w:spacing w:val="-2"/>
        </w:rPr>
        <w:t>证中心产品认证证书</w:t>
      </w:r>
      <w:r>
        <w:rPr>
          <w:rFonts w:ascii="Times New Roman" w:hAnsi="Times New Roman" w:cs="Times New Roman" w:eastAsia="Times New Roman" w:hint="default"/>
          <w:spacing w:val="-2"/>
        </w:rPr>
        <w:t>17</w:t>
      </w:r>
      <w:r>
        <w:rPr>
          <w:spacing w:val="-2"/>
        </w:rPr>
        <w:t>项，并取得了涉密领域相关证书、中国国家强制性产品认证证书、武器装备质量管</w:t>
      </w:r>
      <w:r>
        <w:rPr>
          <w:spacing w:val="-42"/>
        </w:rPr>
        <w:t> </w:t>
      </w:r>
      <w:r>
        <w:rPr>
          <w:spacing w:val="-42"/>
        </w:rPr>
      </w:r>
      <w:r>
        <w:rPr>
          <w:spacing w:val="-2"/>
        </w:rPr>
        <w:t>理体系认证证书、国家信息安全测评信息安全服务资质证书（安全工程类一级、安全开发类一级、风险评</w:t>
      </w:r>
      <w:r>
        <w:rPr>
          <w:spacing w:val="-47"/>
        </w:rPr>
        <w:t> </w:t>
      </w:r>
      <w:r>
        <w:rPr>
          <w:spacing w:val="-47"/>
        </w:rPr>
      </w:r>
      <w:r>
        <w:rPr/>
        <w:t>估一级）、中华人民共和国增值电信业务经营许可证（</w:t>
      </w:r>
      <w:r>
        <w:rPr>
          <w:rFonts w:ascii="Times New Roman" w:hAnsi="Times New Roman" w:cs="Times New Roman" w:eastAsia="Times New Roman" w:hint="default"/>
        </w:rPr>
        <w:t>ISP</w:t>
      </w:r>
      <w:r>
        <w:rPr/>
        <w:t>）、通信网络安全服务能力评定证书（安全设</w:t>
      </w:r>
      <w:r>
        <w:rPr>
          <w:spacing w:val="-17"/>
        </w:rPr>
        <w:t> </w:t>
      </w:r>
      <w:r>
        <w:rPr>
          <w:spacing w:val="-17"/>
        </w:rPr>
      </w:r>
      <w:r>
        <w:rPr>
          <w:spacing w:val="-4"/>
        </w:rPr>
        <w:t>计与集成一级、风险评估一级）、</w:t>
      </w:r>
      <w:r>
        <w:rPr>
          <w:rFonts w:ascii="Times New Roman" w:hAnsi="Times New Roman" w:cs="Times New Roman" w:eastAsia="Times New Roman" w:hint="default"/>
          <w:spacing w:val="-4"/>
        </w:rPr>
        <w:t>IPv6 </w:t>
      </w:r>
      <w:r>
        <w:rPr>
          <w:rFonts w:ascii="Times New Roman" w:hAnsi="Times New Roman" w:cs="Times New Roman" w:eastAsia="Times New Roman" w:hint="default"/>
        </w:rPr>
        <w:t>Ready </w:t>
      </w:r>
      <w:r>
        <w:rPr>
          <w:rFonts w:ascii="Times New Roman" w:hAnsi="Times New Roman" w:cs="Times New Roman" w:eastAsia="Times New Roman" w:hint="default"/>
          <w:spacing w:val="-3"/>
        </w:rPr>
        <w:t>Logo</w:t>
      </w:r>
      <w:r>
        <w:rPr>
          <w:spacing w:val="-3"/>
        </w:rPr>
        <w:t>认证证书、</w:t>
      </w:r>
      <w:r>
        <w:rPr>
          <w:rFonts w:ascii="Times New Roman" w:hAnsi="Times New Roman" w:cs="Times New Roman" w:eastAsia="Times New Roman" w:hint="default"/>
          <w:spacing w:val="-3"/>
        </w:rPr>
        <w:t>CMMI5</w:t>
      </w:r>
      <w:r>
        <w:rPr>
          <w:spacing w:val="-3"/>
        </w:rPr>
        <w:t>认证证书、云计算安全评估证书、信</w:t>
      </w:r>
      <w:r>
        <w:rPr>
          <w:spacing w:val="-39"/>
        </w:rPr>
        <w:t> </w:t>
      </w:r>
      <w:r>
        <w:rPr>
          <w:spacing w:val="-39"/>
        </w:rPr>
      </w:r>
      <w:r>
        <w:rPr/>
        <w:t>息安全等级保护安全建设服务机构能力评估合格证书、</w:t>
      </w:r>
      <w:r>
        <w:rPr>
          <w:rFonts w:ascii="Times New Roman" w:hAnsi="Times New Roman" w:cs="Times New Roman" w:eastAsia="Times New Roman" w:hint="default"/>
        </w:rPr>
        <w:t>CCRC</w:t>
      </w:r>
      <w:r>
        <w:rPr/>
        <w:t>信息安全服务资质认证证书、</w:t>
      </w:r>
      <w:r>
        <w:rPr>
          <w:rFonts w:ascii="Times New Roman" w:hAnsi="Times New Roman" w:cs="Times New Roman" w:eastAsia="Times New Roman" w:hint="default"/>
        </w:rPr>
        <w:t>CVE</w:t>
      </w:r>
      <w:r>
        <w:rPr/>
        <w:t>国际兼容</w:t>
      </w:r>
      <w:r>
        <w:rPr>
          <w:spacing w:val="-59"/>
        </w:rPr>
        <w:t> </w:t>
      </w:r>
      <w:r>
        <w:rPr>
          <w:spacing w:val="-59"/>
        </w:rPr>
      </w:r>
      <w:r>
        <w:rPr>
          <w:spacing w:val="-5"/>
        </w:rPr>
        <w:t>性产品认证证书、工程设计资质证书（建筑智能化系统设计专项乙级）、电子与智能化工程专业承包壹级、</w:t>
      </w:r>
      <w:r>
        <w:rPr>
          <w:spacing w:val="-8"/>
        </w:rPr>
        <w:t> </w:t>
      </w:r>
      <w:r>
        <w:rPr>
          <w:spacing w:val="-8"/>
        </w:rPr>
      </w:r>
      <w:r>
        <w:rPr>
          <w:spacing w:val="-2"/>
        </w:rPr>
        <w:t>安全生产许可证（建筑施工）、广东省安全技术防范系统设计、施工、维修资格一级证书、广东省电子政</w:t>
      </w:r>
      <w:r>
        <w:rPr>
          <w:spacing w:val="-42"/>
        </w:rPr>
        <w:t> </w:t>
      </w:r>
      <w:r>
        <w:rPr>
          <w:spacing w:val="-42"/>
        </w:rPr>
      </w:r>
      <w:r>
        <w:rPr>
          <w:spacing w:val="-2"/>
        </w:rPr>
        <w:t>务服务能力等级一级证书等业务资质，基本获得了包括安全产品、安全解决方案及安全服务在内的所有业</w:t>
      </w:r>
      <w:r>
        <w:rPr>
          <w:spacing w:val="-43"/>
        </w:rPr>
        <w:t> </w:t>
      </w:r>
      <w:r>
        <w:rPr>
          <w:spacing w:val="-43"/>
        </w:rPr>
      </w:r>
      <w:r>
        <w:rPr/>
        <w:t>务类别的较高级别资质或许可，成为业内资质或许可最齐全的企业之一。</w:t>
      </w:r>
    </w:p>
    <w:p>
      <w:pPr>
        <w:pStyle w:val="BodyText"/>
        <w:spacing w:line="362" w:lineRule="auto" w:before="80"/>
        <w:ind w:left="573" w:right="1133" w:firstLine="2"/>
        <w:jc w:val="left"/>
      </w:pPr>
      <w:r>
        <w:rPr>
          <w:rFonts w:ascii="Times New Roman" w:hAnsi="Times New Roman" w:cs="Times New Roman" w:eastAsia="Times New Roman" w:hint="default"/>
          <w:b/>
          <w:bCs/>
        </w:rPr>
        <w:t>4</w:t>
      </w:r>
      <w:r>
        <w:rPr>
          <w:rFonts w:ascii="宋体" w:hAnsi="宋体" w:cs="宋体" w:eastAsia="宋体" w:hint="default"/>
          <w:b/>
          <w:bCs/>
        </w:rPr>
        <w:t>、市场和渠道优势</w:t>
      </w:r>
      <w:r>
        <w:rPr>
          <w:rFonts w:ascii="宋体" w:hAnsi="宋体" w:cs="宋体" w:eastAsia="宋体" w:hint="default"/>
          <w:b/>
          <w:bCs/>
          <w:w w:val="100"/>
        </w:rPr>
        <w:t> </w:t>
      </w:r>
      <w:r>
        <w:rPr>
          <w:spacing w:val="-2"/>
        </w:rPr>
        <w:t>公司采用直销和渠道代理相结合的销售模式，经过多年的市场沉淀以及近年来的渠道建设，目前已形</w:t>
      </w:r>
    </w:p>
    <w:p>
      <w:pPr>
        <w:pStyle w:val="BodyText"/>
        <w:spacing w:line="348" w:lineRule="auto" w:before="19"/>
        <w:ind w:right="1126"/>
        <w:jc w:val="both"/>
      </w:pPr>
      <w:r>
        <w:rPr>
          <w:spacing w:val="-2"/>
        </w:rPr>
        <w:t>成覆盖全国的完整营销网络。公司现有的客户资源既是稳定的业务来源，也是宣传品牌、扩大影响力的最</w:t>
      </w:r>
      <w:r>
        <w:rPr>
          <w:spacing w:val="-43"/>
        </w:rPr>
        <w:t> </w:t>
      </w:r>
      <w:r>
        <w:rPr>
          <w:spacing w:val="-43"/>
        </w:rPr>
      </w:r>
      <w:r>
        <w:rPr>
          <w:spacing w:val="-2"/>
        </w:rPr>
        <w:t>好载体，有利于新市场及新客户的开拓，为公司的持续盈利提供了重要保障，公司的客户资源遍布全国各</w:t>
      </w:r>
      <w:r>
        <w:rPr>
          <w:spacing w:val="-44"/>
        </w:rPr>
        <w:t> </w:t>
      </w:r>
      <w:r>
        <w:rPr>
          <w:spacing w:val="-44"/>
        </w:rPr>
      </w:r>
      <w:r>
        <w:rPr/>
        <w:t>地十多个行业上万家客户群体，是业内服务行业最广、服务客户数量最多的厂商之一。</w:t>
      </w:r>
    </w:p>
    <w:p>
      <w:pPr>
        <w:pStyle w:val="BodyText"/>
        <w:spacing w:line="364" w:lineRule="auto" w:before="70"/>
        <w:ind w:left="573" w:right="1133" w:firstLine="2"/>
        <w:jc w:val="left"/>
      </w:pPr>
      <w:r>
        <w:rPr>
          <w:rFonts w:ascii="Times New Roman" w:hAnsi="Times New Roman" w:cs="Times New Roman" w:eastAsia="Times New Roman" w:hint="default"/>
          <w:b/>
          <w:bCs/>
        </w:rPr>
        <w:t>5</w:t>
      </w:r>
      <w:r>
        <w:rPr>
          <w:rFonts w:ascii="宋体" w:hAnsi="宋体" w:cs="宋体" w:eastAsia="宋体" w:hint="default"/>
          <w:b/>
          <w:bCs/>
        </w:rPr>
        <w:t>、人才团队优势</w:t>
      </w:r>
      <w:r>
        <w:rPr>
          <w:rFonts w:ascii="宋体" w:hAnsi="宋体" w:cs="宋体" w:eastAsia="宋体" w:hint="default"/>
          <w:b/>
          <w:bCs/>
          <w:w w:val="100"/>
        </w:rPr>
        <w:t> </w:t>
      </w:r>
      <w:r>
        <w:rPr>
          <w:spacing w:val="-2"/>
        </w:rPr>
        <w:t>公司非常注重人才团队的建设，通过各种招聘渠道及产学合作、校企合作等人才引进方式，目前已建</w:t>
      </w:r>
    </w:p>
    <w:p>
      <w:pPr>
        <w:pStyle w:val="BodyText"/>
        <w:spacing w:line="350" w:lineRule="auto" w:before="14"/>
        <w:ind w:right="1104"/>
        <w:jc w:val="both"/>
      </w:pPr>
      <w:r>
        <w:rPr>
          <w:spacing w:val="-2"/>
        </w:rPr>
        <w:t>立起一支技术精湛、经验丰富、业务熟练、结构合理、团结协作的研发、销售和管理团队。同时，公司也</w:t>
      </w:r>
      <w:r>
        <w:rPr>
          <w:spacing w:val="-50"/>
        </w:rPr>
        <w:t> </w:t>
      </w:r>
      <w:r>
        <w:rPr>
          <w:spacing w:val="-50"/>
        </w:rPr>
      </w:r>
      <w:r>
        <w:rPr>
          <w:spacing w:val="-2"/>
        </w:rPr>
        <w:t>通过实施员工持股计划、股权激励计划等激励机制以及科学合理的薪酬机制，有效保证了公司核心技术、</w:t>
      </w:r>
      <w:r>
        <w:rPr>
          <w:spacing w:val="-21"/>
        </w:rPr>
        <w:t> </w:t>
      </w:r>
      <w:r>
        <w:rPr>
          <w:spacing w:val="-21"/>
        </w:rPr>
      </w:r>
      <w:r>
        <w:rPr/>
        <w:t>业务团队的稳定。</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四节经营情况讨论与分析" w:id="24"/>
      <w:bookmarkEnd w:id="24"/>
      <w:r>
        <w:rPr>
          <w:b w:val="0"/>
          <w:bCs w:val="0"/>
        </w:rPr>
      </w:r>
      <w:bookmarkStart w:name="_bookmark3" w:id="25"/>
      <w:bookmarkEnd w:id="25"/>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概述" w:id="26"/>
      <w:bookmarkEnd w:id="26"/>
      <w:r>
        <w:rPr>
          <w:b w:val="0"/>
          <w:bCs w:val="0"/>
        </w:rPr>
      </w:r>
      <w:r>
        <w:rPr/>
        <w:t>一、概述</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1133"/>
        <w:jc w:val="left"/>
      </w:pPr>
      <w:r>
        <w:rPr/>
        <w:t>报告期内，公司实现营业收入</w:t>
      </w:r>
      <w:r>
        <w:rPr>
          <w:rFonts w:ascii="Times New Roman" w:hAnsi="Times New Roman" w:cs="Times New Roman" w:eastAsia="Times New Roman" w:hint="default"/>
        </w:rPr>
        <w:t>191,943.98</w:t>
      </w:r>
      <w:r>
        <w:rPr/>
        <w:t>万元，同比下降</w:t>
      </w:r>
      <w:r>
        <w:rPr>
          <w:rFonts w:ascii="Times New Roman" w:hAnsi="Times New Roman" w:cs="Times New Roman" w:eastAsia="Times New Roman" w:hint="default"/>
        </w:rPr>
        <w:t>15.89%</w:t>
      </w:r>
      <w:r>
        <w:rPr/>
        <w:t>，实现归属于上市公司股东的净利润</w:t>
      </w:r>
    </w:p>
    <w:p>
      <w:pPr>
        <w:pStyle w:val="BodyText"/>
        <w:spacing w:line="328" w:lineRule="auto" w:before="110"/>
        <w:ind w:right="1128"/>
        <w:jc w:val="both"/>
      </w:pPr>
      <w:r>
        <w:rPr>
          <w:rFonts w:ascii="Times New Roman" w:hAnsi="Times New Roman" w:cs="Times New Roman" w:eastAsia="Times New Roman" w:hint="default"/>
          <w:spacing w:val="-2"/>
        </w:rPr>
        <w:t>-93,651.78</w:t>
      </w:r>
      <w:r>
        <w:rPr>
          <w:spacing w:val="-2"/>
        </w:rPr>
        <w:t>万元，同比下降</w:t>
      </w:r>
      <w:r>
        <w:rPr>
          <w:rFonts w:ascii="Times New Roman" w:hAnsi="Times New Roman" w:cs="Times New Roman" w:eastAsia="Times New Roman" w:hint="default"/>
          <w:spacing w:val="-2"/>
        </w:rPr>
        <w:t>335.34%</w:t>
      </w:r>
      <w:r>
        <w:rPr>
          <w:spacing w:val="-2"/>
        </w:rPr>
        <w:t>，主要系全资子公司中经电商及汇通宝经营状况不佳造成公司电商运营</w:t>
      </w:r>
      <w:r>
        <w:rPr>
          <w:spacing w:val="-9"/>
        </w:rPr>
        <w:t> </w:t>
      </w:r>
      <w:r>
        <w:rPr>
          <w:spacing w:val="-9"/>
        </w:rPr>
      </w:r>
      <w:r>
        <w:rPr/>
        <w:t>服务业务业绩出现较大幅度下滑，同时公司计提商誉等资产减值准备合计</w:t>
      </w:r>
      <w:r>
        <w:rPr>
          <w:rFonts w:ascii="Times New Roman" w:hAnsi="Times New Roman" w:cs="Times New Roman" w:eastAsia="Times New Roman" w:hint="default"/>
        </w:rPr>
        <w:t>128,572.37</w:t>
      </w:r>
      <w:r>
        <w:rPr/>
        <w:t>万元所致。</w:t>
      </w:r>
    </w:p>
    <w:p>
      <w:pPr>
        <w:pStyle w:val="BodyText"/>
        <w:spacing w:line="240" w:lineRule="auto" w:before="65"/>
        <w:ind w:left="573" w:right="1133"/>
        <w:jc w:val="left"/>
      </w:pPr>
      <w:r>
        <w:rPr/>
        <w:t>报告期内，公司各项重点工作开展情况如下：</w:t>
      </w:r>
    </w:p>
    <w:p>
      <w:pPr>
        <w:pStyle w:val="BodyText"/>
        <w:spacing w:line="384" w:lineRule="auto" w:before="165"/>
        <w:ind w:left="573" w:right="1133" w:firstLine="2"/>
        <w:jc w:val="left"/>
      </w:pPr>
      <w:r>
        <w:rPr>
          <w:rFonts w:ascii="宋体" w:hAnsi="宋体" w:cs="宋体" w:eastAsia="宋体" w:hint="default"/>
          <w:b/>
          <w:bCs/>
        </w:rPr>
        <w:t>（一）信息安全业务</w:t>
      </w:r>
      <w:r>
        <w:rPr>
          <w:rFonts w:ascii="宋体" w:hAnsi="宋体" w:cs="宋体" w:eastAsia="宋体" w:hint="default"/>
          <w:b/>
          <w:bCs/>
          <w:w w:val="100"/>
        </w:rPr>
        <w:t> </w:t>
      </w:r>
      <w:r>
        <w:rPr>
          <w:spacing w:val="-4"/>
        </w:rPr>
        <w:t>报告期内，公司网络信息安全业务经营较为稳定。随着</w:t>
      </w:r>
      <w:r>
        <w:rPr>
          <w:rFonts w:ascii="Times New Roman" w:hAnsi="Times New Roman" w:cs="Times New Roman" w:eastAsia="Times New Roman" w:hint="default"/>
          <w:spacing w:val="-4"/>
        </w:rPr>
        <w:t>“</w:t>
      </w:r>
      <w:r>
        <w:rPr>
          <w:spacing w:val="-4"/>
        </w:rPr>
        <w:t>等保</w:t>
      </w:r>
      <w:r>
        <w:rPr>
          <w:rFonts w:ascii="Times New Roman" w:hAnsi="Times New Roman" w:cs="Times New Roman" w:eastAsia="Times New Roman" w:hint="default"/>
          <w:spacing w:val="-4"/>
        </w:rPr>
        <w:t>2.0</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自主可控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安可项目</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雪亮工</w:t>
      </w:r>
    </w:p>
    <w:p>
      <w:pPr>
        <w:pStyle w:val="BodyText"/>
        <w:spacing w:line="261" w:lineRule="exact"/>
        <w:ind w:right="0"/>
        <w:jc w:val="both"/>
      </w:pPr>
      <w:r>
        <w:rPr/>
        <w:t>程</w:t>
      </w:r>
      <w:r>
        <w:rPr>
          <w:rFonts w:ascii="Times New Roman" w:hAnsi="Times New Roman" w:cs="Times New Roman" w:eastAsia="Times New Roman" w:hint="default"/>
        </w:rPr>
        <w:t>”</w:t>
      </w:r>
      <w:r>
        <w:rPr/>
        <w:t>等重点项目的推广及落地实施，行业增量市场空间进一步扩大，公司的态势感知平台、安全云桌面、</w:t>
      </w:r>
    </w:p>
    <w:p>
      <w:pPr>
        <w:pStyle w:val="BodyText"/>
        <w:spacing w:line="328" w:lineRule="auto" w:before="110"/>
        <w:ind w:right="1126"/>
        <w:jc w:val="both"/>
      </w:pPr>
      <w:r>
        <w:rPr>
          <w:rFonts w:ascii="Times New Roman" w:hAnsi="Times New Roman" w:cs="Times New Roman" w:eastAsia="Times New Roman" w:hint="default"/>
          <w:spacing w:val="-3"/>
        </w:rPr>
        <w:t>AI</w:t>
      </w:r>
      <w:r>
        <w:rPr>
          <w:spacing w:val="-3"/>
        </w:rPr>
        <w:t>防火墙等主动防御性产品市场销量得到进一步提升。此外，控股子公司深圳市蓝盾满泰科技发展有限公</w:t>
      </w:r>
      <w:r>
        <w:rPr>
          <w:spacing w:val="-5"/>
        </w:rPr>
        <w:t> </w:t>
      </w:r>
      <w:r>
        <w:rPr>
          <w:spacing w:val="-5"/>
        </w:rPr>
      </w:r>
      <w:r>
        <w:rPr>
          <w:spacing w:val="-2"/>
        </w:rPr>
        <w:t>司业务稳步拓展，</w:t>
      </w:r>
      <w:r>
        <w:rPr>
          <w:rFonts w:ascii="Times New Roman" w:hAnsi="Times New Roman" w:cs="Times New Roman" w:eastAsia="Times New Roman" w:hint="default"/>
          <w:spacing w:val="-2"/>
        </w:rPr>
        <w:t>2019</w:t>
      </w:r>
      <w:r>
        <w:rPr>
          <w:spacing w:val="-2"/>
        </w:rPr>
        <w:t>年净利润较上年同期稳步增长。后续，公司将聚焦网络信息安全主业，把握政策红</w:t>
      </w:r>
      <w:r>
        <w:rPr>
          <w:spacing w:val="-43"/>
        </w:rPr>
        <w:t> </w:t>
      </w:r>
      <w:r>
        <w:rPr>
          <w:spacing w:val="-43"/>
        </w:rPr>
      </w:r>
      <w:r>
        <w:rPr/>
        <w:t>利，积极参与国家网络安全体系建设。</w:t>
      </w:r>
    </w:p>
    <w:p>
      <w:pPr>
        <w:pStyle w:val="Heading3"/>
        <w:spacing w:line="240" w:lineRule="auto" w:before="86"/>
        <w:ind w:left="575" w:right="1133"/>
        <w:jc w:val="left"/>
        <w:rPr>
          <w:b w:val="0"/>
          <w:bCs w:val="0"/>
        </w:rPr>
      </w:pPr>
      <w:r>
        <w:rPr/>
        <w:t>（二）其他业务</w:t>
      </w:r>
      <w:r>
        <w:rPr>
          <w:b w:val="0"/>
          <w:bCs w:val="0"/>
        </w:rPr>
      </w:r>
    </w:p>
    <w:p>
      <w:pPr>
        <w:pStyle w:val="BodyText"/>
        <w:spacing w:line="336" w:lineRule="auto" w:before="166"/>
        <w:ind w:right="1115" w:firstLine="420"/>
        <w:jc w:val="both"/>
      </w:pPr>
      <w:r>
        <w:rPr>
          <w:rFonts w:ascii="Times New Roman" w:hAnsi="Times New Roman" w:cs="Times New Roman" w:eastAsia="Times New Roman" w:hint="default"/>
        </w:rPr>
        <w:t>1</w:t>
      </w:r>
      <w:r>
        <w:rPr/>
        <w:t>、电商运营服务业务：报告期内，宏观经济形势及行业监管政策发生较大变化，受中美贸易摩擦对</w:t>
      </w:r>
      <w:r>
        <w:rPr>
          <w:w w:val="100"/>
        </w:rPr>
        <w:t> </w:t>
      </w:r>
      <w:r>
        <w:rPr>
          <w:spacing w:val="-2"/>
        </w:rPr>
        <w:t>物流行业的影响、合作机构保险行业的合规监管以及融资难融资贵等多方面因素影响，公司电商运营服务</w:t>
      </w:r>
      <w:r>
        <w:rPr>
          <w:spacing w:val="-43"/>
        </w:rPr>
        <w:t> </w:t>
      </w:r>
      <w:r>
        <w:rPr>
          <w:spacing w:val="-43"/>
        </w:rPr>
      </w:r>
      <w:r>
        <w:rPr>
          <w:spacing w:val="-2"/>
        </w:rPr>
        <w:t>业务的运营主体中经电商和汇通宝的业务发展及融资渠道受到较大影响，从而对中经电商和汇通宝本年及</w:t>
      </w:r>
      <w:r>
        <w:rPr>
          <w:spacing w:val="-43"/>
        </w:rPr>
        <w:t> </w:t>
      </w:r>
      <w:r>
        <w:rPr>
          <w:spacing w:val="-43"/>
        </w:rPr>
      </w:r>
      <w:r>
        <w:rPr>
          <w:spacing w:val="-2"/>
        </w:rPr>
        <w:t>未来年度的盈利能力产生了不利影响。报告期内，公司电商运营服务业务的营业收入为</w:t>
      </w:r>
      <w:r>
        <w:rPr>
          <w:rFonts w:ascii="Times New Roman" w:hAnsi="Times New Roman" w:cs="Times New Roman" w:eastAsia="Times New Roman" w:hint="default"/>
          <w:spacing w:val="-2"/>
        </w:rPr>
        <w:t>40,265.39</w:t>
      </w:r>
      <w:r>
        <w:rPr>
          <w:spacing w:val="-2"/>
        </w:rPr>
        <w:t>万元，同</w:t>
      </w:r>
      <w:r>
        <w:rPr>
          <w:spacing w:val="-32"/>
        </w:rPr>
        <w:t> </w:t>
      </w:r>
      <w:r>
        <w:rPr>
          <w:spacing w:val="-32"/>
        </w:rPr>
      </w:r>
      <w:r>
        <w:rPr/>
        <w:t>比下降</w:t>
      </w:r>
      <w:r>
        <w:rPr>
          <w:rFonts w:ascii="Times New Roman" w:hAnsi="Times New Roman" w:cs="Times New Roman" w:eastAsia="Times New Roman" w:hint="default"/>
        </w:rPr>
        <w:t>34.83%</w:t>
      </w:r>
      <w:r>
        <w:rPr/>
        <w:t>，归属于上市公司股东的净利润为</w:t>
      </w:r>
      <w:r>
        <w:rPr>
          <w:rFonts w:ascii="Times New Roman" w:hAnsi="Times New Roman" w:cs="Times New Roman" w:eastAsia="Times New Roman" w:hint="default"/>
        </w:rPr>
        <w:t>-24,208.85</w:t>
      </w:r>
      <w:r>
        <w:rPr/>
        <w:t>万元，上年同期为</w:t>
      </w:r>
      <w:r>
        <w:rPr>
          <w:rFonts w:ascii="Times New Roman" w:hAnsi="Times New Roman" w:cs="Times New Roman" w:eastAsia="Times New Roman" w:hint="default"/>
        </w:rPr>
        <w:t>23,910.80</w:t>
      </w:r>
      <w:r>
        <w:rPr/>
        <w:t>万元。公司根据减</w:t>
      </w:r>
      <w:r>
        <w:rPr>
          <w:spacing w:val="-12"/>
        </w:rPr>
        <w:t> </w:t>
      </w:r>
      <w:r>
        <w:rPr>
          <w:spacing w:val="-12"/>
        </w:rPr>
      </w:r>
      <w:r>
        <w:rPr>
          <w:spacing w:val="10"/>
        </w:rPr>
        <w:t>值测试结果，对收购中经电商及汇通宝形成的商誉计提减值准备</w:t>
      </w:r>
      <w:r>
        <w:rPr>
          <w:rFonts w:ascii="Times New Roman" w:hAnsi="Times New Roman" w:cs="Times New Roman" w:eastAsia="Times New Roman" w:hint="default"/>
          <w:spacing w:val="10"/>
        </w:rPr>
        <w:t>61,966.16</w:t>
      </w:r>
      <w:r>
        <w:rPr>
          <w:spacing w:val="10"/>
        </w:rPr>
        <w:t>万元、应收账款坏账准备</w:t>
      </w:r>
      <w:r>
        <w:rPr>
          <w:spacing w:val="24"/>
        </w:rPr>
        <w:t> </w:t>
      </w:r>
      <w:r>
        <w:rPr>
          <w:rFonts w:ascii="Times New Roman" w:hAnsi="Times New Roman" w:cs="Times New Roman" w:eastAsia="Times New Roman" w:hint="default"/>
        </w:rPr>
        <w:t>28,657.76</w:t>
      </w:r>
      <w:r>
        <w:rPr/>
        <w:t>万元、无形资产减值</w:t>
      </w:r>
      <w:r>
        <w:rPr>
          <w:rFonts w:ascii="Times New Roman" w:hAnsi="Times New Roman" w:cs="Times New Roman" w:eastAsia="Times New Roman" w:hint="default"/>
        </w:rPr>
        <w:t>9,318.93</w:t>
      </w:r>
      <w:r>
        <w:rPr/>
        <w:t>万元。</w:t>
      </w:r>
    </w:p>
    <w:p>
      <w:pPr>
        <w:pStyle w:val="BodyText"/>
        <w:spacing w:line="350" w:lineRule="auto" w:before="55"/>
        <w:ind w:right="982" w:firstLine="420"/>
        <w:jc w:val="left"/>
      </w:pPr>
      <w:r>
        <w:rPr>
          <w:spacing w:val="-5"/>
        </w:rPr>
        <w:t>公司正在积极寻求解决方案，包括但不限于帮助中经电商进行业务转型、探索剥离方案等。截至目前，</w:t>
      </w:r>
      <w:r>
        <w:rPr>
          <w:w w:val="100"/>
        </w:rPr>
        <w:t> </w:t>
      </w:r>
      <w:r>
        <w:rPr/>
        <w:t>上述方案尚未明确，相关工作进展情况公司将按信息披露的相关规定及时予以披露。</w:t>
      </w:r>
    </w:p>
    <w:p>
      <w:pPr>
        <w:pStyle w:val="BodyText"/>
        <w:spacing w:line="340" w:lineRule="auto" w:before="67"/>
        <w:ind w:right="1126" w:firstLine="420"/>
        <w:jc w:val="both"/>
      </w:pPr>
      <w:r>
        <w:rPr>
          <w:rFonts w:ascii="Times New Roman" w:hAnsi="Times New Roman" w:cs="Times New Roman" w:eastAsia="Times New Roman" w:hint="default"/>
        </w:rPr>
        <w:t>2</w:t>
      </w:r>
      <w:r>
        <w:rPr/>
        <w:t>、电磁安防业务：报告期内，全资子公司华炜科技业绩未达预期，主要原因为：</w:t>
      </w:r>
      <w:r>
        <w:rPr>
          <w:rFonts w:ascii="Times New Roman" w:hAnsi="Times New Roman" w:cs="Times New Roman" w:eastAsia="Times New Roman" w:hint="default"/>
        </w:rPr>
        <w:t>2018</w:t>
      </w:r>
      <w:r>
        <w:rPr/>
        <w:t>年以来，由于</w:t>
      </w:r>
      <w:r>
        <w:rPr>
          <w:w w:val="100"/>
        </w:rPr>
        <w:t> </w:t>
      </w:r>
      <w:r>
        <w:rPr>
          <w:spacing w:val="-2"/>
        </w:rPr>
        <w:t>市场新产品更新换代加快，传统防雷市场份额减少，加之华炜科技开始调整产品结构，加大研发投入，减</w:t>
      </w:r>
      <w:r>
        <w:rPr>
          <w:spacing w:val="-47"/>
        </w:rPr>
        <w:t> </w:t>
      </w:r>
      <w:r>
        <w:rPr>
          <w:spacing w:val="-47"/>
        </w:rPr>
      </w:r>
      <w:r>
        <w:rPr>
          <w:spacing w:val="-2"/>
        </w:rPr>
        <w:t>少传统产品的开发和升级，且铁路的新建线开发量减少需求降低，华炜科技对其经营策略、业务结构进行</w:t>
      </w:r>
      <w:r>
        <w:rPr>
          <w:spacing w:val="-45"/>
        </w:rPr>
        <w:t> </w:t>
      </w:r>
      <w:r>
        <w:rPr>
          <w:spacing w:val="-45"/>
        </w:rPr>
      </w:r>
      <w:r>
        <w:rPr>
          <w:spacing w:val="-2"/>
        </w:rPr>
        <w:t>持续的优化调整，积极向能效管控和立体安检领域发展，但尚未形成规模效应，虽然有部分新增客户，但</w:t>
      </w:r>
      <w:r>
        <w:rPr>
          <w:spacing w:val="-47"/>
        </w:rPr>
        <w:t> </w:t>
      </w:r>
      <w:r>
        <w:rPr>
          <w:spacing w:val="-47"/>
        </w:rPr>
      </w:r>
      <w:r>
        <w:rPr>
          <w:spacing w:val="-2"/>
        </w:rPr>
        <w:t>由于新产品属于业务开拓阶段，导致华炜科技</w:t>
      </w:r>
      <w:r>
        <w:rPr>
          <w:rFonts w:ascii="Times New Roman" w:hAnsi="Times New Roman" w:cs="Times New Roman" w:eastAsia="Times New Roman" w:hint="default"/>
          <w:spacing w:val="-2"/>
        </w:rPr>
        <w:t>2018</w:t>
      </w:r>
      <w:r>
        <w:rPr>
          <w:spacing w:val="-2"/>
        </w:rPr>
        <w:t>年以来出现营业收入持续下滑的情况。</w:t>
      </w:r>
      <w:r>
        <w:rPr>
          <w:rFonts w:ascii="Times New Roman" w:hAnsi="Times New Roman" w:cs="Times New Roman" w:eastAsia="Times New Roman" w:hint="default"/>
          <w:spacing w:val="-2"/>
        </w:rPr>
        <w:t>2019</w:t>
      </w:r>
      <w:r>
        <w:rPr>
          <w:spacing w:val="-2"/>
        </w:rPr>
        <w:t>年华炜科技</w:t>
      </w:r>
      <w:r>
        <w:rPr>
          <w:spacing w:val="-35"/>
        </w:rPr>
        <w:t> </w:t>
      </w:r>
      <w:r>
        <w:rPr>
          <w:spacing w:val="-35"/>
        </w:rPr>
      </w:r>
      <w:r>
        <w:rPr>
          <w:spacing w:val="-2"/>
        </w:rPr>
        <w:t>业务转型进展不顺，原有业务收入大幅下降，而新产品的业务开拓未达预期，最终导致其</w:t>
      </w:r>
      <w:r>
        <w:rPr>
          <w:rFonts w:ascii="Times New Roman" w:hAnsi="Times New Roman" w:cs="Times New Roman" w:eastAsia="Times New Roman" w:hint="default"/>
          <w:spacing w:val="-2"/>
        </w:rPr>
        <w:t>2019</w:t>
      </w:r>
      <w:r>
        <w:rPr>
          <w:spacing w:val="-2"/>
        </w:rPr>
        <w:t>年的营业收</w:t>
      </w:r>
      <w:r>
        <w:rPr>
          <w:spacing w:val="-40"/>
        </w:rPr>
        <w:t> </w:t>
      </w:r>
      <w:r>
        <w:rPr>
          <w:spacing w:val="-40"/>
        </w:rPr>
      </w:r>
      <w:r>
        <w:rPr>
          <w:spacing w:val="-2"/>
        </w:rPr>
        <w:t>入出现较大幅度的下降，并出现较大亏损。公司根据减值测试结果，对合并华炜科技所形成的商誉计提减</w:t>
      </w:r>
      <w:r>
        <w:rPr>
          <w:spacing w:val="-44"/>
        </w:rPr>
        <w:t> </w:t>
      </w:r>
      <w:r>
        <w:rPr>
          <w:spacing w:val="-44"/>
        </w:rPr>
      </w:r>
      <w:r>
        <w:rPr/>
        <w:t>值准备金额</w:t>
      </w:r>
      <w:r>
        <w:rPr>
          <w:rFonts w:ascii="Times New Roman" w:hAnsi="Times New Roman" w:cs="Times New Roman" w:eastAsia="Times New Roman" w:hint="default"/>
        </w:rPr>
        <w:t>13,142.10</w:t>
      </w:r>
      <w:r>
        <w:rPr/>
        <w:t>万元。</w:t>
      </w:r>
    </w:p>
    <w:p>
      <w:pPr>
        <w:pStyle w:val="BodyText"/>
        <w:spacing w:line="240" w:lineRule="auto" w:before="50"/>
        <w:ind w:left="573" w:right="982"/>
        <w:jc w:val="left"/>
      </w:pPr>
      <w:r>
        <w:rPr/>
        <w:t>后续，公司将持续推进华炜科技向能效管控和立体安检等领域发展，帮助其进行新产品的业务拓展，</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1133"/>
        <w:jc w:val="left"/>
      </w:pPr>
      <w:r>
        <w:rPr/>
        <w:t>改善经营状况。</w:t>
      </w:r>
    </w:p>
    <w:p>
      <w:pPr>
        <w:pStyle w:val="BodyText"/>
        <w:spacing w:line="386" w:lineRule="auto" w:before="164"/>
        <w:ind w:left="573" w:right="1133" w:firstLine="2"/>
        <w:jc w:val="left"/>
      </w:pPr>
      <w:r>
        <w:rPr>
          <w:rFonts w:ascii="宋体" w:hAnsi="宋体" w:cs="宋体" w:eastAsia="宋体" w:hint="default"/>
          <w:b/>
          <w:bCs/>
        </w:rPr>
        <w:t>（三）研发创新方面</w:t>
      </w:r>
      <w:r>
        <w:rPr>
          <w:rFonts w:ascii="宋体" w:hAnsi="宋体" w:cs="宋体" w:eastAsia="宋体" w:hint="default"/>
          <w:b/>
          <w:bCs/>
          <w:w w:val="100"/>
        </w:rPr>
        <w:t> </w:t>
      </w:r>
      <w:r>
        <w:rPr>
          <w:spacing w:val="-2"/>
        </w:rPr>
        <w:t>报告期内，公司以</w:t>
      </w:r>
      <w:r>
        <w:rPr>
          <w:rFonts w:ascii="Times New Roman" w:hAnsi="Times New Roman" w:cs="Times New Roman" w:eastAsia="Times New Roman" w:hint="default"/>
          <w:spacing w:val="-2"/>
        </w:rPr>
        <w:t>“</w:t>
      </w:r>
      <w:r>
        <w:rPr>
          <w:spacing w:val="-2"/>
        </w:rPr>
        <w:t>自主可控</w:t>
      </w:r>
      <w:r>
        <w:rPr>
          <w:rFonts w:ascii="Times New Roman" w:hAnsi="Times New Roman" w:cs="Times New Roman" w:eastAsia="Times New Roman" w:hint="default"/>
          <w:spacing w:val="-2"/>
        </w:rPr>
        <w:t>”</w:t>
      </w:r>
      <w:r>
        <w:rPr>
          <w:spacing w:val="-2"/>
        </w:rPr>
        <w:t>为思路，聚力实现全线安全产品的国产化替代，研发推出信息安全领域</w:t>
      </w:r>
    </w:p>
    <w:p>
      <w:pPr>
        <w:pStyle w:val="BodyText"/>
        <w:spacing w:line="241" w:lineRule="exact"/>
        <w:ind w:right="1133"/>
        <w:jc w:val="left"/>
      </w:pPr>
      <w:r>
        <w:rPr/>
        <w:t>前沿性产品。此外，公司以客户需求为导向，持续对部分核心安全产品进行更新迭代，主要如下：</w:t>
      </w:r>
    </w:p>
    <w:p>
      <w:pPr>
        <w:pStyle w:val="BodyText"/>
        <w:spacing w:line="336" w:lineRule="auto" w:before="126"/>
        <w:ind w:right="982" w:firstLine="420"/>
        <w:jc w:val="left"/>
      </w:pPr>
      <w:r>
        <w:rPr>
          <w:rFonts w:ascii="Times New Roman" w:hAnsi="Times New Roman" w:cs="Times New Roman" w:eastAsia="Times New Roman" w:hint="default"/>
          <w:spacing w:val="-3"/>
        </w:rPr>
        <w:t>1</w:t>
      </w:r>
      <w:r>
        <w:rPr>
          <w:spacing w:val="-3"/>
        </w:rPr>
        <w:t>、自主可控网络防护产品：在报告期内，公司研发中心汇聚研发力量，从传统的</w:t>
      </w:r>
      <w:r>
        <w:rPr>
          <w:rFonts w:ascii="Times New Roman" w:hAnsi="Times New Roman" w:cs="Times New Roman" w:eastAsia="Times New Roman" w:hint="default"/>
          <w:spacing w:val="-3"/>
        </w:rPr>
        <w:t>x86</w:t>
      </w:r>
      <w:r>
        <w:rPr>
          <w:rFonts w:ascii="Times New Roman" w:hAnsi="Times New Roman" w:cs="Times New Roman" w:eastAsia="Times New Roman" w:hint="default"/>
          <w:spacing w:val="9"/>
        </w:rPr>
        <w:t> </w:t>
      </w:r>
      <w:r>
        <w:rPr>
          <w:rFonts w:ascii="Times New Roman" w:hAnsi="Times New Roman" w:cs="Times New Roman" w:eastAsia="Times New Roman" w:hint="default"/>
        </w:rPr>
        <w:t>Intel</w:t>
      </w:r>
      <w:r>
        <w:rPr/>
        <w:t>解决方案转</w:t>
      </w:r>
      <w:r>
        <w:rPr>
          <w:w w:val="100"/>
        </w:rPr>
        <w:t> </w:t>
      </w:r>
      <w:r>
        <w:rPr>
          <w:spacing w:val="-2"/>
        </w:rPr>
        <w:t>向自主可控平台，保证了安全产品的业务连续性。公司网络安全防御重点产品获得技术突破，防火墙、入</w:t>
      </w:r>
      <w:r>
        <w:rPr>
          <w:spacing w:val="-47"/>
        </w:rPr>
        <w:t> </w:t>
      </w:r>
      <w:r>
        <w:rPr>
          <w:spacing w:val="-47"/>
        </w:rPr>
      </w:r>
      <w:r>
        <w:rPr>
          <w:spacing w:val="-4"/>
        </w:rPr>
        <w:t>侵检测、网络信息安全审计，</w:t>
      </w:r>
      <w:r>
        <w:rPr>
          <w:rFonts w:ascii="Times New Roman" w:hAnsi="Times New Roman" w:cs="Times New Roman" w:eastAsia="Times New Roman" w:hint="default"/>
          <w:spacing w:val="-4"/>
        </w:rPr>
        <w:t>Web</w:t>
      </w:r>
      <w:r>
        <w:rPr>
          <w:spacing w:val="-4"/>
        </w:rPr>
        <w:t>应用防火墙，数据库安全防护与审计、信息交换产品单向导入产品单导、</w:t>
      </w:r>
      <w:r>
        <w:rPr>
          <w:spacing w:val="-22"/>
        </w:rPr>
        <w:t> </w:t>
      </w:r>
      <w:r>
        <w:rPr>
          <w:spacing w:val="-22"/>
        </w:rPr>
      </w:r>
      <w:r>
        <w:rPr>
          <w:spacing w:val="-5"/>
        </w:rPr>
        <w:t>信息交换产品网闸，漏洞扫描、堡垒机、终端防护产品、终端信息安全审计等产品已经完全实现自主可控。</w:t>
      </w:r>
    </w:p>
    <w:p>
      <w:pPr>
        <w:pStyle w:val="BodyText"/>
        <w:spacing w:line="331" w:lineRule="auto" w:before="42"/>
        <w:ind w:right="1126" w:firstLine="420"/>
        <w:jc w:val="both"/>
      </w:pPr>
      <w:r>
        <w:rPr>
          <w:rFonts w:ascii="Times New Roman" w:hAnsi="Times New Roman" w:cs="Times New Roman" w:eastAsia="Times New Roman" w:hint="default"/>
        </w:rPr>
        <w:t>2</w:t>
      </w:r>
      <w:r>
        <w:rPr/>
        <w:t>、虚拟化和大数据安全检测平台：通过对云计算的虚拟化安全检测和大数据的配置基线检测，实现</w:t>
      </w:r>
      <w:r>
        <w:rPr>
          <w:w w:val="100"/>
        </w:rPr>
        <w:t> </w:t>
      </w:r>
      <w:r>
        <w:rPr>
          <w:spacing w:val="-3"/>
        </w:rPr>
        <w:t>对用户云计算和大数据安全合规性检测，对虚拟化主机和</w:t>
      </w:r>
      <w:r>
        <w:rPr>
          <w:rFonts w:ascii="Times New Roman" w:hAnsi="Times New Roman" w:cs="Times New Roman" w:eastAsia="Times New Roman" w:hint="default"/>
          <w:spacing w:val="-3"/>
        </w:rPr>
        <w:t>Hadoop</w:t>
      </w:r>
      <w:r>
        <w:rPr>
          <w:spacing w:val="-3"/>
        </w:rPr>
        <w:t>大数据平台自身的不同组件构成的业务平</w:t>
      </w:r>
      <w:r>
        <w:rPr>
          <w:spacing w:val="-22"/>
        </w:rPr>
        <w:t> </w:t>
      </w:r>
      <w:r>
        <w:rPr>
          <w:spacing w:val="-22"/>
        </w:rPr>
      </w:r>
      <w:r>
        <w:rPr/>
        <w:t>台进行零业务影响安全分析，实现不同行业的安全要求，可用于政府、公安等行业。</w:t>
      </w:r>
    </w:p>
    <w:p>
      <w:pPr>
        <w:pStyle w:val="BodyText"/>
        <w:spacing w:line="336" w:lineRule="auto" w:before="46"/>
        <w:ind w:right="1126" w:firstLine="420"/>
        <w:jc w:val="both"/>
      </w:pPr>
      <w:r>
        <w:rPr>
          <w:rFonts w:ascii="Times New Roman" w:hAnsi="Times New Roman" w:cs="Times New Roman" w:eastAsia="Times New Roman" w:hint="default"/>
        </w:rPr>
        <w:t>3</w:t>
      </w:r>
      <w:r>
        <w:rPr/>
        <w:t>、升级和更新既有产品：为更新部分产品标准和提高市场竞争力，公司研发推出了高性能下一代防</w:t>
      </w:r>
      <w:r>
        <w:rPr>
          <w:w w:val="100"/>
        </w:rPr>
        <w:t> </w:t>
      </w:r>
      <w:r>
        <w:rPr>
          <w:spacing w:val="-2"/>
        </w:rPr>
        <w:t>火墙数据面</w:t>
      </w:r>
      <w:r>
        <w:rPr>
          <w:rFonts w:ascii="Times New Roman" w:hAnsi="Times New Roman" w:cs="Times New Roman" w:eastAsia="Times New Roman" w:hint="default"/>
          <w:spacing w:val="-2"/>
        </w:rPr>
        <w:t>V2.0</w:t>
      </w:r>
      <w:r>
        <w:rPr>
          <w:spacing w:val="-2"/>
        </w:rPr>
        <w:t>，将彻底实现数据转发、网络协议处理、控制报文解析等功能在数据面处理完成，避免传</w:t>
      </w:r>
      <w:r>
        <w:rPr>
          <w:spacing w:val="-36"/>
        </w:rPr>
        <w:t> </w:t>
      </w:r>
      <w:r>
        <w:rPr>
          <w:spacing w:val="-36"/>
        </w:rPr>
      </w:r>
      <w:r>
        <w:rPr>
          <w:spacing w:val="-2"/>
        </w:rPr>
        <w:t>统的解决方案依赖操作系统协助完成控制而带来的增加网络延迟和降低网络吞吐量等弊端，提高公司防火</w:t>
      </w:r>
      <w:r>
        <w:rPr>
          <w:spacing w:val="-43"/>
        </w:rPr>
        <w:t> </w:t>
      </w:r>
      <w:r>
        <w:rPr>
          <w:spacing w:val="-43"/>
        </w:rPr>
      </w:r>
      <w:r>
        <w:rPr/>
        <w:t>墙等网络安全产品的市场竞争力。</w:t>
      </w:r>
    </w:p>
    <w:p>
      <w:pPr>
        <w:pStyle w:val="BodyText"/>
        <w:spacing w:line="331" w:lineRule="auto" w:before="39"/>
        <w:ind w:right="1109" w:firstLine="420"/>
        <w:jc w:val="both"/>
      </w:pPr>
      <w:r>
        <w:rPr>
          <w:rFonts w:ascii="Times New Roman" w:hAnsi="Times New Roman" w:cs="Times New Roman" w:eastAsia="Times New Roman" w:hint="default"/>
          <w:spacing w:val="-2"/>
        </w:rPr>
        <w:t>4</w:t>
      </w:r>
      <w:r>
        <w:rPr>
          <w:spacing w:val="-2"/>
        </w:rPr>
        <w:t>、知识产权保护工作有序进行。报告期内，公司及主要子公司新增专利</w:t>
      </w:r>
      <w:r>
        <w:rPr>
          <w:rFonts w:ascii="Times New Roman" w:hAnsi="Times New Roman" w:cs="Times New Roman" w:eastAsia="Times New Roman" w:hint="default"/>
          <w:spacing w:val="-2"/>
        </w:rPr>
        <w:t>4</w:t>
      </w:r>
      <w:r>
        <w:rPr>
          <w:spacing w:val="-2"/>
        </w:rPr>
        <w:t>项，新增软件著作权</w:t>
      </w:r>
      <w:r>
        <w:rPr>
          <w:rFonts w:ascii="Times New Roman" w:hAnsi="Times New Roman" w:cs="Times New Roman" w:eastAsia="Times New Roman" w:hint="default"/>
          <w:spacing w:val="-2"/>
        </w:rPr>
        <w:t>29</w:t>
      </w:r>
      <w:r>
        <w:rPr>
          <w:spacing w:val="-2"/>
        </w:rPr>
        <w:t>项；</w:t>
      </w:r>
      <w:r>
        <w:rPr>
          <w:spacing w:val="-3"/>
          <w:w w:val="100"/>
        </w:rPr>
        <w:t> </w:t>
      </w:r>
      <w:r>
        <w:rPr/>
        <w:t>截至报告期末，公司及主要子公司共拥有专利</w:t>
      </w:r>
      <w:r>
        <w:rPr>
          <w:rFonts w:ascii="Times New Roman" w:hAnsi="Times New Roman" w:cs="Times New Roman" w:eastAsia="Times New Roman" w:hint="default"/>
        </w:rPr>
        <w:t>121</w:t>
      </w:r>
      <w:r>
        <w:rPr/>
        <w:t>项，软件著作权</w:t>
      </w:r>
      <w:r>
        <w:rPr>
          <w:rFonts w:ascii="Times New Roman" w:hAnsi="Times New Roman" w:cs="Times New Roman" w:eastAsia="Times New Roman" w:hint="default"/>
        </w:rPr>
        <w:t>812</w:t>
      </w:r>
      <w:r>
        <w:rPr/>
        <w:t>项。</w:t>
      </w:r>
    </w:p>
    <w:p>
      <w:pPr>
        <w:pStyle w:val="BodyText"/>
        <w:spacing w:line="384" w:lineRule="auto" w:before="62"/>
        <w:ind w:left="573" w:right="4917" w:firstLine="2"/>
        <w:jc w:val="left"/>
      </w:pPr>
      <w:r>
        <w:rPr>
          <w:rFonts w:ascii="宋体" w:hAnsi="宋体" w:cs="宋体" w:eastAsia="宋体" w:hint="default"/>
          <w:b/>
          <w:bCs/>
        </w:rPr>
        <w:t>（四）荣誉及成果</w:t>
      </w:r>
      <w:r>
        <w:rPr>
          <w:rFonts w:ascii="宋体" w:hAnsi="宋体" w:cs="宋体" w:eastAsia="宋体" w:hint="default"/>
          <w:b/>
          <w:bCs/>
          <w:w w:val="100"/>
        </w:rPr>
        <w:t> </w:t>
      </w:r>
      <w:r>
        <w:rPr/>
        <w:t>报告期内，公司在行业内收获众多荣誉及成果：</w:t>
      </w:r>
      <w:r>
        <w:rPr>
          <w:w w:val="100"/>
        </w:rPr>
        <w:t> </w:t>
      </w:r>
      <w:r>
        <w:rPr>
          <w:rFonts w:ascii="Times New Roman" w:hAnsi="Times New Roman" w:cs="Times New Roman" w:eastAsia="Times New Roman" w:hint="default"/>
          <w:spacing w:val="-2"/>
        </w:rPr>
        <w:t>1</w:t>
      </w:r>
      <w:r>
        <w:rPr>
          <w:spacing w:val="-2"/>
        </w:rPr>
        <w:t>、公司荣获广东省计算机学会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2018</w:t>
      </w:r>
      <w:r>
        <w:rPr>
          <w:spacing w:val="-2"/>
        </w:rPr>
        <w:t>年度卓越贡献金奖</w:t>
      </w:r>
      <w:r>
        <w:rPr>
          <w:rFonts w:ascii="Times New Roman" w:hAnsi="Times New Roman" w:cs="Times New Roman" w:eastAsia="Times New Roman" w:hint="default"/>
          <w:spacing w:val="-2"/>
        </w:rPr>
        <w:t>”</w:t>
      </w:r>
      <w:r>
        <w:rPr>
          <w:spacing w:val="-2"/>
        </w:rPr>
        <w:t>；</w:t>
      </w:r>
    </w:p>
    <w:p>
      <w:pPr>
        <w:pStyle w:val="BodyText"/>
        <w:spacing w:line="331" w:lineRule="auto" w:before="9"/>
        <w:ind w:right="1128" w:firstLine="42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16</w:t>
      </w:r>
      <w:r>
        <w:rPr/>
        <w:t>款产品获得下一代互联网国家工程中心</w:t>
      </w:r>
      <w:r>
        <w:rPr>
          <w:rFonts w:ascii="Times New Roman" w:hAnsi="Times New Roman" w:cs="Times New Roman" w:eastAsia="Times New Roman" w:hint="default"/>
        </w:rPr>
        <w:t>-</w:t>
      </w:r>
      <w:r>
        <w:rPr/>
        <w:t>全球</w:t>
      </w:r>
      <w:r>
        <w:rPr>
          <w:rFonts w:ascii="Times New Roman" w:hAnsi="Times New Roman" w:cs="Times New Roman" w:eastAsia="Times New Roman" w:hint="default"/>
        </w:rPr>
        <w:t>IPv6</w:t>
      </w:r>
      <w:r>
        <w:rPr/>
        <w:t>测试中心</w:t>
      </w:r>
      <w:r>
        <w:rPr>
          <w:rFonts w:ascii="Times New Roman" w:hAnsi="Times New Roman" w:cs="Times New Roman" w:eastAsia="Times New Roman" w:hint="default"/>
        </w:rPr>
        <w:t>IPv6 Ready</w:t>
      </w:r>
      <w:r>
        <w:rPr>
          <w:rFonts w:ascii="Times New Roman" w:hAnsi="Times New Roman" w:cs="Times New Roman" w:eastAsia="Times New Roman" w:hint="default"/>
          <w:spacing w:val="13"/>
        </w:rPr>
        <w:t> </w:t>
      </w:r>
      <w:r>
        <w:rPr>
          <w:rFonts w:ascii="Times New Roman" w:hAnsi="Times New Roman" w:cs="Times New Roman" w:eastAsia="Times New Roman" w:hint="default"/>
        </w:rPr>
        <w:t>Logo</w:t>
      </w:r>
      <w:r>
        <w:rPr/>
        <w:t>认证，认证数量</w:t>
      </w:r>
      <w:r>
        <w:rPr>
          <w:w w:val="100"/>
        </w:rPr>
        <w:t> </w:t>
      </w:r>
      <w:r>
        <w:rPr>
          <w:spacing w:val="-3"/>
        </w:rPr>
        <w:t>位居前列。主要产品包括入侵防御系统、入侵检测系统、</w:t>
      </w:r>
      <w:r>
        <w:rPr>
          <w:rFonts w:ascii="Times New Roman" w:hAnsi="Times New Roman" w:cs="Times New Roman" w:eastAsia="Times New Roman" w:hint="default"/>
          <w:spacing w:val="-3"/>
        </w:rPr>
        <w:t>WEB</w:t>
      </w:r>
      <w:r>
        <w:rPr>
          <w:spacing w:val="-3"/>
        </w:rPr>
        <w:t>应用防护系统、安全扫描系统、安全网关系</w:t>
      </w:r>
      <w:r>
        <w:rPr>
          <w:spacing w:val="-42"/>
        </w:rPr>
        <w:t> </w:t>
      </w:r>
      <w:r>
        <w:rPr>
          <w:spacing w:val="-42"/>
        </w:rPr>
      </w:r>
      <w:r>
        <w:rPr/>
        <w:t>统、业务流程监控系统、流量控制系统、账号集中管理与审计系统等；</w:t>
      </w:r>
    </w:p>
    <w:p>
      <w:pPr>
        <w:pStyle w:val="BodyText"/>
        <w:spacing w:line="240" w:lineRule="auto" w:before="84"/>
        <w:ind w:left="573" w:right="1133"/>
        <w:jc w:val="left"/>
      </w:pPr>
      <w:r>
        <w:rPr>
          <w:rFonts w:ascii="Times New Roman" w:hAnsi="Times New Roman" w:cs="Times New Roman" w:eastAsia="Times New Roman" w:hint="default"/>
        </w:rPr>
        <w:t>3</w:t>
      </w:r>
      <w:r>
        <w:rPr/>
        <w:t>、公司荣获信息安全与通信保密理事大会</w:t>
      </w:r>
      <w:r>
        <w:rPr>
          <w:rFonts w:ascii="Times New Roman" w:hAnsi="Times New Roman" w:cs="Times New Roman" w:eastAsia="Times New Roman" w:hint="default"/>
        </w:rPr>
        <w:t>“</w:t>
      </w:r>
      <w:r>
        <w:rPr/>
        <w:t>中国网络安全与信息产业金智奖</w:t>
      </w:r>
      <w:r>
        <w:rPr>
          <w:rFonts w:ascii="Times New Roman" w:hAnsi="Times New Roman" w:cs="Times New Roman" w:eastAsia="Times New Roman" w:hint="default"/>
        </w:rPr>
        <w:t>”</w:t>
      </w:r>
      <w:r>
        <w:rPr/>
        <w:t>；</w:t>
      </w:r>
    </w:p>
    <w:p>
      <w:pPr>
        <w:pStyle w:val="BodyText"/>
        <w:spacing w:line="331" w:lineRule="auto" w:before="148"/>
        <w:ind w:right="1136" w:firstLine="420"/>
        <w:jc w:val="both"/>
      </w:pPr>
      <w:r>
        <w:rPr>
          <w:rFonts w:ascii="Times New Roman" w:hAnsi="Times New Roman" w:cs="Times New Roman" w:eastAsia="Times New Roman" w:hint="default"/>
        </w:rPr>
        <w:t>4</w:t>
      </w:r>
      <w:r>
        <w:rPr/>
        <w:t>、在首届广州军民两用技术装备成果交易会上，公司与工信部电子五所达成战略合作协议，双方可</w:t>
      </w:r>
      <w:r>
        <w:rPr>
          <w:w w:val="100"/>
        </w:rPr>
        <w:t> </w:t>
      </w:r>
      <w:r>
        <w:rPr/>
        <w:t>在技术基础、关键技术攻关、科技成果转化及应用等领域开展深度合作；</w:t>
      </w:r>
    </w:p>
    <w:p>
      <w:pPr>
        <w:pStyle w:val="BodyText"/>
        <w:spacing w:line="240" w:lineRule="auto" w:before="85"/>
        <w:ind w:left="573" w:right="1133"/>
        <w:jc w:val="left"/>
      </w:pPr>
      <w:r>
        <w:rPr>
          <w:rFonts w:ascii="Times New Roman" w:hAnsi="Times New Roman" w:cs="Times New Roman" w:eastAsia="Times New Roman" w:hint="default"/>
        </w:rPr>
        <w:t>5</w:t>
      </w:r>
      <w:r>
        <w:rPr/>
        <w:t>、公司荣获广东省公共安全技术防范协会颁发的</w:t>
      </w:r>
      <w:r>
        <w:rPr>
          <w:rFonts w:ascii="Times New Roman" w:hAnsi="Times New Roman" w:cs="Times New Roman" w:eastAsia="Times New Roman" w:hint="default"/>
        </w:rPr>
        <w:t>“</w:t>
      </w:r>
      <w:r>
        <w:rPr>
          <w:rFonts w:ascii="Times New Roman" w:hAnsi="Times New Roman" w:cs="Times New Roman" w:eastAsia="Times New Roman" w:hint="default"/>
        </w:rPr>
        <w:t>2018</w:t>
      </w:r>
      <w:r>
        <w:rPr/>
        <w:t>年度广东省优秀安防企业奖</w:t>
      </w:r>
      <w:r>
        <w:rPr>
          <w:rFonts w:ascii="Times New Roman" w:hAnsi="Times New Roman" w:cs="Times New Roman" w:eastAsia="Times New Roman" w:hint="default"/>
        </w:rPr>
        <w:t>”</w:t>
      </w:r>
      <w:r>
        <w:rPr/>
        <w:t>；</w:t>
      </w:r>
    </w:p>
    <w:p>
      <w:pPr>
        <w:pStyle w:val="BodyText"/>
        <w:spacing w:line="328" w:lineRule="auto" w:before="151"/>
        <w:ind w:right="1136" w:firstLine="420"/>
        <w:jc w:val="both"/>
      </w:pPr>
      <w:r>
        <w:rPr>
          <w:rFonts w:ascii="Times New Roman" w:hAnsi="Times New Roman" w:cs="Times New Roman" w:eastAsia="Times New Roman" w:hint="default"/>
        </w:rPr>
        <w:t>6</w:t>
      </w:r>
      <w:r>
        <w:rPr/>
        <w:t>、在第六届中国国际智慧城市大会上，公司凭借对智慧城市建设中信息安全强大的技术支撑能力，</w:t>
      </w:r>
      <w:r>
        <w:rPr>
          <w:w w:val="100"/>
        </w:rPr>
        <w:t> </w:t>
      </w:r>
      <w:r>
        <w:rPr/>
        <w:t>荣获</w:t>
      </w:r>
      <w:r>
        <w:rPr>
          <w:rFonts w:ascii="Times New Roman" w:hAnsi="Times New Roman" w:cs="Times New Roman" w:eastAsia="Times New Roman" w:hint="default"/>
        </w:rPr>
        <w:t>2018-2019</w:t>
      </w:r>
      <w:r>
        <w:rPr/>
        <w:t>年度智慧城市信息安全技术创新奖；</w:t>
      </w:r>
    </w:p>
    <w:p>
      <w:pPr>
        <w:pStyle w:val="BodyText"/>
        <w:spacing w:line="240" w:lineRule="auto" w:before="65"/>
        <w:ind w:left="573" w:right="1133"/>
        <w:jc w:val="left"/>
      </w:pPr>
      <w:r>
        <w:rPr>
          <w:rFonts w:ascii="Times New Roman" w:hAnsi="Times New Roman" w:cs="Times New Roman" w:eastAsia="Times New Roman" w:hint="default"/>
        </w:rPr>
        <w:t>7</w:t>
      </w:r>
      <w:r>
        <w:rPr/>
        <w:t>、公司受广东省公安厅表彰，获评广东省护网</w:t>
      </w:r>
      <w:r>
        <w:rPr>
          <w:rFonts w:ascii="Times New Roman" w:hAnsi="Times New Roman" w:cs="Times New Roman" w:eastAsia="Times New Roman" w:hint="default"/>
        </w:rPr>
        <w:t>2018</w:t>
      </w:r>
      <w:r>
        <w:rPr/>
        <w:t>网络攻防演习优秀支撑单位；</w:t>
      </w:r>
    </w:p>
    <w:p>
      <w:pPr>
        <w:pStyle w:val="BodyText"/>
        <w:spacing w:line="331" w:lineRule="auto" w:before="148"/>
        <w:ind w:right="1129" w:firstLine="420"/>
        <w:jc w:val="both"/>
      </w:pPr>
      <w:r>
        <w:rPr>
          <w:rFonts w:ascii="Times New Roman" w:hAnsi="Times New Roman" w:cs="Times New Roman" w:eastAsia="Times New Roman" w:hint="default"/>
          <w:spacing w:val="-4"/>
        </w:rPr>
        <w:t>8</w:t>
      </w:r>
      <w:r>
        <w:rPr>
          <w:spacing w:val="-4"/>
        </w:rPr>
        <w:t>、在中国电子信息行业联合会主办的</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2019</w:t>
      </w:r>
      <w:r>
        <w:rPr>
          <w:spacing w:val="-4"/>
        </w:rPr>
        <w:t>中国国际云服务技术与应用大会</w:t>
      </w:r>
      <w:r>
        <w:rPr>
          <w:rFonts w:ascii="Times New Roman" w:hAnsi="Times New Roman" w:cs="Times New Roman" w:eastAsia="Times New Roman" w:hint="default"/>
          <w:spacing w:val="-4"/>
        </w:rPr>
        <w:t>”</w:t>
      </w:r>
      <w:r>
        <w:rPr>
          <w:spacing w:val="-4"/>
        </w:rPr>
        <w:t>上，公司凭借在云计算安</w:t>
      </w:r>
      <w:r>
        <w:rPr>
          <w:w w:val="100"/>
        </w:rPr>
        <w:t> </w:t>
      </w:r>
      <w:r>
        <w:rPr/>
        <w:t>全领域的创新实践，入选</w:t>
      </w:r>
      <w:r>
        <w:rPr>
          <w:rFonts w:ascii="Times New Roman" w:hAnsi="Times New Roman" w:cs="Times New Roman" w:eastAsia="Times New Roman" w:hint="default"/>
        </w:rPr>
        <w:t>“</w:t>
      </w:r>
      <w:r>
        <w:rPr>
          <w:rFonts w:ascii="Times New Roman" w:hAnsi="Times New Roman" w:cs="Times New Roman" w:eastAsia="Times New Roman" w:hint="default"/>
        </w:rPr>
        <w:t>2018-2019</w:t>
      </w:r>
      <w:r>
        <w:rPr/>
        <w:t>年度价值云企业</w:t>
      </w:r>
      <w:r>
        <w:rPr>
          <w:rFonts w:ascii="Times New Roman" w:hAnsi="Times New Roman" w:cs="Times New Roman" w:eastAsia="Times New Roman" w:hint="default"/>
        </w:rPr>
        <w:t>”</w:t>
      </w:r>
      <w:r>
        <w:rPr/>
        <w:t>；</w:t>
      </w:r>
    </w:p>
    <w:p>
      <w:pPr>
        <w:pStyle w:val="BodyText"/>
        <w:spacing w:line="240" w:lineRule="auto" w:before="60"/>
        <w:ind w:left="573" w:right="1133"/>
        <w:jc w:val="left"/>
      </w:pPr>
      <w:r>
        <w:rPr>
          <w:rFonts w:ascii="Times New Roman" w:hAnsi="Times New Roman" w:cs="Times New Roman" w:eastAsia="Times New Roman" w:hint="default"/>
        </w:rPr>
        <w:t>9</w:t>
      </w:r>
      <w:r>
        <w:rPr/>
        <w:t>、公司荣获中国网络安全产业联盟</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年优秀网络安全解决方案</w:t>
      </w:r>
      <w:r>
        <w:rPr>
          <w:rFonts w:ascii="Times New Roman" w:hAnsi="Times New Roman" w:cs="Times New Roman" w:eastAsia="Times New Roman" w:hint="default"/>
        </w:rPr>
        <w:t>”</w:t>
      </w:r>
      <w:r>
        <w:rPr/>
        <w:t>奖；</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85"/>
        <w:ind w:left="573" w:right="1133"/>
        <w:jc w:val="left"/>
      </w:pPr>
      <w:r>
        <w:rPr>
          <w:rFonts w:ascii="Times New Roman" w:hAnsi="Times New Roman" w:cs="Times New Roman" w:eastAsia="Times New Roman" w:hint="default"/>
        </w:rPr>
        <w:t>10</w:t>
      </w:r>
      <w:r>
        <w:rPr/>
        <w:t>、蓝盾股份态势感知平台入选</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年广东省优秀大数据案例</w:t>
      </w:r>
      <w:r>
        <w:rPr>
          <w:rFonts w:ascii="Times New Roman" w:hAnsi="Times New Roman" w:cs="Times New Roman" w:eastAsia="Times New Roman" w:hint="default"/>
        </w:rPr>
        <w:t>TOP30</w:t>
      </w:r>
      <w:r>
        <w:rPr>
          <w:rFonts w:ascii="Times New Roman" w:hAnsi="Times New Roman" w:cs="Times New Roman" w:eastAsia="Times New Roman" w:hint="default"/>
        </w:rPr>
        <w:t>”</w:t>
      </w:r>
      <w:r>
        <w:rPr/>
        <w:t>；</w:t>
      </w:r>
    </w:p>
    <w:p>
      <w:pPr>
        <w:pStyle w:val="BodyText"/>
        <w:spacing w:line="240" w:lineRule="auto" w:before="149"/>
        <w:ind w:left="573" w:right="1133"/>
        <w:jc w:val="left"/>
      </w:pPr>
      <w:r>
        <w:rPr>
          <w:rFonts w:ascii="Times New Roman" w:hAnsi="Times New Roman" w:cs="Times New Roman" w:eastAsia="Times New Roman" w:hint="default"/>
        </w:rPr>
        <w:t>11</w:t>
      </w:r>
      <w:r>
        <w:rPr/>
        <w:t>、公司入选融资融券标的股票名单，综合实力获资本市场认可；</w:t>
      </w:r>
    </w:p>
    <w:p>
      <w:pPr>
        <w:pStyle w:val="BodyText"/>
        <w:spacing w:line="240" w:lineRule="auto" w:before="151"/>
        <w:ind w:left="573" w:right="1133"/>
        <w:jc w:val="left"/>
      </w:pPr>
      <w:r>
        <w:rPr>
          <w:rFonts w:ascii="Times New Roman" w:hAnsi="Times New Roman" w:cs="Times New Roman" w:eastAsia="Times New Roman" w:hint="default"/>
          <w:spacing w:val="-2"/>
        </w:rPr>
        <w:t>12</w:t>
      </w:r>
      <w:r>
        <w:rPr>
          <w:spacing w:val="-2"/>
        </w:rPr>
        <w:t>、公司荣获</w:t>
      </w:r>
      <w:r>
        <w:rPr>
          <w:rFonts w:ascii="Times New Roman" w:hAnsi="Times New Roman" w:cs="Times New Roman" w:eastAsia="Times New Roman" w:hint="default"/>
          <w:spacing w:val="-2"/>
        </w:rPr>
        <w:t>IPv6</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Forum</w:t>
      </w:r>
      <w:r>
        <w:rPr>
          <w:spacing w:val="-2"/>
        </w:rPr>
        <w:t>颁发的</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IPv6</w:t>
      </w:r>
      <w:r>
        <w:rPr>
          <w:spacing w:val="-2"/>
        </w:rPr>
        <w:t>杰出贡献企业奖</w:t>
      </w:r>
      <w:r>
        <w:rPr>
          <w:rFonts w:ascii="Times New Roman" w:hAnsi="Times New Roman" w:cs="Times New Roman" w:eastAsia="Times New Roman" w:hint="default"/>
          <w:spacing w:val="-2"/>
        </w:rPr>
        <w:t>”</w:t>
      </w:r>
      <w:r>
        <w:rPr>
          <w:spacing w:val="-2"/>
        </w:rPr>
        <w:t>；</w:t>
      </w:r>
    </w:p>
    <w:p>
      <w:pPr>
        <w:pStyle w:val="BodyText"/>
        <w:spacing w:line="331" w:lineRule="auto" w:before="148"/>
        <w:ind w:right="1133" w:firstLine="420"/>
        <w:jc w:val="left"/>
      </w:pPr>
      <w:r>
        <w:rPr>
          <w:rFonts w:ascii="Times New Roman" w:hAnsi="Times New Roman" w:cs="Times New Roman" w:eastAsia="Times New Roman" w:hint="default"/>
        </w:rPr>
        <w:t>13</w:t>
      </w:r>
      <w:r>
        <w:rPr/>
        <w:t>、公司入选工信部发布的《</w:t>
      </w:r>
      <w:r>
        <w:rPr>
          <w:rFonts w:ascii="Times New Roman" w:hAnsi="Times New Roman" w:cs="Times New Roman" w:eastAsia="Times New Roman" w:hint="default"/>
        </w:rPr>
        <w:t>2019</w:t>
      </w:r>
      <w:r>
        <w:rPr/>
        <w:t>年中国软件业务收入前百家企业发展报告》中</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年软件业务收</w:t>
      </w:r>
      <w:r>
        <w:rPr>
          <w:w w:val="100"/>
        </w:rPr>
        <w:t> </w:t>
      </w:r>
      <w:r>
        <w:rPr/>
        <w:t>入百强企业名单</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5"/>
          <w:szCs w:val="15"/>
        </w:rPr>
      </w:pPr>
    </w:p>
    <w:p>
      <w:pPr>
        <w:pStyle w:val="Heading2"/>
        <w:spacing w:line="240" w:lineRule="auto"/>
        <w:ind w:right="1133"/>
        <w:jc w:val="left"/>
        <w:rPr>
          <w:b w:val="0"/>
          <w:bCs w:val="0"/>
        </w:rPr>
      </w:pPr>
      <w:bookmarkStart w:name="二、主营业务分析" w:id="27"/>
      <w:bookmarkEnd w:id="27"/>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概述" w:id="28"/>
      <w:bookmarkEnd w:id="28"/>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是否与经营情况讨论与分析中的概述披露相同</w:t>
      </w:r>
    </w:p>
    <w:p>
      <w:pPr>
        <w:spacing w:line="340" w:lineRule="auto" w:before="118"/>
        <w:ind w:left="152" w:right="6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7"/>
        <w:rPr>
          <w:rFonts w:ascii="宋体" w:hAnsi="宋体" w:cs="宋体" w:eastAsia="宋体" w:hint="default"/>
          <w:sz w:val="19"/>
          <w:szCs w:val="19"/>
        </w:rPr>
      </w:pPr>
    </w:p>
    <w:p>
      <w:pPr>
        <w:pStyle w:val="Heading3"/>
        <w:spacing w:line="240" w:lineRule="auto"/>
        <w:ind w:right="1133"/>
        <w:jc w:val="left"/>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1,919,439,845.55</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2,281,935,557.26</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334,833,161.79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445,903,811.27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19.54%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949,032,114.16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945,215,869.14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41.42%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25,665,519.72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45,116,891.45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-43.11%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68,765,432.99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512,668,001.29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-86.59%</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20,847,859.42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18,677,645.96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8,120,814.78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11,134,350.29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-27.07%</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铁路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42,117,014.26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63,994,329.57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-34.19%</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28,393,267.70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30,811,878.67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石油石化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393,181,620.47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148,304,864.35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48,483,040.26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60,107,915.27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-19.34%</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448,242,894.76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597,529,392.85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26.19%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-24.98%</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903,728,572.35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47.08%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814,565,493.05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35.70%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9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174,357,554.42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261,764,540.71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电商运营服务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393,110,824.02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608,076,130.65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-35.35%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10,608,218.53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18,258,171.93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-41.90%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59,060,205.48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99,681,005.15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114,926,108.37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240,970,412.74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-52.31%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1,666,872,243.49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1,766,275,912.51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27,279,030.46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77,789,652.55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-64.93%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11,057,589.76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36,596,090.13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-69.78%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28,888,383.65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41,361,859.56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748,065.81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1,002,452.69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-25.38%</w:t>
            </w:r>
          </w:p>
        </w:tc>
      </w:tr>
    </w:tbl>
    <w:p>
      <w:pPr>
        <w:spacing w:before="49"/>
        <w:ind w:left="9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70"/>
        <w:gridCol w:w="1285"/>
        <w:gridCol w:w="1277"/>
        <w:gridCol w:w="1277"/>
        <w:gridCol w:w="1416"/>
        <w:gridCol w:w="1277"/>
        <w:gridCol w:w="1277"/>
        <w:gridCol w:w="1270"/>
        <w:gridCol w:w="1280"/>
      </w:tblGrid>
      <w:tr>
        <w:trPr>
          <w:trHeight w:val="206" w:hRule="exact"/>
        </w:trPr>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5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510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5256" w:type="dxa"/>
            <w:gridSpan w:val="4"/>
            <w:vMerge/>
            <w:tcBorders>
              <w:left w:val="single" w:sz="4" w:space="0" w:color="000000"/>
              <w:bottom w:val="single" w:sz="4" w:space="0" w:color="000000"/>
              <w:right w:val="single" w:sz="4" w:space="0" w:color="000000"/>
            </w:tcBorders>
            <w:shd w:val="clear" w:color="auto" w:fill="D2D2D2"/>
          </w:tcPr>
          <w:p>
            <w:pPr/>
          </w:p>
        </w:tc>
        <w:tc>
          <w:tcPr>
            <w:tcW w:w="510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430,599,460.46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545,905,975.06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326,687,649.30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616,246,760.73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530,631,596.36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328,036,418.41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493,769,857.94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929,497,684.55</w:t>
            </w:r>
          </w:p>
        </w:tc>
      </w:tr>
      <w:tr>
        <w:trPr>
          <w:trHeight w:val="1027"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45"/>
              <w:jc w:val="both"/>
              <w:rPr>
                <w:rFonts w:ascii="宋体" w:hAnsi="宋体" w:cs="宋体" w:eastAsia="宋体" w:hint="default"/>
                <w:sz w:val="18"/>
                <w:szCs w:val="18"/>
              </w:rPr>
            </w:pPr>
            <w:r>
              <w:rPr>
                <w:rFonts w:ascii="宋体" w:hAnsi="宋体" w:cs="宋体" w:eastAsia="宋体" w:hint="default"/>
                <w:sz w:val="18"/>
                <w:szCs w:val="18"/>
              </w:rPr>
              <w:t>归属于上市 公司股东的 净利润</w:t>
            </w:r>
          </w:p>
        </w:tc>
        <w:tc>
          <w:tcPr>
            <w:tcW w:w="1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66,858,047.52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78,355,456.18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30,370,532.55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-1,112,101,859.60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63,804,332.57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89,500,258.26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73,686,828.26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170,951,692.18</w:t>
            </w:r>
          </w:p>
        </w:tc>
      </w:tr>
    </w:tbl>
    <w:p>
      <w:pPr>
        <w:spacing w:before="49"/>
        <w:ind w:left="952"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说明经营季节性（或周期性）发生的原因及波动风险：无</w:t>
      </w:r>
    </w:p>
    <w:p>
      <w:pPr>
        <w:spacing w:line="240" w:lineRule="auto" w:before="0"/>
        <w:rPr>
          <w:rFonts w:ascii="宋体" w:hAnsi="宋体" w:cs="宋体" w:eastAsia="宋体" w:hint="default"/>
          <w:sz w:val="18"/>
          <w:szCs w:val="18"/>
        </w:rPr>
      </w:pPr>
    </w:p>
    <w:p>
      <w:pPr>
        <w:pStyle w:val="Heading3"/>
        <w:spacing w:line="240" w:lineRule="auto" w:before="118"/>
        <w:ind w:left="952"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9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9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334,833,161.79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198,688,331.17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949,032,114.16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487,126,094.25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石油石化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393,181,620.47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166,208,278.48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-19.96%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448,242,894.76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164,598,802.04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903,728,572.35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600,152,377.05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电商运营服务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393,110,824.02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166,163,248.83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-20.63%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5" w:footer="980" w:top="1060" w:bottom="1160" w:left="1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1,666,872,243.49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890,131,160.07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-5.63%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24.81%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4" w:right="0"/>
              <w:jc w:val="left"/>
              <w:rPr>
                <w:rFonts w:ascii="Times New Roman" w:hAnsi="Times New Roman" w:cs="Times New Roman" w:eastAsia="Times New Roman" w:hint="default"/>
                <w:sz w:val="18"/>
                <w:szCs w:val="18"/>
              </w:rPr>
            </w:pPr>
            <w:r>
              <w:rPr>
                <w:rFonts w:ascii="Times New Roman"/>
                <w:sz w:val="18"/>
              </w:rPr>
              <w:t>-13.02%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732,143,213.25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709,207,688.92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安全业务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25,784,507.36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51,523,027.14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90,533,214.00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34,953,952.27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电商业务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168,640.38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601,289.93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电商业务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18,910,907.14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26,183,537.03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电商业务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147,083,701.31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104,768,416.66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38" w:lineRule="auto"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732,311,853.63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709,808,978.85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44,695,414.50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77,706,564.17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237,616,915.31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139,722,368.93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p>
      <w:pPr>
        <w:pStyle w:val="BodyText"/>
        <w:spacing w:line="240" w:lineRule="auto"/>
        <w:ind w:left="573" w:right="1133"/>
        <w:jc w:val="left"/>
      </w:pPr>
      <w:r>
        <w:rPr/>
        <w:t>详见第十二节财务报告第八项合并范围的变更。</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218,676,804.06</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11.39%</w:t>
            </w:r>
          </w:p>
        </w:tc>
      </w:tr>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360" w:lineRule="auto" w:before="49"/>
        <w:ind w:left="152" w:right="3194" w:firstLine="0"/>
        <w:jc w:val="left"/>
        <w:rPr>
          <w:rFonts w:ascii="宋体" w:hAnsi="宋体" w:cs="宋体" w:eastAsia="宋体" w:hint="default"/>
          <w:sz w:val="18"/>
          <w:szCs w:val="18"/>
        </w:rPr>
      </w:pPr>
      <w:r>
        <w:rPr>
          <w:rFonts w:ascii="宋体" w:hAnsi="宋体" w:cs="宋体" w:eastAsia="宋体" w:hint="default"/>
          <w:sz w:val="18"/>
          <w:szCs w:val="18"/>
        </w:rPr>
        <w:t>注：属于同一实际控制人控制的客户应当合并列示，受同一国有资产管理机构实际控制的除外。 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2"/>
              <w:ind w:left="27" w:right="0"/>
              <w:jc w:val="left"/>
              <w:rPr>
                <w:rFonts w:ascii="宋体" w:hAnsi="宋体" w:cs="宋体" w:eastAsia="宋体" w:hint="default"/>
                <w:sz w:val="18"/>
                <w:szCs w:val="18"/>
              </w:rPr>
            </w:pPr>
            <w:r>
              <w:rPr>
                <w:rFonts w:ascii="宋体" w:hAnsi="宋体" w:cs="宋体" w:eastAsia="宋体" w:hint="default"/>
                <w:sz w:val="18"/>
                <w:szCs w:val="18"/>
              </w:rPr>
              <w:t>中经客商一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60,697,171.83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3.16%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中经客商二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49,711,680.32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2.59%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2"/>
              <w:ind w:left="27" w:right="0"/>
              <w:jc w:val="left"/>
              <w:rPr>
                <w:rFonts w:ascii="宋体" w:hAnsi="宋体" w:cs="宋体" w:eastAsia="宋体" w:hint="default"/>
                <w:sz w:val="18"/>
                <w:szCs w:val="18"/>
              </w:rPr>
            </w:pPr>
            <w:r>
              <w:rPr>
                <w:rFonts w:ascii="宋体" w:hAnsi="宋体" w:cs="宋体" w:eastAsia="宋体" w:hint="default"/>
                <w:sz w:val="18"/>
                <w:szCs w:val="18"/>
              </w:rPr>
              <w:t>中经客商三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49,258,837.39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2.57%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江门市公安局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31,141,265.92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1.62%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2"/>
              <w:ind w:left="27" w:right="0"/>
              <w:jc w:val="left"/>
              <w:rPr>
                <w:rFonts w:ascii="宋体" w:hAnsi="宋体" w:cs="宋体" w:eastAsia="宋体" w:hint="default"/>
                <w:sz w:val="18"/>
                <w:szCs w:val="18"/>
              </w:rPr>
            </w:pPr>
            <w:r>
              <w:rPr>
                <w:rFonts w:ascii="宋体" w:hAnsi="宋体" w:cs="宋体" w:eastAsia="宋体" w:hint="default"/>
                <w:sz w:val="18"/>
                <w:szCs w:val="18"/>
              </w:rPr>
              <w:t>中经客商四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27,867,848.60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218,676,804.06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11.39%</w:t>
            </w:r>
          </w:p>
        </w:tc>
      </w:tr>
    </w:tbl>
    <w:p>
      <w:pPr>
        <w:spacing w:before="42"/>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218,441,517.31</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25.46%</w:t>
            </w:r>
          </w:p>
        </w:tc>
      </w:tr>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广州市翔硕信息科技有限公司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52,725,875.91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广州威联信息技术有限公司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49,469,026.55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和宇健康科技股份有限公司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46,138,633.69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广州市粤悦强计算机科技有限公司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35,736,725.67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广州晟泽达信息科技有限公司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34,371,255.49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218,441,517.31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561"/>
        <w:gridCol w:w="1560"/>
        <w:gridCol w:w="1558"/>
        <w:gridCol w:w="3049"/>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74,092,921.56</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144,333,059.23</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2" w:right="0"/>
              <w:jc w:val="left"/>
              <w:rPr>
                <w:rFonts w:ascii="Times New Roman" w:hAnsi="Times New Roman" w:cs="Times New Roman" w:eastAsia="Times New Roman" w:hint="default"/>
                <w:sz w:val="18"/>
                <w:szCs w:val="18"/>
              </w:rPr>
            </w:pPr>
            <w:r>
              <w:rPr>
                <w:rFonts w:ascii="Times New Roman"/>
                <w:sz w:val="18"/>
              </w:rPr>
              <w:t>-48.67%</w:t>
            </w:r>
          </w:p>
        </w:tc>
        <w:tc>
          <w:tcPr>
            <w:tcW w:w="304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主要是公司本报告期内优化人员结构， 加强费用管控导致销售费用下降。</w:t>
            </w:r>
          </w:p>
        </w:tc>
      </w:tr>
      <w:tr>
        <w:trPr>
          <w:trHeight w:val="39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1"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049" w:type="dxa"/>
            <w:vMerge/>
            <w:tcBorders>
              <w:left w:val="single" w:sz="4" w:space="0" w:color="000000"/>
              <w:right w:val="single" w:sz="4" w:space="0" w:color="000000"/>
            </w:tcBorders>
          </w:tcPr>
          <w:p>
            <w:pP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146,852,245.10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182,960,769.62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-19.74%</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182,203,533.42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164,900,619.81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10.49%</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211,649,046.70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218,457,099.91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350" w:lineRule="auto"/>
        <w:ind w:right="1133" w:firstLine="420"/>
        <w:jc w:val="left"/>
      </w:pPr>
      <w:r>
        <w:rPr>
          <w:spacing w:val="-2"/>
        </w:rPr>
        <w:t>通过继续保持研发创新力度，公司产品和技术不断创新，实现了全线产品的人工智能化，各个新兴安</w:t>
      </w:r>
      <w:r>
        <w:rPr>
          <w:w w:val="100"/>
        </w:rPr>
        <w:t> </w:t>
      </w:r>
      <w:r>
        <w:rPr/>
        <w:t>全领域的产品应用相继落地。</w:t>
      </w:r>
    </w:p>
    <w:p>
      <w:pPr>
        <w:pStyle w:val="BodyText"/>
        <w:spacing w:line="331" w:lineRule="auto" w:before="67"/>
        <w:ind w:right="1133" w:firstLine="420"/>
        <w:jc w:val="left"/>
      </w:pPr>
      <w:r>
        <w:rPr>
          <w:spacing w:val="-2"/>
        </w:rPr>
        <w:t>无形资产情况：报告期内，公司及主要子公司新增专利</w:t>
      </w:r>
      <w:r>
        <w:rPr>
          <w:rFonts w:ascii="Times New Roman" w:hAnsi="Times New Roman" w:cs="Times New Roman" w:eastAsia="Times New Roman" w:hint="default"/>
          <w:spacing w:val="-2"/>
        </w:rPr>
        <w:t>4</w:t>
      </w:r>
      <w:r>
        <w:rPr>
          <w:spacing w:val="-2"/>
        </w:rPr>
        <w:t>项，新增软件著作权</w:t>
      </w:r>
      <w:r>
        <w:rPr>
          <w:rFonts w:ascii="Times New Roman" w:hAnsi="Times New Roman" w:cs="Times New Roman" w:eastAsia="Times New Roman" w:hint="default"/>
          <w:spacing w:val="-2"/>
        </w:rPr>
        <w:t>29</w:t>
      </w:r>
      <w:r>
        <w:rPr>
          <w:spacing w:val="-2"/>
        </w:rPr>
        <w:t>项；截至报告期末，</w:t>
      </w:r>
      <w:r>
        <w:rPr>
          <w:w w:val="100"/>
        </w:rPr>
        <w:t> </w:t>
      </w:r>
      <w:r>
        <w:rPr/>
        <w:t>公司及主要子公司共拥有专利</w:t>
      </w:r>
      <w:r>
        <w:rPr>
          <w:rFonts w:ascii="Times New Roman" w:hAnsi="Times New Roman" w:cs="Times New Roman" w:eastAsia="Times New Roman" w:hint="default"/>
        </w:rPr>
        <w:t>121</w:t>
      </w:r>
      <w:r>
        <w:rPr/>
        <w:t>项，软件著作权</w:t>
      </w:r>
      <w:r>
        <w:rPr>
          <w:rFonts w:ascii="Times New Roman" w:hAnsi="Times New Roman" w:cs="Times New Roman" w:eastAsia="Times New Roman" w:hint="default"/>
        </w:rPr>
        <w:t>812</w:t>
      </w:r>
      <w:r>
        <w:rPr/>
        <w:t>项。</w:t>
      </w:r>
    </w:p>
    <w:p>
      <w:pPr>
        <w:spacing w:line="240" w:lineRule="auto" w:before="0"/>
        <w:rPr>
          <w:rFonts w:ascii="宋体" w:hAnsi="宋体" w:cs="宋体" w:eastAsia="宋体" w:hint="default"/>
          <w:sz w:val="22"/>
          <w:szCs w:val="22"/>
        </w:rPr>
      </w:pPr>
    </w:p>
    <w:p>
      <w:pPr>
        <w:spacing w:before="145"/>
        <w:ind w:left="152" w:right="1133"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124"/>
        <w:gridCol w:w="2057"/>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236,328,076.35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249,503,722.15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245,055,287.05</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11.06%</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44,286,459.81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31,038,980.69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17,669,912.32</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2" w:right="49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4112"/>
        <w:gridCol w:w="1630"/>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98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一站式安全云计算体系研发 项目建设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95" w:right="0"/>
              <w:jc w:val="left"/>
              <w:rPr>
                <w:rFonts w:ascii="Times New Roman" w:hAnsi="Times New Roman" w:cs="Times New Roman" w:eastAsia="Times New Roman" w:hint="default"/>
                <w:sz w:val="18"/>
                <w:szCs w:val="18"/>
              </w:rPr>
            </w:pPr>
            <w:r>
              <w:rPr>
                <w:rFonts w:ascii="Times New Roman"/>
                <w:sz w:val="18"/>
              </w:rPr>
              <w:t>10,102,471.75</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一站式安全云计算体系是一个全面的企业信息安全 解决体系，在云端为客户提供服务的能力，包括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公有云安全服务及人工支撑的安全服务；在本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项目已经验收</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3.940002pt;margin-top:643.539978pt;width:81pt;height:46.8pt;mso-position-horizontal-relative:page;mso-position-vertical-relative:page;z-index:-1432624" coordorigin="9079,12871" coordsize="1620,936">
            <v:shape style="position:absolute;left:9079;top:12871;width:1620;height:936" coordorigin="9079,12871" coordsize="1620,936" path="m9079,13807l10699,13807,10699,12871,9079,12871,9079,1380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4112"/>
        <w:gridCol w:w="1630"/>
      </w:tblGrid>
      <w:tr>
        <w:trPr>
          <w:trHeight w:val="1611"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4"/>
              <w:jc w:val="both"/>
              <w:rPr>
                <w:rFonts w:ascii="宋体" w:hAnsi="宋体" w:cs="宋体" w:eastAsia="宋体" w:hint="default"/>
                <w:sz w:val="18"/>
                <w:szCs w:val="18"/>
              </w:rPr>
            </w:pPr>
            <w:r>
              <w:rPr>
                <w:rFonts w:ascii="宋体" w:hAnsi="宋体" w:cs="宋体" w:eastAsia="宋体" w:hint="default"/>
                <w:sz w:val="18"/>
                <w:szCs w:val="18"/>
              </w:rPr>
              <w:t>地为客户提供解决方案的能力，包括私有云计算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 </w:t>
            </w:r>
            <w:r>
              <w:rPr>
                <w:rFonts w:ascii="宋体" w:hAnsi="宋体" w:cs="宋体" w:eastAsia="宋体" w:hint="default"/>
                <w:spacing w:val="-4"/>
                <w:sz w:val="18"/>
                <w:szCs w:val="18"/>
              </w:rPr>
              <w:t>基础服务，并提供广泛的虚拟安全组件资源池。上述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服务和产品均由蓝盾云官网平台承载及落地。从产品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能力、服务能力、运营能力三方面解决客户的信息安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全问题。</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2"/>
              <w:jc w:val="left"/>
              <w:rPr>
                <w:rFonts w:ascii="宋体" w:hAnsi="宋体" w:cs="宋体" w:eastAsia="宋体" w:hint="default"/>
                <w:sz w:val="18"/>
                <w:szCs w:val="18"/>
              </w:rPr>
            </w:pPr>
            <w:r>
              <w:rPr>
                <w:rFonts w:ascii="宋体" w:hAnsi="宋体" w:cs="宋体" w:eastAsia="宋体" w:hint="default"/>
                <w:sz w:val="18"/>
                <w:szCs w:val="18"/>
              </w:rPr>
              <w:t>网络综合态势预警平台研发 项目建设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7,822,084.77</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4"/>
                <w:sz w:val="18"/>
                <w:szCs w:val="18"/>
              </w:rPr>
              <w:t>本项目一个全面的企业信息安全分析管理体系，在云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端为客户提供服务，包括厂商级规模的安全分析和策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略迭代服务；在本地为客户提供解决方案能力，包括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私有云级别的统一安全管理和深度安全分析能力，并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提供高可用易扩展的数据中心能力。上述服务和产品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均由蓝盾态势感知平台体系承载和落地，从产品能 </w:t>
            </w:r>
            <w:r>
              <w:rPr>
                <w:rFonts w:ascii="宋体" w:hAnsi="宋体" w:cs="宋体" w:eastAsia="宋体" w:hint="default"/>
                <w:spacing w:val="-4"/>
                <w:sz w:val="18"/>
                <w:szCs w:val="18"/>
              </w:rPr>
              <w:t>力、服务能力、运营能力三方面解决企业的信息安全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问题。</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项目已经验收</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蓝盾安全云桌面系统的研发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7,168,498.49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4"/>
                <w:sz w:val="18"/>
                <w:szCs w:val="18"/>
              </w:rPr>
              <w:t>蓝盾安全云桌面系统，是针对网络安全需求推出的专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属云桌面安全产品，从边界防护、业务防护到设备防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护，全方位提供安全防护</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项目已经验收</w:t>
            </w:r>
          </w:p>
        </w:tc>
      </w:tr>
      <w:tr>
        <w:trPr>
          <w:trHeight w:val="196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企业移动信息化安全管理体 系研发项目建设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5,088,012.74</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企业移动信息化安全管理体系通过一整套安全解决 </w:t>
            </w:r>
            <w:r>
              <w:rPr>
                <w:rFonts w:ascii="宋体" w:hAnsi="宋体" w:cs="宋体" w:eastAsia="宋体" w:hint="default"/>
                <w:spacing w:val="-4"/>
                <w:sz w:val="18"/>
                <w:szCs w:val="18"/>
              </w:rPr>
              <w:t>方案，从无线防钓鱼到通信加密、从应用防伪造到业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务应用加固、从操作系统杀毒到设备整体防护，该体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系能够全方位立体的对整个移动业务系统进行有效 </w:t>
            </w:r>
            <w:r>
              <w:rPr>
                <w:rFonts w:ascii="宋体" w:hAnsi="宋体" w:cs="宋体" w:eastAsia="宋体" w:hint="default"/>
                <w:spacing w:val="-4"/>
                <w:sz w:val="18"/>
                <w:szCs w:val="18"/>
              </w:rPr>
              <w:t>保护。解决用户困扰，强化用户对移动业务建设的信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项目已经验收</w:t>
            </w:r>
          </w:p>
        </w:tc>
      </w:tr>
      <w:tr>
        <w:trPr>
          <w:trHeight w:val="290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72"/>
              <w:jc w:val="left"/>
              <w:rPr>
                <w:rFonts w:ascii="宋体" w:hAnsi="宋体" w:cs="宋体" w:eastAsia="宋体" w:hint="default"/>
                <w:sz w:val="18"/>
                <w:szCs w:val="18"/>
              </w:rPr>
            </w:pPr>
            <w:r>
              <w:rPr>
                <w:rFonts w:ascii="宋体" w:hAnsi="宋体" w:cs="宋体" w:eastAsia="宋体" w:hint="default"/>
                <w:sz w:val="18"/>
                <w:szCs w:val="18"/>
              </w:rPr>
              <w:t>基于区块链技术的网络安全 监管防护平台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4,051,219.55</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项目围绕以区块链为代表的新型去中心化网络的安 </w:t>
            </w:r>
            <w:r>
              <w:rPr>
                <w:rFonts w:ascii="宋体" w:hAnsi="宋体" w:cs="宋体" w:eastAsia="宋体" w:hint="default"/>
                <w:spacing w:val="-4"/>
                <w:sz w:val="18"/>
                <w:szCs w:val="18"/>
              </w:rPr>
              <w:t>全防护理论体系和安全防护架构开展研究，包括区块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链网络中的异常行为和内容监管方法研究、区块链加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密数字货币异常交易监测机制研究、区块链网络防火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墙研制等，重点通过引入多模型检测实现区块链网络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攻击等恶意行为发现的突破、通过研究高效用户族谱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分析技术实现异常账户溯源技术的突破等，最终构建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可管、可控区块链安全管控机制，并在国家有关部门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开展示范应用。</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目前处于开发阶段</w:t>
            </w:r>
          </w:p>
        </w:tc>
      </w:tr>
      <w:tr>
        <w:trPr>
          <w:trHeight w:val="133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4U </w:t>
            </w:r>
            <w:r>
              <w:rPr>
                <w:rFonts w:ascii="宋体" w:hAnsi="宋体" w:cs="宋体" w:eastAsia="宋体" w:hint="default"/>
                <w:sz w:val="18"/>
                <w:szCs w:val="18"/>
              </w:rPr>
              <w:t>网络安全 监测审计平台研发及产业化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2,589,901.22</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both"/>
              <w:rPr>
                <w:rFonts w:ascii="宋体" w:hAnsi="宋体" w:cs="宋体" w:eastAsia="宋体" w:hint="default"/>
                <w:sz w:val="18"/>
                <w:szCs w:val="18"/>
              </w:rPr>
            </w:pPr>
            <w:r>
              <w:rPr>
                <w:rFonts w:ascii="宋体" w:hAnsi="宋体" w:cs="宋体" w:eastAsia="宋体" w:hint="default"/>
                <w:spacing w:val="-4"/>
                <w:sz w:val="18"/>
                <w:szCs w:val="18"/>
              </w:rPr>
              <w:t>主要是建设网络应用安全监测审计平台，包括：虚拟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网络审计子系统、第三方数据存管审计子系统和网络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安全审计服务控制平台。过程需要对现有产品进行完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善性开发和部分改造性开发。</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目前处于测试阶段</w:t>
            </w:r>
          </w:p>
        </w:tc>
      </w:tr>
      <w:tr>
        <w:trPr>
          <w:trHeight w:val="22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高校安全应急宣教系统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2,210,091.70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高校安全应急宣教系统采用教育和宣传相结合的方 </w:t>
            </w:r>
            <w:r>
              <w:rPr>
                <w:rFonts w:ascii="宋体" w:hAnsi="宋体" w:cs="宋体" w:eastAsia="宋体" w:hint="default"/>
                <w:spacing w:val="-4"/>
                <w:sz w:val="18"/>
                <w:szCs w:val="18"/>
              </w:rPr>
              <w:t>式，一方面通过系统全面的教学，让大学生对各类安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全风险具有更加深入的认识；另一方面，通过常识 </w:t>
            </w:r>
            <w:r>
              <w:rPr>
                <w:rFonts w:ascii="宋体" w:hAnsi="宋体" w:cs="宋体" w:eastAsia="宋体" w:hint="default"/>
                <w:spacing w:val="-4"/>
                <w:sz w:val="18"/>
                <w:szCs w:val="18"/>
              </w:rPr>
              <w:t>案例、安全资讯内容的宣传，提高其在生活工作中的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安全意识。同时通过采用三维游戏互动，模拟日常安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全相关事件的场景，学生通过游戏提高安全意识，减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学前儿童意外伤害的发生。</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项目已经验收</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3,193,665,581.52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5,249,572,680.00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3,482,124,525.58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5,080,318,230.53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-288,458,944.06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169,254,449.47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-270.43%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50,538,241.47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222,159,946.47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-77.25%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313,001,272.88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1,902,652,237.49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-83.55%</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-262,463,031.41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-1,680,492,291.02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2,271,611,309.37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3,412,881,950.14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2,681,703,656.50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2,451,310,874.98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-410,092,347.13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961,571,075.16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-961,014,313.86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-549,666,180.94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331" w:lineRule="auto"/>
        <w:ind w:right="1177" w:firstLine="420"/>
        <w:jc w:val="left"/>
      </w:pPr>
      <w:r>
        <w:rPr/>
        <w:t>（</w:t>
      </w:r>
      <w:r>
        <w:rPr>
          <w:rFonts w:ascii="Times New Roman" w:hAnsi="Times New Roman" w:cs="Times New Roman" w:eastAsia="Times New Roman" w:hint="default"/>
        </w:rPr>
        <w:t>1</w:t>
      </w:r>
      <w:r>
        <w:rPr/>
        <w:t>）经营活动产生的现金流量净额同比下降</w:t>
      </w:r>
      <w:r>
        <w:rPr>
          <w:spacing w:val="-59"/>
        </w:rPr>
        <w:t> </w:t>
      </w:r>
      <w:r>
        <w:rPr>
          <w:rFonts w:ascii="Times New Roman" w:hAnsi="Times New Roman" w:cs="Times New Roman" w:eastAsia="Times New Roman" w:hint="default"/>
        </w:rPr>
        <w:t>270.43%</w:t>
      </w:r>
      <w:r>
        <w:rPr/>
        <w:t>，其中经营活动现金流入同比下降</w:t>
      </w:r>
      <w:r>
        <w:rPr>
          <w:spacing w:val="-59"/>
        </w:rPr>
        <w:t> </w:t>
      </w:r>
      <w:r>
        <w:rPr>
          <w:rFonts w:ascii="Times New Roman" w:hAnsi="Times New Roman" w:cs="Times New Roman" w:eastAsia="Times New Roman" w:hint="default"/>
        </w:rPr>
        <w:t>39.16%</w:t>
      </w:r>
      <w:r>
        <w:rPr/>
        <w:t>，经</w:t>
      </w:r>
      <w:r>
        <w:rPr>
          <w:spacing w:val="-3"/>
          <w:w w:val="100"/>
        </w:rPr>
        <w:t> </w:t>
      </w:r>
      <w:r>
        <w:rPr>
          <w:spacing w:val="-2"/>
        </w:rPr>
        <w:t>营活动现金流出同比下降</w:t>
      </w:r>
      <w:r>
        <w:rPr>
          <w:spacing w:val="31"/>
        </w:rPr>
        <w:t> </w:t>
      </w:r>
      <w:r>
        <w:rPr>
          <w:rFonts w:ascii="Times New Roman" w:hAnsi="Times New Roman" w:cs="Times New Roman" w:eastAsia="Times New Roman" w:hint="default"/>
          <w:spacing w:val="-2"/>
        </w:rPr>
        <w:t>31.46%</w:t>
      </w:r>
      <w:r>
        <w:rPr>
          <w:spacing w:val="-2"/>
        </w:rPr>
        <w:t>，主要系报告期公司经营活动现金流入较现金流出同比变动较多。</w:t>
      </w:r>
    </w:p>
    <w:p>
      <w:pPr>
        <w:pStyle w:val="BodyText"/>
        <w:spacing w:line="328" w:lineRule="auto" w:before="60"/>
        <w:ind w:right="1128" w:firstLine="420"/>
        <w:jc w:val="both"/>
      </w:pPr>
      <w:r>
        <w:rPr>
          <w:spacing w:val="-3"/>
        </w:rPr>
        <w:t>（</w:t>
      </w:r>
      <w:r>
        <w:rPr>
          <w:rFonts w:ascii="Times New Roman" w:hAnsi="Times New Roman" w:cs="Times New Roman" w:eastAsia="Times New Roman" w:hint="default"/>
          <w:spacing w:val="-3"/>
        </w:rPr>
        <w:t>2</w:t>
      </w:r>
      <w:r>
        <w:rPr>
          <w:spacing w:val="-3"/>
        </w:rPr>
        <w:t>）投资活动产生的现金流量净额同比增长 </w:t>
      </w:r>
      <w:r>
        <w:rPr>
          <w:rFonts w:ascii="Times New Roman" w:hAnsi="Times New Roman" w:cs="Times New Roman" w:eastAsia="Times New Roman" w:hint="default"/>
          <w:spacing w:val="-3"/>
        </w:rPr>
        <w:t>84.88%</w:t>
      </w:r>
      <w:r>
        <w:rPr>
          <w:spacing w:val="-3"/>
        </w:rPr>
        <w:t>，其中投资活动现金流入同比下降</w:t>
      </w:r>
      <w:r>
        <w:rPr>
          <w:spacing w:val="-29"/>
        </w:rPr>
        <w:t> </w:t>
      </w:r>
      <w:r>
        <w:rPr>
          <w:rFonts w:ascii="Times New Roman" w:hAnsi="Times New Roman" w:cs="Times New Roman" w:eastAsia="Times New Roman" w:hint="default"/>
          <w:spacing w:val="-4"/>
        </w:rPr>
        <w:t>77.25%</w:t>
      </w:r>
      <w:r>
        <w:rPr>
          <w:spacing w:val="-4"/>
        </w:rPr>
        <w:t>，投资</w:t>
      </w:r>
      <w:r>
        <w:rPr>
          <w:w w:val="100"/>
        </w:rPr>
        <w:t> </w:t>
      </w:r>
      <w:r>
        <w:rPr/>
        <w:t>活动现金流出同比下降</w:t>
      </w:r>
      <w:r>
        <w:rPr>
          <w:spacing w:val="-19"/>
        </w:rPr>
        <w:t> </w:t>
      </w:r>
      <w:r>
        <w:rPr>
          <w:rFonts w:ascii="Times New Roman" w:hAnsi="Times New Roman" w:cs="Times New Roman" w:eastAsia="Times New Roman" w:hint="default"/>
          <w:spacing w:val="-4"/>
        </w:rPr>
        <w:t>83.55%</w:t>
      </w:r>
      <w:r>
        <w:rPr>
          <w:spacing w:val="-4"/>
        </w:rPr>
        <w:t>，主要系报告期公司购建固定资产、无形资产和其他长期资产支付的现金减</w:t>
      </w:r>
      <w:r>
        <w:rPr>
          <w:spacing w:val="-89"/>
        </w:rPr>
        <w:t> </w:t>
      </w:r>
      <w:r>
        <w:rPr>
          <w:spacing w:val="-89"/>
        </w:rPr>
      </w:r>
      <w:r>
        <w:rPr/>
        <w:t>少。</w:t>
      </w:r>
    </w:p>
    <w:p>
      <w:pPr>
        <w:spacing w:line="328" w:lineRule="auto" w:before="89"/>
        <w:ind w:left="152" w:right="982" w:firstLine="420"/>
        <w:jc w:val="left"/>
        <w:rPr>
          <w:rFonts w:ascii="宋体" w:hAnsi="宋体" w:cs="宋体" w:eastAsia="宋体" w:hint="default"/>
          <w:sz w:val="18"/>
          <w:szCs w:val="18"/>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）筹资活动产生的现金流量净额同比下降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142.65%</w:t>
      </w:r>
      <w:r>
        <w:rPr>
          <w:rFonts w:ascii="宋体" w:hAnsi="宋体" w:cs="宋体" w:eastAsia="宋体" w:hint="default"/>
          <w:sz w:val="21"/>
          <w:szCs w:val="21"/>
        </w:rPr>
        <w:t>，其中筹资活动现金流入同比下降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33.44%</w:t>
      </w:r>
      <w:r>
        <w:rPr>
          <w:rFonts w:ascii="宋体" w:hAnsi="宋体" w:cs="宋体" w:eastAsia="宋体" w:hint="default"/>
          <w:sz w:val="21"/>
          <w:szCs w:val="21"/>
        </w:rPr>
        <w:t>，筹</w:t>
      </w:r>
      <w:r>
        <w:rPr>
          <w:rFonts w:ascii="宋体" w:hAnsi="宋体" w:cs="宋体" w:eastAsia="宋体" w:hint="default"/>
          <w:spacing w:val="-3"/>
          <w:w w:val="100"/>
          <w:sz w:val="21"/>
          <w:szCs w:val="21"/>
        </w:rPr>
        <w:t> </w:t>
      </w:r>
      <w:r>
        <w:rPr>
          <w:rFonts w:ascii="宋体" w:hAnsi="宋体" w:cs="宋体" w:eastAsia="宋体" w:hint="default"/>
          <w:spacing w:val="-2"/>
          <w:sz w:val="21"/>
          <w:szCs w:val="21"/>
        </w:rPr>
        <w:t>资活动现金流出同比增长</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9.4%</w:t>
      </w:r>
      <w:r>
        <w:rPr>
          <w:rFonts w:ascii="宋体" w:hAnsi="宋体" w:cs="宋体" w:eastAsia="宋体" w:hint="default"/>
          <w:spacing w:val="-2"/>
          <w:sz w:val="21"/>
          <w:szCs w:val="21"/>
        </w:rPr>
        <w:t>，主要系去年公司为了扩大生产经营规模，通过发行可转债方式进行融资，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导致本年筹资活动产生的现金流量净额较去年有所下降。</w:t>
      </w:r>
      <w:r>
        <w:rPr>
          <w:rFonts w:ascii="宋体" w:hAnsi="宋体" w:cs="宋体" w:eastAsia="宋体" w:hint="default"/>
          <w:w w:val="100"/>
          <w:sz w:val="21"/>
          <w:szCs w:val="21"/>
        </w:rPr>
        <w:t> </w:t>
      </w:r>
      <w:r>
        <w:rPr>
          <w:rFonts w:ascii="宋体" w:hAnsi="宋体" w:cs="宋体" w:eastAsia="宋体" w:hint="default"/>
          <w:sz w:val="18"/>
          <w:szCs w:val="18"/>
        </w:rPr>
        <w:t>报告期内公司经营活动产生的现金净流量与本年度净利润存在重大差异的原因说明</w:t>
      </w:r>
    </w:p>
    <w:p>
      <w:pPr>
        <w:spacing w:before="5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非主营业务情况" w:id="41"/>
      <w:bookmarkEnd w:id="41"/>
      <w:r>
        <w:rPr>
          <w:b w:val="0"/>
          <w:bCs w:val="0"/>
        </w:rPr>
      </w:r>
      <w:r>
        <w:rPr/>
        <w:t>三、非主营业务情况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812" w:right="6794"/>
        <w:jc w:val="left"/>
        <w:rPr>
          <w:b w:val="0"/>
          <w:bCs w:val="0"/>
        </w:rPr>
      </w:pPr>
      <w:bookmarkStart w:name="四、资产及负债状况" w:id="42"/>
      <w:bookmarkEnd w:id="42"/>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812" w:right="6794"/>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320" w:right="0"/>
        </w:sectPr>
      </w:pPr>
    </w:p>
    <w:p>
      <w:pPr>
        <w:spacing w:before="44"/>
        <w:ind w:left="812" w:right="-16"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812"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507"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320" w:right="0"/>
          <w:cols w:num="2" w:equalWidth="0">
            <w:col w:w="9186" w:space="40"/>
            <w:col w:w="2364"/>
          </w:cols>
        </w:sectPr>
      </w:pPr>
    </w:p>
    <w:p>
      <w:pPr>
        <w:spacing w:line="240" w:lineRule="auto" w:before="4"/>
        <w:rPr>
          <w:rFonts w:ascii="宋体" w:hAnsi="宋体" w:cs="宋体" w:eastAsia="宋体" w:hint="default"/>
          <w:sz w:val="8"/>
          <w:szCs w:val="8"/>
        </w:rPr>
      </w:pPr>
    </w:p>
    <w:tbl>
      <w:tblPr>
        <w:tblW w:w="0" w:type="auto"/>
        <w:jc w:val="left"/>
        <w:tblInd w:w="820" w:type="dxa"/>
        <w:tblLayout w:type="fixed"/>
        <w:tblCellMar>
          <w:top w:w="0" w:type="dxa"/>
          <w:left w:w="0" w:type="dxa"/>
          <w:bottom w:w="0" w:type="dxa"/>
          <w:right w:w="0" w:type="dxa"/>
        </w:tblCellMar>
        <w:tblLook w:val="01E0"/>
      </w:tblPr>
      <w:tblGrid>
        <w:gridCol w:w="1346"/>
        <w:gridCol w:w="1478"/>
        <w:gridCol w:w="1418"/>
        <w:gridCol w:w="1560"/>
        <w:gridCol w:w="1418"/>
        <w:gridCol w:w="1133"/>
        <w:gridCol w:w="1205"/>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9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896" w:type="dxa"/>
            <w:gridSpan w:val="2"/>
            <w:vMerge/>
            <w:tcBorders>
              <w:left w:val="single" w:sz="4" w:space="0" w:color="000000"/>
              <w:bottom w:val="single" w:sz="4" w:space="0" w:color="000000"/>
              <w:right w:val="single" w:sz="4" w:space="0" w:color="000000"/>
            </w:tcBorders>
            <w:shd w:val="clear" w:color="auto" w:fill="D2D2D2"/>
          </w:tcPr>
          <w:p>
            <w:pPr/>
          </w:p>
        </w:tc>
        <w:tc>
          <w:tcPr>
            <w:tcW w:w="2979"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3"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275,044,709.06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1,128,396,441.27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2,939,498,025.89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2,755,683,225.01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220,824,023.43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245,078,433.40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8" w:type="dxa"/>
            <w:tcBorders>
              <w:top w:val="single" w:sz="4" w:space="0" w:color="000000"/>
              <w:left w:val="single" w:sz="12"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10,409,196.20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23,216,135.14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767,617,444.95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1,011,936,841.91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1,303,940,905.12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1,193,607,497.90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2,047,447,425.36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2,121,835,910.00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412,531,000.53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609,038,381.61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812" w:right="6794"/>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spacing w:before="44"/>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542"/>
        <w:gridCol w:w="720"/>
        <w:gridCol w:w="1130"/>
        <w:gridCol w:w="1275"/>
        <w:gridCol w:w="987"/>
        <w:gridCol w:w="1281"/>
        <w:gridCol w:w="1205"/>
        <w:gridCol w:w="915"/>
        <w:gridCol w:w="1212"/>
      </w:tblGrid>
      <w:tr>
        <w:trPr>
          <w:trHeight w:val="161" w:hRule="exact"/>
        </w:trPr>
        <w:tc>
          <w:tcPr>
            <w:tcW w:w="1542" w:type="dxa"/>
            <w:vMerge w:val="restart"/>
            <w:tcBorders>
              <w:top w:val="single" w:sz="4" w:space="0" w:color="000000"/>
              <w:left w:val="single" w:sz="4" w:space="0" w:color="000000"/>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
        </w:tc>
        <w:tc>
          <w:tcPr>
            <w:tcW w:w="11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1"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542"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113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6" w:right="11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75" w:type="dxa"/>
            <w:vMerge/>
            <w:tcBorders>
              <w:left w:val="single" w:sz="4" w:space="0" w:color="000000"/>
              <w:right w:val="single" w:sz="4" w:space="0" w:color="000000"/>
            </w:tcBorders>
            <w:shd w:val="clear" w:color="auto" w:fill="D2D2D2"/>
          </w:tcPr>
          <w:p>
            <w:pPr/>
          </w:p>
        </w:tc>
        <w:tc>
          <w:tcPr>
            <w:tcW w:w="9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11" w:right="35" w:hanging="272"/>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81"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5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3"/>
              <w:jc w:val="right"/>
              <w:rPr>
                <w:rFonts w:ascii="宋体" w:hAnsi="宋体" w:cs="宋体" w:eastAsia="宋体" w:hint="default"/>
                <w:sz w:val="18"/>
                <w:szCs w:val="18"/>
              </w:rPr>
            </w:pPr>
            <w:r>
              <w:rPr>
                <w:rFonts w:ascii="宋体" w:hAnsi="宋体" w:cs="宋体" w:eastAsia="宋体" w:hint="default"/>
                <w:sz w:val="18"/>
                <w:szCs w:val="18"/>
              </w:rPr>
              <w:t>期初数</w:t>
            </w:r>
          </w:p>
        </w:tc>
        <w:tc>
          <w:tcPr>
            <w:tcW w:w="113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2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542" w:type="dxa"/>
            <w:vMerge w:val="restart"/>
            <w:tcBorders>
              <w:top w:val="nil" w:sz="6" w:space="0" w:color="auto"/>
              <w:left w:val="single" w:sz="4" w:space="0" w:color="000000"/>
              <w:right w:val="single" w:sz="4" w:space="0" w:color="000000"/>
            </w:tcBorders>
            <w:shd w:val="clear" w:color="auto" w:fill="D2D2D2"/>
          </w:tcPr>
          <w:p>
            <w:pPr/>
          </w:p>
        </w:tc>
        <w:tc>
          <w:tcPr>
            <w:tcW w:w="720" w:type="dxa"/>
            <w:vMerge w:val="restart"/>
            <w:tcBorders>
              <w:top w:val="nil" w:sz="6" w:space="0" w:color="auto"/>
              <w:left w:val="single" w:sz="4" w:space="0" w:color="000000"/>
              <w:right w:val="single" w:sz="4" w:space="0" w:color="000000"/>
            </w:tcBorders>
            <w:shd w:val="clear" w:color="auto" w:fill="D2D2D2"/>
          </w:tcPr>
          <w:p>
            <w:pPr/>
          </w:p>
        </w:tc>
        <w:tc>
          <w:tcPr>
            <w:tcW w:w="1130"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1281"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915"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542"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1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1"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02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5"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p>
            <w:pPr>
              <w:pStyle w:val="TableParagraph"/>
              <w:spacing w:line="316" w:lineRule="auto" w:before="60"/>
              <w:ind w:left="11" w:right="78"/>
              <w:jc w:val="left"/>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720" w:type="dxa"/>
            <w:tcBorders>
              <w:top w:val="single" w:sz="4" w:space="0" w:color="000000"/>
              <w:left w:val="single" w:sz="13" w:space="0" w:color="D2D2D2"/>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720" w:type="dxa"/>
            <w:tcBorders>
              <w:top w:val="single" w:sz="4" w:space="0" w:color="000000"/>
              <w:left w:val="single" w:sz="13" w:space="0" w:color="D2D2D2"/>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其他债权投资</w:t>
            </w:r>
          </w:p>
        </w:tc>
        <w:tc>
          <w:tcPr>
            <w:tcW w:w="720" w:type="dxa"/>
            <w:tcBorders>
              <w:top w:val="single" w:sz="4" w:space="0" w:color="000000"/>
              <w:left w:val="single" w:sz="13" w:space="0" w:color="D2D2D2"/>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 资</w:t>
            </w:r>
          </w:p>
        </w:tc>
        <w:tc>
          <w:tcPr>
            <w:tcW w:w="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29,500,000.00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16,125,000.00</w:t>
            </w: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29,500,000.00</w:t>
            </w:r>
          </w:p>
        </w:tc>
      </w:tr>
      <w:tr>
        <w:trPr>
          <w:trHeight w:val="401"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720" w:type="dxa"/>
            <w:tcBorders>
              <w:top w:val="single" w:sz="4" w:space="0" w:color="000000"/>
              <w:left w:val="single" w:sz="13" w:space="0" w:color="D2D2D2"/>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0" w:type="dxa"/>
            <w:tcBorders>
              <w:top w:val="single" w:sz="4" w:space="0" w:color="000000"/>
              <w:left w:val="single" w:sz="13" w:space="0" w:color="D2D2D2"/>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0" w:type="dxa"/>
            <w:tcBorders>
              <w:top w:val="single" w:sz="4" w:space="0" w:color="000000"/>
              <w:left w:val="single" w:sz="13" w:space="0" w:color="D2D2D2"/>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13" w:space="0" w:color="D2D2D2"/>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560"/>
        <w:gridCol w:w="708"/>
        <w:gridCol w:w="1136"/>
        <w:gridCol w:w="1274"/>
        <w:gridCol w:w="994"/>
        <w:gridCol w:w="1275"/>
        <w:gridCol w:w="1205"/>
        <w:gridCol w:w="915"/>
        <w:gridCol w:w="1212"/>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29,500,000.00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16,125,000.00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29,500,000.00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812" w:right="6794" w:firstLine="0"/>
        <w:jc w:val="left"/>
        <w:rPr>
          <w:rFonts w:ascii="宋体" w:hAnsi="宋体" w:cs="宋体" w:eastAsia="宋体" w:hint="default"/>
          <w:sz w:val="18"/>
          <w:szCs w:val="18"/>
        </w:rPr>
      </w:pPr>
      <w:r>
        <w:rPr>
          <w:rFonts w:ascii="宋体" w:hAnsi="宋体" w:cs="宋体" w:eastAsia="宋体" w:hint="default"/>
          <w:sz w:val="18"/>
          <w:szCs w:val="18"/>
        </w:rPr>
        <w:t>其他变动的内容：无 报告期内公司主要资产计量属性是否发生重大变化</w:t>
      </w:r>
    </w:p>
    <w:p>
      <w:pPr>
        <w:spacing w:before="29"/>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left="812" w:right="6794"/>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1233" w:right="0"/>
        <w:jc w:val="left"/>
      </w:pPr>
      <w:r>
        <w:rPr/>
        <w:t>本企业截至报告期期末的资产权利受限情况详见附注七</w:t>
      </w:r>
      <w:r>
        <w:rPr>
          <w:spacing w:val="-26"/>
        </w:rPr>
        <w:t> </w:t>
      </w:r>
      <w:r>
        <w:rPr>
          <w:rFonts w:ascii="Times New Roman" w:hAnsi="Times New Roman" w:cs="Times New Roman" w:eastAsia="Times New Roman" w:hint="default"/>
        </w:rPr>
        <w:t>60</w:t>
      </w:r>
      <w:r>
        <w:rPr/>
        <w:t>、所有权或使用权受到限制的资产。</w:t>
      </w:r>
    </w:p>
    <w:p>
      <w:pPr>
        <w:spacing w:line="240" w:lineRule="auto" w:before="8"/>
        <w:rPr>
          <w:rFonts w:ascii="宋体" w:hAnsi="宋体" w:cs="宋体" w:eastAsia="宋体" w:hint="default"/>
          <w:sz w:val="22"/>
          <w:szCs w:val="22"/>
        </w:rPr>
      </w:pPr>
    </w:p>
    <w:p>
      <w:pPr>
        <w:pStyle w:val="Heading2"/>
        <w:spacing w:line="240" w:lineRule="auto"/>
        <w:ind w:left="812" w:right="6794"/>
        <w:jc w:val="left"/>
        <w:rPr>
          <w:b w:val="0"/>
          <w:bCs w:val="0"/>
        </w:rPr>
      </w:pPr>
      <w:bookmarkStart w:name="五、投资状况分析" w:id="46"/>
      <w:bookmarkEnd w:id="46"/>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812" w:right="6794"/>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left="812" w:right="6794"/>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left="812"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left="812" w:right="6794"/>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left="812" w:right="6794"/>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left="812" w:right="6794"/>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spacing w:before="44"/>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380" w:type="dxa"/>
        <w:tblLayout w:type="fixed"/>
        <w:tblCellMar>
          <w:top w:w="0" w:type="dxa"/>
          <w:left w:w="0" w:type="dxa"/>
          <w:bottom w:w="0" w:type="dxa"/>
          <w:right w:w="0" w:type="dxa"/>
        </w:tblCellMar>
        <w:tblLook w:val="01E0"/>
      </w:tblPr>
      <w:tblGrid>
        <w:gridCol w:w="855"/>
        <w:gridCol w:w="850"/>
        <w:gridCol w:w="708"/>
        <w:gridCol w:w="850"/>
        <w:gridCol w:w="994"/>
        <w:gridCol w:w="991"/>
        <w:gridCol w:w="994"/>
        <w:gridCol w:w="991"/>
        <w:gridCol w:w="852"/>
        <w:gridCol w:w="1700"/>
        <w:gridCol w:w="852"/>
      </w:tblGrid>
      <w:tr>
        <w:trPr>
          <w:trHeight w:val="1026"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4"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5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41"/>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8"/>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41"/>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8"/>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6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85" w:right="31" w:hanging="449"/>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60"/>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39,336.42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13,017.15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3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0" w:right="497" w:firstLine="0"/>
        <w:jc w:val="right"/>
        <w:rPr>
          <w:rFonts w:ascii="宋体" w:hAnsi="宋体" w:cs="宋体" w:eastAsia="宋体" w:hint="default"/>
          <w:sz w:val="18"/>
          <w:szCs w:val="18"/>
        </w:rPr>
      </w:pPr>
      <w:r>
        <w:rPr/>
        <w:pict>
          <v:shape style="position:absolute;margin-left:35.040001pt;margin-top:-225.698257pt;width:532.6pt;height:403.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5"/>
                    <w:gridCol w:w="850"/>
                    <w:gridCol w:w="708"/>
                    <w:gridCol w:w="850"/>
                    <w:gridCol w:w="994"/>
                    <w:gridCol w:w="991"/>
                    <w:gridCol w:w="994"/>
                    <w:gridCol w:w="991"/>
                    <w:gridCol w:w="852"/>
                    <w:gridCol w:w="1700"/>
                    <w:gridCol w:w="852"/>
                  </w:tblGrid>
                  <w:tr>
                    <w:trPr>
                      <w:trHeight w:val="40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110,262.56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3"/>
                          <w:jc w:val="left"/>
                          <w:rPr>
                            <w:rFonts w:ascii="宋体" w:hAnsi="宋体" w:cs="宋体" w:eastAsia="宋体" w:hint="default"/>
                            <w:sz w:val="18"/>
                            <w:szCs w:val="18"/>
                          </w:rPr>
                        </w:pPr>
                        <w:r>
                          <w:rPr>
                            <w:rFonts w:ascii="宋体" w:hAnsi="宋体" w:cs="宋体" w:eastAsia="宋体" w:hint="default"/>
                            <w:sz w:val="18"/>
                            <w:szCs w:val="18"/>
                          </w:rPr>
                          <w:t>公开发行 可转债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53,632.88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蓝盾大安全研发与 产业化基地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216,249.01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18.52%</w:t>
                        </w:r>
                      </w:p>
                    </w:tc>
                    <w:tc>
                      <w:tcPr>
                        <w:tcW w:w="85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208.09</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3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828" w:hRule="exact"/>
                    </w:trPr>
                    <w:tc>
                      <w:tcPr>
                        <w:tcW w:w="106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号文核准，并经深圳证券交易所同意， 公司由主承销商广发证券股份有限公司于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日，公司共募集</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3,924.33</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35275.67</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日，公司累计使用募集资金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35,412.09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万元，其中，募集资金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35,275.67 </w:t>
                        </w:r>
                        <w:r>
                          <w:rPr>
                            <w:rFonts w:ascii="宋体" w:hAnsi="宋体" w:cs="宋体" w:eastAsia="宋体" w:hint="default"/>
                            <w:sz w:val="18"/>
                            <w:szCs w:val="18"/>
                          </w:rPr>
                          <w:t>万元、银行手续费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 </w:t>
                        </w:r>
                        <w:r>
                          <w:rPr>
                            <w:rFonts w:ascii="宋体" w:hAnsi="宋体" w:cs="宋体" w:eastAsia="宋体" w:hint="default"/>
                            <w:sz w:val="18"/>
                            <w:szCs w:val="18"/>
                          </w:rPr>
                          <w:t>万元、银行利息收入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137.60 </w:t>
                        </w:r>
                        <w:r>
                          <w:rPr>
                            <w:rFonts w:ascii="宋体" w:hAnsi="宋体" w:cs="宋体" w:eastAsia="宋体" w:hint="default"/>
                            <w:sz w:val="18"/>
                            <w:szCs w:val="18"/>
                          </w:rPr>
                          <w:t>万元。</w:t>
                        </w:r>
                      </w:p>
                      <w:p>
                        <w:pPr>
                          <w:pStyle w:val="TableParagraph"/>
                          <w:spacing w:line="240" w:lineRule="auto" w:before="10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[2015]356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号文核准，并经深圳证券交易所同意，</w:t>
                        </w:r>
                        <w:r>
                          <w:rPr>
                            <w:rFonts w:ascii="宋体" w:hAnsi="宋体" w:cs="宋体" w:eastAsia="宋体" w:hint="default"/>
                            <w:spacing w:val="-14"/>
                            <w:sz w:val="18"/>
                            <w:szCs w:val="18"/>
                          </w:rPr>
                          <w:t> </w:t>
                        </w:r>
                        <w:r>
                          <w:rPr>
                            <w:rFonts w:ascii="宋体" w:hAnsi="宋体" w:cs="宋体" w:eastAsia="宋体" w:hint="default"/>
                            <w:sz w:val="18"/>
                            <w:szCs w:val="18"/>
                          </w:rPr>
                          <w:t>公司由主承销商广发证券股份有限公司于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向特定投资者非公开发行普通股（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24,610,235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 </w:t>
                        </w:r>
                        <w:r>
                          <w:rPr>
                            <w:rFonts w:ascii="Times New Roman" w:hAnsi="Times New Roman" w:cs="Times New Roman" w:eastAsia="Times New Roman" w:hint="default"/>
                            <w:sz w:val="18"/>
                            <w:szCs w:val="18"/>
                          </w:rPr>
                          <w:t>17.96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用于购买资产和募集配套资</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日，公司共募集配套资金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1,793.33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11,206.67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13,017.15 </w:t>
                        </w:r>
                        <w:r>
                          <w:rPr>
                            <w:rFonts w:ascii="宋体" w:hAnsi="宋体" w:cs="宋体" w:eastAsia="宋体" w:hint="default"/>
                            <w:spacing w:val="-4"/>
                            <w:sz w:val="18"/>
                            <w:szCs w:val="18"/>
                          </w:rPr>
                          <w:t>万元，其中，募集资金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 </w:t>
                        </w:r>
                        <w:r>
                          <w:rPr>
                            <w:rFonts w:ascii="宋体" w:hAnsi="宋体" w:cs="宋体" w:eastAsia="宋体" w:hint="default"/>
                            <w:spacing w:val="-3"/>
                            <w:sz w:val="18"/>
                            <w:szCs w:val="18"/>
                          </w:rPr>
                          <w:t>万元、银行手续费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0.19 </w:t>
                        </w:r>
                        <w:r>
                          <w:rPr>
                            <w:rFonts w:ascii="宋体" w:hAnsi="宋体" w:cs="宋体" w:eastAsia="宋体" w:hint="default"/>
                            <w:spacing w:val="-3"/>
                            <w:sz w:val="18"/>
                            <w:szCs w:val="18"/>
                          </w:rPr>
                          <w:t>万元、银行利息收入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17.34 </w:t>
                        </w:r>
                        <w:r>
                          <w:rPr>
                            <w:rFonts w:ascii="宋体" w:hAnsi="宋体" w:cs="宋体" w:eastAsia="宋体" w:hint="default"/>
                            <w:sz w:val="18"/>
                            <w:szCs w:val="18"/>
                          </w:rPr>
                          <w:t>万元</w:t>
                        </w:r>
                      </w:p>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[2016]616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号文核准，并经深圳证券交易所同意，</w:t>
                        </w:r>
                        <w:r>
                          <w:rPr>
                            <w:rFonts w:ascii="宋体" w:hAnsi="宋体" w:cs="宋体" w:eastAsia="宋体" w:hint="default"/>
                            <w:spacing w:val="1"/>
                            <w:sz w:val="18"/>
                            <w:szCs w:val="18"/>
                          </w:rPr>
                          <w:t> </w:t>
                        </w:r>
                        <w:r>
                          <w:rPr>
                            <w:rFonts w:ascii="宋体" w:hAnsi="宋体" w:cs="宋体" w:eastAsia="宋体" w:hint="default"/>
                            <w:sz w:val="18"/>
                            <w:szCs w:val="18"/>
                          </w:rPr>
                          <w:t>公司由主承销商广发证券股份有限公司于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日向特定投资者非公开发行普通股（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84,355,828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 </w:t>
                        </w:r>
                        <w:r>
                          <w:rPr>
                            <w:rFonts w:ascii="Times New Roman" w:hAnsi="Times New Roman" w:cs="Times New Roman" w:eastAsia="Times New Roman" w:hint="default"/>
                            <w:sz w:val="18"/>
                            <w:szCs w:val="18"/>
                          </w:rPr>
                          <w:t>13.04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用于购买资产和募集配套</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资金。截至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日，公司募集配套资金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110,000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万元，扣除发行费用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4,281.85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万元，募集资金净额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105,718.15 </w:t>
                        </w:r>
                        <w:r>
                          <w:rPr>
                            <w:rFonts w:ascii="宋体" w:hAnsi="宋体" w:cs="宋体" w:eastAsia="宋体" w:hint="default"/>
                            <w:spacing w:val="-9"/>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日，公司累计使用募集资金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110,262.56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万元、银行手续费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万元、银行利息收入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263.62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09" w:lineRule="auto" w:before="117"/>
                          <w:ind w:left="2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[2018]1063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号文核准，并经深圳证券交易所同意，公司由主承销商广发证券股份有限公司于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日采用向原股东优先配售，原股东优先配售后余额部分（含原股东放弃优先配售部分）通过深圳证券交易所交易系统网上向社会公众投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资者发行的方式发行可转换公司债券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 </w:t>
                        </w:r>
                        <w:r>
                          <w:rPr>
                            <w:rFonts w:ascii="宋体" w:hAnsi="宋体" w:cs="宋体" w:eastAsia="宋体" w:hint="default"/>
                            <w:sz w:val="18"/>
                            <w:szCs w:val="18"/>
                          </w:rPr>
                          <w:t>万张，每张面值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53,800.00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日，本公司共募集资</w:t>
                        </w:r>
                      </w:p>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扣除发行费用</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募集资金净额为</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52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公司累计使用募</w:t>
                        </w:r>
                        <w:r>
                          <w:rPr>
                            <w:rFonts w:ascii="宋体" w:hAnsi="宋体" w:cs="宋体" w:eastAsia="宋体" w:hint="default"/>
                            <w:spacing w:val="-3"/>
                            <w:sz w:val="18"/>
                            <w:szCs w:val="18"/>
                          </w:rPr>
                          <w:t>集</w:t>
                        </w:r>
                        <w:r>
                          <w:rPr>
                            <w:rFonts w:ascii="宋体" w:hAnsi="宋体" w:cs="宋体" w:eastAsia="宋体" w:hint="default"/>
                            <w:sz w:val="18"/>
                            <w:szCs w:val="18"/>
                          </w:rPr>
                          <w:t>资金</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万元，募集资金专户余额为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208.09 </w:t>
                        </w:r>
                        <w:r>
                          <w:rPr>
                            <w:rFonts w:ascii="宋体" w:hAnsi="宋体" w:cs="宋体" w:eastAsia="宋体" w:hint="default"/>
                            <w:sz w:val="18"/>
                            <w:szCs w:val="18"/>
                          </w:rPr>
                          <w:t>万元，其中包含募集资金产生的银行存款利息收入扣除手续费支出净额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40.98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ind w:left="672" w:right="294"/>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672" w:right="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702"/>
        <w:gridCol w:w="708"/>
        <w:gridCol w:w="992"/>
        <w:gridCol w:w="994"/>
        <w:gridCol w:w="708"/>
        <w:gridCol w:w="994"/>
        <w:gridCol w:w="708"/>
        <w:gridCol w:w="850"/>
        <w:gridCol w:w="853"/>
        <w:gridCol w:w="850"/>
        <w:gridCol w:w="710"/>
        <w:gridCol w:w="850"/>
      </w:tblGrid>
      <w:tr>
        <w:trPr>
          <w:trHeight w:val="1337"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84" w:right="34"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0" w:right="39"/>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6"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6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109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全网综合监控审计平 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3,372.45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9,293.48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统一安全 网关项目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2,340.43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13,073.79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服务器安全综合监测 平台项目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1,842.65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4,123.97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02"/>
        <w:gridCol w:w="708"/>
        <w:gridCol w:w="992"/>
        <w:gridCol w:w="994"/>
        <w:gridCol w:w="708"/>
        <w:gridCol w:w="994"/>
        <w:gridCol w:w="708"/>
        <w:gridCol w:w="850"/>
        <w:gridCol w:w="853"/>
        <w:gridCol w:w="850"/>
        <w:gridCol w:w="710"/>
        <w:gridCol w:w="850"/>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新一代安全 综合运维管理平台项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2,251.73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5,613.35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研发及培训中心建设 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3,924.33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3,924.33</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3,924.33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8,655.14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支付收购广州华炜科 技有限公司的现金对 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补充广州华炜科技有 限公司流动资金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1,793.33</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1,793.33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节余募集配套资金永 久补充流动资金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406.67</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支付收购中经汇通电 子商务有限公司和汇 通宝支付有限责任公 司的现金对价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蓝盾信息西南总部及 研发基地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20,085.22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上市公司信息安全产 业园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15,070.34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补充上市公司流动资 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补充蓝盾信息安全技 术有限公司流动资金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20,013.91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both"/>
              <w:rPr>
                <w:rFonts w:ascii="宋体" w:hAnsi="宋体" w:cs="宋体" w:eastAsia="宋体" w:hint="default"/>
                <w:sz w:val="18"/>
                <w:szCs w:val="18"/>
              </w:rPr>
            </w:pPr>
            <w:r>
              <w:rPr>
                <w:rFonts w:ascii="宋体" w:hAnsi="宋体" w:cs="宋体" w:eastAsia="宋体" w:hint="default"/>
                <w:sz w:val="18"/>
                <w:szCs w:val="18"/>
              </w:rPr>
              <w:t>补充中经汇通电子商 务有限公司和汇通宝 支付有限责任公司的 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偿还上市公司银行贷 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支付中介机构费用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节余募集配套资金永 久补充流动资金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蓝盾大安全研发与产 业化基地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37,540.62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99.58%</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基地基建建设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460" w:right="0"/>
        </w:sectPr>
      </w:pPr>
    </w:p>
    <w:p>
      <w:pPr>
        <w:spacing w:line="240" w:lineRule="auto" w:before="0"/>
        <w:rPr>
          <w:rFonts w:ascii="Times New Roman" w:hAnsi="Times New Roman" w:cs="Times New Roman" w:eastAsia="Times New Roman" w:hint="default"/>
          <w:sz w:val="20"/>
          <w:szCs w:val="20"/>
        </w:rPr>
      </w:pPr>
      <w:r>
        <w:rPr/>
        <w:pict>
          <v:shape style="position:absolute;margin-left:28.08pt;margin-top:71.999985pt;width:546.6pt;height:696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79"/>
                    <w:gridCol w:w="529"/>
                    <w:gridCol w:w="992"/>
                    <w:gridCol w:w="994"/>
                    <w:gridCol w:w="708"/>
                    <w:gridCol w:w="994"/>
                    <w:gridCol w:w="708"/>
                    <w:gridCol w:w="850"/>
                    <w:gridCol w:w="853"/>
                    <w:gridCol w:w="850"/>
                    <w:gridCol w:w="710"/>
                    <w:gridCol w:w="850"/>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一站式安全云计算</w:t>
                        </w:r>
                        <w:r>
                          <w:rPr>
                            <w:rFonts w:ascii="宋体" w:hAnsi="宋体" w:cs="宋体" w:eastAsia="宋体" w:hint="default"/>
                            <w:w w:val="99"/>
                            <w:sz w:val="18"/>
                            <w:szCs w:val="18"/>
                          </w:rPr>
                          <w:t> </w:t>
                        </w:r>
                        <w:r>
                          <w:rPr>
                            <w:rFonts w:ascii="宋体" w:hAnsi="宋体" w:cs="宋体" w:eastAsia="宋体" w:hint="default"/>
                            <w:sz w:val="18"/>
                            <w:szCs w:val="18"/>
                          </w:rPr>
                          <w:t>体系研发项目</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网络综合态势预警</w:t>
                        </w:r>
                        <w:r>
                          <w:rPr>
                            <w:rFonts w:ascii="宋体" w:hAnsi="宋体" w:cs="宋体" w:eastAsia="宋体" w:hint="default"/>
                            <w:w w:val="99"/>
                            <w:sz w:val="18"/>
                            <w:szCs w:val="18"/>
                          </w:rPr>
                          <w:t> </w:t>
                        </w:r>
                        <w:r>
                          <w:rPr>
                            <w:rFonts w:ascii="宋体" w:hAnsi="宋体" w:cs="宋体" w:eastAsia="宋体" w:hint="default"/>
                            <w:sz w:val="18"/>
                            <w:szCs w:val="18"/>
                          </w:rPr>
                          <w:t>平台研发项目</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1,532.08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1,532.08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企业移动信息化安</w:t>
                        </w:r>
                        <w:r>
                          <w:rPr>
                            <w:rFonts w:ascii="宋体" w:hAnsi="宋体" w:cs="宋体" w:eastAsia="宋体" w:hint="default"/>
                            <w:w w:val="99"/>
                            <w:sz w:val="18"/>
                            <w:szCs w:val="18"/>
                          </w:rPr>
                          <w:t> </w:t>
                        </w:r>
                        <w:r>
                          <w:rPr>
                            <w:rFonts w:ascii="宋体" w:hAnsi="宋体" w:cs="宋体" w:eastAsia="宋体" w:hint="default"/>
                            <w:sz w:val="18"/>
                            <w:szCs w:val="18"/>
                          </w:rPr>
                          <w:t>全管理体系研发项目</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16,092.23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99.95%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节余募集配套资金永 久补充流动资金</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201,756.33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201,756.33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201,969.82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1,532.08</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33,636.67</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58"/>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91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互联网舆情分析平台 项目</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2,163.35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7,477.91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蓝盾股份信息安全产 业基地</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7,943.67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7,943.67</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7,937.42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1,378.42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归还银行贷款（如有</w:t>
                        </w:r>
                      </w:p>
                    </w:tc>
                    <w:tc>
                      <w:tcPr>
                        <w:tcW w:w="1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10" w:space="0" w:color="D2D2D2"/>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补充流动资金（如有</w:t>
                        </w:r>
                      </w:p>
                    </w:tc>
                    <w:tc>
                      <w:tcPr>
                        <w:tcW w:w="1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3"/>
                          <w:ind w:left="116"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2,800</w:t>
                        </w:r>
                      </w:p>
                    </w:tc>
                    <w:tc>
                      <w:tcPr>
                        <w:tcW w:w="70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58"/>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14,243.67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14,243.67</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14,279.19</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103.71</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7,477.91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216,249.01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1,635.79</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w w:val="95"/>
                            <w:sz w:val="18"/>
                          </w:rPr>
                          <w:t>41,114.58</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58"/>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9216"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截至报告期公开发行可转换公司债券募集资金的三个承诺募投项目，网络综合态势预警平台研发项目累计已实现效益</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1,532.08 </w:t>
                        </w:r>
                        <w:r>
                          <w:rPr>
                            <w:rFonts w:ascii="宋体" w:hAnsi="宋体" w:cs="宋体" w:eastAsia="宋体" w:hint="default"/>
                            <w:sz w:val="18"/>
                            <w:szCs w:val="18"/>
                          </w:rPr>
                          <w:t>万元，完成计划的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103.98%</w:t>
                        </w:r>
                        <w:r>
                          <w:rPr>
                            <w:rFonts w:ascii="宋体" w:hAnsi="宋体" w:cs="宋体" w:eastAsia="宋体" w:hint="default"/>
                            <w:sz w:val="18"/>
                            <w:szCs w:val="18"/>
                          </w:rPr>
                          <w:t>，其余项目处于研发阶段，已初步完成验收，暂未产生效益。</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9216"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921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82"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9216" w:type="dxa"/>
                        <w:gridSpan w:val="12"/>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日公司第一</w:t>
                        </w:r>
                        <w:r>
                          <w:rPr>
                            <w:rFonts w:ascii="宋体" w:hAnsi="宋体" w:cs="宋体" w:eastAsia="宋体" w:hint="default"/>
                            <w:spacing w:val="-3"/>
                            <w:sz w:val="18"/>
                            <w:szCs w:val="18"/>
                          </w:rPr>
                          <w:t>届</w:t>
                        </w:r>
                        <w:r>
                          <w:rPr>
                            <w:rFonts w:ascii="宋体" w:hAnsi="宋体" w:cs="宋体" w:eastAsia="宋体" w:hint="default"/>
                            <w:sz w:val="18"/>
                            <w:szCs w:val="18"/>
                          </w:rPr>
                          <w:t>董事会第十八次会议审议通过</w:t>
                        </w:r>
                        <w:r>
                          <w:rPr>
                            <w:rFonts w:ascii="宋体" w:hAnsi="宋体" w:cs="宋体" w:eastAsia="宋体" w:hint="default"/>
                            <w:spacing w:val="-92"/>
                            <w:sz w:val="18"/>
                            <w:szCs w:val="18"/>
                          </w:rPr>
                          <w:t>了</w:t>
                        </w:r>
                        <w:r>
                          <w:rPr>
                            <w:rFonts w:ascii="宋体" w:hAnsi="宋体" w:cs="宋体" w:eastAsia="宋体" w:hint="default"/>
                            <w:sz w:val="18"/>
                            <w:szCs w:val="18"/>
                          </w:rPr>
                          <w:t>《关于</w:t>
                        </w:r>
                        <w:r>
                          <w:rPr>
                            <w:rFonts w:ascii="宋体" w:hAnsi="宋体" w:cs="宋体" w:eastAsia="宋体" w:hint="default"/>
                            <w:spacing w:val="1"/>
                            <w:sz w:val="18"/>
                            <w:szCs w:val="18"/>
                          </w:rPr>
                          <w:t>使</w:t>
                        </w:r>
                        <w:r>
                          <w:rPr>
                            <w:rFonts w:ascii="宋体" w:hAnsi="宋体" w:cs="宋体" w:eastAsia="宋体" w:hint="default"/>
                            <w:sz w:val="18"/>
                            <w:szCs w:val="18"/>
                          </w:rPr>
                          <w:t>用部分超募资金永</w:t>
                        </w:r>
                        <w:r>
                          <w:rPr>
                            <w:rFonts w:ascii="宋体" w:hAnsi="宋体" w:cs="宋体" w:eastAsia="宋体" w:hint="default"/>
                            <w:spacing w:val="2"/>
                            <w:sz w:val="18"/>
                            <w:szCs w:val="18"/>
                          </w:rPr>
                          <w:t>久</w:t>
                        </w:r>
                        <w:r>
                          <w:rPr>
                            <w:rFonts w:ascii="宋体" w:hAnsi="宋体" w:cs="宋体" w:eastAsia="宋体" w:hint="default"/>
                            <w:sz w:val="18"/>
                            <w:szCs w:val="18"/>
                          </w:rPr>
                          <w:t>性补充流动资金的议案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0"/>
                          <w:ind w:left="16" w:right="0"/>
                          <w:jc w:val="both"/>
                          <w:rPr>
                            <w:rFonts w:ascii="宋体" w:hAnsi="宋体" w:cs="宋体" w:eastAsia="宋体" w:hint="default"/>
                            <w:sz w:val="18"/>
                            <w:szCs w:val="18"/>
                          </w:rPr>
                        </w:pPr>
                        <w:r>
                          <w:rPr>
                            <w:rFonts w:ascii="宋体" w:hAnsi="宋体" w:cs="宋体" w:eastAsia="宋体" w:hint="default"/>
                            <w:sz w:val="18"/>
                            <w:szCs w:val="18"/>
                          </w:rPr>
                          <w:t>公司使用超募资金人民币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万元用于永久性补充流动资金。</w:t>
                        </w:r>
                      </w:p>
                      <w:p>
                        <w:pPr>
                          <w:pStyle w:val="TableParagraph"/>
                          <w:spacing w:line="307" w:lineRule="auto" w:before="103"/>
                          <w:ind w:left="16"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年年度股东大会审议通过了《关于使用部分超募资金对子公司广东蓝盾信息安全技 </w:t>
                        </w:r>
                        <w:r>
                          <w:rPr>
                            <w:rFonts w:ascii="宋体" w:hAnsi="宋体" w:cs="宋体" w:eastAsia="宋体" w:hint="default"/>
                            <w:spacing w:val="-2"/>
                            <w:sz w:val="18"/>
                            <w:szCs w:val="18"/>
                          </w:rPr>
                          <w:t>术有限公司进行增资的议案》，公司拟使用部分超募资金对子公司广东蓝盾信息安全技术有限公司进行增资，本次增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万元，增资完成后公司出资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万元，占注册资本比例为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，子公司于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日办妥工商 变更手续。本次增资用途为：建设互联网舆情分析平台项目。</w:t>
                        </w:r>
                      </w:p>
                      <w:p>
                        <w:pPr>
                          <w:pStyle w:val="TableParagraph"/>
                          <w:spacing w:line="240" w:lineRule="auto" w:before="67"/>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年年度股东大会审议通过了《关于使用部分超募资金建设蓝盾股份信息安全产业基</w:t>
                        </w:r>
                      </w:p>
                      <w:p>
                        <w:pPr>
                          <w:pStyle w:val="TableParagraph"/>
                          <w:spacing w:line="300"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地的议案》及相关的可行性研究报告，公司拟使用超募资金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7,943.67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万元建设蓝盾股份信息安全产业基地。公司独立 董事、保荐机构和监事会分别对此事项发表了同意意见。</w:t>
                        </w:r>
                      </w:p>
                      <w:p>
                        <w:pPr>
                          <w:pStyle w:val="TableParagraph"/>
                          <w:spacing w:line="240" w:lineRule="auto" w:before="70"/>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日公司第二届董事会第九次（临时）会议审议通过了《关于对蓝盾股份信息安全产业基地追加投资</w:t>
                        </w:r>
                      </w:p>
                      <w:p>
                        <w:pPr>
                          <w:pStyle w:val="TableParagraph"/>
                          <w:spacing w:line="300" w:lineRule="auto" w:before="63"/>
                          <w:ind w:left="16" w:right="17"/>
                          <w:jc w:val="both"/>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使用自有资金追加</w:t>
                        </w:r>
                        <w:r>
                          <w:rPr>
                            <w:rFonts w:ascii="宋体" w:hAnsi="宋体" w:cs="宋体" w:eastAsia="宋体" w:hint="default"/>
                            <w:spacing w:val="2"/>
                            <w:sz w:val="18"/>
                            <w:szCs w:val="18"/>
                          </w:rPr>
                          <w:t>投</w:t>
                        </w:r>
                        <w:r>
                          <w:rPr>
                            <w:rFonts w:ascii="宋体" w:hAnsi="宋体" w:cs="宋体" w:eastAsia="宋体" w:hint="default"/>
                            <w:sz w:val="18"/>
                            <w:szCs w:val="18"/>
                          </w:rPr>
                          <w:t>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7"/>
                            <w:sz w:val="18"/>
                            <w:szCs w:val="18"/>
                          </w:rPr>
                          <w:t>，</w:t>
                        </w:r>
                        <w:r>
                          <w:rPr>
                            <w:rFonts w:ascii="宋体" w:hAnsi="宋体" w:cs="宋体" w:eastAsia="宋体" w:hint="default"/>
                            <w:sz w:val="18"/>
                            <w:szCs w:val="18"/>
                          </w:rPr>
                          <w:t>追加后的</w:t>
                        </w:r>
                        <w:r>
                          <w:rPr>
                            <w:rFonts w:ascii="宋体" w:hAnsi="宋体" w:cs="宋体" w:eastAsia="宋体" w:hint="default"/>
                            <w:spacing w:val="-3"/>
                            <w:sz w:val="18"/>
                            <w:szCs w:val="18"/>
                          </w:rPr>
                          <w:t>总</w:t>
                        </w:r>
                        <w:r>
                          <w:rPr>
                            <w:rFonts w:ascii="宋体" w:hAnsi="宋体" w:cs="宋体" w:eastAsia="宋体" w:hint="default"/>
                            <w:sz w:val="18"/>
                            <w:szCs w:val="18"/>
                          </w:rPr>
                          <w:t>投资额为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7"/>
                            <w:sz w:val="18"/>
                            <w:szCs w:val="18"/>
                          </w:rPr>
                          <w:t>，</w:t>
                        </w:r>
                        <w:r>
                          <w:rPr>
                            <w:rFonts w:ascii="宋体" w:hAnsi="宋体" w:cs="宋体" w:eastAsia="宋体" w:hint="default"/>
                            <w:sz w:val="18"/>
                            <w:szCs w:val="18"/>
                          </w:rPr>
                          <w:t>公司取得了广州</w:t>
                        </w:r>
                        <w:r>
                          <w:rPr>
                            <w:rFonts w:ascii="宋体" w:hAnsi="宋体" w:cs="宋体" w:eastAsia="宋体" w:hint="default"/>
                            <w:sz w:val="18"/>
                            <w:szCs w:val="18"/>
                          </w:rPr>
                          <w:t> 市规划局颁发的《建设工程规划验收合格证</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2"/>
                          <w:ind w:left="16"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年第五次临时股东大会审议通过</w:t>
                        </w:r>
                        <w:r>
                          <w:rPr>
                            <w:rFonts w:ascii="宋体" w:hAnsi="宋体" w:cs="宋体" w:eastAsia="宋体" w:hint="default"/>
                            <w:spacing w:val="-92"/>
                            <w:sz w:val="18"/>
                            <w:szCs w:val="18"/>
                          </w:rPr>
                          <w:t>了</w:t>
                        </w:r>
                        <w:r>
                          <w:rPr>
                            <w:rFonts w:ascii="宋体" w:hAnsi="宋体" w:cs="宋体" w:eastAsia="宋体" w:hint="default"/>
                            <w:sz w:val="18"/>
                            <w:szCs w:val="18"/>
                          </w:rPr>
                          <w:t>《关于使用剩余超募资金</w:t>
                        </w:r>
                        <w:r>
                          <w:rPr>
                            <w:rFonts w:ascii="宋体" w:hAnsi="宋体" w:cs="宋体" w:eastAsia="宋体" w:hint="default"/>
                            <w:spacing w:val="2"/>
                            <w:sz w:val="18"/>
                            <w:szCs w:val="18"/>
                          </w:rPr>
                          <w:t>永</w:t>
                        </w:r>
                        <w:r>
                          <w:rPr>
                            <w:rFonts w:ascii="宋体" w:hAnsi="宋体" w:cs="宋体" w:eastAsia="宋体" w:hint="default"/>
                            <w:sz w:val="18"/>
                            <w:szCs w:val="18"/>
                          </w:rPr>
                          <w:t>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9216" w:type="dxa"/>
                        <w:gridSpan w:val="12"/>
                        <w:vMerge/>
                        <w:tcBorders>
                          <w:left w:val="single" w:sz="10" w:space="0" w:color="D2D2D2"/>
                          <w:right w:val="single" w:sz="4" w:space="0" w:color="000000"/>
                        </w:tcBorders>
                      </w:tcPr>
                      <w:p>
                        <w:pPr/>
                      </w:p>
                    </w:tc>
                  </w:tr>
                  <w:tr>
                    <w:trPr>
                      <w:trHeight w:val="198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16" w:type="dxa"/>
                        <w:gridSpan w:val="12"/>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before="0"/>
        <w:ind w:left="0" w:right="3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44"/>
        <w:ind w:left="0" w:right="3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460" w:right="0"/>
        </w:sectPr>
      </w:pPr>
    </w:p>
    <w:p>
      <w:pPr>
        <w:spacing w:line="240" w:lineRule="auto" w:before="0"/>
        <w:rPr>
          <w:rFonts w:ascii="宋体" w:hAnsi="宋体" w:cs="宋体" w:eastAsia="宋体" w:hint="default"/>
          <w:sz w:val="20"/>
          <w:szCs w:val="20"/>
        </w:rPr>
      </w:pPr>
      <w:r>
        <w:rPr/>
        <w:pict>
          <v:shape style="position:absolute;margin-left:28.08pt;margin-top:71.999985pt;width:546.6pt;height:691.7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9216"/>
                  </w:tblGrid>
                  <w:tr>
                    <w:trPr>
                      <w:trHeight w:val="36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公司已将剩余超募资金及专户利息收入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1,378.42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02" w:type="dxa"/>
                        <w:vMerge/>
                        <w:tcBorders>
                          <w:left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7"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w:t>
                        </w:r>
                        <w:r>
                          <w:rPr>
                            <w:rFonts w:ascii="宋体" w:hAnsi="宋体" w:cs="宋体" w:eastAsia="宋体" w:hint="default"/>
                            <w:spacing w:val="-3"/>
                            <w:sz w:val="18"/>
                            <w:szCs w:val="18"/>
                          </w:rPr>
                          <w:t>股</w:t>
                        </w:r>
                        <w:r>
                          <w:rPr>
                            <w:rFonts w:ascii="宋体" w:hAnsi="宋体" w:cs="宋体" w:eastAsia="宋体" w:hint="default"/>
                            <w:sz w:val="18"/>
                            <w:szCs w:val="18"/>
                          </w:rPr>
                          <w:t>东大会审议通过</w:t>
                        </w:r>
                        <w:r>
                          <w:rPr>
                            <w:rFonts w:ascii="宋体" w:hAnsi="宋体" w:cs="宋体" w:eastAsia="宋体" w:hint="default"/>
                            <w:spacing w:val="-13"/>
                            <w:sz w:val="18"/>
                            <w:szCs w:val="18"/>
                          </w:rPr>
                          <w:t>了</w:t>
                        </w:r>
                        <w:r>
                          <w:rPr>
                            <w:rFonts w:ascii="宋体" w:hAnsi="宋体" w:cs="宋体" w:eastAsia="宋体" w:hint="default"/>
                            <w:sz w:val="18"/>
                            <w:szCs w:val="18"/>
                          </w:rPr>
                          <w:t>《关于变更部分募集资金投资项目及其实施主体的议案</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同意公司</w:t>
                        </w:r>
                      </w:p>
                      <w:p>
                        <w:pPr>
                          <w:pStyle w:val="TableParagraph"/>
                          <w:spacing w:line="300" w:lineRule="auto" w:before="63"/>
                          <w:ind w:left="23" w:right="-5"/>
                          <w:jc w:val="both"/>
                          <w:rPr>
                            <w:rFonts w:ascii="宋体" w:hAnsi="宋体" w:cs="宋体" w:eastAsia="宋体" w:hint="default"/>
                            <w:sz w:val="18"/>
                            <w:szCs w:val="18"/>
                          </w:rPr>
                        </w:pPr>
                        <w:r>
                          <w:rPr>
                            <w:rFonts w:ascii="宋体" w:hAnsi="宋体" w:cs="宋体" w:eastAsia="宋体" w:hint="default"/>
                            <w:sz w:val="18"/>
                            <w:szCs w:val="18"/>
                          </w:rPr>
                          <w:t>将原计划用于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万元变更用途于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蓝盾信息西南总部及研发基地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 该项目其余资金由公司自筹解决。鉴于项目变更后的实施地点及经营主体情况，</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蓝盾信息西南总部及研发基地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 的实施主体变更为公司的全资子公司成都蓝盾网信科技有限公司，项目的实施地点相应变更。</w:t>
                        </w:r>
                      </w:p>
                    </w:tc>
                  </w:tr>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23" w:right="4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02" w:type="dxa"/>
                        <w:vMerge/>
                        <w:tcBorders>
                          <w:left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0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、公司经过</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w:t>
                        </w:r>
                        <w:r>
                          <w:rPr>
                            <w:rFonts w:ascii="宋体" w:hAnsi="宋体" w:cs="宋体" w:eastAsia="宋体" w:hint="default"/>
                            <w:spacing w:val="-3"/>
                            <w:sz w:val="18"/>
                            <w:szCs w:val="18"/>
                          </w:rPr>
                          <w:t>临</w:t>
                        </w:r>
                        <w:r>
                          <w:rPr>
                            <w:rFonts w:ascii="宋体" w:hAnsi="宋体" w:cs="宋体" w:eastAsia="宋体" w:hint="default"/>
                            <w:sz w:val="18"/>
                            <w:szCs w:val="18"/>
                          </w:rPr>
                          <w:t>时股东大会审议通过了《关于变更部分募集资金投资项目及其实施主体的议案</w:t>
                        </w:r>
                        <w:r>
                          <w:rPr>
                            <w:rFonts w:ascii="宋体" w:hAnsi="宋体" w:cs="宋体" w:eastAsia="宋体" w:hint="default"/>
                            <w:spacing w:val="-92"/>
                            <w:sz w:val="18"/>
                            <w:szCs w:val="18"/>
                          </w:rPr>
                          <w:t>》</w:t>
                        </w:r>
                        <w:r>
                          <w:rPr>
                            <w:rFonts w:ascii="宋体" w:hAnsi="宋体" w:cs="宋体" w:eastAsia="宋体" w:hint="default"/>
                            <w:sz w:val="18"/>
                            <w:szCs w:val="18"/>
                          </w:rPr>
                          <w:t>，同意</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公司将原计划用于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万元变更用途于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蓝盾信息西南总部及研发基地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 目，该项目其余资金由公司自筹解决，实施主体为公司的全资子公司成都蓝盾网信科技有限公司。</w:t>
                        </w:r>
                      </w:p>
                      <w:p>
                        <w:pPr>
                          <w:pStyle w:val="TableParagraph"/>
                          <w:spacing w:line="309" w:lineRule="auto" w:before="72"/>
                          <w:ind w:left="23"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、公司经过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年第一次临时股东大会审议通过了《关于变更募集资金用途暨使用募集资金向全资子公司增资的议 </w:t>
                        </w:r>
                        <w:r>
                          <w:rPr>
                            <w:rFonts w:ascii="宋体" w:hAnsi="宋体" w:cs="宋体" w:eastAsia="宋体" w:hint="default"/>
                            <w:spacing w:val="-2"/>
                            <w:sz w:val="18"/>
                            <w:szCs w:val="18"/>
                          </w:rPr>
                          <w:t>案》，同意公司根据募集资金使用计划及实际经营需要，使用募集资金向全资子公司蓝盾信息安全技术有限公司（以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蓝盾技术</w:t>
                        </w:r>
                        <w:r>
                          <w:rPr>
                            <w:rFonts w:ascii="Times New Roman" w:hAnsi="Times New Roman" w:cs="Times New Roman" w:eastAsia="Times New Roman" w:hint="default"/>
                            <w:sz w:val="18"/>
                            <w:szCs w:val="18"/>
                          </w:rPr>
                          <w:t>”</w:t>
                        </w:r>
                        <w:r>
                          <w:rPr>
                            <w:rFonts w:ascii="宋体" w:hAnsi="宋体" w:cs="宋体" w:eastAsia="宋体" w:hint="default"/>
                            <w:sz w:val="18"/>
                            <w:szCs w:val="18"/>
                          </w:rPr>
                          <w:t>）增资人民币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万元，用于补充蓝盾技术流动资金。</w:t>
                        </w:r>
                      </w:p>
                    </w:tc>
                  </w:tr>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787"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日公司第一届董事会第十七次会议审议通过了《关于使用募集资金置换预先投入募集资金投资项目</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的自筹资金的议案</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w:t>
                        </w:r>
                        <w:r>
                          <w:rPr>
                            <w:rFonts w:ascii="宋体" w:hAnsi="宋体" w:cs="宋体" w:eastAsia="宋体" w:hint="default"/>
                            <w:spacing w:val="-3"/>
                            <w:sz w:val="18"/>
                            <w:szCs w:val="18"/>
                          </w:rPr>
                          <w:t>资</w:t>
                        </w:r>
                        <w:r>
                          <w:rPr>
                            <w:rFonts w:ascii="宋体" w:hAnsi="宋体" w:cs="宋体" w:eastAsia="宋体" w:hint="default"/>
                            <w:sz w:val="18"/>
                            <w:szCs w:val="18"/>
                          </w:rPr>
                          <w:t>金预先投入募集资金投资项目的实际投资额为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万元，公司以募集资金置换预先投入募集资金投资项目的自筹资金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1,453.16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万元，上述投入及置换情况已经北京永拓</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会计师事务所有限责任公司审核，并由其出具京永专字〔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31059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号《关于蓝盾信息安全技术股份有限公司以</w:t>
                        </w:r>
                      </w:p>
                      <w:p>
                        <w:pPr>
                          <w:pStyle w:val="TableParagraph"/>
                          <w:spacing w:line="300" w:lineRule="auto" w:before="63"/>
                          <w:ind w:left="23" w:right="87"/>
                          <w:jc w:val="both"/>
                          <w:rPr>
                            <w:rFonts w:ascii="宋体" w:hAnsi="宋体" w:cs="宋体" w:eastAsia="宋体" w:hint="default"/>
                            <w:sz w:val="18"/>
                            <w:szCs w:val="18"/>
                          </w:rPr>
                        </w:pPr>
                        <w:r>
                          <w:rPr>
                            <w:rFonts w:ascii="宋体" w:hAnsi="宋体" w:cs="宋体" w:eastAsia="宋体" w:hint="default"/>
                            <w:spacing w:val="-3"/>
                            <w:sz w:val="18"/>
                            <w:szCs w:val="18"/>
                          </w:rPr>
                          <w:t>募集资金置换预先已投入募集资金项目的自筹资金的鉴证报告》。截至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日，公司置换了上述预先投入</w:t>
                        </w:r>
                        <w:r>
                          <w:rPr>
                            <w:rFonts w:ascii="宋体" w:hAnsi="宋体" w:cs="宋体" w:eastAsia="宋体" w:hint="default"/>
                            <w:sz w:val="18"/>
                            <w:szCs w:val="18"/>
                          </w:rPr>
                          <w:t> 募投项目的自筹资金。</w:t>
                        </w:r>
                      </w:p>
                      <w:p>
                        <w:pPr>
                          <w:pStyle w:val="TableParagraph"/>
                          <w:spacing w:line="240" w:lineRule="auto" w:before="70"/>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日公司第三届董事会第二十二次（临时）会议审议通过了《关于使用募集资金置换预先已投入部分</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募投项目自筹资金的议案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截</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以</w:t>
                        </w:r>
                        <w:r>
                          <w:rPr>
                            <w:rFonts w:ascii="宋体" w:hAnsi="宋体" w:cs="宋体" w:eastAsia="宋体" w:hint="default"/>
                            <w:sz w:val="18"/>
                            <w:szCs w:val="18"/>
                          </w:rPr>
                          <w:t>自筹资金预先投入募集资金投资项目的实际投资额为</w:t>
                        </w:r>
                      </w:p>
                      <w:p>
                        <w:pPr>
                          <w:pStyle w:val="TableParagraph"/>
                          <w:spacing w:line="307" w:lineRule="auto" w:before="63"/>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1,715.72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万元，公司以非公开发行股票募集的部分配套资金置换预先投入募集资金投资项目的自筹资金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1,022.45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 上述投入及置换情况已经大华会计师事务所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审核，并由其出具大华核字</w:t>
                        </w:r>
                        <w:r>
                          <w:rPr>
                            <w:rFonts w:ascii="Times New Roman" w:hAnsi="Times New Roman" w:cs="Times New Roman" w:eastAsia="Times New Roman" w:hint="default"/>
                            <w:sz w:val="18"/>
                            <w:szCs w:val="18"/>
                          </w:rPr>
                          <w:t>[2016]004051 </w:t>
                        </w:r>
                        <w:r>
                          <w:rPr>
                            <w:rFonts w:ascii="宋体" w:hAnsi="宋体" w:cs="宋体" w:eastAsia="宋体" w:hint="default"/>
                            <w:sz w:val="18"/>
                            <w:szCs w:val="18"/>
                          </w:rPr>
                          <w:t>号《蓝盾信息安 </w:t>
                        </w:r>
                        <w:r>
                          <w:rPr>
                            <w:rFonts w:ascii="宋体" w:hAnsi="宋体" w:cs="宋体" w:eastAsia="宋体" w:hint="default"/>
                            <w:spacing w:val="-2"/>
                            <w:sz w:val="18"/>
                            <w:szCs w:val="18"/>
                          </w:rPr>
                          <w:t>全技术股份有限公司以自筹资金预先投入募集资金投资项目的鉴证报告》。公司以非公开发行股票募集的部分配套资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金在对应项目使用计划的额度范围内置换预先投入募集资金投资项目的自筹资金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1,022.45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万元，其中，上市公司信息</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安全产业园项目，置换金额为 </w:t>
                        </w:r>
                        <w:r>
                          <w:rPr>
                            <w:rFonts w:ascii="Times New Roman" w:hAnsi="Times New Roman" w:cs="Times New Roman" w:eastAsia="Times New Roman" w:hint="default"/>
                            <w:sz w:val="18"/>
                            <w:szCs w:val="18"/>
                          </w:rPr>
                          <w:t>961.30 </w:t>
                        </w:r>
                        <w:r>
                          <w:rPr>
                            <w:rFonts w:ascii="宋体" w:hAnsi="宋体" w:cs="宋体" w:eastAsia="宋体" w:hint="default"/>
                            <w:sz w:val="18"/>
                            <w:szCs w:val="18"/>
                          </w:rPr>
                          <w:t>万元；用于支付本次交易的中介机构费用，置换的金额为 </w:t>
                        </w:r>
                        <w:r>
                          <w:rPr>
                            <w:rFonts w:ascii="Times New Roman" w:hAnsi="Times New Roman" w:cs="Times New Roman" w:eastAsia="Times New Roman" w:hint="default"/>
                            <w:sz w:val="18"/>
                            <w:szCs w:val="18"/>
                          </w:rPr>
                          <w:t>61.15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日公司第四届董事会第八次（临时）会议审议通过了《关于使用募集资金置换预先投入募投项目自</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筹资金的议案</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56"/>
                            <w:sz w:val="18"/>
                            <w:szCs w:val="18"/>
                          </w:rPr>
                          <w:t>，</w:t>
                        </w:r>
                        <w:r>
                          <w:rPr>
                            <w:rFonts w:ascii="宋体" w:hAnsi="宋体" w:cs="宋体" w:eastAsia="宋体" w:hint="default"/>
                            <w:sz w:val="18"/>
                            <w:szCs w:val="18"/>
                          </w:rPr>
                          <w:t>公司以自筹资金</w:t>
                        </w:r>
                        <w:r>
                          <w:rPr>
                            <w:rFonts w:ascii="宋体" w:hAnsi="宋体" w:cs="宋体" w:eastAsia="宋体" w:hint="default"/>
                            <w:spacing w:val="-3"/>
                            <w:sz w:val="18"/>
                            <w:szCs w:val="18"/>
                          </w:rPr>
                          <w:t>预</w:t>
                        </w:r>
                        <w:r>
                          <w:rPr>
                            <w:rFonts w:ascii="宋体" w:hAnsi="宋体" w:cs="宋体" w:eastAsia="宋体" w:hint="default"/>
                            <w:sz w:val="18"/>
                            <w:szCs w:val="18"/>
                          </w:rPr>
                          <w:t>先投入募集资金投资项目的实际投资额为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公司以公开发行可转换公司债券募集资金置换预先投入募集资金投资项目的自筹资金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13,637.23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万元，上述投入及置 换情况已经大华会计师事务所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审核，并由其出具大华核字</w:t>
                        </w:r>
                        <w:r>
                          <w:rPr>
                            <w:rFonts w:ascii="Times New Roman" w:hAnsi="Times New Roman" w:cs="Times New Roman" w:eastAsia="Times New Roman" w:hint="default"/>
                            <w:sz w:val="18"/>
                            <w:szCs w:val="18"/>
                          </w:rPr>
                          <w:t>[2018]004868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号《蓝盾信息安全技术股份有 </w:t>
                        </w:r>
                        <w:r>
                          <w:rPr>
                            <w:rFonts w:ascii="宋体" w:hAnsi="宋体" w:cs="宋体" w:eastAsia="宋体" w:hint="default"/>
                            <w:spacing w:val="-4"/>
                            <w:sz w:val="18"/>
                            <w:szCs w:val="18"/>
                          </w:rPr>
                          <w:t>限公司以自筹资金预先投入募集资金投资项目的鉴证报告》。</w:t>
                        </w: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6"/>
                          <w:ind w:left="23" w:right="4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2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年第二次临时股东大会审议通过了《关于使用部分闲置募集资金暂时性补充流动资金及归还银行贷款</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pacing w:val="-11"/>
                            <w:sz w:val="18"/>
                            <w:szCs w:val="18"/>
                          </w:rPr>
                          <w:t>的议案》，同意公司使用募集资金中的</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万元闲置募集资金暂时性补充流动资金及归还银行贷款，其中</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2,626.00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万元用于补充流动资金，</w:t>
                        </w:r>
                        <w:r>
                          <w:rPr>
                            <w:rFonts w:ascii="Times New Roman" w:hAnsi="Times New Roman" w:cs="Times New Roman" w:eastAsia="Times New Roman" w:hint="default"/>
                            <w:sz w:val="18"/>
                            <w:szCs w:val="18"/>
                          </w:rPr>
                          <w:t>7,374.00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万元用于归还银行贷款，使用期限不超过股东大会批准之日起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个月，到期将归还 至募集资金专户。公司独立董事、保荐机构和监事会分别对此事项发表了同意意见。</w:t>
                        </w:r>
                        <w:r>
                          <w:rPr>
                            <w:rFonts w:ascii="Times New Roman" w:hAnsi="Times New Roman" w:cs="Times New Roman" w:eastAsia="Times New Roman" w:hint="default"/>
                            <w:sz w:val="18"/>
                            <w:szCs w:val="18"/>
                          </w:rPr>
                          <w:t>(</w:t>
                        </w:r>
                        <w:r>
                          <w:rPr>
                            <w:rFonts w:ascii="宋体" w:hAnsi="宋体" w:cs="宋体" w:eastAsia="宋体" w:hint="default"/>
                            <w:sz w:val="18"/>
                            <w:szCs w:val="18"/>
                          </w:rPr>
                          <w:t>该事项详见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证监会指定创业板信息披露网站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。本次使用闲置募集资金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万元暂时性补充流动资金及归还银行贷款的到期</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万元人民币归还至公司募集资金专用账户，并及时</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0" w:right="3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4"/>
        <w:ind w:left="0" w:right="3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4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356" w:firstLine="0"/>
        <w:jc w:val="right"/>
        <w:rPr>
          <w:rFonts w:ascii="宋体" w:hAnsi="宋体" w:cs="宋体" w:eastAsia="宋体" w:hint="default"/>
          <w:sz w:val="18"/>
          <w:szCs w:val="18"/>
        </w:rPr>
      </w:pPr>
      <w:r>
        <w:rPr/>
        <w:pict>
          <v:shape style="position:absolute;margin-left:28.08pt;margin-top:-87.74826pt;width:546.6pt;height:409.5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9216"/>
                  </w:tblGrid>
                  <w:tr>
                    <w:trPr>
                      <w:trHeight w:val="67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4"/>
                          <w:jc w:val="left"/>
                          <w:rPr>
                            <w:rFonts w:ascii="宋体" w:hAnsi="宋体" w:cs="宋体" w:eastAsia="宋体" w:hint="default"/>
                            <w:sz w:val="18"/>
                            <w:szCs w:val="18"/>
                          </w:rPr>
                        </w:pPr>
                        <w:r>
                          <w:rPr>
                            <w:rFonts w:ascii="宋体" w:hAnsi="宋体" w:cs="宋体" w:eastAsia="宋体" w:hint="default"/>
                            <w:spacing w:val="-1"/>
                            <w:sz w:val="18"/>
                            <w:szCs w:val="18"/>
                          </w:rPr>
                          <w:t>通知了公司保荐机构广发证券股份有限公司及保荐代表人。至此，本次用于补充流动资金及归还银行贷款的闲置募集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资金已归还完毕。</w:t>
                        </w: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36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、首次公开发行募集资金： </w:t>
                        </w:r>
                        <w:r>
                          <w:rPr>
                            <w:rFonts w:ascii="宋体" w:hAnsi="宋体" w:cs="宋体" w:eastAsia="宋体" w:hint="default"/>
                            <w:spacing w:val="-1"/>
                            <w:sz w:val="18"/>
                            <w:szCs w:val="18"/>
                          </w:rPr>
                          <w:t>公司在项目实施进程中公司较好地利用了前期积累的研发资源，对募投项目的研发和实施环节进行了优化，使得实际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投入较计划有一定幅度的减少，从而降低了项目总支出。公司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日召开的第二届董事会第十六次（临时</w:t>
                        </w:r>
                      </w:p>
                      <w:p>
                        <w:pPr>
                          <w:pStyle w:val="TableParagraph"/>
                          <w:spacing w:line="238" w:lineRule="exact"/>
                          <w:ind w:left="23" w:right="0"/>
                          <w:jc w:val="left"/>
                          <w:rPr>
                            <w:rFonts w:ascii="宋体" w:hAnsi="宋体" w:cs="宋体" w:eastAsia="宋体" w:hint="default"/>
                            <w:sz w:val="18"/>
                            <w:szCs w:val="18"/>
                          </w:rPr>
                        </w:pPr>
                        <w:r>
                          <w:rPr>
                            <w:rFonts w:ascii="宋体" w:hAnsi="宋体" w:cs="宋体" w:eastAsia="宋体" w:hint="default"/>
                            <w:sz w:val="18"/>
                            <w:szCs w:val="18"/>
                          </w:rPr>
                          <w:t>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年第二次临时股东大会，审议通过了《关于使用募投项目节余资金永久补充流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z w:val="18"/>
                            <w:szCs w:val="18"/>
                          </w:rPr>
                          <w:t>，截至报告期</w:t>
                        </w:r>
                        <w:r>
                          <w:rPr>
                            <w:rFonts w:ascii="宋体" w:hAnsi="宋体" w:cs="宋体" w:eastAsia="宋体" w:hint="default"/>
                            <w:spacing w:val="2"/>
                            <w:sz w:val="18"/>
                            <w:szCs w:val="18"/>
                          </w:rPr>
                          <w:t>末</w:t>
                        </w:r>
                        <w:r>
                          <w:rPr>
                            <w:rFonts w:ascii="宋体" w:hAnsi="宋体" w:cs="宋体" w:eastAsia="宋体" w:hint="default"/>
                            <w:sz w:val="18"/>
                            <w:szCs w:val="18"/>
                          </w:rPr>
                          <w:t>，公司已将五个募集资金投资项目的节余资金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永久补充流动资金。</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、发行股份募集配套资金（广州华炜项目</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公司收购华炜科技</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股权事项中实际支付的中介费用低于原预算，因此该次配套募集资金有所节余。公司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w:t>
                        </w:r>
                        <w:r>
                          <w:rPr>
                            <w:rFonts w:ascii="宋体" w:hAnsi="宋体" w:cs="宋体" w:eastAsia="宋体" w:hint="default"/>
                            <w:spacing w:val="-3"/>
                            <w:sz w:val="18"/>
                            <w:szCs w:val="18"/>
                          </w:rPr>
                          <w:t>第</w:t>
                        </w:r>
                        <w:r>
                          <w:rPr>
                            <w:rFonts w:ascii="宋体" w:hAnsi="宋体" w:cs="宋体" w:eastAsia="宋体" w:hint="default"/>
                            <w:sz w:val="18"/>
                            <w:szCs w:val="18"/>
                          </w:rPr>
                          <w:t>二十一次会议审议通过了《关于使用节余配套募集资金永久性补充流动资金的议案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公司已将该次配套募集资金的节余资金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423.82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p>
                        <w:pPr>
                          <w:pStyle w:val="TableParagraph"/>
                          <w:spacing w:line="319" w:lineRule="auto" w:before="103"/>
                          <w:ind w:left="23" w:right="4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、发行股份募集配套资金（中经项目）：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因部分募投项目的募集资金已使用完毕，截至报告期末，公司已将该等募集资金账户的结余利息合计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万元转至 公司或相关子公司的基本户，用于永久补充流动资金。</w:t>
                        </w:r>
                      </w:p>
                      <w:p>
                        <w:pPr>
                          <w:pStyle w:val="TableParagraph"/>
                          <w:spacing w:line="326" w:lineRule="auto" w:before="58"/>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、公开发行可转换公司债券募集资金： </w:t>
                        </w:r>
                        <w:r>
                          <w:rPr>
                            <w:rFonts w:ascii="宋体" w:hAnsi="宋体" w:cs="宋体" w:eastAsia="宋体" w:hint="default"/>
                            <w:spacing w:val="-1"/>
                            <w:sz w:val="18"/>
                            <w:szCs w:val="18"/>
                          </w:rPr>
                          <w:t>鉴于公司经营管理的需要，公司将存放于平安银行股份有限公司广州分行专户的募集资金更换到江西银行股份有限公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司广州越秀支行进行专户存储。截至报告期末，公司已将平安银行股份有限公司广州分行专户进行注销并将结余利息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291.96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元转至相关子公司的基本户，用于永久补充流动资金。</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公司尚未使用的募集资金拟用于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蓝盾大安全研发与产业化基地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9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before="36"/>
        <w:ind w:left="672" w:right="294"/>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spacing w:before="44"/>
        <w:ind w:left="672" w:right="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蓝盾信息西 南总部及研 发基地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上市公司区 域运营中心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20,085.22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补充蓝盾技 术流动资金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补充上市公 司流动资金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20,013.91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40,099.13</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蓝盾信息西南总部及研发基地：因国内的宏观经济、市场环境有所变化，尤其是全国</w:t>
            </w:r>
          </w:p>
        </w:tc>
      </w:tr>
    </w:tbl>
    <w:p>
      <w:pPr>
        <w:spacing w:after="0" w:line="240" w:lineRule="auto"/>
        <w:jc w:val="left"/>
        <w:rPr>
          <w:rFonts w:ascii="宋体" w:hAnsi="宋体" w:cs="宋体" w:eastAsia="宋体" w:hint="default"/>
          <w:sz w:val="18"/>
          <w:szCs w:val="18"/>
        </w:rPr>
        <w:sectPr>
          <w:pgSz w:w="11910" w:h="16840"/>
          <w:pgMar w:header="745" w:footer="980" w:top="1060" w:bottom="1160" w:left="460" w:right="0"/>
        </w:sectPr>
      </w:pPr>
    </w:p>
    <w:p>
      <w:pPr>
        <w:spacing w:line="240" w:lineRule="auto" w:before="6"/>
        <w:rPr>
          <w:rFonts w:ascii="宋体" w:hAnsi="宋体" w:cs="宋体" w:eastAsia="宋体" w:hint="default"/>
          <w:sz w:val="28"/>
          <w:szCs w:val="28"/>
        </w:rPr>
      </w:pPr>
    </w:p>
    <w:tbl>
      <w:tblPr>
        <w:tblW w:w="0" w:type="auto"/>
        <w:jc w:val="left"/>
        <w:tblInd w:w="809" w:type="dxa"/>
        <w:tblLayout w:type="fixed"/>
        <w:tblCellMar>
          <w:top w:w="0" w:type="dxa"/>
          <w:left w:w="0" w:type="dxa"/>
          <w:bottom w:w="0" w:type="dxa"/>
          <w:right w:w="0" w:type="dxa"/>
        </w:tblCellMar>
        <w:tblLook w:val="01E0"/>
      </w:tblPr>
      <w:tblGrid>
        <w:gridCol w:w="2873"/>
        <w:gridCol w:w="6699"/>
      </w:tblGrid>
      <w:tr>
        <w:trPr>
          <w:trHeight w:val="508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7"/>
              <w:jc w:val="left"/>
              <w:rPr>
                <w:rFonts w:ascii="宋体" w:hAnsi="宋体" w:cs="宋体" w:eastAsia="宋体" w:hint="default"/>
                <w:sz w:val="18"/>
                <w:szCs w:val="18"/>
              </w:rPr>
            </w:pPr>
            <w:r>
              <w:rPr>
                <w:rFonts w:ascii="宋体" w:hAnsi="宋体" w:cs="宋体" w:eastAsia="宋体" w:hint="default"/>
                <w:spacing w:val="-2"/>
                <w:sz w:val="18"/>
                <w:szCs w:val="18"/>
              </w:rPr>
              <w:t>各地的房地产价格出现了较大波动，区域运营中心项目的投资建设成本明显增加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根据</w:t>
            </w:r>
            <w:r>
              <w:rPr>
                <w:rFonts w:ascii="宋体" w:hAnsi="宋体" w:cs="宋体" w:eastAsia="宋体" w:hint="default"/>
                <w:spacing w:val="-76"/>
                <w:sz w:val="18"/>
                <w:szCs w:val="18"/>
              </w:rPr>
              <w:t> </w:t>
            </w:r>
            <w:r>
              <w:rPr>
                <w:rFonts w:ascii="宋体" w:hAnsi="宋体" w:cs="宋体" w:eastAsia="宋体" w:hint="default"/>
                <w:sz w:val="18"/>
                <w:szCs w:val="18"/>
              </w:rPr>
              <w:t>公司的发展规划，公司将计划用于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项目的全部募集资金 </w:t>
            </w:r>
            <w:r>
              <w:rPr>
                <w:rFonts w:ascii="Times New Roman" w:hAnsi="Times New Roman" w:cs="Times New Roman" w:eastAsia="Times New Roman" w:hint="default"/>
                <w:spacing w:val="-1"/>
                <w:sz w:val="18"/>
                <w:szCs w:val="18"/>
              </w:rPr>
              <w:t>20,000</w:t>
            </w:r>
            <w:r>
              <w:rPr>
                <w:rFonts w:ascii="Times New Roman" w:hAnsi="Times New Roman" w:cs="Times New Roman" w:eastAsia="Times New Roman" w:hint="default"/>
                <w:spacing w:val="5"/>
                <w:sz w:val="18"/>
                <w:szCs w:val="18"/>
              </w:rPr>
              <w:t> </w:t>
            </w:r>
            <w:r>
              <w:rPr>
                <w:rFonts w:ascii="宋体" w:hAnsi="宋体" w:cs="宋体" w:eastAsia="宋体" w:hint="default"/>
                <w:spacing w:val="-3"/>
                <w:w w:val="99"/>
                <w:sz w:val="18"/>
                <w:szCs w:val="18"/>
              </w:rPr>
              <w:t>万元变更用于</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蓝盾信息西南总部及研发基地</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项目。公司经过</w:t>
            </w:r>
            <w:r>
              <w:rPr>
                <w:rFonts w:ascii="宋体" w:hAnsi="宋体" w:cs="宋体" w:eastAsia="宋体" w:hint="default"/>
                <w:spacing w:val="-42"/>
                <w:w w:val="9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年第六次临 </w:t>
            </w:r>
            <w:r>
              <w:rPr>
                <w:rFonts w:ascii="宋体" w:hAnsi="宋体" w:cs="宋体" w:eastAsia="宋体" w:hint="default"/>
                <w:spacing w:val="-3"/>
                <w:sz w:val="18"/>
                <w:szCs w:val="18"/>
              </w:rPr>
              <w:t>时股东大会决议通过《关于变更部分募集资金投资项目及其实施主体的议案》。具体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内容详见公司于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日披露的《关于变更部分募集资金投资项目及其实</w:t>
            </w:r>
          </w:p>
          <w:p>
            <w:pPr>
              <w:pStyle w:val="TableParagraph"/>
              <w:spacing w:line="300" w:lineRule="auto" w:before="9"/>
              <w:ind w:left="23" w:right="22"/>
              <w:jc w:val="left"/>
              <w:rPr>
                <w:rFonts w:ascii="宋体" w:hAnsi="宋体" w:cs="宋体" w:eastAsia="宋体" w:hint="default"/>
                <w:sz w:val="18"/>
                <w:szCs w:val="18"/>
              </w:rPr>
            </w:pPr>
            <w:r>
              <w:rPr>
                <w:rFonts w:ascii="宋体" w:hAnsi="宋体" w:cs="宋体" w:eastAsia="宋体" w:hint="default"/>
                <w:sz w:val="18"/>
                <w:szCs w:val="18"/>
              </w:rPr>
              <w:t>施主体的公告》及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日披露的《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年第六次临时股东大会决议的公 </w:t>
            </w:r>
            <w:r>
              <w:rPr>
                <w:rFonts w:ascii="宋体" w:hAnsi="宋体" w:cs="宋体" w:eastAsia="宋体" w:hint="default"/>
                <w:spacing w:val="-31"/>
                <w:sz w:val="18"/>
                <w:szCs w:val="18"/>
              </w:rPr>
              <w:t>告》。</w:t>
            </w:r>
          </w:p>
          <w:p>
            <w:pPr>
              <w:pStyle w:val="TableParagraph"/>
              <w:spacing w:line="316" w:lineRule="auto" w:before="72"/>
              <w:ind w:left="23"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补充蓝盾技术流动资金：为进一步增强蓝盾技术的业务拓展能力和资金实力，公司使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补充上市公司流动资金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项目的募集资金向全资子公司蓝盾技术增资人民币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万元，本次增资完成后，蓝盾技术注册资本将由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 司持有其</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股权。公司经过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年第一次临时股东大会审议通过了《关于变更募 </w:t>
            </w:r>
            <w:r>
              <w:rPr>
                <w:rFonts w:ascii="宋体" w:hAnsi="宋体" w:cs="宋体" w:eastAsia="宋体" w:hint="default"/>
                <w:spacing w:val="-3"/>
                <w:sz w:val="18"/>
                <w:szCs w:val="18"/>
              </w:rPr>
              <w:t>集资金用途暨使用募集资金向全资子公司增资的议案》，同意公司根据募集资金使用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计划及实际经营需要，使用募集资金向全资子公司蓝盾信息安全技术有限公司增资人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万元，用于补充蓝盾技术流动资金。具体内容详见公司于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日披露的《关于变更募集资金用途暨使用募集资金向全资子公司增资的补充公告》及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日披露的《</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年第一次临时股东大会决议的公告》。</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left="812" w:right="6794"/>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12" w:right="6794"/>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81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left="812" w:right="6794"/>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812" w:right="6794"/>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320" w:right="0"/>
        </w:sectPr>
      </w:pPr>
    </w:p>
    <w:p>
      <w:pPr>
        <w:spacing w:before="44"/>
        <w:ind w:left="8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81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8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320" w:right="0"/>
          <w:cols w:num="2" w:equalWidth="0">
            <w:col w:w="5511" w:space="3409"/>
            <w:col w:w="2670"/>
          </w:cols>
        </w:sectPr>
      </w:pP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92"/>
        <w:gridCol w:w="852"/>
        <w:gridCol w:w="1133"/>
        <w:gridCol w:w="1277"/>
        <w:gridCol w:w="1418"/>
        <w:gridCol w:w="1275"/>
        <w:gridCol w:w="1238"/>
        <w:gridCol w:w="1313"/>
        <w:gridCol w:w="1277"/>
      </w:tblGrid>
      <w:tr>
        <w:trPr>
          <w:trHeight w:val="403"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蓝盾信息安 全技术有限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信息安全产 品、安全集 成、安全服务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2"/>
              <w:jc w:val="center"/>
              <w:rPr>
                <w:rFonts w:ascii="Times New Roman" w:hAnsi="Times New Roman" w:cs="Times New Roman" w:eastAsia="Times New Roman" w:hint="default"/>
                <w:sz w:val="18"/>
                <w:szCs w:val="18"/>
              </w:rPr>
            </w:pPr>
            <w:r>
              <w:rPr>
                <w:rFonts w:ascii="Times New Roman"/>
                <w:sz w:val="18"/>
              </w:rPr>
              <w:t>550,000,000.00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2,414,658,006.33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896,171,805.41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948,981,955.53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59,302,437.10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43,918,088.46</w:t>
            </w: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6"/>
              <w:jc w:val="right"/>
              <w:rPr>
                <w:rFonts w:ascii="宋体" w:hAnsi="宋体" w:cs="宋体" w:eastAsia="宋体" w:hint="default"/>
                <w:sz w:val="18"/>
                <w:szCs w:val="18"/>
              </w:rPr>
            </w:pPr>
            <w:r>
              <w:rPr>
                <w:rFonts w:ascii="宋体" w:hAnsi="宋体" w:cs="宋体" w:eastAsia="宋体" w:hint="default"/>
                <w:sz w:val="18"/>
                <w:szCs w:val="18"/>
              </w:rPr>
              <w:t>中经汇通电</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电子商务平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2"/>
              <w:jc w:val="center"/>
              <w:rPr>
                <w:rFonts w:ascii="Times New Roman" w:hAnsi="Times New Roman" w:cs="Times New Roman" w:eastAsia="Times New Roman" w:hint="default"/>
                <w:sz w:val="18"/>
                <w:szCs w:val="18"/>
              </w:rPr>
            </w:pPr>
            <w:r>
              <w:rPr>
                <w:rFonts w:ascii="Times New Roman"/>
                <w:sz w:val="18"/>
              </w:rPr>
              <w:t>353,562,617.00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2,593,974,825.02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823,091,804.31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385,711,610.59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-289,909,316.03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-243,732,254.01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992"/>
        <w:gridCol w:w="852"/>
        <w:gridCol w:w="1133"/>
        <w:gridCol w:w="1277"/>
        <w:gridCol w:w="1418"/>
        <w:gridCol w:w="1275"/>
        <w:gridCol w:w="1238"/>
        <w:gridCol w:w="1313"/>
        <w:gridCol w:w="1277"/>
      </w:tblGrid>
      <w:tr>
        <w:trPr>
          <w:trHeight w:val="67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6"/>
              <w:jc w:val="left"/>
              <w:rPr>
                <w:rFonts w:ascii="宋体" w:hAnsi="宋体" w:cs="宋体" w:eastAsia="宋体" w:hint="default"/>
                <w:sz w:val="18"/>
                <w:szCs w:val="18"/>
              </w:rPr>
            </w:pPr>
            <w:r>
              <w:rPr>
                <w:rFonts w:ascii="宋体" w:hAnsi="宋体" w:cs="宋体" w:eastAsia="宋体" w:hint="default"/>
                <w:sz w:val="18"/>
                <w:szCs w:val="18"/>
              </w:rPr>
              <w:t>子商务有限 公司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深圳市蓝盾 满泰科技有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工控安全监 测和自动化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705,816,467.28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388,751,624.80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225,008,806.11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108,694,511.33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98,952,989.05</w:t>
            </w:r>
          </w:p>
        </w:tc>
      </w:tr>
    </w:tbl>
    <w:p>
      <w:pPr>
        <w:spacing w:before="49"/>
        <w:ind w:left="812" w:right="679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8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湖北蓝盾网信科技有限公司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广东和诚科技孵化器有限公司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始兴县都亨加油站有限公司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广州市汇特慧科技有限公司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left="812"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8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812"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7"/>
        <w:rPr>
          <w:rFonts w:ascii="宋体" w:hAnsi="宋体" w:cs="宋体" w:eastAsia="宋体" w:hint="default"/>
          <w:b/>
          <w:bCs/>
          <w:sz w:val="31"/>
          <w:szCs w:val="31"/>
        </w:rPr>
      </w:pPr>
    </w:p>
    <w:p>
      <w:pPr>
        <w:pStyle w:val="Heading3"/>
        <w:spacing w:line="240" w:lineRule="auto"/>
        <w:ind w:left="1235" w:right="6794"/>
        <w:jc w:val="left"/>
        <w:rPr>
          <w:b w:val="0"/>
          <w:bCs w:val="0"/>
        </w:rPr>
      </w:pPr>
      <w:r>
        <w:rPr/>
        <w:t>（一）行业发展趋势</w:t>
      </w:r>
      <w:r>
        <w:rPr>
          <w:b w:val="0"/>
          <w:bCs w:val="0"/>
        </w:rPr>
      </w:r>
    </w:p>
    <w:p>
      <w:pPr>
        <w:spacing w:line="331" w:lineRule="auto" w:before="123"/>
        <w:ind w:left="12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、信息安全国家战略地位凸显，行业迎来巨大发展契机</w:t>
      </w:r>
      <w:r>
        <w:rPr>
          <w:rFonts w:ascii="宋体" w:hAnsi="宋体" w:cs="宋体" w:eastAsia="宋体" w:hint="default"/>
          <w:b/>
          <w:bCs/>
          <w:w w:val="100"/>
          <w:sz w:val="21"/>
          <w:szCs w:val="21"/>
        </w:rPr>
        <w:t> </w:t>
      </w:r>
      <w:r>
        <w:rPr>
          <w:rFonts w:ascii="宋体" w:hAnsi="宋体" w:cs="宋体" w:eastAsia="宋体" w:hint="default"/>
          <w:spacing w:val="-2"/>
          <w:sz w:val="21"/>
          <w:szCs w:val="21"/>
        </w:rPr>
        <w:t>继《中华人民共和国网络安全法》于</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日起正式施行后，网络安全等级保护核心标准《信息</w:t>
      </w:r>
    </w:p>
    <w:p>
      <w:pPr>
        <w:pStyle w:val="BodyText"/>
        <w:spacing w:line="333" w:lineRule="auto" w:before="21"/>
        <w:ind w:left="812" w:right="1126"/>
        <w:jc w:val="both"/>
      </w:pPr>
      <w:r>
        <w:rPr>
          <w:spacing w:val="-2"/>
        </w:rPr>
        <w:t>安全技术网络安全等级保护测评要求》、《信息安全技术网络安全等级保护基本要求》、《信息安全技术</w:t>
      </w:r>
      <w:r>
        <w:rPr>
          <w:spacing w:val="-42"/>
        </w:rPr>
        <w:t> </w:t>
      </w:r>
      <w:r>
        <w:rPr>
          <w:spacing w:val="-42"/>
        </w:rPr>
      </w:r>
      <w:r>
        <w:rPr/>
        <w:t>网络安全等级保护安全设计技术要求》于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月正式发布，并于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月开始实施，我国等级保护</w:t>
      </w:r>
      <w:r>
        <w:rPr>
          <w:spacing w:val="-28"/>
        </w:rPr>
        <w:t> </w:t>
      </w:r>
      <w:r>
        <w:rPr>
          <w:spacing w:val="-28"/>
        </w:rPr>
      </w:r>
      <w:r>
        <w:rPr>
          <w:spacing w:val="-4"/>
        </w:rPr>
        <w:t>制度进入</w:t>
      </w:r>
      <w:r>
        <w:rPr>
          <w:rFonts w:ascii="Times New Roman" w:hAnsi="Times New Roman" w:cs="Times New Roman" w:eastAsia="Times New Roman" w:hint="default"/>
          <w:spacing w:val="-4"/>
        </w:rPr>
        <w:t>2.0</w:t>
      </w:r>
      <w:r>
        <w:rPr>
          <w:spacing w:val="-4"/>
        </w:rPr>
        <w:t>时代。</w:t>
      </w:r>
      <w:r>
        <w:rPr>
          <w:rFonts w:ascii="Times New Roman" w:hAnsi="Times New Roman" w:cs="Times New Roman" w:eastAsia="Times New Roman" w:hint="default"/>
          <w:spacing w:val="-4"/>
        </w:rPr>
        <w:t>“</w:t>
      </w:r>
      <w:r>
        <w:rPr>
          <w:spacing w:val="-4"/>
        </w:rPr>
        <w:t>等保</w:t>
      </w:r>
      <w:r>
        <w:rPr>
          <w:rFonts w:ascii="Times New Roman" w:hAnsi="Times New Roman" w:cs="Times New Roman" w:eastAsia="Times New Roman" w:hint="default"/>
          <w:spacing w:val="-4"/>
        </w:rPr>
        <w:t>2.0</w:t>
      </w:r>
      <w:r>
        <w:rPr>
          <w:rFonts w:ascii="Times New Roman" w:hAnsi="Times New Roman" w:cs="Times New Roman" w:eastAsia="Times New Roman" w:hint="default"/>
          <w:spacing w:val="-4"/>
        </w:rPr>
        <w:t>”</w:t>
      </w:r>
      <w:r>
        <w:rPr>
          <w:spacing w:val="-4"/>
        </w:rPr>
        <w:t>将监管范围从政府事业单位扩大到所有网络运营主体，评级对象的范围扩大到</w:t>
      </w:r>
      <w:r>
        <w:rPr>
          <w:spacing w:val="-16"/>
        </w:rPr>
        <w:t> </w:t>
      </w:r>
      <w:r>
        <w:rPr>
          <w:spacing w:val="-16"/>
        </w:rPr>
      </w:r>
      <w:r>
        <w:rPr>
          <w:spacing w:val="-2"/>
        </w:rPr>
        <w:t>云计算平台、工控、物联网、移动设备等新一代</w:t>
      </w:r>
      <w:r>
        <w:rPr>
          <w:rFonts w:ascii="Times New Roman" w:hAnsi="Times New Roman" w:cs="Times New Roman" w:eastAsia="Times New Roman" w:hint="default"/>
          <w:spacing w:val="-2"/>
        </w:rPr>
        <w:t>IT</w:t>
      </w:r>
      <w:r>
        <w:rPr>
          <w:spacing w:val="-2"/>
        </w:rPr>
        <w:t>基础设施，还增加了评级的工作内容，极大扩展了网络</w:t>
      </w:r>
      <w:r>
        <w:rPr>
          <w:spacing w:val="-30"/>
        </w:rPr>
        <w:t> </w:t>
      </w:r>
      <w:r>
        <w:rPr>
          <w:spacing w:val="-30"/>
        </w:rPr>
      </w:r>
      <w:r>
        <w:rPr/>
        <w:t>安全保护的广度和深度。</w:t>
      </w:r>
    </w:p>
    <w:p>
      <w:pPr>
        <w:pStyle w:val="BodyText"/>
        <w:spacing w:line="345" w:lineRule="auto" w:before="44"/>
        <w:ind w:left="812" w:right="1126"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2018</w:t>
      </w:r>
      <w:r>
        <w:rPr>
          <w:spacing w:val="-2"/>
        </w:rPr>
        <w:t>年以来的中美贸易争端也有望对我国自主可控及信息安全领域带来新一轮催化。特别是近期，美</w:t>
      </w:r>
      <w:r>
        <w:rPr>
          <w:w w:val="100"/>
        </w:rPr>
        <w:t> </w:t>
      </w:r>
      <w:r>
        <w:rPr>
          <w:spacing w:val="-2"/>
        </w:rPr>
        <w:t>国持续加大对中国的技术封锁，核心技术和关键产品自主可控的重要性与日俱增。近年来，国家高度重视</w:t>
      </w:r>
      <w:r>
        <w:rPr>
          <w:spacing w:val="-45"/>
        </w:rPr>
        <w:t> </w:t>
      </w:r>
      <w:r>
        <w:rPr>
          <w:spacing w:val="-45"/>
        </w:rPr>
      </w:r>
      <w:r>
        <w:rPr>
          <w:spacing w:val="-2"/>
        </w:rPr>
        <w:t>自主可控信息产业的发展，明确了计算机信息系统的自主、可控、安全需求，大力推进党、政、军及关系</w:t>
      </w:r>
      <w:r>
        <w:rPr>
          <w:spacing w:val="-42"/>
        </w:rPr>
        <w:t> </w:t>
      </w:r>
      <w:r>
        <w:rPr>
          <w:spacing w:val="-42"/>
        </w:rPr>
      </w:r>
      <w:r>
        <w:rPr>
          <w:spacing w:val="-2"/>
        </w:rPr>
        <w:t>国家安全的关键行业的网络安全建设和自主可控信息系统建设，并相应的出台了一系列的政策和要求，牵</w:t>
      </w:r>
      <w:r>
        <w:rPr>
          <w:spacing w:val="-44"/>
        </w:rPr>
        <w:t> </w:t>
      </w:r>
      <w:r>
        <w:rPr>
          <w:spacing w:val="-44"/>
        </w:rPr>
      </w:r>
      <w:r>
        <w:rPr>
          <w:spacing w:val="-2"/>
        </w:rPr>
        <w:t>引自主可控信息产业的发展。伴随国家信息安全战略规划以及相关政策的稳步推进落实，政企客户在安全</w:t>
      </w:r>
      <w:r>
        <w:rPr>
          <w:spacing w:val="-44"/>
        </w:rPr>
        <w:t> </w:t>
      </w:r>
      <w:r>
        <w:rPr>
          <w:spacing w:val="-44"/>
        </w:rPr>
      </w:r>
      <w:r>
        <w:rPr>
          <w:spacing w:val="-2"/>
        </w:rPr>
        <w:t>产品和服务上的投入稳步增长，信息安全市场正面临爆发式增长需求，信息安全行业将迎来巨大政策性红</w:t>
      </w:r>
      <w:r>
        <w:rPr>
          <w:spacing w:val="-42"/>
        </w:rPr>
        <w:t> </w:t>
      </w:r>
      <w:r>
        <w:rPr>
          <w:spacing w:val="-42"/>
        </w:rPr>
      </w:r>
      <w:r>
        <w:rPr>
          <w:spacing w:val="-6"/>
        </w:rPr>
        <w:t>利和前所未有的发展契机。根据赛迪顾问发布的《</w:t>
      </w:r>
      <w:r>
        <w:rPr>
          <w:rFonts w:ascii="Times New Roman" w:hAnsi="Times New Roman" w:cs="Times New Roman" w:eastAsia="Times New Roman" w:hint="default"/>
          <w:spacing w:val="-6"/>
        </w:rPr>
        <w:t>2019</w:t>
      </w:r>
      <w:r>
        <w:rPr>
          <w:spacing w:val="-6"/>
        </w:rPr>
        <w:t>年中国网络安全发展白皮书》，赛迪顾问预测，</w:t>
      </w:r>
      <w:r>
        <w:rPr>
          <w:rFonts w:ascii="Times New Roman" w:hAnsi="Times New Roman" w:cs="Times New Roman" w:eastAsia="Times New Roman" w:hint="default"/>
          <w:spacing w:val="-6"/>
        </w:rPr>
        <w:t>2019</w:t>
      </w:r>
    </w:p>
    <w:p>
      <w:pPr>
        <w:spacing w:after="0" w:line="345" w:lineRule="auto"/>
        <w:jc w:val="both"/>
        <w:rPr>
          <w:rFonts w:ascii="Times New Roman" w:hAnsi="Times New Roman" w:cs="Times New Roman" w:eastAsia="Times New Roman" w:hint="default"/>
        </w:rPr>
        <w:sectPr>
          <w:pgSz w:w="11910" w:h="16840"/>
          <w:pgMar w:header="745" w:footer="980" w:top="1060" w:bottom="116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line="331" w:lineRule="auto" w:before="36"/>
        <w:ind w:left="573" w:right="1133" w:hanging="421"/>
        <w:jc w:val="left"/>
        <w:rPr>
          <w:rFonts w:ascii="宋体" w:hAnsi="宋体" w:cs="宋体" w:eastAsia="宋体" w:hint="default"/>
          <w:sz w:val="21"/>
          <w:szCs w:val="21"/>
        </w:rPr>
      </w:pPr>
      <w:r>
        <w:rPr>
          <w:rFonts w:ascii="宋体" w:hAnsi="宋体" w:cs="宋体" w:eastAsia="宋体" w:hint="default"/>
          <w:sz w:val="21"/>
          <w:szCs w:val="21"/>
        </w:rPr>
        <w:t>年中国网络安全市场整体规模为</w:t>
      </w:r>
      <w:r>
        <w:rPr>
          <w:rFonts w:ascii="Times New Roman" w:hAnsi="Times New Roman" w:cs="Times New Roman" w:eastAsia="Times New Roman" w:hint="default"/>
          <w:sz w:val="21"/>
          <w:szCs w:val="21"/>
        </w:rPr>
        <w:t>608.1</w:t>
      </w:r>
      <w:r>
        <w:rPr>
          <w:rFonts w:ascii="宋体" w:hAnsi="宋体" w:cs="宋体" w:eastAsia="宋体" w:hint="default"/>
          <w:sz w:val="21"/>
          <w:szCs w:val="21"/>
        </w:rPr>
        <w:t>亿元，年均增速超</w:t>
      </w:r>
      <w:r>
        <w:rPr>
          <w:rFonts w:ascii="Times New Roman" w:hAnsi="Times New Roman" w:cs="Times New Roman" w:eastAsia="Times New Roman" w:hint="default"/>
          <w:sz w:val="21"/>
          <w:szCs w:val="21"/>
        </w:rPr>
        <w:t>20%</w:t>
      </w:r>
      <w:r>
        <w:rPr>
          <w:rFonts w:ascii="宋体" w:hAnsi="宋体" w:cs="宋体" w:eastAsia="宋体" w:hint="default"/>
          <w:sz w:val="21"/>
          <w:szCs w:val="21"/>
        </w:rPr>
        <w:t>，预计到</w:t>
      </w:r>
      <w:r>
        <w:rPr>
          <w:rFonts w:ascii="Times New Roman" w:hAnsi="Times New Roman" w:cs="Times New Roman" w:eastAsia="Times New Roman" w:hint="default"/>
          <w:sz w:val="21"/>
          <w:szCs w:val="21"/>
        </w:rPr>
        <w:t>2021</w:t>
      </w:r>
      <w:r>
        <w:rPr>
          <w:rFonts w:ascii="宋体" w:hAnsi="宋体" w:cs="宋体" w:eastAsia="宋体" w:hint="default"/>
          <w:sz w:val="21"/>
          <w:szCs w:val="21"/>
        </w:rPr>
        <w:t>年将达到</w:t>
      </w:r>
      <w:r>
        <w:rPr>
          <w:rFonts w:ascii="Times New Roman" w:hAnsi="Times New Roman" w:cs="Times New Roman" w:eastAsia="Times New Roman" w:hint="default"/>
          <w:sz w:val="21"/>
          <w:szCs w:val="21"/>
        </w:rPr>
        <w:t>926.8</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、云安全、物联网安全、工业互联网安全等市场将迎来爆发机遇</w:t>
      </w:r>
      <w:r>
        <w:rPr>
          <w:rFonts w:ascii="宋体" w:hAnsi="宋体" w:cs="宋体" w:eastAsia="宋体" w:hint="default"/>
          <w:b/>
          <w:bCs/>
          <w:w w:val="100"/>
          <w:sz w:val="21"/>
          <w:szCs w:val="21"/>
        </w:rPr>
        <w:t> </w:t>
      </w:r>
      <w:r>
        <w:rPr>
          <w:rFonts w:ascii="宋体" w:hAnsi="宋体" w:cs="宋体" w:eastAsia="宋体" w:hint="default"/>
          <w:spacing w:val="-2"/>
          <w:sz w:val="21"/>
          <w:szCs w:val="21"/>
        </w:rPr>
        <w:t>当前云计算已经从技术导入阶段进入到了应用迅速普及阶段，各行业迫切需要通过构建云计算系统，</w:t>
      </w:r>
    </w:p>
    <w:p>
      <w:pPr>
        <w:pStyle w:val="BodyText"/>
        <w:spacing w:line="340" w:lineRule="auto" w:before="46"/>
        <w:ind w:right="1126"/>
        <w:jc w:val="both"/>
      </w:pPr>
      <w:r>
        <w:rPr>
          <w:spacing w:val="-2"/>
        </w:rPr>
        <w:t>满足转型及效率、成本需求。企业持续将</w:t>
      </w:r>
      <w:r>
        <w:rPr>
          <w:rFonts w:ascii="Times New Roman" w:hAnsi="Times New Roman" w:cs="Times New Roman" w:eastAsia="Times New Roman" w:hint="default"/>
          <w:spacing w:val="-2"/>
        </w:rPr>
        <w:t>IT</w:t>
      </w:r>
      <w:r>
        <w:rPr>
          <w:spacing w:val="-2"/>
        </w:rPr>
        <w:t>基础设施云化并将业务向云迁移这一趋势将加快，企业的网络</w:t>
      </w:r>
      <w:r>
        <w:rPr>
          <w:spacing w:val="-32"/>
        </w:rPr>
        <w:t> </w:t>
      </w:r>
      <w:r>
        <w:rPr>
          <w:spacing w:val="-32"/>
        </w:rPr>
      </w:r>
      <w:r>
        <w:rPr>
          <w:spacing w:val="-2"/>
        </w:rPr>
        <w:t>边界也随之扩展到云端，加上云的开放、复杂、分散的特点，安全的防护难度及需求将急剧上升，云安全</w:t>
      </w:r>
      <w:r>
        <w:rPr>
          <w:spacing w:val="-43"/>
        </w:rPr>
        <w:t> </w:t>
      </w:r>
      <w:r>
        <w:rPr>
          <w:spacing w:val="-43"/>
        </w:rPr>
      </w:r>
      <w:r>
        <w:rPr>
          <w:spacing w:val="-2"/>
        </w:rPr>
        <w:t>成为服务商和用户关注的焦点。未来云平台安全、云基础设施及虚拟化安全、云用户安全以及云端态势感</w:t>
      </w:r>
      <w:r>
        <w:rPr>
          <w:spacing w:val="-44"/>
        </w:rPr>
        <w:t> </w:t>
      </w:r>
      <w:r>
        <w:rPr>
          <w:spacing w:val="-44"/>
        </w:rPr>
      </w:r>
      <w:r>
        <w:rPr>
          <w:spacing w:val="-2"/>
        </w:rPr>
        <w:t>知需求将得到快速增长，数据安全、应用安全等云用户侧安全产品给第三方信息安全市场空间较大。根据</w:t>
      </w:r>
      <w:r>
        <w:rPr>
          <w:spacing w:val="-43"/>
        </w:rPr>
        <w:t> </w:t>
      </w:r>
      <w:r>
        <w:rPr>
          <w:spacing w:val="-43"/>
        </w:rPr>
      </w:r>
      <w:r>
        <w:rPr>
          <w:spacing w:val="-2"/>
        </w:rPr>
        <w:t>赛迪顾问发布的《</w:t>
      </w:r>
      <w:r>
        <w:rPr>
          <w:rFonts w:ascii="Times New Roman" w:hAnsi="Times New Roman" w:cs="Times New Roman" w:eastAsia="Times New Roman" w:hint="default"/>
          <w:spacing w:val="-2"/>
        </w:rPr>
        <w:t>2019</w:t>
      </w:r>
      <w:r>
        <w:rPr>
          <w:spacing w:val="-2"/>
        </w:rPr>
        <w:t>年中国网络安全发展白皮书》，赛迪顾问预测，中国云安全服务市场处于爆发式增</w:t>
      </w:r>
      <w:r>
        <w:rPr>
          <w:spacing w:val="-40"/>
        </w:rPr>
        <w:t> </w:t>
      </w:r>
      <w:r>
        <w:rPr>
          <w:spacing w:val="-40"/>
        </w:rPr>
      </w:r>
      <w:r>
        <w:rPr/>
        <w:t>长阶段，预计到</w:t>
      </w:r>
      <w:r>
        <w:rPr>
          <w:rFonts w:ascii="Times New Roman" w:hAnsi="Times New Roman" w:cs="Times New Roman" w:eastAsia="Times New Roman" w:hint="default"/>
        </w:rPr>
        <w:t>2021</w:t>
      </w:r>
      <w:r>
        <w:rPr/>
        <w:t>年将突破百亿达到</w:t>
      </w:r>
      <w:r>
        <w:rPr>
          <w:rFonts w:ascii="Times New Roman" w:hAnsi="Times New Roman" w:cs="Times New Roman" w:eastAsia="Times New Roman" w:hint="default"/>
        </w:rPr>
        <w:t>115.7</w:t>
      </w:r>
      <w:r>
        <w:rPr/>
        <w:t>亿元的市场规模。</w:t>
      </w:r>
    </w:p>
    <w:p>
      <w:pPr>
        <w:pStyle w:val="BodyText"/>
        <w:spacing w:line="340" w:lineRule="auto" w:before="13"/>
        <w:ind w:right="982" w:firstLine="420"/>
        <w:jc w:val="left"/>
      </w:pPr>
      <w:r>
        <w:rPr/>
        <w:t>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t>时代，物联网发展迅猛，正加速渗透到生产、消费和社会管理等各领域，物联网设备规</w:t>
      </w:r>
      <w:r>
        <w:rPr>
          <w:w w:val="100"/>
        </w:rPr>
        <w:t> </w:t>
      </w:r>
      <w:r>
        <w:rPr>
          <w:spacing w:val="-2"/>
        </w:rPr>
        <w:t>模呈现爆发性增长趋势，万物互联时代正在到来。物联网给我们的工作和生活带来便携的同时，也带来了</w:t>
      </w:r>
      <w:r>
        <w:rPr>
          <w:spacing w:val="-42"/>
        </w:rPr>
        <w:t> </w:t>
      </w:r>
      <w:r>
        <w:rPr>
          <w:spacing w:val="-42"/>
        </w:rPr>
      </w:r>
      <w:r>
        <w:rPr>
          <w:spacing w:val="-2"/>
        </w:rPr>
        <w:t>风险。物联网安全事件从国家、社会、个人层出不穷，物联网设备、网络、应用面临严峻的安全挑战。物</w:t>
      </w:r>
      <w:r>
        <w:rPr>
          <w:spacing w:val="-46"/>
        </w:rPr>
        <w:t> </w:t>
      </w:r>
      <w:r>
        <w:rPr>
          <w:spacing w:val="-46"/>
        </w:rPr>
      </w:r>
      <w:r>
        <w:rPr>
          <w:spacing w:val="-8"/>
          <w:w w:val="100"/>
        </w:rPr>
        <w:t>联网安全将成为万亿规模市场下的蓝海</w:t>
      </w:r>
      <w:r>
        <w:rPr>
          <w:rFonts w:ascii="Times New Roman" w:hAnsi="Times New Roman" w:cs="Times New Roman" w:eastAsia="Times New Roman" w:hint="default"/>
          <w:spacing w:val="-8"/>
          <w:w w:val="100"/>
        </w:rPr>
        <w:t>“</w:t>
      </w:r>
      <w:r>
        <w:rPr>
          <w:spacing w:val="-8"/>
          <w:w w:val="100"/>
        </w:rPr>
        <w:t>潜力股</w:t>
      </w:r>
      <w:r>
        <w:rPr>
          <w:rFonts w:ascii="Times New Roman" w:hAnsi="Times New Roman" w:cs="Times New Roman" w:eastAsia="Times New Roman" w:hint="default"/>
          <w:spacing w:val="-8"/>
          <w:w w:val="100"/>
        </w:rPr>
        <w:t>”</w:t>
      </w:r>
      <w:r>
        <w:rPr>
          <w:spacing w:val="-8"/>
          <w:w w:val="100"/>
        </w:rPr>
        <w:t>。根据赛迪顾问发布的《</w:t>
      </w:r>
      <w:r>
        <w:rPr>
          <w:rFonts w:ascii="Times New Roman" w:hAnsi="Times New Roman" w:cs="Times New Roman" w:eastAsia="Times New Roman" w:hint="default"/>
          <w:spacing w:val="-8"/>
          <w:w w:val="100"/>
        </w:rPr>
        <w:t>2019</w:t>
      </w:r>
      <w:r>
        <w:rPr>
          <w:spacing w:val="-8"/>
          <w:w w:val="100"/>
        </w:rPr>
        <w:t>年中国网络安全发展白皮书》，</w:t>
      </w:r>
      <w:r>
        <w:rPr>
          <w:spacing w:val="-81"/>
          <w:w w:val="100"/>
        </w:rPr>
        <w:t> </w:t>
      </w:r>
      <w:r>
        <w:rPr>
          <w:spacing w:val="-81"/>
          <w:w w:val="100"/>
        </w:rPr>
      </w:r>
      <w:r>
        <w:rPr/>
        <w:t>赛迪顾问预测，预计到</w:t>
      </w:r>
      <w:r>
        <w:rPr>
          <w:rFonts w:ascii="Times New Roman" w:hAnsi="Times New Roman" w:cs="Times New Roman" w:eastAsia="Times New Roman" w:hint="default"/>
        </w:rPr>
        <w:t>2021</w:t>
      </w:r>
      <w:r>
        <w:rPr/>
        <w:t>年，中国物联网安全市场整体规模将达到</w:t>
      </w:r>
      <w:r>
        <w:rPr>
          <w:rFonts w:ascii="Times New Roman" w:hAnsi="Times New Roman" w:cs="Times New Roman" w:eastAsia="Times New Roman" w:hint="default"/>
        </w:rPr>
        <w:t>300</w:t>
      </w:r>
      <w:r>
        <w:rPr/>
        <w:t>亿元。</w:t>
      </w:r>
    </w:p>
    <w:p>
      <w:pPr>
        <w:pStyle w:val="BodyText"/>
        <w:spacing w:line="345" w:lineRule="auto" w:before="10"/>
        <w:ind w:right="1126" w:firstLine="420"/>
        <w:jc w:val="both"/>
      </w:pPr>
      <w:r>
        <w:rPr>
          <w:spacing w:val="-2"/>
        </w:rPr>
        <w:t>近年来，对制造、通信、能源、市政设施等关键基础领域的攻击事件频频发生，受到攻击的行业领域</w:t>
      </w:r>
      <w:r>
        <w:rPr>
          <w:w w:val="100"/>
        </w:rPr>
        <w:t> </w:t>
      </w:r>
      <w:r>
        <w:rPr>
          <w:spacing w:val="-2"/>
        </w:rPr>
        <w:t>不断扩大，造成后果也愈加严重，工业互联网安全的市场关注度随之提升。随着智能制造和工业互联网推</w:t>
      </w:r>
      <w:r>
        <w:rPr>
          <w:spacing w:val="-43"/>
        </w:rPr>
        <w:t> </w:t>
      </w:r>
      <w:r>
        <w:rPr>
          <w:spacing w:val="-43"/>
        </w:rPr>
      </w:r>
      <w:r>
        <w:rPr>
          <w:spacing w:val="-2"/>
        </w:rPr>
        <w:t>进政策的不断出台，政府及企业开始逐步重视对工业互联网安全的投入，工业互联网安全市场具有较快的</w:t>
      </w:r>
      <w:r>
        <w:rPr>
          <w:spacing w:val="-43"/>
        </w:rPr>
        <w:t> </w:t>
      </w:r>
      <w:r>
        <w:rPr>
          <w:spacing w:val="-43"/>
        </w:rPr>
      </w:r>
      <w:r>
        <w:rPr>
          <w:spacing w:val="-2"/>
        </w:rPr>
        <w:t>增长率。根据赛迪顾问发布的《</w:t>
      </w:r>
      <w:r>
        <w:rPr>
          <w:rFonts w:ascii="Times New Roman" w:hAnsi="Times New Roman" w:cs="Times New Roman" w:eastAsia="Times New Roman" w:hint="default"/>
          <w:spacing w:val="-2"/>
        </w:rPr>
        <w:t>2019</w:t>
      </w:r>
      <w:r>
        <w:rPr>
          <w:spacing w:val="-2"/>
        </w:rPr>
        <w:t>年中国网络安全发展白皮书》，赛迪顾问预测，预计到</w:t>
      </w:r>
      <w:r>
        <w:rPr>
          <w:rFonts w:ascii="Times New Roman" w:hAnsi="Times New Roman" w:cs="Times New Roman" w:eastAsia="Times New Roman" w:hint="default"/>
          <w:spacing w:val="-2"/>
        </w:rPr>
        <w:t>2021</w:t>
      </w:r>
      <w:r>
        <w:rPr>
          <w:spacing w:val="-2"/>
        </w:rPr>
        <w:t>年，中国</w:t>
      </w:r>
      <w:r>
        <w:rPr>
          <w:spacing w:val="-36"/>
        </w:rPr>
        <w:t> </w:t>
      </w:r>
      <w:r>
        <w:rPr>
          <w:spacing w:val="-36"/>
        </w:rPr>
      </w:r>
      <w:r>
        <w:rPr/>
        <w:t>工业互联网安全市场整体规模将达到</w:t>
      </w:r>
      <w:r>
        <w:rPr>
          <w:rFonts w:ascii="Times New Roman" w:hAnsi="Times New Roman" w:cs="Times New Roman" w:eastAsia="Times New Roman" w:hint="default"/>
        </w:rPr>
        <w:t>228</w:t>
      </w:r>
      <w:r>
        <w:rPr/>
        <w:t>亿元。</w:t>
      </w:r>
    </w:p>
    <w:p>
      <w:pPr>
        <w:spacing w:line="328" w:lineRule="auto" w:before="7"/>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、国产化基础软硬件与可信计算的结合将成为今后我国网络安全保护的基石</w:t>
      </w:r>
      <w:r>
        <w:rPr>
          <w:rFonts w:ascii="宋体" w:hAnsi="宋体" w:cs="宋体" w:eastAsia="宋体" w:hint="default"/>
          <w:b/>
          <w:bCs/>
          <w:w w:val="100"/>
          <w:sz w:val="21"/>
          <w:szCs w:val="21"/>
        </w:rPr>
        <w:t> </w:t>
      </w:r>
      <w:r>
        <w:rPr>
          <w:rFonts w:ascii="宋体" w:hAnsi="宋体" w:cs="宋体" w:eastAsia="宋体" w:hint="default"/>
          <w:spacing w:val="-2"/>
          <w:sz w:val="21"/>
          <w:szCs w:val="21"/>
        </w:rPr>
        <w:t>随着我国国产化基础软硬件的逐步成熟，以龙芯、飞腾、兆芯、申威为代表的国产</w:t>
      </w:r>
      <w:r>
        <w:rPr>
          <w:rFonts w:ascii="Times New Roman" w:hAnsi="Times New Roman" w:cs="Times New Roman" w:eastAsia="Times New Roman" w:hint="default"/>
          <w:spacing w:val="-2"/>
          <w:sz w:val="21"/>
          <w:szCs w:val="21"/>
        </w:rPr>
        <w:t>CPU</w:t>
      </w:r>
      <w:r>
        <w:rPr>
          <w:rFonts w:ascii="宋体" w:hAnsi="宋体" w:cs="宋体" w:eastAsia="宋体" w:hint="default"/>
          <w:spacing w:val="-2"/>
          <w:sz w:val="21"/>
          <w:szCs w:val="21"/>
        </w:rPr>
        <w:t>，以及以中标</w:t>
      </w:r>
    </w:p>
    <w:p>
      <w:pPr>
        <w:pStyle w:val="BodyText"/>
        <w:spacing w:line="345" w:lineRule="auto" w:before="24"/>
        <w:ind w:right="982"/>
        <w:jc w:val="left"/>
      </w:pPr>
      <w:r>
        <w:rPr>
          <w:spacing w:val="-2"/>
        </w:rPr>
        <w:t>麒麟、银河麒麟为代表的国产操作系统，已经由基本可用实现了初步具备替代能力的跨越。同时，可信计</w:t>
      </w:r>
      <w:r>
        <w:rPr>
          <w:spacing w:val="-47"/>
        </w:rPr>
        <w:t> </w:t>
      </w:r>
      <w:r>
        <w:rPr>
          <w:spacing w:val="-47"/>
        </w:rPr>
      </w:r>
      <w:r>
        <w:rPr>
          <w:spacing w:val="-3"/>
        </w:rPr>
        <w:t>算也迈入了主动免疫的可信计算</w:t>
      </w:r>
      <w:r>
        <w:rPr>
          <w:rFonts w:ascii="Times New Roman" w:hAnsi="Times New Roman" w:cs="Times New Roman" w:eastAsia="Times New Roman" w:hint="default"/>
          <w:spacing w:val="-3"/>
        </w:rPr>
        <w:t>3.0</w:t>
      </w:r>
      <w:r>
        <w:rPr>
          <w:spacing w:val="-3"/>
        </w:rPr>
        <w:t>时代，在最新推出的</w:t>
      </w:r>
      <w:r>
        <w:rPr>
          <w:rFonts w:ascii="Times New Roman" w:hAnsi="Times New Roman" w:cs="Times New Roman" w:eastAsia="Times New Roman" w:hint="default"/>
          <w:spacing w:val="-3"/>
        </w:rPr>
        <w:t>“</w:t>
      </w:r>
      <w:r>
        <w:rPr>
          <w:spacing w:val="-3"/>
        </w:rPr>
        <w:t>等保</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3"/>
        </w:rPr>
        <w:t>”</w:t>
      </w:r>
      <w:r>
        <w:rPr>
          <w:spacing w:val="-3"/>
        </w:rPr>
        <w:t>中，</w:t>
      </w:r>
      <w:r>
        <w:rPr>
          <w:rFonts w:ascii="Times New Roman" w:hAnsi="Times New Roman" w:cs="Times New Roman" w:eastAsia="Times New Roman" w:hint="default"/>
          <w:spacing w:val="-3"/>
        </w:rPr>
        <w:t>“</w:t>
      </w:r>
      <w:r>
        <w:rPr>
          <w:spacing w:val="-3"/>
        </w:rPr>
        <w:t>可信</w:t>
      </w:r>
      <w:r>
        <w:rPr>
          <w:rFonts w:ascii="Times New Roman" w:hAnsi="Times New Roman" w:cs="Times New Roman" w:eastAsia="Times New Roman" w:hint="default"/>
          <w:spacing w:val="-3"/>
        </w:rPr>
        <w:t>”</w:t>
      </w:r>
      <w:r>
        <w:rPr>
          <w:spacing w:val="-3"/>
        </w:rPr>
        <w:t>已成为了网络安全保护不可或</w:t>
      </w:r>
      <w:r>
        <w:rPr>
          <w:spacing w:val="-39"/>
        </w:rPr>
        <w:t> </w:t>
      </w:r>
      <w:r>
        <w:rPr>
          <w:spacing w:val="-39"/>
        </w:rPr>
      </w:r>
      <w:r>
        <w:rPr>
          <w:spacing w:val="-2"/>
        </w:rPr>
        <w:t>缺的一部分。国产化基础软硬件与可信计算的结合将成为今后我国网络安全保护的基石。自主可控要求带</w:t>
      </w:r>
      <w:r>
        <w:rPr>
          <w:spacing w:val="-44"/>
        </w:rPr>
        <w:t> </w:t>
      </w:r>
      <w:r>
        <w:rPr>
          <w:spacing w:val="-44"/>
        </w:rPr>
      </w:r>
      <w:r>
        <w:rPr>
          <w:spacing w:val="-2"/>
        </w:rPr>
        <w:t>来的信息系统软硬件国产替代，也将给信息安全行业带来巨大的市场增量。目前，信息安全产品国产化替</w:t>
      </w:r>
      <w:r>
        <w:rPr>
          <w:spacing w:val="-44"/>
        </w:rPr>
        <w:t> </w:t>
      </w:r>
      <w:r>
        <w:rPr>
          <w:spacing w:val="-44"/>
        </w:rPr>
      </w:r>
      <w:r>
        <w:rPr>
          <w:spacing w:val="-2"/>
        </w:rPr>
        <w:t>代市场空间巨大，拥有自主可控标准、技术、产品的信息安全厂商，将充分应用云计算、大数据、人工智</w:t>
      </w:r>
      <w:r>
        <w:rPr>
          <w:spacing w:val="-42"/>
        </w:rPr>
        <w:t> </w:t>
      </w:r>
      <w:r>
        <w:rPr>
          <w:spacing w:val="-42"/>
        </w:rPr>
      </w:r>
      <w:r>
        <w:rPr>
          <w:spacing w:val="-5"/>
        </w:rPr>
        <w:t>能、物联网等新兴技术，把握产业发展机遇，不断扩大市场份额，实现对国外信息安全产品的规模性替代，</w:t>
      </w:r>
      <w:r>
        <w:rPr>
          <w:spacing w:val="-9"/>
        </w:rPr>
        <w:t> </w:t>
      </w:r>
      <w:r>
        <w:rPr>
          <w:spacing w:val="-9"/>
        </w:rPr>
      </w:r>
      <w:r>
        <w:rPr/>
        <w:t>在核心应用领域和国内产业转型升级的变革中发挥重要作用。</w:t>
      </w:r>
    </w:p>
    <w:p>
      <w:pPr>
        <w:spacing w:line="328" w:lineRule="auto" w:before="33"/>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、安全边界日益模糊，安全风险全面泛化</w:t>
      </w:r>
      <w:r>
        <w:rPr>
          <w:rFonts w:ascii="宋体" w:hAnsi="宋体" w:cs="宋体" w:eastAsia="宋体" w:hint="default"/>
          <w:b/>
          <w:bCs/>
          <w:w w:val="100"/>
          <w:sz w:val="21"/>
          <w:szCs w:val="21"/>
        </w:rPr>
        <w:t> </w:t>
      </w:r>
      <w:r>
        <w:rPr>
          <w:rFonts w:ascii="宋体" w:hAnsi="宋体" w:cs="宋体" w:eastAsia="宋体" w:hint="default"/>
          <w:spacing w:val="-4"/>
          <w:sz w:val="21"/>
          <w:szCs w:val="21"/>
        </w:rPr>
        <w:t>近年来，云计算、大数据、物联网、人工智能、</w:t>
      </w:r>
      <w:r>
        <w:rPr>
          <w:rFonts w:ascii="Times New Roman" w:hAnsi="Times New Roman" w:cs="Times New Roman" w:eastAsia="Times New Roman" w:hint="default"/>
          <w:spacing w:val="-4"/>
          <w:sz w:val="21"/>
          <w:szCs w:val="21"/>
        </w:rPr>
        <w:t>5G</w:t>
      </w:r>
      <w:r>
        <w:rPr>
          <w:rFonts w:ascii="宋体" w:hAnsi="宋体" w:cs="宋体" w:eastAsia="宋体" w:hint="default"/>
          <w:spacing w:val="-4"/>
          <w:sz w:val="21"/>
          <w:szCs w:val="21"/>
        </w:rPr>
        <w:t>、量子通信等具有颠覆性的新兴技术、新场景的猛</w:t>
      </w:r>
    </w:p>
    <w:p>
      <w:pPr>
        <w:pStyle w:val="BodyText"/>
        <w:spacing w:line="350" w:lineRule="auto" w:before="24"/>
        <w:ind w:right="982"/>
        <w:jc w:val="left"/>
      </w:pPr>
      <w:r>
        <w:rPr>
          <w:spacing w:val="-5"/>
        </w:rPr>
        <w:t>进发展，使得网络与信息安全风险全面泛化，种类和复杂度均显著增加。大规模数据泄露频发、高危漏洞、</w:t>
      </w:r>
      <w:r>
        <w:rPr>
          <w:spacing w:val="-12"/>
        </w:rPr>
        <w:t> </w:t>
      </w:r>
      <w:r>
        <w:rPr>
          <w:spacing w:val="-12"/>
        </w:rPr>
      </w:r>
      <w:r>
        <w:rPr>
          <w:spacing w:val="-2"/>
        </w:rPr>
        <w:t>新技术应用下的网络攻击、智能犯罪等网络信息安全问题也呈现出新的变化，严重危害国家关键基础设施</w:t>
      </w:r>
      <w:r>
        <w:rPr>
          <w:spacing w:val="-44"/>
        </w:rPr>
        <w:t> </w:t>
      </w:r>
      <w:r>
        <w:rPr>
          <w:spacing w:val="-44"/>
        </w:rPr>
      </w:r>
      <w:r>
        <w:rPr>
          <w:spacing w:val="-2"/>
        </w:rPr>
        <w:t>安全、社会稳定与个人隐私。网络信息安全事件在总体数量、规模与影响范围上每年都呈现显著变化，其</w:t>
      </w:r>
      <w:r>
        <w:rPr>
          <w:spacing w:val="-47"/>
        </w:rPr>
        <w:t> </w:t>
      </w:r>
      <w:r>
        <w:rPr>
          <w:spacing w:val="-47"/>
        </w:rPr>
      </w:r>
      <w:r>
        <w:rPr>
          <w:spacing w:val="-2"/>
        </w:rPr>
        <w:t>中尤以数据泄露、技术风险和网络攻击最为突出。因此，信息安全产业范畴也得到不断延伸和拓展，产品</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40" w:lineRule="auto" w:before="0"/>
        <w:ind w:left="573" w:right="982" w:hanging="421"/>
        <w:jc w:val="left"/>
        <w:rPr>
          <w:rFonts w:ascii="宋体" w:hAnsi="宋体" w:cs="宋体" w:eastAsia="宋体" w:hint="default"/>
          <w:sz w:val="21"/>
          <w:szCs w:val="21"/>
        </w:rPr>
      </w:pPr>
      <w:r>
        <w:rPr>
          <w:rFonts w:ascii="宋体" w:hAnsi="宋体" w:cs="宋体" w:eastAsia="宋体" w:hint="default"/>
          <w:sz w:val="21"/>
          <w:szCs w:val="21"/>
        </w:rPr>
        <w:t>与服务种类较传统分类不断得到充实与细化。</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、全局化、智能化成为网络安全行业的发展趋势，将带动用户信息安全支出的全面提升</w:t>
      </w:r>
      <w:r>
        <w:rPr>
          <w:rFonts w:ascii="宋体" w:hAnsi="宋体" w:cs="宋体" w:eastAsia="宋体" w:hint="default"/>
          <w:b/>
          <w:bCs/>
          <w:w w:val="100"/>
          <w:sz w:val="21"/>
          <w:szCs w:val="21"/>
        </w:rPr>
        <w:t> </w:t>
      </w:r>
      <w:r>
        <w:rPr>
          <w:rFonts w:ascii="宋体" w:hAnsi="宋体" w:cs="宋体" w:eastAsia="宋体" w:hint="default"/>
          <w:spacing w:val="-5"/>
          <w:sz w:val="21"/>
          <w:szCs w:val="21"/>
        </w:rPr>
        <w:t>安全形势的复杂化，驱动安全防护理念全面升级。全局化、智能化成为网络信息安全行业的两大趋势，</w:t>
      </w:r>
    </w:p>
    <w:p>
      <w:pPr>
        <w:pStyle w:val="BodyText"/>
        <w:spacing w:line="343" w:lineRule="auto" w:before="37"/>
        <w:ind w:right="982"/>
        <w:jc w:val="left"/>
      </w:pPr>
      <w:r>
        <w:rPr>
          <w:spacing w:val="-2"/>
        </w:rPr>
        <w:t>相较于单点防御，对于整体解决方案的需求正在提升；相较于边界防护，对于基于数据驱动的智能化新产</w:t>
      </w:r>
      <w:r>
        <w:rPr>
          <w:spacing w:val="-43"/>
        </w:rPr>
        <w:t> </w:t>
      </w:r>
      <w:r>
        <w:rPr>
          <w:spacing w:val="-43"/>
        </w:rPr>
      </w:r>
      <w:r>
        <w:rPr>
          <w:spacing w:val="-2"/>
        </w:rPr>
        <w:t>品和新技术的需求正在提升；而相较于产品采购，对于外部专业安全服务的需求也在持续提升。全局化趋</w:t>
      </w:r>
      <w:r>
        <w:rPr>
          <w:spacing w:val="-42"/>
        </w:rPr>
        <w:t> </w:t>
      </w:r>
      <w:r>
        <w:rPr>
          <w:spacing w:val="-42"/>
        </w:rPr>
      </w:r>
      <w:r>
        <w:rPr>
          <w:spacing w:val="-2"/>
        </w:rPr>
        <w:t>势一方面体现在为提高防护能力，将网络安全纳入组织信息化顶层设计方案，将安全关口前置，而非传统</w:t>
      </w:r>
      <w:r>
        <w:rPr>
          <w:spacing w:val="-44"/>
        </w:rPr>
        <w:t> </w:t>
      </w:r>
      <w:r>
        <w:rPr>
          <w:spacing w:val="-44"/>
        </w:rPr>
      </w:r>
      <w:r>
        <w:rPr>
          <w:spacing w:val="-2"/>
        </w:rPr>
        <w:t>安全机制下对于信息化的补充；另一方面则体现在基于整体来考虑和设计安全防护方案，体系化部署全面</w:t>
      </w:r>
      <w:r>
        <w:rPr>
          <w:spacing w:val="-43"/>
        </w:rPr>
        <w:t> </w:t>
      </w:r>
      <w:r>
        <w:rPr>
          <w:spacing w:val="-43"/>
        </w:rPr>
      </w:r>
      <w:r>
        <w:rPr/>
        <w:t>安全防护系统而非单点防御。网络安全智能化趋势则体现在安全思维从传统的</w:t>
      </w:r>
      <w:r>
        <w:rPr>
          <w:rFonts w:ascii="Times New Roman" w:hAnsi="Times New Roman" w:cs="Times New Roman" w:eastAsia="Times New Roman" w:hint="default"/>
        </w:rPr>
        <w:t>“</w:t>
      </w:r>
      <w:r>
        <w:rPr/>
        <w:t>应急响应</w:t>
      </w:r>
      <w:r>
        <w:rPr>
          <w:rFonts w:ascii="Times New Roman" w:hAnsi="Times New Roman" w:cs="Times New Roman" w:eastAsia="Times New Roman" w:hint="default"/>
        </w:rPr>
        <w:t>”</w:t>
      </w:r>
      <w:r>
        <w:rPr/>
        <w:t>转变为</w:t>
      </w:r>
      <w:r>
        <w:rPr>
          <w:rFonts w:ascii="Times New Roman" w:hAnsi="Times New Roman" w:cs="Times New Roman" w:eastAsia="Times New Roman" w:hint="default"/>
        </w:rPr>
        <w:t>“</w:t>
      </w:r>
      <w:r>
        <w:rPr/>
        <w:t>持续响</w:t>
      </w:r>
      <w:r>
        <w:rPr>
          <w:spacing w:val="10"/>
        </w:rPr>
        <w:t> </w:t>
      </w:r>
      <w:r>
        <w:rPr>
          <w:spacing w:val="10"/>
        </w:rPr>
      </w:r>
      <w:r>
        <w:rPr>
          <w:spacing w:val="-2"/>
        </w:rPr>
        <w:t>应</w:t>
      </w:r>
      <w:r>
        <w:rPr>
          <w:rFonts w:ascii="Times New Roman" w:hAnsi="Times New Roman" w:cs="Times New Roman" w:eastAsia="Times New Roman" w:hint="default"/>
          <w:spacing w:val="-2"/>
        </w:rPr>
        <w:t>”</w:t>
      </w:r>
      <w:r>
        <w:rPr>
          <w:spacing w:val="-2"/>
        </w:rPr>
        <w:t>，在阻止之外加大对于检测、响应、预测方面的安全投入，加大对于数据驱动类应用的投入。全局化、</w:t>
      </w:r>
      <w:r>
        <w:rPr>
          <w:spacing w:val="-29"/>
        </w:rPr>
        <w:t> </w:t>
      </w:r>
      <w:r>
        <w:rPr>
          <w:spacing w:val="-29"/>
        </w:rPr>
      </w:r>
      <w:r>
        <w:rPr/>
        <w:t>智能化的行业发展趋势将带动用户信息安全支出的全面提升。</w:t>
      </w:r>
    </w:p>
    <w:p>
      <w:pPr>
        <w:spacing w:line="328" w:lineRule="auto" w:before="35"/>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（二）公司未来发展战略及</w:t>
      </w:r>
      <w:r>
        <w:rPr>
          <w:rFonts w:ascii="Times New Roman" w:hAnsi="Times New Roman" w:cs="Times New Roman" w:eastAsia="Times New Roman" w:hint="default"/>
          <w:b/>
          <w:bCs/>
          <w:sz w:val="21"/>
          <w:szCs w:val="21"/>
        </w:rPr>
        <w:t>2020</w:t>
      </w:r>
      <w:r>
        <w:rPr>
          <w:rFonts w:ascii="宋体" w:hAnsi="宋体" w:cs="宋体" w:eastAsia="宋体" w:hint="default"/>
          <w:b/>
          <w:bCs/>
          <w:sz w:val="21"/>
          <w:szCs w:val="21"/>
        </w:rPr>
        <w:t>年经营计划</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公司将继续秉承</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智慧安全领导者</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的理念与使命，聚焦网络信息安全主业，把握政策红利，积极参与</w:t>
      </w:r>
    </w:p>
    <w:p>
      <w:pPr>
        <w:pStyle w:val="BodyText"/>
        <w:spacing w:line="348" w:lineRule="auto" w:before="24"/>
        <w:ind w:right="1126"/>
        <w:jc w:val="both"/>
      </w:pPr>
      <w:r>
        <w:rPr>
          <w:spacing w:val="-2"/>
        </w:rPr>
        <w:t>国家网络安全体系建设。通过持续改善和优化技术研究体系、产品开发体系、市场营销体系、服务支撑体</w:t>
      </w:r>
      <w:r>
        <w:rPr>
          <w:spacing w:val="-46"/>
        </w:rPr>
        <w:t> </w:t>
      </w:r>
      <w:r>
        <w:rPr>
          <w:spacing w:val="-46"/>
        </w:rPr>
      </w:r>
      <w:r>
        <w:rPr>
          <w:spacing w:val="-2"/>
        </w:rPr>
        <w:t>系和组织管理体系，继续巩固并提升公司在行业内的市场份额和品牌形象，力争成为国内龙头、国际一流</w:t>
      </w:r>
      <w:r>
        <w:rPr>
          <w:spacing w:val="-42"/>
        </w:rPr>
        <w:t> </w:t>
      </w:r>
      <w:r>
        <w:rPr>
          <w:spacing w:val="-42"/>
        </w:rPr>
      </w:r>
      <w:r>
        <w:rPr/>
        <w:t>的信息安全企业。</w:t>
      </w:r>
    </w:p>
    <w:p>
      <w:pPr>
        <w:pStyle w:val="BodyText"/>
        <w:spacing w:line="240" w:lineRule="auto" w:before="31"/>
        <w:ind w:left="573" w:right="1133"/>
        <w:jc w:val="left"/>
      </w:pPr>
      <w:r>
        <w:rPr>
          <w:rFonts w:ascii="Times New Roman" w:hAnsi="Times New Roman" w:cs="Times New Roman" w:eastAsia="Times New Roman" w:hint="default"/>
        </w:rPr>
        <w:t>2020</w:t>
      </w:r>
      <w:r>
        <w:rPr/>
        <w:t>年度，公司的主要经营计划如下：</w:t>
      </w:r>
    </w:p>
    <w:p>
      <w:pPr>
        <w:spacing w:line="328" w:lineRule="auto" w:before="110"/>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、以政策为契机，积极参与国家网络安全体系建设</w:t>
      </w:r>
      <w:r>
        <w:rPr>
          <w:rFonts w:ascii="宋体" w:hAnsi="宋体" w:cs="宋体" w:eastAsia="宋体" w:hint="default"/>
          <w:b/>
          <w:bCs/>
          <w:w w:val="100"/>
          <w:sz w:val="21"/>
          <w:szCs w:val="21"/>
        </w:rPr>
        <w:t> </w:t>
      </w:r>
      <w:r>
        <w:rPr>
          <w:rFonts w:ascii="宋体" w:hAnsi="宋体" w:cs="宋体" w:eastAsia="宋体" w:hint="default"/>
          <w:spacing w:val="-3"/>
          <w:sz w:val="21"/>
          <w:szCs w:val="21"/>
        </w:rPr>
        <w:t>近年来，随着我国《网络安全法》、</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等保</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等网络信息安全领域重磅政策、标准的正式实施及深入</w:t>
      </w:r>
    </w:p>
    <w:p>
      <w:pPr>
        <w:pStyle w:val="BodyText"/>
        <w:spacing w:line="340" w:lineRule="auto" w:before="24"/>
        <w:ind w:right="1105"/>
        <w:jc w:val="both"/>
      </w:pPr>
      <w:r>
        <w:rPr>
          <w:spacing w:val="-2"/>
        </w:rPr>
        <w:t>推进，政府、企业等客户在网络信息安全方面投入在逐年增长，我国网络信息安全行业有望持续保持较快</w:t>
      </w:r>
      <w:r>
        <w:rPr>
          <w:spacing w:val="-43"/>
        </w:rPr>
        <w:t> </w:t>
      </w:r>
      <w:r>
        <w:rPr>
          <w:spacing w:val="-43"/>
        </w:rPr>
      </w:r>
      <w:r>
        <w:rPr>
          <w:spacing w:val="-3"/>
        </w:rPr>
        <w:t>的增长。</w:t>
      </w:r>
      <w:r>
        <w:rPr>
          <w:rFonts w:ascii="Times New Roman" w:hAnsi="Times New Roman" w:cs="Times New Roman" w:eastAsia="Times New Roman" w:hint="default"/>
          <w:spacing w:val="-3"/>
        </w:rPr>
        <w:t>2020</w:t>
      </w:r>
      <w:r>
        <w:rPr>
          <w:spacing w:val="-3"/>
        </w:rPr>
        <w:t>年，公司将以政策红利为契机，把握</w:t>
      </w:r>
      <w:r>
        <w:rPr>
          <w:rFonts w:ascii="Times New Roman" w:hAnsi="Times New Roman" w:cs="Times New Roman" w:eastAsia="Times New Roman" w:hint="default"/>
          <w:spacing w:val="-3"/>
        </w:rPr>
        <w:t>“</w:t>
      </w:r>
      <w:r>
        <w:rPr>
          <w:spacing w:val="-3"/>
        </w:rPr>
        <w:t>智慧城市</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雪亮工程</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等保</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自主可控</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安</w:t>
      </w:r>
      <w:r>
        <w:rPr>
          <w:spacing w:val="-29"/>
        </w:rPr>
        <w:t> </w:t>
      </w:r>
      <w:r>
        <w:rPr>
          <w:spacing w:val="-3"/>
        </w:rPr>
        <w:t>可项目</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数字政府</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新型基础设施建设</w:t>
      </w:r>
      <w:r>
        <w:rPr>
          <w:rFonts w:ascii="Times New Roman" w:hAnsi="Times New Roman" w:cs="Times New Roman" w:eastAsia="Times New Roman" w:hint="default"/>
          <w:spacing w:val="-3"/>
        </w:rPr>
        <w:t>”</w:t>
      </w:r>
      <w:r>
        <w:rPr>
          <w:spacing w:val="-3"/>
        </w:rPr>
        <w:t>等国家重点项目建设带来的机遇，依托公司在网络信息安全领</w:t>
      </w:r>
      <w:r>
        <w:rPr>
          <w:spacing w:val="-41"/>
        </w:rPr>
        <w:t> </w:t>
      </w:r>
      <w:r>
        <w:rPr>
          <w:spacing w:val="-41"/>
        </w:rPr>
      </w:r>
      <w:r>
        <w:rPr>
          <w:spacing w:val="-2"/>
        </w:rPr>
        <w:t>域的产品、研发、资质、一站式安全解决方案能力、各大行业成功案例等核心优势，有效进行业务拓展，</w:t>
      </w:r>
      <w:r>
        <w:rPr>
          <w:spacing w:val="-21"/>
        </w:rPr>
        <w:t> </w:t>
      </w:r>
      <w:r>
        <w:rPr>
          <w:spacing w:val="-21"/>
        </w:rPr>
      </w:r>
      <w:r>
        <w:rPr/>
        <w:t>积极参与国家网络安全体系建设。</w:t>
      </w:r>
    </w:p>
    <w:p>
      <w:pPr>
        <w:pStyle w:val="Heading3"/>
        <w:spacing w:line="240" w:lineRule="auto" w:before="35"/>
        <w:ind w:left="575" w:right="1133"/>
        <w:jc w:val="left"/>
        <w:rPr>
          <w:b w:val="0"/>
          <w:bCs w:val="0"/>
        </w:rPr>
      </w:pPr>
      <w:r>
        <w:rPr>
          <w:rFonts w:ascii="Times New Roman" w:hAnsi="Times New Roman" w:cs="Times New Roman" w:eastAsia="Times New Roman" w:hint="default"/>
        </w:rPr>
        <w:t>2</w:t>
      </w:r>
      <w:r>
        <w:rPr/>
        <w:t>、全面提升云安全产品的易用性、适配性和性能</w:t>
      </w:r>
      <w:r>
        <w:rPr>
          <w:b w:val="0"/>
          <w:bCs w:val="0"/>
        </w:rPr>
      </w:r>
    </w:p>
    <w:p>
      <w:pPr>
        <w:pStyle w:val="BodyText"/>
        <w:spacing w:line="331" w:lineRule="auto" w:before="110"/>
        <w:ind w:right="1126" w:firstLine="420"/>
        <w:jc w:val="both"/>
      </w:pPr>
      <w:r>
        <w:rPr>
          <w:rFonts w:ascii="Times New Roman" w:hAnsi="Times New Roman" w:cs="Times New Roman" w:eastAsia="Times New Roman" w:hint="default"/>
          <w:spacing w:val="-2"/>
        </w:rPr>
        <w:t>2020</w:t>
      </w:r>
      <w:r>
        <w:rPr>
          <w:spacing w:val="-2"/>
        </w:rPr>
        <w:t>年，公司将持续推进</w:t>
      </w:r>
      <w:r>
        <w:rPr>
          <w:rFonts w:ascii="Times New Roman" w:hAnsi="Times New Roman" w:cs="Times New Roman" w:eastAsia="Times New Roman" w:hint="default"/>
          <w:spacing w:val="-2"/>
        </w:rPr>
        <w:t>“</w:t>
      </w:r>
      <w:r>
        <w:rPr>
          <w:spacing w:val="-2"/>
        </w:rPr>
        <w:t>云战略</w:t>
      </w:r>
      <w:r>
        <w:rPr>
          <w:rFonts w:ascii="Times New Roman" w:hAnsi="Times New Roman" w:cs="Times New Roman" w:eastAsia="Times New Roman" w:hint="default"/>
          <w:spacing w:val="-2"/>
        </w:rPr>
        <w:t>”</w:t>
      </w:r>
      <w:r>
        <w:rPr>
          <w:spacing w:val="-2"/>
        </w:rPr>
        <w:t>，全面提升公司八大虚拟安全产品的易用性、适配性和性能。在易</w:t>
      </w:r>
      <w:r>
        <w:rPr>
          <w:w w:val="100"/>
        </w:rPr>
        <w:t> </w:t>
      </w:r>
      <w:r>
        <w:rPr>
          <w:spacing w:val="-2"/>
        </w:rPr>
        <w:t>用性方面，采用自动网络学习和自动策略配置的功能，专业</w:t>
      </w:r>
      <w:r>
        <w:rPr>
          <w:rFonts w:ascii="Times New Roman" w:hAnsi="Times New Roman" w:cs="Times New Roman" w:eastAsia="Times New Roman" w:hint="default"/>
          <w:spacing w:val="-2"/>
        </w:rPr>
        <w:t>IT</w:t>
      </w:r>
      <w:r>
        <w:rPr>
          <w:spacing w:val="-2"/>
        </w:rPr>
        <w:t>管理员和普通</w:t>
      </w:r>
      <w:r>
        <w:rPr>
          <w:rFonts w:ascii="Times New Roman" w:hAnsi="Times New Roman" w:cs="Times New Roman" w:eastAsia="Times New Roman" w:hint="default"/>
          <w:spacing w:val="-2"/>
        </w:rPr>
        <w:t>IT</w:t>
      </w:r>
      <w:r>
        <w:rPr>
          <w:spacing w:val="-2"/>
        </w:rPr>
        <w:t>人员都可以轻松完成部署，</w:t>
      </w:r>
      <w:r>
        <w:rPr>
          <w:spacing w:val="-20"/>
        </w:rPr>
        <w:t> </w:t>
      </w:r>
      <w:r>
        <w:rPr>
          <w:spacing w:val="-20"/>
        </w:rPr>
      </w:r>
      <w:r>
        <w:rPr/>
        <w:t>从而极大降低产品的运维成本，减少庞大的实施成本和人员需求。在适配性方面，全面适配非</w:t>
      </w:r>
      <w:r>
        <w:rPr>
          <w:rFonts w:ascii="Times New Roman" w:hAnsi="Times New Roman" w:cs="Times New Roman" w:eastAsia="Times New Roman" w:hint="default"/>
        </w:rPr>
        <w:t>x86</w:t>
      </w:r>
      <w:r>
        <w:rPr/>
        <w:t>平台云</w:t>
      </w:r>
      <w:r>
        <w:rPr>
          <w:spacing w:val="-24"/>
        </w:rPr>
        <w:t> </w:t>
      </w:r>
      <w:r>
        <w:rPr>
          <w:spacing w:val="-4"/>
        </w:rPr>
        <w:t>的安全防护，如基于国产芯片的云平台</w:t>
      </w:r>
      <w:r>
        <w:rPr>
          <w:rFonts w:ascii="Times New Roman" w:hAnsi="Times New Roman" w:cs="Times New Roman" w:eastAsia="Times New Roman" w:hint="default"/>
          <w:spacing w:val="-4"/>
        </w:rPr>
        <w:t>(</w:t>
      </w:r>
      <w:r>
        <w:rPr>
          <w:spacing w:val="-4"/>
        </w:rPr>
        <w:t>包括容器云）。另外在性能上继续投入虚拟化网络技术，从而解决</w:t>
      </w:r>
      <w:r>
        <w:rPr>
          <w:spacing w:val="-22"/>
        </w:rPr>
        <w:t> </w:t>
      </w:r>
      <w:r>
        <w:rPr>
          <w:spacing w:val="-22"/>
        </w:rPr>
      </w:r>
      <w:r>
        <w:rPr/>
        <w:t>云安全产品对云计算计算资源的过度依赖，全面提升产品竞争力。</w:t>
      </w:r>
    </w:p>
    <w:p>
      <w:pPr>
        <w:pStyle w:val="Heading3"/>
        <w:spacing w:line="240" w:lineRule="auto" w:before="43"/>
        <w:ind w:left="575" w:right="1133"/>
        <w:jc w:val="left"/>
        <w:rPr>
          <w:b w:val="0"/>
          <w:bCs w:val="0"/>
        </w:rPr>
      </w:pPr>
      <w:r>
        <w:rPr>
          <w:rFonts w:ascii="Times New Roman" w:hAnsi="Times New Roman" w:cs="Times New Roman" w:eastAsia="Times New Roman" w:hint="default"/>
        </w:rPr>
        <w:t>3</w:t>
      </w:r>
      <w:r>
        <w:rPr/>
        <w:t>、态势感知和安全管控产品高性能升级</w:t>
      </w:r>
      <w:r>
        <w:rPr>
          <w:b w:val="0"/>
          <w:bCs w:val="0"/>
        </w:rPr>
      </w:r>
    </w:p>
    <w:p>
      <w:pPr>
        <w:pStyle w:val="BodyText"/>
        <w:spacing w:line="343" w:lineRule="auto" w:before="110"/>
        <w:ind w:right="1126" w:firstLine="420"/>
        <w:jc w:val="both"/>
      </w:pPr>
      <w:r>
        <w:rPr>
          <w:rFonts w:ascii="Times New Roman" w:hAnsi="Times New Roman" w:cs="Times New Roman" w:eastAsia="Times New Roman" w:hint="default"/>
          <w:spacing w:val="-2"/>
        </w:rPr>
        <w:t>2020</w:t>
      </w:r>
      <w:r>
        <w:rPr>
          <w:spacing w:val="-2"/>
        </w:rPr>
        <w:t>年，公司将继续继续完成基于大数据平台的态势感知产品算法优化、机器学习效率、大数据平台</w:t>
      </w:r>
      <w:r>
        <w:rPr>
          <w:w w:val="100"/>
        </w:rPr>
        <w:t> </w:t>
      </w:r>
      <w:r>
        <w:rPr>
          <w:spacing w:val="-2"/>
        </w:rPr>
        <w:t>和数据采集处理融合等方面的功能演进，从而实现单一融合到分布式部署的多种场景需求。公司将继续优</w:t>
      </w:r>
      <w:r>
        <w:rPr>
          <w:spacing w:val="-42"/>
        </w:rPr>
        <w:t> </w:t>
      </w:r>
      <w:r>
        <w:rPr>
          <w:spacing w:val="-42"/>
        </w:rPr>
      </w:r>
      <w:r>
        <w:rPr>
          <w:spacing w:val="-2"/>
        </w:rPr>
        <w:t>化和改进机器学习在产品的应用，从监督学习到无监督学习的联合应用，从而更快速和准确地检测到网络</w:t>
      </w:r>
      <w:r>
        <w:rPr>
          <w:spacing w:val="-44"/>
        </w:rPr>
        <w:t> </w:t>
      </w:r>
      <w:r>
        <w:rPr>
          <w:spacing w:val="-44"/>
        </w:rPr>
      </w:r>
      <w:r>
        <w:rPr/>
        <w:t>威胁攻击。</w:t>
      </w:r>
    </w:p>
    <w:p>
      <w:pPr>
        <w:spacing w:after="0" w:line="34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85"/>
        <w:ind w:left="575" w:right="1133"/>
        <w:jc w:val="left"/>
        <w:rPr>
          <w:b w:val="0"/>
          <w:bCs w:val="0"/>
        </w:rPr>
      </w:pPr>
      <w:r>
        <w:rPr>
          <w:rFonts w:ascii="Times New Roman" w:hAnsi="Times New Roman" w:cs="Times New Roman" w:eastAsia="Times New Roman" w:hint="default"/>
        </w:rPr>
        <w:t>4</w:t>
      </w:r>
      <w:r>
        <w:rPr/>
        <w:t>、网络和终端安全产品的国产化及人工智能化</w:t>
      </w:r>
      <w:r>
        <w:rPr>
          <w:b w:val="0"/>
          <w:bCs w:val="0"/>
        </w:rPr>
      </w:r>
    </w:p>
    <w:p>
      <w:pPr>
        <w:pStyle w:val="BodyText"/>
        <w:spacing w:line="338" w:lineRule="auto" w:before="110"/>
        <w:ind w:right="1126" w:firstLine="420"/>
        <w:jc w:val="both"/>
      </w:pPr>
      <w:r>
        <w:rPr>
          <w:rFonts w:ascii="Times New Roman" w:hAnsi="Times New Roman" w:cs="Times New Roman" w:eastAsia="Times New Roman" w:hint="default"/>
        </w:rPr>
        <w:t>2020</w:t>
      </w:r>
      <w:r>
        <w:rPr/>
        <w:t>年，公司对网络和终端产品的研发重点将从</w:t>
      </w:r>
      <w:r>
        <w:rPr>
          <w:rFonts w:ascii="Times New Roman" w:hAnsi="Times New Roman" w:cs="Times New Roman" w:eastAsia="Times New Roman" w:hint="default"/>
        </w:rPr>
        <w:t>x86</w:t>
      </w:r>
      <w:r>
        <w:rPr/>
        <w:t>平台转移到国产平台，终端安全审计与防护重点</w:t>
      </w:r>
      <w:r>
        <w:rPr>
          <w:w w:val="100"/>
        </w:rPr>
        <w:t> </w:t>
      </w:r>
      <w:r>
        <w:rPr>
          <w:spacing w:val="-2"/>
        </w:rPr>
        <w:t>突破</w:t>
      </w:r>
      <w:r>
        <w:rPr>
          <w:rFonts w:ascii="Times New Roman" w:hAnsi="Times New Roman" w:cs="Times New Roman" w:eastAsia="Times New Roman" w:hint="default"/>
          <w:spacing w:val="-2"/>
        </w:rPr>
        <w:t>“</w:t>
      </w:r>
      <w:r>
        <w:rPr>
          <w:spacing w:val="-2"/>
        </w:rPr>
        <w:t>轻终端，重后端</w:t>
      </w:r>
      <w:r>
        <w:rPr>
          <w:rFonts w:ascii="Times New Roman" w:hAnsi="Times New Roman" w:cs="Times New Roman" w:eastAsia="Times New Roman" w:hint="default"/>
          <w:spacing w:val="-2"/>
        </w:rPr>
        <w:t>”</w:t>
      </w:r>
      <w:r>
        <w:rPr>
          <w:spacing w:val="-2"/>
        </w:rPr>
        <w:t>的体系架构。在终端侧，完成轻量级实施安装，采用机器学习的人工智能方法，促</w:t>
      </w:r>
      <w:r>
        <w:rPr>
          <w:spacing w:val="-17"/>
        </w:rPr>
        <w:t> </w:t>
      </w:r>
      <w:r>
        <w:rPr>
          <w:spacing w:val="-17"/>
        </w:rPr>
      </w:r>
      <w:r>
        <w:rPr>
          <w:spacing w:val="-2"/>
        </w:rPr>
        <w:t>进后台数据分析和处理，发现终端潜在安全和风险，将极大地提高产品的部署和行业客户服务能力，对客</w:t>
      </w:r>
      <w:r>
        <w:rPr>
          <w:spacing w:val="-43"/>
        </w:rPr>
        <w:t> </w:t>
      </w:r>
      <w:r>
        <w:rPr>
          <w:spacing w:val="-43"/>
        </w:rPr>
      </w:r>
      <w:r>
        <w:rPr>
          <w:spacing w:val="2"/>
        </w:rPr>
        <w:t>户终端业务影响将极大的最小化，保证了客户终端的稳定和可控性。在网络安全产品方面，如防火墙、</w:t>
      </w:r>
      <w:r>
        <w:rPr>
          <w:spacing w:val="-30"/>
        </w:rPr>
        <w:t> </w:t>
      </w:r>
      <w:r>
        <w:rPr>
          <w:spacing w:val="-30"/>
        </w:rPr>
      </w:r>
      <w:r>
        <w:rPr>
          <w:rFonts w:ascii="Times New Roman" w:hAnsi="Times New Roman" w:cs="Times New Roman" w:eastAsia="Times New Roman" w:hint="default"/>
          <w:spacing w:val="-3"/>
        </w:rPr>
        <w:t>WAF</w:t>
      </w:r>
      <w:r>
        <w:rPr>
          <w:spacing w:val="-3"/>
        </w:rPr>
        <w:t>等产品继续引入人工智能建立网络安全威胁模型，提高安全防护的准确性和灵敏度，持续提升安全产</w:t>
      </w:r>
      <w:r>
        <w:rPr>
          <w:spacing w:val="-42"/>
        </w:rPr>
        <w:t> </w:t>
      </w:r>
      <w:r>
        <w:rPr>
          <w:spacing w:val="-42"/>
        </w:rPr>
      </w:r>
      <w:r>
        <w:rPr/>
        <w:t>品智能化水平。</w:t>
      </w:r>
    </w:p>
    <w:p>
      <w:pPr>
        <w:pStyle w:val="Heading3"/>
        <w:spacing w:line="240" w:lineRule="auto" w:before="40"/>
        <w:ind w:left="575" w:right="1133"/>
        <w:jc w:val="left"/>
        <w:rPr>
          <w:b w:val="0"/>
          <w:bCs w:val="0"/>
        </w:rPr>
      </w:pPr>
      <w:r>
        <w:rPr>
          <w:rFonts w:ascii="Times New Roman" w:hAnsi="Times New Roman" w:cs="Times New Roman" w:eastAsia="Times New Roman" w:hint="default"/>
        </w:rPr>
        <w:t>5</w:t>
      </w:r>
      <w:r>
        <w:rPr/>
        <w:t>、强化管理，创造利润</w:t>
      </w:r>
      <w:r>
        <w:rPr>
          <w:b w:val="0"/>
          <w:bCs w:val="0"/>
        </w:rPr>
      </w:r>
    </w:p>
    <w:p>
      <w:pPr>
        <w:pStyle w:val="BodyText"/>
        <w:spacing w:line="345" w:lineRule="auto" w:before="148"/>
        <w:ind w:right="982" w:firstLine="420"/>
        <w:jc w:val="left"/>
      </w:pPr>
      <w:r>
        <w:rPr>
          <w:rFonts w:ascii="Times New Roman" w:hAnsi="Times New Roman" w:cs="Times New Roman" w:eastAsia="Times New Roman" w:hint="default"/>
        </w:rPr>
        <w:t>2020</w:t>
      </w:r>
      <w:r>
        <w:rPr/>
        <w:t>年，公司将持续落实</w:t>
      </w:r>
      <w:r>
        <w:rPr>
          <w:rFonts w:ascii="Times New Roman" w:hAnsi="Times New Roman" w:cs="Times New Roman" w:eastAsia="Times New Roman" w:hint="default"/>
        </w:rPr>
        <w:t>“</w:t>
      </w:r>
      <w:r>
        <w:rPr/>
        <w:t>战略协同</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利润创造</w:t>
      </w:r>
      <w:r>
        <w:rPr>
          <w:rFonts w:ascii="Times New Roman" w:hAnsi="Times New Roman" w:cs="Times New Roman" w:eastAsia="Times New Roman" w:hint="default"/>
        </w:rPr>
        <w:t>”</w:t>
      </w:r>
      <w:r>
        <w:rPr/>
        <w:t>的经营理念，对集团旗下多家子公司进行规划和梳</w:t>
      </w:r>
      <w:r>
        <w:rPr>
          <w:w w:val="100"/>
        </w:rPr>
        <w:t> </w:t>
      </w:r>
      <w:r>
        <w:rPr>
          <w:spacing w:val="-2"/>
        </w:rPr>
        <w:t>理，积极帮助中经电商进行业务转型或制定剥离方案，持续推进华炜科技向能效管控和立体安检等领域发</w:t>
      </w:r>
      <w:r>
        <w:rPr>
          <w:spacing w:val="-44"/>
        </w:rPr>
        <w:t> </w:t>
      </w:r>
      <w:r>
        <w:rPr>
          <w:spacing w:val="-44"/>
        </w:rPr>
      </w:r>
      <w:r>
        <w:rPr>
          <w:spacing w:val="-2"/>
        </w:rPr>
        <w:t>展，帮助其进行新产品的业务拓展，改善经营状况；在产品线和解决方案不断丰富的同时，也将更加注重</w:t>
      </w:r>
      <w:r>
        <w:rPr>
          <w:spacing w:val="-50"/>
        </w:rPr>
        <w:t> </w:t>
      </w:r>
      <w:r>
        <w:rPr>
          <w:spacing w:val="-50"/>
        </w:rPr>
      </w:r>
      <w:r>
        <w:rPr>
          <w:spacing w:val="-5"/>
        </w:rPr>
        <w:t>各业务板块的投入产出比的科学平衡以及风险管理，进一步发挥各业务板块的技术和业务协同效应。同时， </w:t>
      </w:r>
      <w:r>
        <w:rPr>
          <w:spacing w:val="-5"/>
        </w:rPr>
      </w:r>
      <w:r>
        <w:rPr>
          <w:spacing w:val="-2"/>
        </w:rPr>
        <w:t>公司将加强营销人员的绩效考核机制，通过对营销团队进行内部优化、实施与应收账款回款率挂钩的薪酬</w:t>
      </w:r>
      <w:r>
        <w:rPr>
          <w:spacing w:val="-42"/>
        </w:rPr>
        <w:t> </w:t>
      </w:r>
      <w:r>
        <w:rPr>
          <w:spacing w:val="-42"/>
        </w:rPr>
      </w:r>
      <w:r>
        <w:rPr/>
        <w:t>模式、成立应收账款催收小组等多种方式，提高公司资产质量。</w:t>
      </w:r>
    </w:p>
    <w:p>
      <w:pPr>
        <w:pStyle w:val="Heading3"/>
        <w:spacing w:line="240" w:lineRule="auto" w:before="74"/>
        <w:ind w:left="575" w:right="1133"/>
        <w:jc w:val="left"/>
        <w:rPr>
          <w:b w:val="0"/>
          <w:bCs w:val="0"/>
        </w:rPr>
      </w:pPr>
      <w:r>
        <w:rPr>
          <w:rFonts w:ascii="Times New Roman" w:hAnsi="Times New Roman" w:cs="Times New Roman" w:eastAsia="Times New Roman" w:hint="default"/>
        </w:rPr>
        <w:t>6</w:t>
      </w:r>
      <w:r>
        <w:rPr/>
        <w:t>、配合推进控股股东股权转让事项，优化公司股权结构</w:t>
      </w:r>
      <w:r>
        <w:rPr>
          <w:b w:val="0"/>
          <w:bCs w:val="0"/>
        </w:rPr>
      </w:r>
    </w:p>
    <w:p>
      <w:pPr>
        <w:pStyle w:val="BodyText"/>
        <w:spacing w:line="343" w:lineRule="auto" w:before="107"/>
        <w:ind w:right="1105" w:firstLine="420"/>
        <w:jc w:val="both"/>
      </w:pPr>
      <w:r>
        <w:rPr>
          <w:rFonts w:ascii="Times New Roman" w:hAnsi="Times New Roman" w:cs="Times New Roman" w:eastAsia="Times New Roman" w:hint="default"/>
          <w:spacing w:val="-2"/>
        </w:rPr>
        <w:t>2020</w:t>
      </w:r>
      <w:r>
        <w:rPr>
          <w:spacing w:val="-2"/>
        </w:rPr>
        <w:t>年，公司将积极配合推进控股股东及其一致行动人股权转让事项，加快引入战略投资者，优化公</w:t>
      </w:r>
      <w:r>
        <w:rPr>
          <w:w w:val="100"/>
        </w:rPr>
        <w:t> </w:t>
      </w:r>
      <w:r>
        <w:rPr>
          <w:spacing w:val="-2"/>
        </w:rPr>
        <w:t>司股权结构，进而为公司引进更多产业及业务资源，加快公司战略布局，促进公司整体业务发展。同时，</w:t>
      </w:r>
      <w:r>
        <w:rPr>
          <w:spacing w:val="-21"/>
        </w:rPr>
        <w:t> </w:t>
      </w:r>
      <w:r>
        <w:rPr>
          <w:spacing w:val="-21"/>
        </w:rPr>
      </w:r>
      <w:r>
        <w:rPr>
          <w:spacing w:val="-2"/>
        </w:rPr>
        <w:t>该事项的实施，将有利于提升公司的综合治理与可持续发展能力，对公司未来发展将会产生积极影响，为</w:t>
      </w:r>
      <w:r>
        <w:rPr>
          <w:spacing w:val="-44"/>
        </w:rPr>
        <w:t> </w:t>
      </w:r>
      <w:r>
        <w:rPr>
          <w:spacing w:val="-44"/>
        </w:rPr>
      </w:r>
      <w:r>
        <w:rPr/>
        <w:t>全体股东创造更大的价值。</w:t>
      </w:r>
    </w:p>
    <w:p>
      <w:pPr>
        <w:pStyle w:val="Heading3"/>
        <w:spacing w:line="240" w:lineRule="auto" w:before="35"/>
        <w:ind w:left="575" w:right="1133"/>
        <w:jc w:val="left"/>
        <w:rPr>
          <w:b w:val="0"/>
          <w:bCs w:val="0"/>
        </w:rPr>
      </w:pPr>
      <w:r>
        <w:rPr>
          <w:rFonts w:ascii="Times New Roman" w:hAnsi="Times New Roman" w:cs="Times New Roman" w:eastAsia="Times New Roman" w:hint="default"/>
        </w:rPr>
        <w:t>7</w:t>
      </w:r>
      <w:r>
        <w:rPr/>
        <w:t>、推进非公开发行股票事项</w:t>
      </w:r>
      <w:r>
        <w:rPr>
          <w:b w:val="0"/>
          <w:bCs w:val="0"/>
        </w:rPr>
      </w:r>
    </w:p>
    <w:p>
      <w:pPr>
        <w:pStyle w:val="BodyText"/>
        <w:spacing w:line="328" w:lineRule="auto" w:before="110"/>
        <w:ind w:right="1129" w:firstLine="420"/>
        <w:jc w:val="both"/>
      </w:pPr>
      <w:r>
        <w:rPr>
          <w:rFonts w:ascii="Times New Roman" w:hAnsi="Times New Roman" w:cs="Times New Roman" w:eastAsia="Times New Roman" w:hint="default"/>
        </w:rPr>
        <w:t>2020</w:t>
      </w:r>
      <w:r>
        <w:rPr/>
        <w:t>年，公司将会同中介机构共同推进公司非公开发行股票事项。通过募集资金实施</w:t>
      </w:r>
      <w:r>
        <w:rPr>
          <w:rFonts w:ascii="Times New Roman" w:hAnsi="Times New Roman" w:cs="Times New Roman" w:eastAsia="Times New Roman" w:hint="default"/>
        </w:rPr>
        <w:t>“</w:t>
      </w:r>
      <w:r>
        <w:rPr/>
        <w:t>网络安全产品</w:t>
      </w:r>
      <w:r>
        <w:rPr>
          <w:w w:val="100"/>
        </w:rPr>
        <w:t> </w:t>
      </w:r>
      <w:r>
        <w:rPr>
          <w:spacing w:val="-4"/>
        </w:rPr>
        <w:t>国产化及可信研发</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新一代智慧城市安全运营平台</w:t>
      </w:r>
      <w:r>
        <w:rPr>
          <w:rFonts w:ascii="Times New Roman" w:hAnsi="Times New Roman" w:cs="Times New Roman" w:eastAsia="Times New Roman" w:hint="default"/>
          <w:spacing w:val="-4"/>
        </w:rPr>
        <w:t>”</w:t>
      </w:r>
      <w:r>
        <w:rPr>
          <w:spacing w:val="-4"/>
        </w:rPr>
        <w:t>等网络信息安全领域核心项目建设，进一步提升公司</w:t>
      </w:r>
      <w:r>
        <w:rPr>
          <w:spacing w:val="-20"/>
        </w:rPr>
        <w:t> </w:t>
      </w:r>
      <w:r>
        <w:rPr>
          <w:spacing w:val="-20"/>
        </w:rPr>
      </w:r>
      <w:r>
        <w:rPr/>
        <w:t>在信息安全领域的核心竞争能力，提高盈利水平，增加利润增长点，为全体股东创造更大的价值。</w:t>
      </w:r>
    </w:p>
    <w:p>
      <w:pPr>
        <w:pStyle w:val="BodyText"/>
        <w:spacing w:line="328" w:lineRule="auto" w:before="48"/>
        <w:ind w:right="1107" w:firstLine="420"/>
        <w:jc w:val="both"/>
      </w:pPr>
      <w:r>
        <w:rPr>
          <w:spacing w:val="-2"/>
        </w:rPr>
        <w:t>上述经营计划、经营目标并不代表本公司对</w:t>
      </w:r>
      <w:r>
        <w:rPr>
          <w:rFonts w:ascii="Times New Roman" w:hAnsi="Times New Roman" w:cs="Times New Roman" w:eastAsia="Times New Roman" w:hint="default"/>
          <w:spacing w:val="-2"/>
        </w:rPr>
        <w:t>2020</w:t>
      </w:r>
      <w:r>
        <w:rPr>
          <w:spacing w:val="-2"/>
        </w:rPr>
        <w:t>年度的盈利做出了预测，其是否可实现将取决于企业</w:t>
      </w:r>
      <w:r>
        <w:rPr>
          <w:w w:val="100"/>
        </w:rPr>
        <w:t> </w:t>
      </w:r>
      <w:r>
        <w:rPr>
          <w:spacing w:val="-2"/>
        </w:rPr>
        <w:t>外部环境的影响和企业自身的经营状况等诸多因素，存在较大的不确定性，特提请投资者注意投资风险。</w:t>
      </w:r>
    </w:p>
    <w:p>
      <w:pPr>
        <w:pStyle w:val="Heading3"/>
        <w:spacing w:line="240" w:lineRule="auto" w:before="48"/>
        <w:ind w:left="575" w:right="1133"/>
        <w:jc w:val="left"/>
        <w:rPr>
          <w:b w:val="0"/>
          <w:bCs w:val="0"/>
        </w:rPr>
      </w:pPr>
      <w:r>
        <w:rPr/>
        <w:t>（三）影响公司发展的主要风险及对策</w:t>
      </w:r>
      <w:r>
        <w:rPr>
          <w:b w:val="0"/>
          <w:bCs w:val="0"/>
        </w:rPr>
      </w:r>
    </w:p>
    <w:p>
      <w:pPr>
        <w:spacing w:line="328" w:lineRule="auto" w:before="126"/>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、投资并购及管理风险</w:t>
      </w:r>
      <w:r>
        <w:rPr>
          <w:rFonts w:ascii="宋体" w:hAnsi="宋体" w:cs="宋体" w:eastAsia="宋体" w:hint="default"/>
          <w:b/>
          <w:bCs/>
          <w:w w:val="100"/>
          <w:sz w:val="21"/>
          <w:szCs w:val="21"/>
        </w:rPr>
        <w:t> </w:t>
      </w:r>
      <w:r>
        <w:rPr>
          <w:rFonts w:ascii="宋体" w:hAnsi="宋体" w:cs="宋体" w:eastAsia="宋体" w:hint="default"/>
          <w:spacing w:val="-5"/>
          <w:sz w:val="21"/>
          <w:szCs w:val="21"/>
        </w:rPr>
        <w:t>虽然公司近年的收购方案已实施完成，但后续仍可能存在整合效果不达预期风险、盈利预测实现风险、</w:t>
      </w:r>
    </w:p>
    <w:p>
      <w:pPr>
        <w:pStyle w:val="BodyText"/>
        <w:spacing w:line="350" w:lineRule="auto" w:before="48"/>
        <w:ind w:right="982"/>
        <w:jc w:val="left"/>
      </w:pPr>
      <w:r>
        <w:rPr>
          <w:spacing w:val="-5"/>
        </w:rPr>
        <w:t>商誉减值风险、标的资产经营风险等多项风险因素。根据现行企业会计准则与公司商誉减值计提会计政策，</w:t>
      </w:r>
      <w:r>
        <w:rPr>
          <w:spacing w:val="-6"/>
        </w:rPr>
        <w:t> </w:t>
      </w:r>
      <w:r>
        <w:rPr>
          <w:spacing w:val="-6"/>
        </w:rPr>
      </w:r>
      <w:r>
        <w:rPr/>
        <w:t>公司每年对商誉进行减值测试，并根据测试结果，合理计提商誉减值准备。如果公司收购的子公司未来经</w:t>
      </w:r>
      <w:r>
        <w:rPr>
          <w:w w:val="100"/>
        </w:rPr>
        <w:t> </w:t>
      </w:r>
      <w:r>
        <w:rPr/>
        <w:t>营状况出现恶化或者效益未能达到预期，则公司将面临商誉减值的风险，将会对公司的盈利能力和经营业</w:t>
      </w:r>
      <w:r>
        <w:rPr>
          <w:w w:val="100"/>
        </w:rPr>
        <w:t> </w:t>
      </w:r>
      <w:r>
        <w:rPr/>
        <w:t>绩产生不利影响。同时随着公司的子公司、孙公司逐渐增多，管理体系更加复杂，团队的稳定性、新业务</w:t>
      </w:r>
      <w:r>
        <w:rPr>
          <w:w w:val="100"/>
        </w:rPr>
        <w:t> </w:t>
      </w:r>
      <w:r>
        <w:rPr/>
        <w:t>领域的开拓风险等都将给公司管理带来新的挑战。</w:t>
      </w:r>
    </w:p>
    <w:p>
      <w:pPr>
        <w:pStyle w:val="BodyText"/>
        <w:spacing w:line="240" w:lineRule="auto" w:before="27"/>
        <w:ind w:left="573" w:right="982"/>
        <w:jc w:val="left"/>
      </w:pPr>
      <w:r>
        <w:rPr>
          <w:spacing w:val="-5"/>
        </w:rPr>
        <w:t>对此，公司采取了集团化管理模式，逐渐形成了一整套规避主要经营风险的整合策略和措施，从研发、</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ind w:right="1131"/>
        <w:jc w:val="both"/>
      </w:pPr>
      <w:r>
        <w:rPr>
          <w:spacing w:val="-3"/>
        </w:rPr>
        <w:t>销售、财务、采购、人事、行政、市场资料、企业文化、企业发展规划等各个方面进行协同管理，严格规</w:t>
      </w:r>
      <w:r>
        <w:rPr>
          <w:spacing w:val="-5"/>
        </w:rPr>
        <w:t> </w:t>
      </w:r>
      <w:r>
        <w:rPr>
          <w:spacing w:val="-5"/>
        </w:rPr>
      </w:r>
      <w:r>
        <w:rPr/>
        <w:t>范子公司运作和管理，充分调动子公司的积极性，加快并购协同效应的发挥。</w:t>
      </w:r>
    </w:p>
    <w:p>
      <w:pPr>
        <w:spacing w:line="331" w:lineRule="auto" w:before="27"/>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、固定资产折旧、无形资产摊销给公司经营业绩造成的风险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公司已建成的募投项目，每年将新增一定的固定资产折旧及无形资产摊销，虽然公司在对项目进行可</w:t>
      </w:r>
    </w:p>
    <w:p>
      <w:pPr>
        <w:pStyle w:val="BodyText"/>
        <w:spacing w:line="350" w:lineRule="auto" w:before="46"/>
        <w:ind w:right="1126"/>
        <w:jc w:val="both"/>
      </w:pPr>
      <w:r>
        <w:rPr>
          <w:spacing w:val="-2"/>
        </w:rPr>
        <w:t>行性研究时，已经充分考虑了折旧、摊销费用等因素，同时这些费用也可通过提升经营业绩和项目利润予</w:t>
      </w:r>
      <w:r>
        <w:rPr>
          <w:spacing w:val="-43"/>
        </w:rPr>
        <w:t> </w:t>
      </w:r>
      <w:r>
        <w:rPr>
          <w:spacing w:val="-43"/>
        </w:rPr>
      </w:r>
      <w:r>
        <w:rPr>
          <w:spacing w:val="-2"/>
        </w:rPr>
        <w:t>以消化，但若因国家产业政策调整、市场需求变化等各种因素导致市场发生重大变化，使公司募投项目不</w:t>
      </w:r>
      <w:r>
        <w:rPr>
          <w:spacing w:val="-44"/>
        </w:rPr>
        <w:t> </w:t>
      </w:r>
      <w:r>
        <w:rPr>
          <w:spacing w:val="-44"/>
        </w:rPr>
      </w:r>
      <w:r>
        <w:rPr>
          <w:spacing w:val="-2"/>
        </w:rPr>
        <w:t>能如期产生效益或实际收益低于盈亏平衡点的收益，则新增的折旧、摊销费用将对公司的经营业绩造成不</w:t>
      </w:r>
      <w:r>
        <w:rPr>
          <w:spacing w:val="-43"/>
        </w:rPr>
        <w:t> </w:t>
      </w:r>
      <w:r>
        <w:rPr>
          <w:spacing w:val="-43"/>
        </w:rPr>
      </w:r>
      <w:r>
        <w:rPr/>
        <w:t>利影响。</w:t>
      </w:r>
    </w:p>
    <w:p>
      <w:pPr>
        <w:pStyle w:val="BodyText"/>
        <w:spacing w:line="350" w:lineRule="auto" w:before="27"/>
        <w:ind w:right="1126" w:firstLine="420"/>
        <w:jc w:val="both"/>
      </w:pPr>
      <w:r>
        <w:rPr>
          <w:spacing w:val="-2"/>
        </w:rPr>
        <w:t>对此，公司将加大对募投项目的推广和市场开拓工作，积极推进产品的销售，坚持以国家政策与市场</w:t>
      </w:r>
      <w:r>
        <w:rPr>
          <w:w w:val="100"/>
        </w:rPr>
        <w:t> </w:t>
      </w:r>
      <w:r>
        <w:rPr/>
        <w:t>需求为导向，不断调整策略，努力使募投项目产生预期收益。</w:t>
      </w:r>
    </w:p>
    <w:p>
      <w:pPr>
        <w:spacing w:line="328" w:lineRule="auto" w:before="29"/>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、技术失密和核心技术人员流失的风险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信息安全行业属知识密集型行业，行业内的市场竞争主要体现为产品科技含量和研发技术人员技术水</w:t>
      </w:r>
    </w:p>
    <w:p>
      <w:pPr>
        <w:pStyle w:val="BodyText"/>
        <w:spacing w:line="350" w:lineRule="auto" w:before="48"/>
        <w:ind w:right="1126"/>
        <w:jc w:val="both"/>
      </w:pPr>
      <w:r>
        <w:rPr>
          <w:spacing w:val="-2"/>
        </w:rPr>
        <w:t>平的竞争。由于公司的技术水平处于行业领先地位，不排除出现竞争对手通过各种不正当手段窃取公司技</w:t>
      </w:r>
      <w:r>
        <w:rPr>
          <w:spacing w:val="-43"/>
        </w:rPr>
        <w:t> </w:t>
      </w:r>
      <w:r>
        <w:rPr>
          <w:spacing w:val="-43"/>
        </w:rPr>
      </w:r>
      <w:r>
        <w:rPr/>
        <w:t>术机密或争夺公司核心技术人员的情形。</w:t>
      </w:r>
    </w:p>
    <w:p>
      <w:pPr>
        <w:pStyle w:val="BodyText"/>
        <w:spacing w:line="350" w:lineRule="auto" w:before="27"/>
        <w:ind w:right="1105" w:firstLine="420"/>
        <w:jc w:val="both"/>
      </w:pPr>
      <w:r>
        <w:rPr>
          <w:spacing w:val="-2"/>
        </w:rPr>
        <w:t>对此，公司将持续努力创建良好的工作环境和工作氛围，防止人才流失，探索对公司核心技术人员和</w:t>
      </w:r>
      <w:r>
        <w:rPr>
          <w:w w:val="100"/>
        </w:rPr>
        <w:t> </w:t>
      </w:r>
      <w:r>
        <w:rPr>
          <w:spacing w:val="-2"/>
        </w:rPr>
        <w:t>管理团队的具有激励作用的薪酬机制。目前，公司通过内部培养和外部聘请，努力打造一批高端的管理、</w:t>
      </w:r>
      <w:r>
        <w:rPr>
          <w:spacing w:val="-21"/>
        </w:rPr>
        <w:t> </w:t>
      </w:r>
      <w:r>
        <w:rPr>
          <w:spacing w:val="-21"/>
        </w:rPr>
      </w:r>
      <w:r>
        <w:rPr/>
        <w:t>研发及营销人才，以适应公司业务发展需要。</w:t>
      </w:r>
    </w:p>
    <w:p>
      <w:pPr>
        <w:spacing w:line="331" w:lineRule="auto" w:before="27"/>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、技术开发和升级滞后的风险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信息安全领域涉及的专业技术门类较多、技术更新速度快、生命周期短，云计算、虚拟化、大数据、</w:t>
      </w:r>
    </w:p>
    <w:p>
      <w:pPr>
        <w:pStyle w:val="BodyText"/>
        <w:spacing w:line="350" w:lineRule="auto" w:before="46"/>
        <w:ind w:right="1126"/>
        <w:jc w:val="both"/>
      </w:pPr>
      <w:r>
        <w:rPr>
          <w:spacing w:val="-2"/>
        </w:rPr>
        <w:t>物联网、移动互联网等新技术不断涌现，为了保持竞争优势，公司必须准确预测业内技术发展趋势，及时</w:t>
      </w:r>
      <w:r>
        <w:rPr>
          <w:spacing w:val="-50"/>
        </w:rPr>
        <w:t> </w:t>
      </w:r>
      <w:r>
        <w:rPr>
          <w:spacing w:val="-50"/>
        </w:rPr>
      </w:r>
      <w:r>
        <w:rPr>
          <w:spacing w:val="-2"/>
        </w:rPr>
        <w:t>将成熟、实用、先进的技术用于自身产品的设计开发和技术升级。如果不能准确地把握行业技术的发展趋</w:t>
      </w:r>
      <w:r>
        <w:rPr>
          <w:spacing w:val="-44"/>
        </w:rPr>
        <w:t> </w:t>
      </w:r>
      <w:r>
        <w:rPr>
          <w:spacing w:val="-44"/>
        </w:rPr>
      </w:r>
      <w:r>
        <w:rPr>
          <w:spacing w:val="-2"/>
        </w:rPr>
        <w:t>势，在技术开发方向的决策上发生失误，或不能及时将新技术运用于业务的开发和升级，公司将可能丧失</w:t>
      </w:r>
      <w:r>
        <w:rPr>
          <w:spacing w:val="-43"/>
        </w:rPr>
        <w:t> </w:t>
      </w:r>
      <w:r>
        <w:rPr>
          <w:spacing w:val="-43"/>
        </w:rPr>
      </w:r>
      <w:r>
        <w:rPr/>
        <w:t>在技术研发和市场的领先地位。</w:t>
      </w:r>
    </w:p>
    <w:p>
      <w:pPr>
        <w:pStyle w:val="BodyText"/>
        <w:spacing w:line="350" w:lineRule="auto" w:before="27"/>
        <w:ind w:right="1126" w:firstLine="420"/>
        <w:jc w:val="both"/>
      </w:pPr>
      <w:r>
        <w:rPr>
          <w:spacing w:val="-2"/>
        </w:rPr>
        <w:t>对此，公司将保持技术研发投入占营业收入的合理比重，进一步完善研发激励机制。同时，公司已成</w:t>
      </w:r>
      <w:r>
        <w:rPr>
          <w:w w:val="100"/>
        </w:rPr>
        <w:t> </w:t>
      </w:r>
      <w:r>
        <w:rPr>
          <w:spacing w:val="-2"/>
        </w:rPr>
        <w:t>立前沿技术部门，持续关注国内外相关技术的最新发展动态，积极参与行业技术研讨会议，探索适合公司</w:t>
      </w:r>
      <w:r>
        <w:rPr>
          <w:spacing w:val="-45"/>
        </w:rPr>
        <w:t> </w:t>
      </w:r>
      <w:r>
        <w:rPr>
          <w:spacing w:val="-45"/>
        </w:rPr>
      </w:r>
      <w:r>
        <w:rPr/>
        <w:t>战略规划的技术发展方向。</w:t>
      </w:r>
    </w:p>
    <w:p>
      <w:pPr>
        <w:pStyle w:val="BodyText"/>
        <w:spacing w:line="331" w:lineRule="auto" w:before="27"/>
        <w:ind w:left="573" w:right="1133" w:firstLine="2"/>
        <w:jc w:val="left"/>
      </w:pPr>
      <w:r>
        <w:rPr>
          <w:rFonts w:ascii="Times New Roman" w:hAnsi="Times New Roman" w:cs="Times New Roman" w:eastAsia="Times New Roman" w:hint="default"/>
          <w:b/>
          <w:bCs/>
        </w:rPr>
        <w:t>5</w:t>
      </w:r>
      <w:r>
        <w:rPr>
          <w:rFonts w:ascii="宋体" w:hAnsi="宋体" w:cs="宋体" w:eastAsia="宋体" w:hint="default"/>
          <w:b/>
          <w:bCs/>
        </w:rPr>
        <w:t>、应收账款风险</w:t>
      </w:r>
      <w:r>
        <w:rPr>
          <w:rFonts w:ascii="宋体" w:hAnsi="宋体" w:cs="宋体" w:eastAsia="宋体" w:hint="default"/>
          <w:b/>
          <w:bCs/>
          <w:w w:val="100"/>
        </w:rPr>
        <w:t> </w:t>
      </w:r>
      <w:r>
        <w:rPr>
          <w:spacing w:val="-2"/>
        </w:rPr>
        <w:t>随着公司业务规模的扩大，且公司部分合同执行期及结算周期较长，应收账款数额增加，同时根据子</w:t>
      </w:r>
    </w:p>
    <w:p>
      <w:pPr>
        <w:pStyle w:val="BodyText"/>
        <w:spacing w:line="348" w:lineRule="auto" w:before="46"/>
        <w:ind w:right="1126"/>
        <w:jc w:val="both"/>
      </w:pPr>
      <w:r>
        <w:rPr>
          <w:spacing w:val="-2"/>
        </w:rPr>
        <w:t>公司中经电商的业务模式，也给予其客户一定的信用政策，致使公司整体应收账款金额较大，虽然公司客</w:t>
      </w:r>
      <w:r>
        <w:rPr>
          <w:spacing w:val="-44"/>
        </w:rPr>
        <w:t> </w:t>
      </w:r>
      <w:r>
        <w:rPr>
          <w:spacing w:val="-44"/>
        </w:rPr>
      </w:r>
      <w:r>
        <w:rPr/>
        <w:t>户质地较好，但仍有可能存在坏账的风险。</w:t>
      </w:r>
    </w:p>
    <w:p>
      <w:pPr>
        <w:pStyle w:val="BodyText"/>
        <w:spacing w:line="348" w:lineRule="auto" w:before="31"/>
        <w:ind w:right="1126" w:firstLine="420"/>
        <w:jc w:val="both"/>
      </w:pPr>
      <w:r>
        <w:rPr>
          <w:spacing w:val="-3"/>
        </w:rPr>
        <w:t>对此，公司将不断完善应收账款管理，进一步加强应收账款事前审核、事中控制和事后监管，加大应</w:t>
      </w:r>
      <w:r>
        <w:rPr>
          <w:w w:val="100"/>
        </w:rPr>
        <w:t> </w:t>
      </w:r>
      <w:r>
        <w:rPr>
          <w:spacing w:val="-2"/>
        </w:rPr>
        <w:t>收账款责任制实施力度，优化业务人员在收款工作方面的考评，促进应收账款的回款，并根据客户性质的</w:t>
      </w:r>
      <w:r>
        <w:rPr>
          <w:spacing w:val="-43"/>
        </w:rPr>
        <w:t> </w:t>
      </w:r>
      <w:r>
        <w:rPr>
          <w:spacing w:val="-43"/>
        </w:rPr>
      </w:r>
      <w:r>
        <w:rPr/>
        <w:t>不同，规定不同的信用期限，将应收账款风险控制在合理的水平。</w:t>
      </w:r>
    </w:p>
    <w:p>
      <w:pPr>
        <w:spacing w:after="0" w:line="348"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接待调研、沟通、采访等活动登记表" w:id="61"/>
      <w:bookmarkEnd w:id="61"/>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994"/>
        <w:gridCol w:w="1274"/>
        <w:gridCol w:w="5600"/>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12"/>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http://irm.cninfo.com.cn/ircs/company/companyDetail?stockcode=30029</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7&amp;orgId=9900021832</w:t>
            </w:r>
            <w:r>
              <w:rPr>
                <w:rFonts w:ascii="宋体" w:hAnsi="宋体" w:cs="宋体" w:eastAsia="宋体" w:hint="default"/>
                <w:spacing w:val="-3"/>
                <w:sz w:val="18"/>
                <w:szCs w:val="18"/>
              </w:rPr>
              <w:t>）（蓝盾股份：投资者关系管理档案</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20190321</w:t>
            </w:r>
            <w:r>
              <w:rPr>
                <w:rFonts w:ascii="宋体" w:hAnsi="宋体" w:cs="宋体" w:eastAsia="宋体" w:hint="default"/>
                <w:spacing w:val="-1"/>
                <w:sz w:val="18"/>
                <w:szCs w:val="18"/>
              </w:rPr>
              <w:t>）</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12"/>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http://irm.cninfo.com.cn/ircs/company/companyDetail?stockcode=30029</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7&amp;orgId=9900021832</w:t>
            </w:r>
            <w:r>
              <w:rPr>
                <w:rFonts w:ascii="宋体" w:hAnsi="宋体" w:cs="宋体" w:eastAsia="宋体" w:hint="default"/>
                <w:spacing w:val="-3"/>
                <w:sz w:val="18"/>
                <w:szCs w:val="18"/>
              </w:rPr>
              <w:t>）（蓝盾股份：投资者关系管理档案</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20190527</w:t>
            </w:r>
            <w:r>
              <w:rPr>
                <w:rFonts w:ascii="宋体" w:hAnsi="宋体" w:cs="宋体" w:eastAsia="宋体" w:hint="default"/>
                <w:spacing w:val="-1"/>
                <w:sz w:val="18"/>
                <w:szCs w:val="18"/>
              </w:rPr>
              <w:t>）</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69.459961pt;width:290.95pt;height:20.8pt;mso-position-horizontal-relative:page;mso-position-vertical-relative:page;z-index:-1432504" coordorigin="4856,13389" coordsize="5819,416">
            <v:group style="position:absolute;left:4868;top:13401;width:2;height:392" coordorigin="4868,13401" coordsize="2,392">
              <v:shape style="position:absolute;left:4868;top:13401;width:2;height:392" coordorigin="4868,13401" coordsize="0,392" path="m4868,13401l4868,13792e" filled="false" stroked="true" strokeweight="1.2pt" strokecolor="#ffffff">
                <v:path arrowok="t"/>
              </v:shape>
            </v:group>
            <v:group style="position:absolute;left:4880;top:13401;width:5795;height:392" coordorigin="4880,13401" coordsize="5795,392">
              <v:shape style="position:absolute;left:4880;top:13401;width:5795;height:392" coordorigin="4880,13401" coordsize="5795,392" path="m4880,13792l10675,13792,10675,13401,4880,13401,4880,13792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279"/>
        <w:jc w:val="center"/>
        <w:rPr>
          <w:b w:val="0"/>
          <w:bCs w:val="0"/>
        </w:rPr>
      </w:pPr>
      <w:bookmarkStart w:name="第五节重要事项" w:id="63"/>
      <w:bookmarkEnd w:id="63"/>
      <w:r>
        <w:rPr>
          <w:b w:val="0"/>
          <w:bCs w:val="0"/>
        </w:rPr>
      </w:r>
      <w:bookmarkStart w:name="_bookmark4" w:id="64"/>
      <w:bookmarkEnd w:id="6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1" w:lineRule="auto"/>
        <w:ind w:right="1128" w:firstLine="42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w:t>
      </w:r>
      <w:r>
        <w:rPr>
          <w:rFonts w:ascii="Times New Roman" w:hAnsi="Times New Roman" w:cs="Times New Roman" w:eastAsia="Times New Roman" w:hint="default"/>
        </w:rPr>
        <w:t>2018</w:t>
      </w:r>
      <w:r>
        <w:rPr/>
        <w:t>年年度股东大会，审议通过了《关于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年年度利润分配预案</w:t>
      </w:r>
      <w:r>
        <w:rPr>
          <w:rFonts w:ascii="Times New Roman" w:hAnsi="Times New Roman" w:cs="Times New Roman" w:eastAsia="Times New Roman" w:hint="default"/>
        </w:rPr>
        <w:t>&gt;</w:t>
      </w:r>
      <w:r>
        <w:rPr>
          <w:rFonts w:ascii="Times New Roman" w:hAnsi="Times New Roman" w:cs="Times New Roman" w:eastAsia="Times New Roman" w:hint="default"/>
          <w:w w:val="100"/>
        </w:rPr>
        <w:t> </w:t>
      </w:r>
      <w:r>
        <w:rPr/>
        <w:t>的议案》，以公司总股本剔除已回购股份后的</w:t>
      </w:r>
      <w:r>
        <w:rPr>
          <w:rFonts w:ascii="Times New Roman" w:hAnsi="Times New Roman" w:cs="Times New Roman" w:eastAsia="Times New Roman" w:hint="default"/>
        </w:rPr>
        <w:t>1,249,720,007</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0.319895</w:t>
      </w:r>
      <w:r>
        <w:rPr/>
        <w:t>元人</w:t>
      </w:r>
      <w:r>
        <w:rPr>
          <w:spacing w:val="-25"/>
        </w:rPr>
        <w:t> </w:t>
      </w:r>
      <w:r>
        <w:rPr>
          <w:spacing w:val="-3"/>
        </w:rPr>
        <w:t>民币现金（含税），共计派发现金</w:t>
      </w:r>
      <w:r>
        <w:rPr>
          <w:rFonts w:ascii="Times New Roman" w:hAnsi="Times New Roman" w:cs="Times New Roman" w:eastAsia="Times New Roman" w:hint="default"/>
          <w:spacing w:val="-3"/>
        </w:rPr>
        <w:t>39,963,284.79</w:t>
      </w:r>
      <w:r>
        <w:rPr>
          <w:spacing w:val="-3"/>
        </w:rPr>
        <w:t>元。股权登记日为：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18</w:t>
      </w:r>
      <w:r>
        <w:rPr>
          <w:spacing w:val="-3"/>
        </w:rPr>
        <w:t>日，除权除息日为：</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日。截止本报告期末，该利润分配方案已实施完毕。</w:t>
      </w:r>
    </w:p>
    <w:p>
      <w:pPr>
        <w:spacing w:line="240" w:lineRule="auto" w:before="13"/>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原因</w:t>
      </w:r>
    </w:p>
    <w:p>
      <w:pPr>
        <w:spacing w:before="32"/>
        <w:ind w:left="152" w:right="1133"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1,249,373,051</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4875" w:val="left" w:leader="none"/>
              </w:tabs>
              <w:spacing w:line="240" w:lineRule="auto" w:before="49"/>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2,199,192.00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2,199,192</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9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年度，公司累计通过股票回购专用证券账户以集中竞价交易方式回购公司股份数量为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万股，占公司总股本的</w:t>
            </w:r>
          </w:p>
          <w:p>
            <w:pPr>
              <w:pStyle w:val="TableParagraph"/>
              <w:spacing w:line="300" w:lineRule="auto" w:before="60"/>
              <w:ind w:left="24" w:right="6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0.03%</w:t>
            </w:r>
            <w:r>
              <w:rPr>
                <w:rFonts w:ascii="宋体" w:hAnsi="宋体" w:cs="宋体" w:eastAsia="宋体" w:hint="default"/>
                <w:spacing w:val="-1"/>
                <w:sz w:val="18"/>
                <w:szCs w:val="18"/>
              </w:rPr>
              <w:t>，支付的总金额为</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2,199,192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元人民币（不含交易费用）。根据相关规定公司以集中竞价方式回购股份的，当年已实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施的回购股份金额视同现金分红金额，纳入该年度现金分红的相关比例计算。</w:t>
            </w:r>
          </w:p>
          <w:p>
            <w:pPr>
              <w:pStyle w:val="TableParagraph"/>
              <w:spacing w:line="300" w:lineRule="auto" w:before="72"/>
              <w:ind w:left="24" w:right="36"/>
              <w:jc w:val="left"/>
              <w:rPr>
                <w:rFonts w:ascii="宋体" w:hAnsi="宋体" w:cs="宋体" w:eastAsia="宋体" w:hint="default"/>
                <w:sz w:val="18"/>
                <w:szCs w:val="18"/>
              </w:rPr>
            </w:pPr>
            <w:r>
              <w:rPr>
                <w:rFonts w:ascii="宋体" w:hAnsi="宋体" w:cs="宋体" w:eastAsia="宋体" w:hint="default"/>
                <w:sz w:val="18"/>
                <w:szCs w:val="18"/>
              </w:rPr>
              <w:t>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年度净利润为负数，综合公司未来资金需求状况，</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年度公司拟不进行利润分配，亦不进行资本公积金转 增股本。</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10"/>
        <w:rPr>
          <w:rFonts w:ascii="宋体" w:hAnsi="宋体" w:cs="宋体" w:eastAsia="宋体" w:hint="default"/>
          <w:sz w:val="12"/>
          <w:szCs w:val="12"/>
        </w:rPr>
      </w:pPr>
    </w:p>
    <w:p>
      <w:pPr>
        <w:pStyle w:val="BodyText"/>
        <w:spacing w:line="240" w:lineRule="auto"/>
        <w:ind w:left="573" w:right="11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年年度利润分配预案</w:t>
      </w:r>
    </w:p>
    <w:p>
      <w:pPr>
        <w:pStyle w:val="BodyText"/>
        <w:spacing w:line="336" w:lineRule="auto" w:before="149"/>
        <w:ind w:right="1126" w:firstLine="420"/>
        <w:jc w:val="both"/>
      </w:pPr>
      <w:r>
        <w:rPr>
          <w:rFonts w:ascii="Times New Roman" w:hAnsi="Times New Roman" w:cs="Times New Roman" w:eastAsia="Times New Roman" w:hint="default"/>
          <w:spacing w:val="-1"/>
        </w:rPr>
        <w:t>2019</w:t>
      </w:r>
      <w:r>
        <w:rPr>
          <w:spacing w:val="-1"/>
        </w:rPr>
        <w:t>年度，公司累计通过股票回购专用证券账户以集中竞价交易方式回购公司股份数量为</w:t>
      </w:r>
      <w:r>
        <w:rPr>
          <w:rFonts w:ascii="Times New Roman" w:hAnsi="Times New Roman" w:cs="Times New Roman" w:eastAsia="Times New Roman" w:hint="default"/>
          <w:spacing w:val="-1"/>
        </w:rPr>
        <w:t>43.3</w:t>
      </w:r>
      <w:r>
        <w:rPr>
          <w:spacing w:val="-1"/>
        </w:rPr>
        <w:t>万股，</w:t>
      </w:r>
      <w:r>
        <w:rPr>
          <w:w w:val="100"/>
        </w:rPr>
        <w:t> </w:t>
      </w:r>
      <w:r>
        <w:rPr/>
        <w:t>占公司总股本的</w:t>
      </w:r>
      <w:r>
        <w:rPr>
          <w:rFonts w:ascii="Times New Roman" w:hAnsi="Times New Roman" w:cs="Times New Roman" w:eastAsia="Times New Roman" w:hint="default"/>
        </w:rPr>
        <w:t>0.03%</w:t>
      </w:r>
      <w:r>
        <w:rPr/>
        <w:t>，支付的总金额为</w:t>
      </w:r>
      <w:r>
        <w:rPr>
          <w:rFonts w:ascii="Times New Roman" w:hAnsi="Times New Roman" w:cs="Times New Roman" w:eastAsia="Times New Roman" w:hint="default"/>
        </w:rPr>
        <w:t>2,199,192</w:t>
      </w:r>
      <w:r>
        <w:rPr/>
        <w:t>元人民币（不含交易费用）。根据相关规定公司以集中</w:t>
      </w:r>
      <w:r>
        <w:rPr>
          <w:spacing w:val="-44"/>
        </w:rPr>
        <w:t> </w:t>
      </w:r>
      <w:r>
        <w:rPr>
          <w:spacing w:val="-44"/>
        </w:rPr>
      </w:r>
      <w:r>
        <w:rPr>
          <w:spacing w:val="-2"/>
        </w:rPr>
        <w:t>竞价方式回购股份的，当年已实施的回购股份金额视同现金分红金额，纳入该年度现金分红的相关比例计</w:t>
      </w:r>
      <w:r>
        <w:rPr>
          <w:spacing w:val="-43"/>
        </w:rPr>
        <w:t> </w:t>
      </w:r>
      <w:r>
        <w:rPr>
          <w:spacing w:val="-43"/>
        </w:rPr>
      </w:r>
      <w:r>
        <w:rPr/>
        <w:t>算。</w:t>
      </w:r>
    </w:p>
    <w:p>
      <w:pPr>
        <w:pStyle w:val="BodyText"/>
        <w:spacing w:line="328" w:lineRule="auto" w:before="82"/>
        <w:ind w:right="1126" w:firstLine="420"/>
        <w:jc w:val="both"/>
      </w:pPr>
      <w:r>
        <w:rPr>
          <w:spacing w:val="-2"/>
        </w:rPr>
        <w:t>因公司</w:t>
      </w:r>
      <w:r>
        <w:rPr>
          <w:rFonts w:ascii="Times New Roman" w:hAnsi="Times New Roman" w:cs="Times New Roman" w:eastAsia="Times New Roman" w:hint="default"/>
          <w:spacing w:val="-2"/>
        </w:rPr>
        <w:t>2019</w:t>
      </w:r>
      <w:r>
        <w:rPr>
          <w:spacing w:val="-2"/>
        </w:rPr>
        <w:t>年度净利润为负数，综合公司未来资金需求状况，</w:t>
      </w:r>
      <w:r>
        <w:rPr>
          <w:rFonts w:ascii="Times New Roman" w:hAnsi="Times New Roman" w:cs="Times New Roman" w:eastAsia="Times New Roman" w:hint="default"/>
          <w:spacing w:val="-2"/>
        </w:rPr>
        <w:t>2019</w:t>
      </w:r>
      <w:r>
        <w:rPr>
          <w:spacing w:val="-2"/>
        </w:rPr>
        <w:t>年度公司拟不进行利润分配，亦不</w:t>
      </w:r>
      <w:r>
        <w:rPr>
          <w:w w:val="100"/>
        </w:rPr>
        <w:t> </w:t>
      </w:r>
      <w:r>
        <w:rPr/>
        <w:t>进行资本公积金转增股本。</w:t>
      </w:r>
    </w:p>
    <w:p>
      <w:pPr>
        <w:pStyle w:val="BodyText"/>
        <w:spacing w:line="362" w:lineRule="auto" w:before="89"/>
        <w:ind w:left="573"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年年度利润分配方案</w:t>
      </w:r>
      <w:r>
        <w:rPr>
          <w:w w:val="100"/>
        </w:rPr>
        <w:t> </w:t>
      </w:r>
      <w:r>
        <w:rPr>
          <w:spacing w:val="-4"/>
        </w:rPr>
        <w:t>以公司总股本剔除已回购股份后的</w:t>
      </w:r>
      <w:r>
        <w:rPr>
          <w:rFonts w:ascii="Times New Roman" w:hAnsi="Times New Roman" w:cs="Times New Roman" w:eastAsia="Times New Roman" w:hint="default"/>
          <w:spacing w:val="-4"/>
        </w:rPr>
        <w:t>1,249,720,007</w:t>
      </w:r>
      <w:r>
        <w:rPr>
          <w:spacing w:val="-4"/>
        </w:rPr>
        <w:t>股为基数，向全体股东每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0.319895</w:t>
      </w:r>
      <w:r>
        <w:rPr>
          <w:spacing w:val="-4"/>
        </w:rPr>
        <w:t>元人民币（含</w:t>
      </w:r>
    </w:p>
    <w:p>
      <w:pPr>
        <w:pStyle w:val="BodyText"/>
        <w:spacing w:line="266" w:lineRule="exact"/>
        <w:ind w:right="1133"/>
        <w:jc w:val="left"/>
      </w:pPr>
      <w:r>
        <w:rPr/>
        <w:t>税）。</w:t>
      </w:r>
    </w:p>
    <w:p>
      <w:pPr>
        <w:pStyle w:val="BodyText"/>
        <w:spacing w:line="362" w:lineRule="auto" w:before="164"/>
        <w:ind w:left="573"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年年度利润分配方案</w:t>
      </w:r>
      <w:r>
        <w:rPr>
          <w:w w:val="100"/>
        </w:rPr>
        <w:t> </w:t>
      </w:r>
      <w:r>
        <w:rPr>
          <w:spacing w:val="-2"/>
        </w:rPr>
        <w:t>以公司总股本</w:t>
      </w:r>
      <w:r>
        <w:rPr>
          <w:rFonts w:ascii="Times New Roman" w:hAnsi="Times New Roman" w:cs="Times New Roman" w:eastAsia="Times New Roman" w:hint="default"/>
          <w:spacing w:val="-2"/>
        </w:rPr>
        <w:t>1,175,061,904</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0.360093</w:t>
      </w:r>
      <w:r>
        <w:rPr>
          <w:spacing w:val="-2"/>
        </w:rPr>
        <w:t>元人民币（含税）。</w:t>
      </w:r>
    </w:p>
    <w:p>
      <w:pPr>
        <w:spacing w:line="240" w:lineRule="auto" w:before="0"/>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133"/>
        <w:gridCol w:w="1277"/>
        <w:gridCol w:w="1522"/>
        <w:gridCol w:w="1198"/>
        <w:gridCol w:w="1184"/>
        <w:gridCol w:w="1208"/>
        <w:gridCol w:w="1184"/>
      </w:tblGrid>
      <w:tr>
        <w:trPr>
          <w:trHeight w:val="161" w:hRule="exact"/>
        </w:trPr>
        <w:tc>
          <w:tcPr>
            <w:tcW w:w="852"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2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93" w:right="9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522"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36" w:right="35"/>
              <w:jc w:val="both"/>
              <w:rPr>
                <w:rFonts w:ascii="宋体" w:hAnsi="宋体" w:cs="宋体" w:eastAsia="宋体" w:hint="default"/>
                <w:sz w:val="18"/>
                <w:szCs w:val="18"/>
              </w:rPr>
            </w:pPr>
            <w:r>
              <w:rPr>
                <w:rFonts w:ascii="宋体" w:hAnsi="宋体" w:cs="宋体" w:eastAsia="宋体" w:hint="default"/>
                <w:sz w:val="18"/>
                <w:szCs w:val="18"/>
              </w:rPr>
              <w:t>现金分红金额占合 并报表中归属于上 市公司普通股股东 的净利润的比率</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2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277" w:type="dxa"/>
            <w:vMerge/>
            <w:tcBorders>
              <w:left w:val="single" w:sz="4" w:space="0" w:color="000000"/>
              <w:right w:val="single" w:sz="4" w:space="0" w:color="000000"/>
            </w:tcBorders>
            <w:shd w:val="clear" w:color="auto" w:fill="D2D2D2"/>
          </w:tcPr>
          <w:p>
            <w:pPr/>
          </w:p>
        </w:tc>
        <w:tc>
          <w:tcPr>
            <w:tcW w:w="152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2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2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852"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2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22"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22"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52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-936,517,823.35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2,199,192.00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0.23%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2,199,192.00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0.23%</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39,963,284.79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397,943,111.27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39,963,284.79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10.04%</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42,312,885.69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413,809,537.85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42,312,885.69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10.23%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432432" coordorigin="1411,44" coordsize="14018,2">
            <v:shape style="position:absolute;left:1411;top:44;width:14018;height:2" coordorigin="1411,44" coordsize="14018,0" path="m1411,44l15429,44e" filled="false" stroked="true" strokeweight=".72pt" strokecolor="#000000">
              <v:path arrowok="t"/>
            </v:shape>
            <w10:wrap type="none"/>
          </v:group>
        </w:pict>
      </w:r>
      <w:bookmarkStart w:name="二、承诺事项履行情况" w:id="66"/>
      <w:bookmarkEnd w:id="66"/>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pict>
          <v:shape style="position:absolute;margin-left:570.049988pt;margin-top:73.421707pt;width:118.5pt;height:124.85pt;mso-position-horizontal-relative:page;mso-position-vertical-relative:paragraph;z-index:-1432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（包括华炜科技）</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985"/>
        <w:gridCol w:w="1976"/>
        <w:gridCol w:w="1284"/>
        <w:gridCol w:w="6097"/>
        <w:gridCol w:w="994"/>
        <w:gridCol w:w="991"/>
        <w:gridCol w:w="1135"/>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9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52"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00" w:lineRule="auto"/>
              <w:ind w:left="16" w:right="170"/>
              <w:jc w:val="both"/>
              <w:rPr>
                <w:rFonts w:ascii="宋体" w:hAnsi="宋体" w:cs="宋体" w:eastAsia="宋体" w:hint="default"/>
                <w:sz w:val="18"/>
                <w:szCs w:val="18"/>
              </w:rPr>
            </w:pPr>
            <w:r>
              <w:rPr>
                <w:rFonts w:ascii="宋体" w:hAnsi="宋体" w:cs="宋体" w:eastAsia="宋体" w:hint="default"/>
                <w:sz w:val="18"/>
                <w:szCs w:val="18"/>
              </w:rPr>
              <w:t>张远鹏</w:t>
            </w:r>
            <w:r>
              <w:rPr>
                <w:rFonts w:ascii="Times New Roman" w:hAnsi="Times New Roman" w:cs="Times New Roman" w:eastAsia="Times New Roman" w:hint="default"/>
                <w:sz w:val="18"/>
                <w:szCs w:val="18"/>
              </w:rPr>
              <w:t>;</w:t>
            </w:r>
            <w:r>
              <w:rPr>
                <w:rFonts w:ascii="宋体" w:hAnsi="宋体" w:cs="宋体" w:eastAsia="宋体" w:hint="default"/>
                <w:sz w:val="18"/>
                <w:szCs w:val="18"/>
              </w:rPr>
              <w:t>史利民</w:t>
            </w:r>
            <w:r>
              <w:rPr>
                <w:rFonts w:ascii="Times New Roman" w:hAnsi="Times New Roman" w:cs="Times New Roman" w:eastAsia="Times New Roman" w:hint="default"/>
                <w:sz w:val="18"/>
                <w:szCs w:val="18"/>
              </w:rPr>
              <w:t>;</w:t>
            </w:r>
            <w:r>
              <w:rPr>
                <w:rFonts w:ascii="宋体" w:hAnsi="宋体" w:cs="宋体" w:eastAsia="宋体" w:hint="default"/>
                <w:sz w:val="18"/>
                <w:szCs w:val="18"/>
              </w:rPr>
              <w:t>梁发柱</w:t>
            </w:r>
            <w:r>
              <w:rPr>
                <w:rFonts w:ascii="Times New Roman" w:hAnsi="Times New Roman" w:cs="Times New Roman" w:eastAsia="Times New Roman" w:hint="default"/>
                <w:sz w:val="18"/>
                <w:szCs w:val="18"/>
              </w:rPr>
              <w:t>; </w:t>
            </w:r>
            <w:r>
              <w:rPr>
                <w:rFonts w:ascii="宋体" w:hAnsi="宋体" w:cs="宋体" w:eastAsia="宋体" w:hint="default"/>
                <w:sz w:val="18"/>
                <w:szCs w:val="18"/>
              </w:rPr>
              <w:t>张宇弋</w:t>
            </w:r>
            <w:r>
              <w:rPr>
                <w:rFonts w:ascii="Times New Roman" w:hAnsi="Times New Roman" w:cs="Times New Roman" w:eastAsia="Times New Roman" w:hint="default"/>
                <w:sz w:val="18"/>
                <w:szCs w:val="18"/>
              </w:rPr>
              <w:t>;</w:t>
            </w:r>
            <w:r>
              <w:rPr>
                <w:rFonts w:ascii="宋体" w:hAnsi="宋体" w:cs="宋体" w:eastAsia="宋体" w:hint="default"/>
                <w:sz w:val="18"/>
                <w:szCs w:val="18"/>
              </w:rPr>
              <w:t>程庆国</w:t>
            </w:r>
            <w:r>
              <w:rPr>
                <w:rFonts w:ascii="Times New Roman" w:hAnsi="Times New Roman" w:cs="Times New Roman" w:eastAsia="Times New Roman" w:hint="default"/>
                <w:sz w:val="18"/>
                <w:szCs w:val="18"/>
              </w:rPr>
              <w:t>;</w:t>
            </w:r>
            <w:r>
              <w:rPr>
                <w:rFonts w:ascii="宋体" w:hAnsi="宋体" w:cs="宋体" w:eastAsia="宋体" w:hint="default"/>
                <w:sz w:val="18"/>
                <w:szCs w:val="18"/>
              </w:rPr>
              <w:t>王兵</w:t>
            </w:r>
            <w:r>
              <w:rPr>
                <w:rFonts w:ascii="Times New Roman" w:hAnsi="Times New Roman" w:cs="Times New Roman" w:eastAsia="Times New Roman" w:hint="default"/>
                <w:sz w:val="18"/>
                <w:szCs w:val="18"/>
              </w:rPr>
              <w:t>;</w:t>
            </w:r>
            <w:r>
              <w:rPr>
                <w:rFonts w:ascii="宋体" w:hAnsi="宋体" w:cs="宋体" w:eastAsia="宋体" w:hint="default"/>
                <w:sz w:val="18"/>
                <w:szCs w:val="18"/>
              </w:rPr>
              <w:t>黎 讴</w:t>
            </w:r>
            <w:r>
              <w:rPr>
                <w:rFonts w:ascii="Times New Roman" w:hAnsi="Times New Roman" w:cs="Times New Roman" w:eastAsia="Times New Roman" w:hint="default"/>
                <w:sz w:val="18"/>
                <w:szCs w:val="18"/>
              </w:rPr>
              <w:t>;</w:t>
            </w:r>
            <w:r>
              <w:rPr>
                <w:rFonts w:ascii="宋体" w:hAnsi="宋体" w:cs="宋体" w:eastAsia="宋体" w:hint="default"/>
                <w:sz w:val="18"/>
                <w:szCs w:val="18"/>
              </w:rPr>
              <w:t>曹冬平</w:t>
            </w:r>
            <w:r>
              <w:rPr>
                <w:rFonts w:ascii="Times New Roman" w:hAnsi="Times New Roman" w:cs="Times New Roman" w:eastAsia="Times New Roman" w:hint="default"/>
                <w:sz w:val="18"/>
                <w:szCs w:val="18"/>
              </w:rPr>
              <w:t>;</w:t>
            </w:r>
            <w:r>
              <w:rPr>
                <w:rFonts w:ascii="宋体" w:hAnsi="宋体" w:cs="宋体" w:eastAsia="宋体" w:hint="default"/>
                <w:sz w:val="18"/>
                <w:szCs w:val="18"/>
              </w:rPr>
              <w:t>张萍</w:t>
            </w:r>
            <w:r>
              <w:rPr>
                <w:rFonts w:ascii="Times New Roman" w:hAnsi="Times New Roman" w:cs="Times New Roman" w:eastAsia="Times New Roman" w:hint="default"/>
                <w:sz w:val="18"/>
                <w:szCs w:val="18"/>
              </w:rPr>
              <w:t>;</w:t>
            </w:r>
            <w:r>
              <w:rPr>
                <w:rFonts w:ascii="宋体" w:hAnsi="宋体" w:cs="宋体" w:eastAsia="宋体" w:hint="default"/>
                <w:sz w:val="18"/>
                <w:szCs w:val="18"/>
              </w:rPr>
              <w:t>赵隽</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09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华炜科技原自然人股东承诺如下：除非本人不再持有蓝盾股份的股份，否则本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人及本人的全部关联方不得以任何形式从事、参与或协助他人从事任何与蓝盾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股份及其子公司（包括华炜科技）届时正在从事的业务有直接或间接竞争关系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的经营活动，也不直接或间接投资任何与蓝盾股份及其子公司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届时正在从事的业务有直接或间接竞争关系的经济实体。若本人违反上述约定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的，则本人应将通过本次交易取得之上市公司股份无偿返还予蓝盾股份，蓝盾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股份将依据内部决策程序注销本人返还之股份（有关股份已转让的，应将转让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所得价款返还）；若本人因违反上述约定给蓝盾股份或华炜科技造成损失，则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除上述股份返还义务外，本人还将根据蓝盾股份或华炜科技届时实际遭受的损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失承担赔偿责任。在本次重组完成后，本人及本人拥有实际控制权或重大影响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的企业及其他关联方将尽量避免与蓝盾股份及其控股子公司之间发生关联交 </w:t>
            </w:r>
            <w:r>
              <w:rPr>
                <w:rFonts w:ascii="宋体" w:hAnsi="宋体" w:cs="宋体" w:eastAsia="宋体" w:hint="default"/>
                <w:spacing w:val="-3"/>
                <w:sz w:val="18"/>
                <w:szCs w:val="18"/>
              </w:rPr>
              <w:t>易；对于确有必要且无法回避的关联交易，均按照公平、公允和等价有偿的原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则进行，交易价格按市场公认的合理价格确定，并按相关法律、法规以及规范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性文件的规定履行交易审批程序及信息披露义务，切实保护蓝盾股份及其中小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股东利益。本人保证严格按照有关法律法规、中国证监会颁布的规章和规范性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文件、深交所颁布的业务规则及蓝盾股份《公司章程》等制度的规定，依法行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使股东权利、履行股东义务，不利用股东的地位谋取不当的利益，不损害蓝盾</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股份及其中小股东的合法权益。</w:t>
            </w:r>
          </w:p>
        </w:tc>
        <w:tc>
          <w:tcPr>
            <w:tcW w:w="994" w:type="dxa"/>
            <w:vMerge w:val="restart"/>
            <w:tcBorders>
              <w:top w:val="single" w:sz="4" w:space="0" w:color="000000"/>
              <w:left w:val="single" w:sz="4" w:space="0" w:color="000000"/>
              <w:right w:val="single" w:sz="4" w:space="0" w:color="000000"/>
            </w:tcBorders>
          </w:tcPr>
          <w:p>
            <w:pPr>
              <w:pStyle w:val="TableParagraph"/>
              <w:spacing w:line="2496" w:lineRule="exact"/>
              <w:ind w:right="-50"/>
              <w:jc w:val="left"/>
              <w:rPr>
                <w:rFonts w:ascii="宋体" w:hAnsi="宋体" w:cs="宋体" w:eastAsia="宋体" w:hint="default"/>
                <w:sz w:val="20"/>
                <w:szCs w:val="20"/>
              </w:rPr>
            </w:pPr>
            <w:r>
              <w:rPr>
                <w:rFonts w:ascii="宋体" w:hAnsi="宋体" w:cs="宋体" w:eastAsia="宋体" w:hint="default"/>
                <w:position w:val="-49"/>
                <w:sz w:val="20"/>
                <w:szCs w:val="20"/>
              </w:rPr>
              <w:pict>
                <v:group style="width:49.2pt;height:124.85pt;mso-position-horizontal-relative:char;mso-position-vertical-relative:line" coordorigin="0,0" coordsize="984,2497">
                  <v:group style="position:absolute;left:0;top:0;width:984;height:2497" coordorigin="0,0" coordsize="984,2497">
                    <v:shape style="position:absolute;left:0;top:0;width:984;height:2497" coordorigin="0,0" coordsize="984,2497" path="m0,2496l984,2496,984,0,0,0,0,2496xe" filled="true" fillcolor="#ffffff" stroked="false">
                      <v:path arrowok="t"/>
                      <v:fill type="solid"/>
                    </v:shape>
                  </v:group>
                </v:group>
              </w:pict>
            </w:r>
            <w:r>
              <w:rPr>
                <w:rFonts w:ascii="宋体" w:hAnsi="宋体" w:cs="宋体" w:eastAsia="宋体" w:hint="default"/>
                <w:position w:val="-49"/>
                <w:sz w:val="20"/>
                <w:szCs w:val="20"/>
              </w:rPr>
            </w:r>
          </w:p>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976" w:type="dxa"/>
            <w:vMerge/>
            <w:tcBorders>
              <w:left w:val="single" w:sz="10" w:space="0" w:color="D2D2D2"/>
              <w:right w:val="single" w:sz="4" w:space="0" w:color="000000"/>
            </w:tcBorders>
          </w:tcPr>
          <w:p>
            <w:pPr/>
          </w:p>
        </w:tc>
        <w:tc>
          <w:tcPr>
            <w:tcW w:w="1284" w:type="dxa"/>
            <w:vMerge/>
            <w:tcBorders>
              <w:left w:val="single" w:sz="4" w:space="0" w:color="000000"/>
              <w:right w:val="single" w:sz="4" w:space="0" w:color="000000"/>
            </w:tcBorders>
          </w:tcPr>
          <w:p>
            <w:pPr/>
          </w:p>
        </w:tc>
        <w:tc>
          <w:tcPr>
            <w:tcW w:w="609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2165"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976" w:type="dxa"/>
            <w:vMerge/>
            <w:tcBorders>
              <w:left w:val="single" w:sz="10" w:space="0" w:color="D2D2D2"/>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609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98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承诺人承诺其在本次重组中认购的蓝盾股份股票自发行结束之日起三十六个 月内不进行转让；本次重组完成后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个月内如蓝盾股份的股票连续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日的收盘价低于本次重组之发行价格</w:t>
            </w:r>
            <w:r>
              <w:rPr>
                <w:rFonts w:ascii="宋体" w:hAnsi="宋体" w:cs="宋体" w:eastAsia="宋体" w:hint="default"/>
                <w:spacing w:val="-82"/>
                <w:sz w:val="18"/>
                <w:szCs w:val="18"/>
              </w:rPr>
              <w:t>，</w:t>
            </w:r>
            <w:r>
              <w:rPr>
                <w:rFonts w:ascii="宋体" w:hAnsi="宋体" w:cs="宋体" w:eastAsia="宋体" w:hint="default"/>
                <w:sz w:val="18"/>
                <w:szCs w:val="18"/>
              </w:rPr>
              <w:t>或者交易完成后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期末收盘价低于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67" w:footer="980" w:top="1060" w:bottom="1160" w:left="1300" w:right="820"/>
          <w:pgNumType w:start="43"/>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976"/>
        <w:gridCol w:w="1284"/>
        <w:gridCol w:w="6097"/>
        <w:gridCol w:w="994"/>
        <w:gridCol w:w="991"/>
        <w:gridCol w:w="1135"/>
      </w:tblGrid>
      <w:tr>
        <w:trPr>
          <w:trHeight w:val="1001" w:hRule="exact"/>
        </w:trPr>
        <w:tc>
          <w:tcPr>
            <w:tcW w:w="1985" w:type="dxa"/>
            <w:vMerge w:val="restart"/>
            <w:tcBorders>
              <w:top w:val="single" w:sz="15" w:space="0" w:color="000000"/>
              <w:left w:val="single" w:sz="4" w:space="0" w:color="000000"/>
              <w:right w:val="single" w:sz="4" w:space="0" w:color="000000"/>
            </w:tcBorders>
            <w:shd w:val="clear" w:color="auto" w:fill="D2D2D2"/>
          </w:tcPr>
          <w:p>
            <w:pPr/>
          </w:p>
        </w:tc>
        <w:tc>
          <w:tcPr>
            <w:tcW w:w="1976" w:type="dxa"/>
            <w:tcBorders>
              <w:top w:val="single" w:sz="15" w:space="0" w:color="000000"/>
              <w:left w:val="single" w:sz="4" w:space="0" w:color="000000"/>
              <w:bottom w:val="single" w:sz="4" w:space="0" w:color="000000"/>
              <w:right w:val="single" w:sz="4" w:space="0" w:color="000000"/>
            </w:tcBorders>
          </w:tcPr>
          <w:p>
            <w:pPr/>
          </w:p>
        </w:tc>
        <w:tc>
          <w:tcPr>
            <w:tcW w:w="1284" w:type="dxa"/>
            <w:tcBorders>
              <w:top w:val="single" w:sz="15" w:space="0" w:color="000000"/>
              <w:left w:val="single" w:sz="4" w:space="0" w:color="000000"/>
              <w:bottom w:val="single" w:sz="4" w:space="0" w:color="000000"/>
              <w:right w:val="single" w:sz="4" w:space="0" w:color="000000"/>
            </w:tcBorders>
          </w:tcPr>
          <w:p>
            <w:pPr/>
          </w:p>
        </w:tc>
        <w:tc>
          <w:tcPr>
            <w:tcW w:w="6097"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本次重组之发行价格，其所持有的蓝盾股份股票的锁定期自动延长至少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w:t>
            </w:r>
            <w:r>
              <w:rPr>
                <w:rFonts w:ascii="宋体" w:hAnsi="宋体" w:cs="宋体" w:eastAsia="宋体" w:hint="default"/>
                <w:spacing w:val="-3"/>
                <w:sz w:val="18"/>
                <w:szCs w:val="18"/>
              </w:rPr>
              <w:t>月；之后按《蓝盾信息安全技术股份有限公司与资产出让方之发行股份及支付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现金购买资产协议》及中国证监会、深圳证券交易所的有关规定执行。</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r>
      <w:tr>
        <w:trPr>
          <w:trHeight w:val="1652" w:hRule="exact"/>
        </w:trPr>
        <w:tc>
          <w:tcPr>
            <w:tcW w:w="1985"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根据上市公司与中经汇通、李碧如签署的《发行股份及支付现金购买资产协 </w:t>
            </w:r>
            <w:r>
              <w:rPr>
                <w:rFonts w:ascii="宋体" w:hAnsi="宋体" w:cs="宋体" w:eastAsia="宋体" w:hint="default"/>
                <w:spacing w:val="-3"/>
                <w:sz w:val="18"/>
                <w:szCs w:val="18"/>
              </w:rPr>
              <w:t>议》，交易各方一致同意由交易对方之一中经汇通承担对上市公司的全部利润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补偿义务。中经汇通承诺标的公司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年度合计净利润不低于</w:t>
            </w:r>
            <w:r>
              <w:rPr>
                <w:rFonts w:ascii="宋体" w:hAnsi="宋体" w:cs="宋体" w:eastAsia="宋体" w:hint="default"/>
                <w:spacing w:val="-67"/>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年度合计净利润不低于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年度合计净利润不低于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年度合计净利润不低于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0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14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729" w:lineRule="exact"/>
              <w:ind w:right="-1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8pt;height:36.5pt;mso-position-horizontal-relative:char;mso-position-vertical-relative:line" coordorigin="0,0" coordsize="960,730">
                  <v:group style="position:absolute;left:12;top:12;width:2;height:706" coordorigin="12,12" coordsize="2,706">
                    <v:shape style="position:absolute;left:12;top:12;width:2;height:706" coordorigin="12,12" coordsize="0,706" path="m12,12l12,718e" filled="false" stroked="true" strokeweight="1.2pt" strokecolor="#ffffff">
                      <v:path arrowok="t"/>
                    </v:shape>
                  </v:group>
                  <v:group style="position:absolute;left:24;top:12;width:936;height:353" coordorigin="24,12" coordsize="936,353">
                    <v:shape style="position:absolute;left:24;top:12;width:936;height:353" coordorigin="24,12" coordsize="936,353" path="m24,365l960,365,960,12,24,12,24,365xe" filled="true" fillcolor="#ffffff" stroked="false">
                      <v:path arrowok="t"/>
                      <v:fill type="solid"/>
                    </v:shape>
                  </v:group>
                  <v:group style="position:absolute;left:24;top:365;width:936;height:353" coordorigin="24,365" coordsize="936,353">
                    <v:shape style="position:absolute;left:24;top:365;width:936;height:353" coordorigin="24,365" coordsize="936,353" path="m24,718l960,718,960,365,24,365,24,718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59"/>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649" w:hRule="exact"/>
        </w:trPr>
        <w:tc>
          <w:tcPr>
            <w:tcW w:w="1985"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中经汇通有限责任公司 </w:t>
            </w:r>
            <w:r>
              <w:rPr>
                <w:rFonts w:ascii="宋体" w:hAnsi="宋体" w:cs="宋体" w:eastAsia="宋体" w:hint="default"/>
                <w:spacing w:val="-6"/>
                <w:sz w:val="18"/>
                <w:szCs w:val="18"/>
              </w:rPr>
              <w:t>及其股东、公司实际控制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人、董事、监事、高级管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理人员</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5"/>
                <w:sz w:val="18"/>
                <w:szCs w:val="18"/>
              </w:rPr>
              <w:t>关联交易、资金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占用方面的承</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承诺人承诺其及其拥有实际控制权或重大影响的企业不得以任何形式（包括但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不限于在中国境内或境外自行或与他人合资、合作）从事、参与或协助他人从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事任何与蓝盾股份及其子公司届时正在从事的业务有直接或间接竞争关系的 </w:t>
            </w:r>
            <w:r>
              <w:rPr>
                <w:rFonts w:ascii="宋体" w:hAnsi="宋体" w:cs="宋体" w:eastAsia="宋体" w:hint="default"/>
                <w:spacing w:val="-3"/>
                <w:sz w:val="18"/>
                <w:szCs w:val="18"/>
              </w:rPr>
              <w:t>经营活动，也不直接或间接投资任何与蓝盾股份及其子公司届时正在从事的业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务有直接或间接竞争关系的经济实体。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8" w:hRule="exact"/>
        </w:trPr>
        <w:tc>
          <w:tcPr>
            <w:tcW w:w="1985"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承诺人承诺在本次重组中所认购之蓝盾股份的股票自结算公司登记至其名下 </w:t>
            </w:r>
            <w:r>
              <w:rPr>
                <w:rFonts w:ascii="宋体" w:hAnsi="宋体" w:cs="宋体" w:eastAsia="宋体" w:hint="default"/>
                <w:spacing w:val="-3"/>
                <w:sz w:val="18"/>
                <w:szCs w:val="18"/>
              </w:rPr>
              <w:t>之日起至其按《盈利预测补偿协议》约定的利润补偿义务履行完毕之日止的期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间内不进行质押及其他影响其对该等所获得之股份行使权利的其他行为。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59"/>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5" w:hRule="exact"/>
        </w:trPr>
        <w:tc>
          <w:tcPr>
            <w:tcW w:w="1985"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0"/>
              <w:jc w:val="left"/>
              <w:rPr>
                <w:rFonts w:ascii="宋体" w:hAnsi="宋体" w:cs="宋体" w:eastAsia="宋体" w:hint="default"/>
                <w:sz w:val="18"/>
                <w:szCs w:val="18"/>
              </w:rPr>
            </w:pPr>
            <w:r>
              <w:rPr>
                <w:rFonts w:ascii="宋体" w:hAnsi="宋体" w:cs="宋体" w:eastAsia="宋体" w:hint="default"/>
                <w:sz w:val="18"/>
                <w:szCs w:val="18"/>
              </w:rPr>
              <w:t>南平市瑞兴达股权投资 合伙企业（有限合伙）</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年至</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年每年度实现的合并报表扣</w:t>
            </w:r>
          </w:p>
          <w:p>
            <w:pPr>
              <w:pStyle w:val="TableParagraph"/>
              <w:spacing w:line="300" w:lineRule="auto" w:before="63"/>
              <w:ind w:left="23" w:right="29"/>
              <w:jc w:val="left"/>
              <w:rPr>
                <w:rFonts w:ascii="宋体" w:hAnsi="宋体" w:cs="宋体" w:eastAsia="宋体" w:hint="default"/>
                <w:sz w:val="18"/>
                <w:szCs w:val="18"/>
              </w:rPr>
            </w:pPr>
            <w:r>
              <w:rPr>
                <w:rFonts w:ascii="宋体" w:hAnsi="宋体" w:cs="宋体" w:eastAsia="宋体" w:hint="default"/>
                <w:sz w:val="18"/>
                <w:szCs w:val="18"/>
              </w:rPr>
              <w:t>除非经常性损益后归属于母公司净利润分别不低于人民币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9,100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11,600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40"/>
              <w:jc w:val="left"/>
              <w:rPr>
                <w:rFonts w:ascii="宋体" w:hAnsi="宋体" w:cs="宋体" w:eastAsia="宋体" w:hint="default"/>
                <w:sz w:val="18"/>
                <w:szCs w:val="18"/>
              </w:rPr>
            </w:pPr>
            <w:r>
              <w:rPr>
                <w:rFonts w:ascii="宋体" w:hAnsi="宋体" w:cs="宋体" w:eastAsia="宋体" w:hint="default"/>
                <w:sz w:val="18"/>
                <w:szCs w:val="18"/>
              </w:rPr>
              <w:t>南平市瑞兴达股权投资 合伙企业（有限合伙）</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9"/>
              <w:jc w:val="left"/>
              <w:rPr>
                <w:rFonts w:ascii="宋体" w:hAnsi="宋体" w:cs="宋体" w:eastAsia="宋体" w:hint="default"/>
                <w:sz w:val="18"/>
                <w:szCs w:val="18"/>
              </w:rPr>
            </w:pPr>
            <w:r>
              <w:rPr>
                <w:rFonts w:ascii="宋体" w:hAnsi="宋体" w:cs="宋体" w:eastAsia="宋体" w:hint="default"/>
                <w:spacing w:val="-3"/>
                <w:sz w:val="18"/>
                <w:szCs w:val="18"/>
              </w:rPr>
              <w:t>根据《支付现金购买资产及盈利预测补偿协议》，瑞兴达投资承诺对其根据前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述协议取得的公司股份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17,234,924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股进行锁定，承诺的主要内容如下：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、瑞 兴达投资在本次交易中购买的蓝盾股份股票不超过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的部分自购买完成之 日起十二个月内不进行转让；满泰科技实现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年承诺净利润或者满泰科技</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未实现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年承诺净利润但瑞兴达投资已完成业绩补偿且满泰科技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《专项审核报告》出具之日起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日后，瑞兴达投资可解禁不超过股票购买总 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；具体解禁时间以上述可解禁条件同时满足为准。</w:t>
            </w:r>
            <w:r>
              <w:rPr>
                <w:rFonts w:ascii="Times New Roman" w:hAnsi="Times New Roman" w:cs="Times New Roman" w:eastAsia="Times New Roman" w:hint="default"/>
                <w:sz w:val="18"/>
                <w:szCs w:val="18"/>
              </w:rPr>
              <w:t>2</w:t>
            </w:r>
            <w:r>
              <w:rPr>
                <w:rFonts w:ascii="宋体" w:hAnsi="宋体" w:cs="宋体" w:eastAsia="宋体" w:hint="default"/>
                <w:sz w:val="18"/>
                <w:szCs w:val="18"/>
              </w:rPr>
              <w:t>、瑞兴达投资在 本次交易中购买的蓝盾股份股票超过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的部分自购买完成之 日起二十四个月内不进行转让；满泰科技实现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年承诺净利润或者满泰科</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技未实现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年承诺净利润但瑞兴达投资已完成业绩补偿且满泰科技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1" w:right="59"/>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240" w:left="1320" w:right="820"/>
        </w:sectPr>
      </w:pPr>
    </w:p>
    <w:p>
      <w:pPr>
        <w:spacing w:line="240" w:lineRule="auto" w:before="2"/>
        <w:rPr>
          <w:rFonts w:ascii="Times New Roman" w:hAnsi="Times New Roman" w:cs="Times New Roman" w:eastAsia="Times New Roman" w:hint="default"/>
          <w:sz w:val="3"/>
          <w:szCs w:val="3"/>
        </w:rPr>
      </w:pPr>
      <w:r>
        <w:rPr/>
        <w:pict>
          <v:shape style="position:absolute;margin-left:507.190002pt;margin-top:297.766022pt;width:181.35pt;height:62.45pt;mso-position-horizontal-relative:page;mso-position-vertical-relative:page;z-index:-143236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若应广州市有权部门要求或决定，</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5"/>
        <w:gridCol w:w="1976"/>
        <w:gridCol w:w="1284"/>
        <w:gridCol w:w="6097"/>
        <w:gridCol w:w="994"/>
        <w:gridCol w:w="991"/>
        <w:gridCol w:w="1135"/>
      </w:tblGrid>
      <w:tr>
        <w:trPr>
          <w:trHeight w:val="2874"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976" w:type="dxa"/>
            <w:tcBorders>
              <w:top w:val="single" w:sz="15" w:space="0" w:color="000000"/>
              <w:left w:val="single" w:sz="4" w:space="0" w:color="000000"/>
              <w:bottom w:val="single" w:sz="4" w:space="0" w:color="000000"/>
              <w:right w:val="single" w:sz="4" w:space="0" w:color="000000"/>
            </w:tcBorders>
          </w:tcPr>
          <w:p>
            <w:pPr/>
          </w:p>
        </w:tc>
        <w:tc>
          <w:tcPr>
            <w:tcW w:w="1284" w:type="dxa"/>
            <w:tcBorders>
              <w:top w:val="single" w:sz="15" w:space="0" w:color="000000"/>
              <w:left w:val="single" w:sz="4" w:space="0" w:color="000000"/>
              <w:bottom w:val="single" w:sz="4" w:space="0" w:color="000000"/>
              <w:right w:val="single" w:sz="4" w:space="0" w:color="000000"/>
            </w:tcBorders>
          </w:tcPr>
          <w:p>
            <w:pPr/>
          </w:p>
        </w:tc>
        <w:tc>
          <w:tcPr>
            <w:tcW w:w="6097"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年《专项审核报告》出具之日起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日后，瑞兴达投资可解禁不超过股票购买 总数的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；具体解禁时间以上述可解禁条件同时满足为准。</w:t>
            </w:r>
            <w:r>
              <w:rPr>
                <w:rFonts w:ascii="Times New Roman" w:hAnsi="Times New Roman" w:cs="Times New Roman" w:eastAsia="Times New Roman" w:hint="default"/>
                <w:sz w:val="18"/>
                <w:szCs w:val="18"/>
              </w:rPr>
              <w:t>3</w:t>
            </w:r>
            <w:r>
              <w:rPr>
                <w:rFonts w:ascii="宋体" w:hAnsi="宋体" w:cs="宋体" w:eastAsia="宋体" w:hint="default"/>
                <w:sz w:val="18"/>
                <w:szCs w:val="18"/>
              </w:rPr>
              <w:t>、瑞兴达投资 在本次交易中购买的蓝盾股份股票超过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的部分自购买完成之日起三十六 个月内不进行转让；满泰科技实现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年承诺净利润或者满泰科技未实现</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年承诺净利润但瑞兴达投资已完成业绩补偿且满泰科技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年《专项审</w:t>
            </w:r>
          </w:p>
          <w:p>
            <w:pPr>
              <w:pStyle w:val="TableParagraph"/>
              <w:spacing w:line="307"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核报告》及《减值测试报告》出具之日起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日后，瑞兴达投资可解禁不超过 股票购买总数的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；具体解禁时间以上述可解禁条件同时满足为准。瑞兴 </w:t>
            </w:r>
            <w:r>
              <w:rPr>
                <w:rFonts w:ascii="宋体" w:hAnsi="宋体" w:cs="宋体" w:eastAsia="宋体" w:hint="default"/>
                <w:spacing w:val="-3"/>
                <w:sz w:val="18"/>
                <w:szCs w:val="18"/>
              </w:rPr>
              <w:t>达投资同意，锁定期内因公司分配股票股利、资本公积转增股本等方式取得的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股份，一并按前述期限进行锁定。</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r>
      <w:tr>
        <w:trPr>
          <w:trHeight w:val="321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3" w:right="149"/>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
              <w:jc w:val="both"/>
              <w:rPr>
                <w:rFonts w:ascii="宋体" w:hAnsi="宋体" w:cs="宋体" w:eastAsia="宋体" w:hint="default"/>
                <w:sz w:val="18"/>
                <w:szCs w:val="18"/>
              </w:rPr>
            </w:pPr>
            <w:r>
              <w:rPr>
                <w:rFonts w:ascii="宋体" w:hAnsi="宋体" w:cs="宋体" w:eastAsia="宋体" w:hint="default"/>
                <w:spacing w:val="-5"/>
                <w:sz w:val="18"/>
                <w:szCs w:val="18"/>
              </w:rPr>
              <w:t>分红承诺；关于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同业竞争、关联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交易、资金占用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方面的承诺；其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、分红承诺：公司股东大会根据章程的规定通过利润分配具体方案或修改《公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司章程》中相关利润分配条款时，公司控股股东、实际控制人柯宗庆、柯宗贵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承诺将表示同意并投赞成票。</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、关于同业竞争、关联交易、资金占用方面的 </w:t>
            </w:r>
            <w:r>
              <w:rPr>
                <w:rFonts w:ascii="宋体" w:hAnsi="宋体" w:cs="宋体" w:eastAsia="宋体" w:hint="default"/>
                <w:spacing w:val="-3"/>
                <w:sz w:val="18"/>
                <w:szCs w:val="18"/>
              </w:rPr>
              <w:t>承诺：为避免未来可能发生的同业竞争，更好地维护中小股东的利益，公司控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股股东、实际控制人柯宗庆、柯宗贵二人出具了《避免同业竞争承诺函》。为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减少和规范关联交易，公司控股股东、实际控制人柯宗庆、柯宗贵出具了《减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0"/>
                <w:sz w:val="18"/>
                <w:szCs w:val="18"/>
              </w:rPr>
              <w:t>少和规范关联交易的承诺函》。</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、其他承诺：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公司需为员工补缴社会保险和住房公积金，或公司因未为员工缴纳社会保险和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住房公积金而承担任何罚款或损失，公司控股股东、实际控制人柯宗庆、柯宗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贵承诺愿在无需公司支付对价的情况下连带承担所有经济支出。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124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49.2pt;height:62.45pt;mso-position-horizontal-relative:char;mso-position-vertical-relative:line" coordorigin="0,0" coordsize="984,1249">
                  <v:group style="position:absolute;left:0;top:0;width:984;height:1249" coordorigin="0,0" coordsize="984,1249">
                    <v:shape style="position:absolute;left:0;top:0;width:984;height:1249" coordorigin="0,0" coordsize="984,1249" path="m0,1248l984,1248,984,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3" w:hRule="exact"/>
        </w:trPr>
        <w:tc>
          <w:tcPr>
            <w:tcW w:w="1985"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6"/>
                <w:sz w:val="18"/>
                <w:szCs w:val="18"/>
              </w:rPr>
              <w:t>柯宗庆；柯宗贵；黄泽华</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1"/>
              <w:jc w:val="left"/>
              <w:rPr>
                <w:rFonts w:ascii="宋体" w:hAnsi="宋体" w:cs="宋体" w:eastAsia="宋体" w:hint="default"/>
                <w:sz w:val="18"/>
                <w:szCs w:val="18"/>
              </w:rPr>
            </w:pPr>
            <w:r>
              <w:rPr>
                <w:rFonts w:ascii="宋体" w:hAnsi="宋体" w:cs="宋体" w:eastAsia="宋体" w:hint="default"/>
                <w:sz w:val="18"/>
                <w:szCs w:val="18"/>
              </w:rPr>
              <w:t>在任职期间内每年转让的公司股份不超过其所直接和间接持有公司股份总数 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；离职后半年内，不转让其所直接和间接持有的公司股份。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任职期间及 离职后半年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2" w:hRule="exact"/>
        </w:trPr>
        <w:tc>
          <w:tcPr>
            <w:tcW w:w="1985"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关于公开发行 可转换公司债 券摊薄即期回 报采取填补措 施的承诺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、不越权干预公司经营管理活动，不侵占公司利益；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、本人承诺切实履行公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司制定的有关填补回报措施以及本人对此作出的任何有关填补回报措施的承 </w:t>
            </w:r>
            <w:r>
              <w:rPr>
                <w:rFonts w:ascii="宋体" w:hAnsi="宋体" w:cs="宋体" w:eastAsia="宋体" w:hint="default"/>
                <w:spacing w:val="-3"/>
                <w:sz w:val="18"/>
                <w:szCs w:val="18"/>
              </w:rPr>
              <w:t>诺，若本人违反该等承诺并给公司或者投资者造成损失的，本人愿意依法承担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对公司或投资者的补偿责任。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公司全体董事、高级管理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人员</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关于公开发行 可转换公司债 券摊薄即期回</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、不无偿或以不公平条件向其他单位或者个人输送利益，也不采用其他方式 </w:t>
            </w:r>
            <w:r>
              <w:rPr>
                <w:rFonts w:ascii="宋体" w:hAnsi="宋体" w:cs="宋体" w:eastAsia="宋体" w:hint="default"/>
                <w:spacing w:val="-3"/>
                <w:sz w:val="18"/>
                <w:szCs w:val="18"/>
              </w:rPr>
              <w:t>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、对自身的职务消费行为进行约束；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、不动用公司资产从事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与自身履行职责无关的投资、消费活动；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、由公司董事会或薪酬与考核委员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8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976"/>
        <w:gridCol w:w="1284"/>
        <w:gridCol w:w="6097"/>
        <w:gridCol w:w="994"/>
        <w:gridCol w:w="991"/>
        <w:gridCol w:w="1135"/>
      </w:tblGrid>
      <w:tr>
        <w:trPr>
          <w:trHeight w:val="1625" w:hRule="exact"/>
        </w:trPr>
        <w:tc>
          <w:tcPr>
            <w:tcW w:w="1985" w:type="dxa"/>
            <w:vMerge w:val="restart"/>
            <w:tcBorders>
              <w:top w:val="single" w:sz="15" w:space="0" w:color="000000"/>
              <w:left w:val="single" w:sz="4" w:space="0" w:color="000000"/>
              <w:right w:val="single" w:sz="4" w:space="0" w:color="000000"/>
            </w:tcBorders>
            <w:shd w:val="clear" w:color="auto" w:fill="D2D2D2"/>
          </w:tcPr>
          <w:p>
            <w:pPr/>
          </w:p>
        </w:tc>
        <w:tc>
          <w:tcPr>
            <w:tcW w:w="1976" w:type="dxa"/>
            <w:tcBorders>
              <w:top w:val="single" w:sz="15" w:space="0" w:color="000000"/>
              <w:left w:val="single" w:sz="4" w:space="0" w:color="000000"/>
              <w:bottom w:val="single" w:sz="4" w:space="0" w:color="000000"/>
              <w:right w:val="single" w:sz="4" w:space="0" w:color="000000"/>
            </w:tcBorders>
          </w:tcPr>
          <w:p>
            <w:pPr/>
          </w:p>
        </w:tc>
        <w:tc>
          <w:tcPr>
            <w:tcW w:w="128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168"/>
              <w:jc w:val="left"/>
              <w:rPr>
                <w:rFonts w:ascii="宋体" w:hAnsi="宋体" w:cs="宋体" w:eastAsia="宋体" w:hint="default"/>
                <w:sz w:val="18"/>
                <w:szCs w:val="18"/>
              </w:rPr>
            </w:pPr>
            <w:r>
              <w:rPr>
                <w:rFonts w:ascii="宋体" w:hAnsi="宋体" w:cs="宋体" w:eastAsia="宋体" w:hint="default"/>
                <w:sz w:val="18"/>
                <w:szCs w:val="18"/>
              </w:rPr>
              <w:t>报采取填补措 施的承诺</w:t>
            </w:r>
          </w:p>
        </w:tc>
        <w:tc>
          <w:tcPr>
            <w:tcW w:w="6097"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1"/>
              <w:ind w:left="23" w:right="22"/>
              <w:jc w:val="both"/>
              <w:rPr>
                <w:rFonts w:ascii="宋体" w:hAnsi="宋体" w:cs="宋体" w:eastAsia="宋体" w:hint="default"/>
                <w:sz w:val="18"/>
                <w:szCs w:val="18"/>
              </w:rPr>
            </w:pPr>
            <w:r>
              <w:rPr>
                <w:rFonts w:ascii="宋体" w:hAnsi="宋体" w:cs="宋体" w:eastAsia="宋体" w:hint="default"/>
                <w:sz w:val="18"/>
                <w:szCs w:val="18"/>
              </w:rPr>
              <w:t>会制订的薪酬制度与公司填补回报措施的执行情况相挂钩；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、如公司未来实 </w:t>
            </w:r>
            <w:r>
              <w:rPr>
                <w:rFonts w:ascii="宋体" w:hAnsi="宋体" w:cs="宋体" w:eastAsia="宋体" w:hint="default"/>
                <w:spacing w:val="-3"/>
                <w:sz w:val="18"/>
                <w:szCs w:val="18"/>
              </w:rPr>
              <w:t>施股权激励方案，则未来股权激励方案的行权条件将与公司填补回报措施的执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、本人承诺切实履行公司制定的有关填补回报措施以及本人 </w:t>
            </w:r>
            <w:r>
              <w:rPr>
                <w:rFonts w:ascii="宋体" w:hAnsi="宋体" w:cs="宋体" w:eastAsia="宋体" w:hint="default"/>
                <w:spacing w:val="-3"/>
                <w:sz w:val="18"/>
                <w:szCs w:val="18"/>
              </w:rPr>
              <w:t>对此作出的任何有关填补回报措施的承诺，若本人违反该等承诺并给公司或者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投资者造成损失的，本人愿意依法承担对公司或投资者的补偿责任。</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r>
      <w:tr>
        <w:trPr>
          <w:trHeight w:val="290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40"/>
              <w:jc w:val="left"/>
              <w:rPr>
                <w:rFonts w:ascii="宋体" w:hAnsi="宋体" w:cs="宋体" w:eastAsia="宋体" w:hint="default"/>
                <w:sz w:val="18"/>
                <w:szCs w:val="18"/>
              </w:rPr>
            </w:pPr>
            <w:r>
              <w:rPr>
                <w:rFonts w:ascii="宋体" w:hAnsi="宋体" w:cs="宋体" w:eastAsia="宋体" w:hint="default"/>
                <w:sz w:val="18"/>
                <w:szCs w:val="18"/>
              </w:rPr>
              <w:t>蓝盾信息安全技术股份 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68"/>
              <w:jc w:val="both"/>
              <w:rPr>
                <w:rFonts w:ascii="宋体" w:hAnsi="宋体" w:cs="宋体" w:eastAsia="宋体" w:hint="default"/>
                <w:sz w:val="18"/>
                <w:szCs w:val="18"/>
              </w:rPr>
            </w:pPr>
            <w:r>
              <w:rPr>
                <w:rFonts w:ascii="宋体" w:hAnsi="宋体" w:cs="宋体" w:eastAsia="宋体" w:hint="default"/>
                <w:sz w:val="18"/>
                <w:szCs w:val="18"/>
              </w:rPr>
              <w:t>关于不使用募 集资金变相用 于财务性投资 的承诺</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、本次公开发行可转换公司债券募集资金到位后，公司将严格按照公告披露 </w:t>
            </w:r>
            <w:r>
              <w:rPr>
                <w:rFonts w:ascii="宋体" w:hAnsi="宋体" w:cs="宋体" w:eastAsia="宋体" w:hint="default"/>
                <w:spacing w:val="-3"/>
                <w:sz w:val="18"/>
                <w:szCs w:val="18"/>
              </w:rPr>
              <w:t>的内容进行使用，按照公司募集资金管理办法的相关规定，对募集资金实行专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户存储、专人审批、专款专用；公司董事会将定期核查募集资金投资项目的进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展情况，对募集资金的存放与使用情况出具专项报告，并在年度审计时，聘请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会计师事务所对募集资金存放和使用情况出具鉴证报告，随时接受监管机构和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保荐机构的监督。</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、公司不变相通过本次募集资金以实施财务性投资。本次 </w:t>
            </w:r>
            <w:r>
              <w:rPr>
                <w:rFonts w:ascii="宋体" w:hAnsi="宋体" w:cs="宋体" w:eastAsia="宋体" w:hint="default"/>
                <w:spacing w:val="-3"/>
                <w:sz w:val="18"/>
                <w:szCs w:val="18"/>
              </w:rPr>
              <w:t>募集资金不会直接或间接用于持有交易性金融资产和可供出售的金融资产、借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予他人、委托理财等财务性投资，不会直接或间接投资于以买卖有价证券为主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要业务的公司。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4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履行的具体原因及下一 步的工作计划</w:t>
            </w:r>
          </w:p>
        </w:tc>
        <w:tc>
          <w:tcPr>
            <w:tcW w:w="124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82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6"/>
        <w:ind w:left="672" w:right="294"/>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672" w:right="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419"/>
        <w:gridCol w:w="991"/>
        <w:gridCol w:w="992"/>
        <w:gridCol w:w="994"/>
        <w:gridCol w:w="991"/>
        <w:gridCol w:w="1702"/>
        <w:gridCol w:w="991"/>
        <w:gridCol w:w="2696"/>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72" w:hanging="272"/>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9"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6" w:right="34" w:hanging="541"/>
              <w:jc w:val="left"/>
              <w:rPr>
                <w:rFonts w:ascii="宋体" w:hAnsi="宋体" w:cs="宋体" w:eastAsia="宋体" w:hint="default"/>
                <w:sz w:val="18"/>
                <w:szCs w:val="18"/>
              </w:rPr>
            </w:pPr>
            <w:r>
              <w:rPr>
                <w:rFonts w:ascii="宋体" w:hAnsi="宋体" w:cs="宋体" w:eastAsia="宋体" w:hint="default"/>
                <w:sz w:val="18"/>
                <w:szCs w:val="18"/>
              </w:rPr>
              <w:t>未达预测的原因（如 适用）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1" w:right="38"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6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both"/>
              <w:rPr>
                <w:rFonts w:ascii="宋体" w:hAnsi="宋体" w:cs="宋体" w:eastAsia="宋体" w:hint="default"/>
                <w:sz w:val="18"/>
                <w:szCs w:val="18"/>
              </w:rPr>
            </w:pPr>
            <w:r>
              <w:rPr>
                <w:rFonts w:ascii="宋体" w:hAnsi="宋体" w:cs="宋体" w:eastAsia="宋体" w:hint="default"/>
                <w:sz w:val="18"/>
                <w:szCs w:val="18"/>
              </w:rPr>
              <w:t>购买深圳市蓝盾 满泰科技发展有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11,600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9,895.3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年安全产 品销售收入下降及当 年研发费用较大，满 泰科技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 绩承诺未完成。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37"/>
              <w:jc w:val="left"/>
              <w:rPr>
                <w:rFonts w:ascii="Times New Roman" w:hAnsi="Times New Roman" w:cs="Times New Roman" w:eastAsia="Times New Roman" w:hint="default"/>
                <w:sz w:val="18"/>
                <w:szCs w:val="18"/>
              </w:rPr>
            </w:pPr>
            <w:hyperlink r:id="rId19">
              <w:r>
                <w:rPr>
                  <w:rFonts w:ascii="Times New Roman"/>
                  <w:spacing w:val="-1"/>
                  <w:sz w:val="18"/>
                </w:rPr>
                <w:t>http://www.cninfo.com.cn/new/discl</w:t>
              </w:r>
            </w:hyperlink>
            <w:r>
              <w:rPr>
                <w:rFonts w:ascii="Times New Roman"/>
                <w:spacing w:val="-35"/>
                <w:sz w:val="18"/>
              </w:rPr>
              <w:t> </w:t>
            </w:r>
            <w:r>
              <w:rPr>
                <w:rFonts w:ascii="Times New Roman"/>
                <w:spacing w:val="-35"/>
                <w:sz w:val="18"/>
              </w:rPr>
            </w:r>
            <w:r>
              <w:rPr>
                <w:rFonts w:ascii="Times New Roman"/>
                <w:sz w:val="18"/>
              </w:rPr>
              <w:t>osure/detail?plate=szse&amp;stockCode</w:t>
            </w:r>
          </w:p>
          <w:p>
            <w:pPr>
              <w:pStyle w:val="TableParagraph"/>
              <w:spacing w:line="362" w:lineRule="auto" w:before="3"/>
              <w:ind w:left="26" w:right="35"/>
              <w:jc w:val="left"/>
              <w:rPr>
                <w:rFonts w:ascii="Times New Roman" w:hAnsi="Times New Roman" w:cs="Times New Roman" w:eastAsia="Times New Roman" w:hint="default"/>
                <w:sz w:val="18"/>
                <w:szCs w:val="18"/>
              </w:rPr>
            </w:pPr>
            <w:r>
              <w:rPr>
                <w:rFonts w:ascii="Times New Roman"/>
                <w:sz w:val="18"/>
              </w:rPr>
              <w:t>=300297&amp;announcementId=120284 </w:t>
            </w:r>
            <w:r>
              <w:rPr>
                <w:rFonts w:ascii="Times New Roman"/>
                <w:spacing w:val="-1"/>
                <w:sz w:val="18"/>
              </w:rPr>
              <w:t>5774&amp;announcementTime=2016-11</w:t>
            </w:r>
            <w:r>
              <w:rPr>
                <w:rFonts w:ascii="Times New Roman"/>
                <w:sz w:val="18"/>
              </w:rPr>
            </w:r>
          </w:p>
          <w:p>
            <w:pPr>
              <w:pStyle w:val="TableParagraph"/>
              <w:spacing w:line="210"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2016-149</w:t>
            </w:r>
            <w:r>
              <w:rPr>
                <w:rFonts w:ascii="宋体" w:hAnsi="宋体" w:cs="宋体" w:eastAsia="宋体" w:hint="default"/>
                <w:sz w:val="18"/>
                <w:szCs w:val="18"/>
              </w:rPr>
              <w:t>）</w:t>
            </w:r>
          </w:p>
        </w:tc>
      </w:tr>
    </w:tbl>
    <w:p>
      <w:pPr>
        <w:spacing w:before="49"/>
        <w:ind w:left="672" w:right="294"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5"/>
        <w:ind w:left="672" w:right="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328" w:lineRule="auto"/>
        <w:ind w:left="672" w:right="294" w:firstLine="420"/>
        <w:jc w:val="left"/>
        <w:rPr>
          <w:sz w:val="18"/>
          <w:szCs w:val="18"/>
        </w:rPr>
      </w:pPr>
      <w:r>
        <w:rPr>
          <w:spacing w:val="-2"/>
        </w:rPr>
        <w:t>满泰科技项目：根据上市公司与瑞兴达投资、国珩投资、维宇投资、鸿华康投资签署的《支付现金购</w:t>
      </w:r>
      <w:r>
        <w:rPr>
          <w:w w:val="100"/>
        </w:rPr>
        <w:t> </w:t>
      </w:r>
      <w:r>
        <w:rPr>
          <w:spacing w:val="-2"/>
        </w:rPr>
        <w:t>买资产及盈利预测补偿协议》，瑞兴达投资承诺满泰科技</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2019</w:t>
      </w:r>
      <w:r>
        <w:rPr>
          <w:spacing w:val="-2"/>
        </w:rPr>
        <w:t>年每年度实现的合并报表扣除非经</w:t>
      </w:r>
      <w:r>
        <w:rPr>
          <w:spacing w:val="-35"/>
        </w:rPr>
        <w:t> </w:t>
      </w:r>
      <w:r>
        <w:rPr>
          <w:spacing w:val="-35"/>
        </w:rPr>
      </w:r>
      <w:r>
        <w:rPr/>
        <w:t>常性损益后归属于母公司净利润分别不低于人民币</w:t>
      </w:r>
      <w:r>
        <w:rPr>
          <w:rFonts w:ascii="Times New Roman" w:hAnsi="Times New Roman" w:cs="Times New Roman" w:eastAsia="Times New Roman" w:hint="default"/>
        </w:rPr>
        <w:t>5,500</w:t>
      </w:r>
      <w:r>
        <w:rPr/>
        <w:t>万元、</w:t>
      </w:r>
      <w:r>
        <w:rPr>
          <w:rFonts w:ascii="Times New Roman" w:hAnsi="Times New Roman" w:cs="Times New Roman" w:eastAsia="Times New Roman" w:hint="default"/>
        </w:rPr>
        <w:t>7,100</w:t>
      </w:r>
      <w:r>
        <w:rPr/>
        <w:t>万元、</w:t>
      </w:r>
      <w:r>
        <w:rPr>
          <w:rFonts w:ascii="Times New Roman" w:hAnsi="Times New Roman" w:cs="Times New Roman" w:eastAsia="Times New Roman" w:hint="default"/>
        </w:rPr>
        <w:t>9,100</w:t>
      </w:r>
      <w:r>
        <w:rPr/>
        <w:t>万元和</w:t>
      </w:r>
      <w:r>
        <w:rPr>
          <w:rFonts w:ascii="Times New Roman" w:hAnsi="Times New Roman" w:cs="Times New Roman" w:eastAsia="Times New Roman" w:hint="default"/>
        </w:rPr>
        <w:t>11,600</w:t>
      </w:r>
      <w:r>
        <w:rPr/>
        <w:t>万元。上述</w:t>
      </w:r>
      <w:r>
        <w:rPr>
          <w:spacing w:val="-28"/>
        </w:rPr>
        <w:t> </w:t>
      </w:r>
      <w:r>
        <w:rPr>
          <w:spacing w:val="-28"/>
        </w:rPr>
      </w:r>
      <w:r>
        <w:rPr>
          <w:spacing w:val="-2"/>
        </w:rPr>
        <w:t>净利润是指满泰科技合并报表中扣除非经常性损益后归属于母公司股东的净利润数。由于</w:t>
      </w:r>
      <w:r>
        <w:rPr>
          <w:rFonts w:ascii="Times New Roman" w:hAnsi="Times New Roman" w:cs="Times New Roman" w:eastAsia="Times New Roman" w:hint="default"/>
          <w:spacing w:val="-2"/>
        </w:rPr>
        <w:t>2019</w:t>
      </w:r>
      <w:r>
        <w:rPr>
          <w:spacing w:val="-2"/>
        </w:rPr>
        <w:t>年安全产品</w:t>
      </w:r>
      <w:r>
        <w:rPr>
          <w:spacing w:val="-39"/>
        </w:rPr>
        <w:t> </w:t>
      </w:r>
      <w:r>
        <w:rPr>
          <w:spacing w:val="-39"/>
        </w:rPr>
      </w:r>
      <w:r>
        <w:rPr/>
        <w:t>销售收入下降及当年研发费用较大，满泰科技</w:t>
      </w:r>
      <w:r>
        <w:rPr>
          <w:rFonts w:ascii="Times New Roman" w:hAnsi="Times New Roman" w:cs="Times New Roman" w:eastAsia="Times New Roman" w:hint="default"/>
        </w:rPr>
        <w:t>2019</w:t>
      </w:r>
      <w:r>
        <w:rPr/>
        <w:t>年度业绩承诺未完成。</w:t>
      </w:r>
      <w:r>
        <w:rPr>
          <w:w w:val="100"/>
        </w:rPr>
        <w:t> </w:t>
      </w:r>
      <w:r>
        <w:rPr>
          <w:sz w:val="18"/>
          <w:szCs w:val="18"/>
        </w:rPr>
        <w:t>业绩承诺的完成情况及其对商誉减值测试的影响</w:t>
      </w:r>
    </w:p>
    <w:p>
      <w:pPr>
        <w:pStyle w:val="BodyText"/>
        <w:spacing w:line="240" w:lineRule="auto" w:before="116"/>
        <w:ind w:left="1093" w:right="294"/>
        <w:jc w:val="left"/>
      </w:pPr>
      <w:r>
        <w:rPr/>
        <w:t>详见附注七</w:t>
      </w:r>
      <w:r>
        <w:rPr>
          <w:rFonts w:ascii="Times New Roman" w:hAnsi="Times New Roman" w:cs="Times New Roman" w:eastAsia="Times New Roman" w:hint="default"/>
        </w:rPr>
        <w:t>15</w:t>
      </w:r>
      <w:r>
        <w:rPr/>
        <w:t>、商誉。</w:t>
      </w:r>
    </w:p>
    <w:p>
      <w:pPr>
        <w:spacing w:line="240" w:lineRule="auto" w:before="8"/>
        <w:rPr>
          <w:rFonts w:ascii="宋体" w:hAnsi="宋体" w:cs="宋体" w:eastAsia="宋体" w:hint="default"/>
          <w:sz w:val="22"/>
          <w:szCs w:val="22"/>
        </w:rPr>
      </w:pPr>
    </w:p>
    <w:p>
      <w:pPr>
        <w:pStyle w:val="Heading2"/>
        <w:spacing w:line="240" w:lineRule="auto"/>
        <w:ind w:left="672" w:right="294"/>
        <w:jc w:val="left"/>
        <w:rPr>
          <w:b w:val="0"/>
          <w:bCs w:val="0"/>
        </w:rPr>
      </w:pPr>
      <w:bookmarkStart w:name="三、控股股东及其关联方对上市公司的非经营性占用资金情况" w:id="69"/>
      <w:bookmarkEnd w:id="69"/>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67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left="672" w:right="294"/>
        <w:jc w:val="left"/>
        <w:rPr>
          <w:b w:val="0"/>
          <w:bCs w:val="0"/>
        </w:rPr>
      </w:pPr>
      <w:bookmarkStart w:name="四、董事会对最近一期“非标准审计报告”相关情况的说明" w:id="70"/>
      <w:bookmarkEnd w:id="70"/>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672" w:right="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338" w:lineRule="auto"/>
        <w:ind w:left="672" w:right="1126" w:firstLine="420"/>
        <w:jc w:val="both"/>
      </w:pPr>
      <w:r>
        <w:rPr>
          <w:spacing w:val="-4"/>
        </w:rPr>
        <w:t>经公司董事会认真讨论，董事会认为：大华会计师事务所（特殊普通合伙）依据相关情况对公司</w:t>
      </w:r>
      <w:r>
        <w:rPr>
          <w:spacing w:val="4"/>
        </w:rPr>
        <w:t> </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spacing w:val="-2"/>
        </w:rPr>
        <w:t>年度财务报表出具带持续经营重大不确定性段落无保留意见审计报告，客观公允地反映了公司财务状况及</w:t>
      </w:r>
      <w:r>
        <w:rPr>
          <w:spacing w:val="-43"/>
        </w:rPr>
        <w:t> </w:t>
      </w:r>
      <w:r>
        <w:rPr>
          <w:spacing w:val="-43"/>
        </w:rPr>
      </w:r>
      <w:r>
        <w:rPr/>
        <w:t>经营情况。公司董事会对该审计报告予以理解和认可，该审计报告中涉及事项不会对公司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年度财务</w:t>
      </w:r>
      <w:r>
        <w:rPr>
          <w:w w:val="100"/>
        </w:rPr>
        <w:t> </w:t>
      </w:r>
      <w:r>
        <w:rPr>
          <w:spacing w:val="-2"/>
        </w:rPr>
        <w:t>状况和经营成果产生重大影响。董事会将督促管理层积极采取相应措施，回笼并筹措资金，以支持公司持</w:t>
      </w:r>
      <w:r>
        <w:rPr>
          <w:spacing w:val="-45"/>
        </w:rPr>
        <w:t> </w:t>
      </w:r>
      <w:r>
        <w:rPr>
          <w:spacing w:val="-45"/>
        </w:rPr>
      </w:r>
      <w:r>
        <w:rPr/>
        <w:t>续经营。</w:t>
      </w:r>
    </w:p>
    <w:p>
      <w:pPr>
        <w:spacing w:line="240" w:lineRule="auto" w:before="6"/>
        <w:rPr>
          <w:rFonts w:ascii="宋体" w:hAnsi="宋体" w:cs="宋体" w:eastAsia="宋体" w:hint="default"/>
          <w:sz w:val="17"/>
          <w:szCs w:val="17"/>
        </w:rPr>
      </w:pPr>
    </w:p>
    <w:p>
      <w:pPr>
        <w:pStyle w:val="Heading2"/>
        <w:spacing w:line="240" w:lineRule="auto"/>
        <w:ind w:left="672" w:right="294"/>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672" w:right="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240" w:lineRule="auto"/>
        <w:ind w:left="1093" w:right="294"/>
        <w:jc w:val="left"/>
      </w:pPr>
      <w:r>
        <w:rPr>
          <w:rFonts w:ascii="Times New Roman" w:hAnsi="Times New Roman" w:cs="Times New Roman" w:eastAsia="Times New Roman" w:hint="default"/>
        </w:rPr>
        <w:t>1</w:t>
      </w:r>
      <w:r>
        <w:rPr/>
        <w:t>、经公司董事会认真讨论，董事会认为：大华会计师事务所（特殊普通合伙）依据相关情况对公司</w:t>
      </w:r>
    </w:p>
    <w:p>
      <w:pPr>
        <w:spacing w:after="0" w:line="240" w:lineRule="auto"/>
        <w:jc w:val="left"/>
        <w:sectPr>
          <w:headerReference w:type="default" r:id="rId17"/>
          <w:footerReference w:type="default" r:id="rId18"/>
          <w:pgSz w:w="11910" w:h="16840"/>
          <w:pgMar w:header="877" w:footer="980" w:top="1060" w:bottom="1160" w:left="460" w:right="0"/>
          <w:pgNumType w:start="47"/>
        </w:sectPr>
      </w:pPr>
    </w:p>
    <w:p>
      <w:pPr>
        <w:spacing w:line="240" w:lineRule="auto" w:before="6"/>
        <w:rPr>
          <w:rFonts w:ascii="宋体" w:hAnsi="宋体" w:cs="宋体" w:eastAsia="宋体" w:hint="default"/>
          <w:sz w:val="27"/>
          <w:szCs w:val="27"/>
        </w:rPr>
      </w:pPr>
    </w:p>
    <w:p>
      <w:pPr>
        <w:pStyle w:val="BodyText"/>
        <w:spacing w:line="240" w:lineRule="auto" w:before="36"/>
        <w:ind w:right="0"/>
        <w:jc w:val="both"/>
      </w:pPr>
      <w:r>
        <w:rPr>
          <w:rFonts w:ascii="Times New Roman" w:hAnsi="Times New Roman" w:cs="Times New Roman" w:eastAsia="Times New Roman" w:hint="default"/>
        </w:rPr>
        <w:t>2019 </w:t>
      </w:r>
      <w:r>
        <w:rPr>
          <w:rFonts w:ascii="Times New Roman" w:hAnsi="Times New Roman" w:cs="Times New Roman" w:eastAsia="Times New Roman" w:hint="default"/>
          <w:spacing w:val="39"/>
        </w:rPr>
        <w:t> </w:t>
      </w:r>
      <w:r>
        <w:rPr>
          <w:spacing w:val="-4"/>
        </w:rPr>
        <w:t>年度财务报表出具带持续经营重大不确定性段落无保留意见审计报告，客观公允地反映了公司财务状</w:t>
      </w:r>
    </w:p>
    <w:p>
      <w:pPr>
        <w:pStyle w:val="BodyText"/>
        <w:spacing w:line="338" w:lineRule="auto" w:before="110"/>
        <w:ind w:right="1126"/>
        <w:jc w:val="both"/>
      </w:pPr>
      <w:r>
        <w:rPr/>
        <w:t>况及经营情况。公司董事会对该审计报告予以理解和认可，该审计报告中涉及事项不会对公司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年度</w:t>
      </w:r>
      <w:r>
        <w:rPr>
          <w:w w:val="100"/>
        </w:rPr>
        <w:t> </w:t>
      </w:r>
      <w:r>
        <w:rPr>
          <w:spacing w:val="-2"/>
        </w:rPr>
        <w:t>财务状况和经营成果产生重大影响。董事会将督促管理层积极采取相应措施，回笼并筹措资金，以支持公</w:t>
      </w:r>
      <w:r>
        <w:rPr>
          <w:spacing w:val="-44"/>
        </w:rPr>
        <w:t> </w:t>
      </w:r>
      <w:r>
        <w:rPr>
          <w:spacing w:val="-44"/>
        </w:rPr>
      </w:r>
      <w:r>
        <w:rPr/>
        <w:t>司持续经营。</w:t>
      </w:r>
    </w:p>
    <w:p>
      <w:pPr>
        <w:pStyle w:val="BodyText"/>
        <w:spacing w:line="328" w:lineRule="auto" w:before="40"/>
        <w:ind w:right="1132" w:firstLine="420"/>
        <w:jc w:val="both"/>
      </w:pPr>
      <w:r>
        <w:rPr>
          <w:rFonts w:ascii="Times New Roman" w:hAnsi="Times New Roman" w:cs="Times New Roman" w:eastAsia="Times New Roman" w:hint="default"/>
        </w:rPr>
        <w:t>2</w:t>
      </w:r>
      <w:r>
        <w:rPr/>
        <w:t>、监事会对《董事会关于公司</w:t>
      </w:r>
      <w:r>
        <w:rPr>
          <w:rFonts w:ascii="Times New Roman" w:hAnsi="Times New Roman" w:cs="Times New Roman" w:eastAsia="Times New Roman" w:hint="default"/>
        </w:rPr>
        <w:t>2019</w:t>
      </w:r>
      <w:r>
        <w:rPr/>
        <w:t>年度带持续经营重大不确定性段落无保留意见审计报告涉及事项</w:t>
      </w:r>
      <w:r>
        <w:rPr>
          <w:w w:val="100"/>
        </w:rPr>
        <w:t> </w:t>
      </w:r>
      <w:r>
        <w:rPr/>
        <w:t>的专项说明》进行了审核，并提出如下书面审核意见：</w:t>
      </w:r>
    </w:p>
    <w:p>
      <w:pPr>
        <w:pStyle w:val="BodyText"/>
        <w:spacing w:line="240" w:lineRule="auto" w:before="48"/>
        <w:ind w:left="573" w:right="1133"/>
        <w:jc w:val="left"/>
      </w:pPr>
      <w:r>
        <w:rPr/>
        <w:t>（</w:t>
      </w:r>
      <w:r>
        <w:rPr>
          <w:rFonts w:ascii="Times New Roman" w:hAnsi="Times New Roman" w:cs="Times New Roman" w:eastAsia="Times New Roman" w:hint="default"/>
        </w:rPr>
        <w:t>1</w:t>
      </w:r>
      <w:r>
        <w:rPr/>
        <w:t>）监事会对于审计机构出具的审计意见无异议。</w:t>
      </w:r>
    </w:p>
    <w:p>
      <w:pPr>
        <w:pStyle w:val="BodyText"/>
        <w:spacing w:line="340" w:lineRule="auto" w:before="110"/>
        <w:ind w:right="1126" w:firstLine="420"/>
        <w:jc w:val="both"/>
      </w:pPr>
      <w:r>
        <w:rPr/>
        <w:t>（</w:t>
      </w:r>
      <w:r>
        <w:rPr>
          <w:rFonts w:ascii="Times New Roman" w:hAnsi="Times New Roman" w:cs="Times New Roman" w:eastAsia="Times New Roman" w:hint="default"/>
        </w:rPr>
        <w:t>2</w:t>
      </w:r>
      <w:r>
        <w:rPr/>
        <w:t>）董事会关于涉及事项的说明符合公司实际情况。为改善公司目前的经营状况，董事会和管理层</w:t>
      </w:r>
      <w:r>
        <w:rPr>
          <w:w w:val="100"/>
        </w:rPr>
        <w:t> </w:t>
      </w:r>
      <w:r>
        <w:rPr>
          <w:spacing w:val="-2"/>
        </w:rPr>
        <w:t>已制定了一系列积极的措施，这些措施和安排是切合实际的。公司董事会和管理层应全力做好生产经营工</w:t>
      </w:r>
      <w:r>
        <w:rPr>
          <w:spacing w:val="-43"/>
        </w:rPr>
        <w:t> </w:t>
      </w:r>
      <w:r>
        <w:rPr>
          <w:spacing w:val="-43"/>
        </w:rPr>
      </w:r>
      <w:r>
        <w:rPr/>
        <w:t>作，提升盈利能力，降低经营风险，保护全体股东及投资者的利益。</w:t>
      </w:r>
    </w:p>
    <w:p>
      <w:pPr>
        <w:pStyle w:val="BodyText"/>
        <w:spacing w:line="328" w:lineRule="auto" w:before="37"/>
        <w:ind w:right="1133" w:firstLine="420"/>
        <w:jc w:val="both"/>
      </w:pPr>
      <w:r>
        <w:rPr/>
        <w:t>（</w:t>
      </w:r>
      <w:r>
        <w:rPr>
          <w:rFonts w:ascii="Times New Roman" w:hAnsi="Times New Roman" w:cs="Times New Roman" w:eastAsia="Times New Roman" w:hint="default"/>
        </w:rPr>
        <w:t>3</w:t>
      </w:r>
      <w:r>
        <w:rPr/>
        <w:t>）监事会将继续积极履行监督职责，持续关注公司相关措施的推进工作，同时督促公司依法规范</w:t>
      </w:r>
      <w:r>
        <w:rPr>
          <w:w w:val="100"/>
        </w:rPr>
        <w:t> </w:t>
      </w:r>
      <w:r>
        <w:rPr/>
        <w:t>运作，维护投资者的利益。</w:t>
      </w:r>
    </w:p>
    <w:p>
      <w:pPr>
        <w:pStyle w:val="BodyText"/>
        <w:spacing w:line="336" w:lineRule="auto" w:before="48"/>
        <w:ind w:right="1128" w:firstLine="420"/>
        <w:jc w:val="both"/>
      </w:pPr>
      <w:r>
        <w:rPr>
          <w:rFonts w:ascii="Times New Roman" w:hAnsi="Times New Roman" w:cs="Times New Roman" w:eastAsia="Times New Roman" w:hint="default"/>
        </w:rPr>
        <w:t>3</w:t>
      </w:r>
      <w:r>
        <w:rPr/>
        <w:t>、经过认真的了解和探讨，公司独立董事认为大华会计师事务所（特殊普通合伙）出具的审计意见</w:t>
      </w:r>
      <w:r>
        <w:rPr>
          <w:w w:val="100"/>
        </w:rPr>
        <w:t> </w:t>
      </w:r>
      <w:r>
        <w:rPr/>
        <w:t>客观真实地反映了公司实际的财务状况及经营情况，同意《董事会关于公司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年度带持续经营重大不</w:t>
      </w:r>
      <w:r>
        <w:rPr>
          <w:w w:val="100"/>
        </w:rPr>
        <w:t> </w:t>
      </w:r>
      <w:r>
        <w:rPr>
          <w:spacing w:val="-2"/>
          <w:w w:val="100"/>
        </w:rPr>
        <w:t>确定性段落无保留意见审计报告涉及事项的专项说明》，并将持续关注、督促公司董事会和管理层积极采</w:t>
      </w:r>
      <w:r>
        <w:rPr>
          <w:spacing w:val="-94"/>
          <w:w w:val="100"/>
        </w:rPr>
        <w:t> </w:t>
      </w:r>
      <w:r>
        <w:rPr>
          <w:spacing w:val="-94"/>
          <w:w w:val="100"/>
        </w:rPr>
      </w:r>
      <w:r>
        <w:rPr/>
        <w:t>取有效措施，维护公司和广大投资者的合法权益。</w:t>
      </w:r>
    </w:p>
    <w:p>
      <w:pPr>
        <w:spacing w:line="240" w:lineRule="auto" w:before="8"/>
        <w:rPr>
          <w:rFonts w:ascii="宋体" w:hAnsi="宋体" w:cs="宋体" w:eastAsia="宋体" w:hint="default"/>
          <w:sz w:val="17"/>
          <w:szCs w:val="17"/>
        </w:rPr>
      </w:pPr>
    </w:p>
    <w:p>
      <w:pPr>
        <w:pStyle w:val="Heading2"/>
        <w:spacing w:line="240" w:lineRule="auto"/>
        <w:ind w:right="0"/>
        <w:jc w:val="both"/>
        <w:rPr>
          <w:b w:val="0"/>
          <w:bCs w:val="0"/>
        </w:rPr>
      </w:pPr>
      <w:bookmarkStart w:name="六、 董事会关于报告期会计政策、会计估计变更或重大会计差错更正的说明" w:id="72"/>
      <w:bookmarkEnd w:id="72"/>
      <w:r>
        <w:rPr>
          <w:b w:val="0"/>
          <w:bCs w:val="0"/>
        </w:rPr>
      </w:r>
      <w:r>
        <w:rPr/>
        <w:t>六、</w:t>
      </w:r>
      <w:r>
        <w:rPr>
          <w:spacing w:val="-103"/>
        </w:rPr>
        <w:t> </w:t>
      </w:r>
      <w:r>
        <w:rPr/>
        <w:t>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240" w:lineRule="auto"/>
        <w:ind w:left="573" w:right="1133"/>
        <w:jc w:val="left"/>
      </w:pPr>
      <w:r>
        <w:rPr>
          <w:rFonts w:ascii="Times New Roman" w:hAnsi="Times New Roman" w:cs="Times New Roman" w:eastAsia="Times New Roman" w:hint="default"/>
        </w:rPr>
        <w:t>1</w:t>
      </w:r>
      <w:r>
        <w:rPr/>
        <w:t>、会计政策变更</w:t>
      </w:r>
    </w:p>
    <w:p>
      <w:pPr>
        <w:pStyle w:val="BodyText"/>
        <w:spacing w:line="240" w:lineRule="auto" w:before="148"/>
        <w:ind w:left="573" w:right="1133"/>
        <w:jc w:val="left"/>
      </w:pPr>
      <w:r>
        <w:rPr/>
        <w:t>（</w:t>
      </w:r>
      <w:r>
        <w:rPr>
          <w:rFonts w:ascii="Times New Roman" w:hAnsi="Times New Roman" w:cs="Times New Roman" w:eastAsia="Times New Roman" w:hint="default"/>
        </w:rPr>
        <w:t>1</w:t>
      </w:r>
      <w:r>
        <w:rPr/>
        <w:t>）执行新金融工具准则对公司的影响</w:t>
      </w:r>
    </w:p>
    <w:p>
      <w:pPr>
        <w:pStyle w:val="BodyText"/>
        <w:spacing w:line="240" w:lineRule="auto" w:before="151"/>
        <w:ind w:left="573" w:right="982"/>
        <w:jc w:val="left"/>
      </w:pPr>
      <w:r>
        <w:rPr>
          <w:w w:val="100"/>
        </w:rPr>
        <w:t>公司自</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起</w:t>
      </w:r>
      <w:r>
        <w:rPr>
          <w:w w:val="100"/>
        </w:rPr>
        <w:t>执行</w:t>
      </w:r>
      <w:r>
        <w:rPr>
          <w:spacing w:val="-3"/>
          <w:w w:val="100"/>
        </w:rPr>
        <w:t>财</w:t>
      </w:r>
      <w:r>
        <w:rPr>
          <w:w w:val="100"/>
        </w:rPr>
        <w:t>政部</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spacing w:val="-3"/>
          <w:w w:val="100"/>
        </w:rPr>
        <w:t>年</w:t>
      </w:r>
      <w:r>
        <w:rPr>
          <w:w w:val="100"/>
        </w:rPr>
        <w:t>修</w:t>
      </w:r>
      <w:r>
        <w:rPr>
          <w:spacing w:val="-3"/>
          <w:w w:val="100"/>
        </w:rPr>
        <w:t>订的</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4"/>
          <w:w w:val="100"/>
        </w:rPr>
        <w:t>-</w:t>
      </w:r>
      <w:r>
        <w:rPr>
          <w:w w:val="100"/>
        </w:rPr>
        <w:t>金融</w:t>
      </w:r>
      <w:r>
        <w:rPr>
          <w:spacing w:val="-3"/>
          <w:w w:val="100"/>
        </w:rPr>
        <w:t>工</w:t>
      </w:r>
      <w:r>
        <w:rPr>
          <w:w w:val="100"/>
        </w:rPr>
        <w:t>具</w:t>
      </w:r>
      <w:r>
        <w:rPr>
          <w:spacing w:val="-3"/>
          <w:w w:val="100"/>
        </w:rPr>
        <w:t>确</w:t>
      </w:r>
      <w:r>
        <w:rPr>
          <w:w w:val="100"/>
        </w:rPr>
        <w:t>认</w:t>
      </w:r>
      <w:r>
        <w:rPr>
          <w:spacing w:val="-3"/>
          <w:w w:val="100"/>
        </w:rPr>
        <w:t>和</w:t>
      </w:r>
      <w:r>
        <w:rPr>
          <w:w w:val="100"/>
        </w:rPr>
        <w:t>计</w:t>
      </w:r>
      <w:r>
        <w:rPr>
          <w:spacing w:val="-3"/>
          <w:w w:val="100"/>
        </w:rPr>
        <w:t>量</w:t>
      </w:r>
      <w:r>
        <w:rPr>
          <w:spacing w:val="-106"/>
          <w:w w:val="100"/>
        </w:rPr>
        <w:t>》</w:t>
      </w:r>
      <w:r>
        <w:rPr>
          <w:w w:val="100"/>
        </w:rPr>
        <w:t>、</w:t>
      </w:r>
    </w:p>
    <w:p>
      <w:pPr>
        <w:pStyle w:val="BodyText"/>
        <w:spacing w:line="331" w:lineRule="auto" w:before="107"/>
        <w:ind w:right="1128"/>
        <w:jc w:val="both"/>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41"/>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12"/>
        </w:rPr>
        <w:t> </w:t>
      </w:r>
      <w:r>
        <w:rPr>
          <w:w w:val="100"/>
        </w:rPr>
        <w:t>号</w:t>
      </w:r>
      <w:r>
        <w:rPr>
          <w:rFonts w:ascii="Times New Roman" w:hAnsi="Times New Roman" w:cs="Times New Roman" w:eastAsia="Times New Roman" w:hint="default"/>
          <w:spacing w:val="-1"/>
          <w:w w:val="100"/>
        </w:rPr>
        <w:t>-</w:t>
      </w:r>
      <w:r>
        <w:rPr>
          <w:w w:val="100"/>
        </w:rPr>
        <w:t>金融</w:t>
      </w:r>
      <w:r>
        <w:rPr>
          <w:spacing w:val="-3"/>
          <w:w w:val="100"/>
        </w:rPr>
        <w:t>资</w:t>
      </w:r>
      <w:r>
        <w:rPr>
          <w:w w:val="100"/>
        </w:rPr>
        <w:t>产</w:t>
      </w:r>
      <w:r>
        <w:rPr>
          <w:spacing w:val="-3"/>
          <w:w w:val="100"/>
        </w:rPr>
        <w:t>转</w:t>
      </w:r>
      <w:r>
        <w:rPr>
          <w:w w:val="100"/>
        </w:rPr>
        <w:t>移</w:t>
      </w:r>
      <w:r>
        <w:rPr>
          <w:spacing w:val="-3"/>
          <w:w w:val="100"/>
        </w:rPr>
        <w:t>》</w:t>
      </w:r>
      <w:r>
        <w:rPr>
          <w:w w:val="100"/>
        </w:rPr>
        <w:t>和</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3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14"/>
        </w:rPr>
        <w:t> </w:t>
      </w:r>
      <w:r>
        <w:rPr>
          <w:w w:val="100"/>
        </w:rPr>
        <w:t>号</w:t>
      </w:r>
      <w:r>
        <w:rPr>
          <w:rFonts w:ascii="Times New Roman" w:hAnsi="Times New Roman" w:cs="Times New Roman" w:eastAsia="Times New Roman" w:hint="default"/>
          <w:spacing w:val="-4"/>
          <w:w w:val="100"/>
        </w:rPr>
        <w:t>-</w:t>
      </w:r>
      <w:r>
        <w:rPr>
          <w:w w:val="100"/>
        </w:rPr>
        <w:t>套期</w:t>
      </w:r>
      <w:r>
        <w:rPr>
          <w:spacing w:val="-3"/>
          <w:w w:val="100"/>
        </w:rPr>
        <w:t>会</w:t>
      </w:r>
      <w:r>
        <w:rPr>
          <w:w w:val="100"/>
        </w:rPr>
        <w:t>计</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40"/>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12"/>
        </w:rPr>
        <w:t> </w:t>
      </w:r>
      <w:r>
        <w:rPr>
          <w:spacing w:val="-3"/>
          <w:w w:val="100"/>
        </w:rPr>
        <w:t>号</w:t>
      </w:r>
      <w:r>
        <w:rPr>
          <w:rFonts w:ascii="Times New Roman" w:hAnsi="Times New Roman" w:cs="Times New Roman" w:eastAsia="Times New Roman" w:hint="default"/>
          <w:w w:val="100"/>
        </w:rPr>
        <w:t>- </w:t>
      </w:r>
      <w:r>
        <w:rPr>
          <w:w w:val="100"/>
        </w:rPr>
        <w:t>金融</w:t>
      </w:r>
      <w:r>
        <w:rPr>
          <w:spacing w:val="-3"/>
          <w:w w:val="100"/>
        </w:rPr>
        <w:t>工</w:t>
      </w:r>
      <w:r>
        <w:rPr>
          <w:w w:val="100"/>
        </w:rPr>
        <w:t>具</w:t>
      </w:r>
      <w:r>
        <w:rPr>
          <w:spacing w:val="-3"/>
          <w:w w:val="100"/>
        </w:rPr>
        <w:t>列</w:t>
      </w:r>
      <w:r>
        <w:rPr>
          <w:w w:val="100"/>
        </w:rPr>
        <w:t>报</w:t>
      </w:r>
      <w:r>
        <w:rPr>
          <w:spacing w:val="-108"/>
          <w:w w:val="100"/>
        </w:rPr>
        <w:t>》</w:t>
      </w:r>
      <w:r>
        <w:rPr>
          <w:w w:val="100"/>
        </w:rPr>
        <w:t>（</w:t>
      </w:r>
      <w:r>
        <w:rPr>
          <w:spacing w:val="-3"/>
          <w:w w:val="100"/>
        </w:rPr>
        <w:t>以</w:t>
      </w:r>
      <w:r>
        <w:rPr>
          <w:w w:val="100"/>
        </w:rPr>
        <w:t>上</w:t>
      </w:r>
      <w:r>
        <w:rPr>
          <w:spacing w:val="-3"/>
          <w:w w:val="100"/>
        </w:rPr>
        <w:t>四项</w:t>
      </w:r>
      <w:r>
        <w:rPr>
          <w:w w:val="100"/>
        </w:rPr>
        <w:t>统</w:t>
      </w:r>
      <w:r>
        <w:rPr>
          <w:spacing w:val="-2"/>
          <w:w w:val="100"/>
        </w:rPr>
        <w:t>称</w:t>
      </w:r>
      <w:r>
        <w:rPr>
          <w:rFonts w:ascii="Times New Roman" w:hAnsi="Times New Roman" w:cs="Times New Roman" w:eastAsia="Times New Roman" w:hint="default"/>
          <w:w w:val="100"/>
        </w:rPr>
        <w:t>&lt;</w:t>
      </w:r>
      <w:r>
        <w:rPr>
          <w:spacing w:val="-3"/>
          <w:w w:val="100"/>
        </w:rPr>
        <w:t>新</w:t>
      </w:r>
      <w:r>
        <w:rPr>
          <w:w w:val="100"/>
        </w:rPr>
        <w:t>金</w:t>
      </w:r>
      <w:r>
        <w:rPr>
          <w:spacing w:val="-3"/>
          <w:w w:val="100"/>
        </w:rPr>
        <w:t>融</w:t>
      </w:r>
      <w:r>
        <w:rPr>
          <w:w w:val="100"/>
        </w:rPr>
        <w:t>工</w:t>
      </w:r>
      <w:r>
        <w:rPr>
          <w:spacing w:val="-3"/>
          <w:w w:val="100"/>
        </w:rPr>
        <w:t>具</w:t>
      </w:r>
      <w:r>
        <w:rPr>
          <w:w w:val="100"/>
        </w:rPr>
        <w:t>准</w:t>
      </w:r>
      <w:r>
        <w:rPr>
          <w:spacing w:val="-3"/>
          <w:w w:val="100"/>
        </w:rPr>
        <w:t>则</w:t>
      </w:r>
      <w:r>
        <w:rPr>
          <w:rFonts w:ascii="Times New Roman" w:hAnsi="Times New Roman" w:cs="Times New Roman" w:eastAsia="Times New Roman" w:hint="default"/>
          <w:w w:val="100"/>
        </w:rPr>
        <w:t>&gt;</w:t>
      </w:r>
      <w:r>
        <w:rPr>
          <w:spacing w:val="-106"/>
          <w:w w:val="100"/>
        </w:rPr>
        <w:t>）</w:t>
      </w:r>
      <w:r>
        <w:rPr>
          <w:spacing w:val="-3"/>
          <w:w w:val="100"/>
        </w:rPr>
        <w:t>，</w:t>
      </w:r>
      <w:r>
        <w:rPr>
          <w:w w:val="100"/>
        </w:rPr>
        <w:t>变更</w:t>
      </w:r>
      <w:r>
        <w:rPr>
          <w:spacing w:val="-3"/>
          <w:w w:val="100"/>
        </w:rPr>
        <w:t>后</w:t>
      </w:r>
      <w:r>
        <w:rPr>
          <w:w w:val="100"/>
        </w:rPr>
        <w:t>的</w:t>
      </w:r>
      <w:r>
        <w:rPr>
          <w:spacing w:val="-3"/>
          <w:w w:val="100"/>
        </w:rPr>
        <w:t>会</w:t>
      </w:r>
      <w:r>
        <w:rPr>
          <w:w w:val="100"/>
        </w:rPr>
        <w:t>计</w:t>
      </w:r>
      <w:r>
        <w:rPr>
          <w:spacing w:val="-3"/>
          <w:w w:val="100"/>
        </w:rPr>
        <w:t>政</w:t>
      </w:r>
      <w:r>
        <w:rPr>
          <w:w w:val="100"/>
        </w:rPr>
        <w:t>策</w:t>
      </w:r>
      <w:r>
        <w:rPr>
          <w:spacing w:val="-3"/>
          <w:w w:val="100"/>
        </w:rPr>
        <w:t>详</w:t>
      </w:r>
      <w:r>
        <w:rPr>
          <w:w w:val="100"/>
        </w:rPr>
        <w:t>见</w:t>
      </w:r>
      <w:r>
        <w:rPr>
          <w:spacing w:val="-3"/>
          <w:w w:val="100"/>
        </w:rPr>
        <w:t>附</w:t>
      </w:r>
      <w:r>
        <w:rPr>
          <w:w w:val="100"/>
        </w:rPr>
        <w:t>注四。</w:t>
      </w:r>
    </w:p>
    <w:p>
      <w:pPr>
        <w:pStyle w:val="BodyText"/>
        <w:spacing w:line="336" w:lineRule="auto" w:before="60"/>
        <w:ind w:right="1126" w:firstLine="420"/>
        <w:jc w:val="both"/>
      </w:pPr>
      <w:r>
        <w:rPr/>
        <w:t>于</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日之前的金融工具确认和计量与新金融工具准则要求不一致的，公司按照新金融工</w:t>
      </w:r>
      <w:r>
        <w:rPr>
          <w:w w:val="100"/>
        </w:rPr>
        <w:t> </w:t>
      </w:r>
      <w:r>
        <w:rPr>
          <w:spacing w:val="-2"/>
        </w:rPr>
        <w:t>具准则的要求进行衔接调整。涉及前期比较财务报表数据与新金融工具准则要求不一致的，公司未调整可</w:t>
      </w:r>
      <w:r>
        <w:rPr>
          <w:spacing w:val="-43"/>
        </w:rPr>
        <w:t> </w:t>
      </w:r>
      <w:r>
        <w:rPr>
          <w:spacing w:val="-43"/>
        </w:rPr>
      </w:r>
      <w:r>
        <w:rPr>
          <w:spacing w:val="-4"/>
        </w:rPr>
        <w:t>比期间信息。金融工具原账面价值和新金融工具准则施行日的新账面价值之间的差额，计入</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日留存收益或其他综合收益。</w:t>
      </w:r>
    </w:p>
    <w:p>
      <w:pPr>
        <w:pStyle w:val="BodyText"/>
        <w:spacing w:line="240" w:lineRule="auto" w:before="82"/>
        <w:ind w:left="573" w:right="1133"/>
        <w:jc w:val="left"/>
      </w:pPr>
      <w:r>
        <w:rPr/>
        <w:t>执行新金融工具准则对本期期初资产负债表相关项目的影响列示如下：</w:t>
      </w:r>
    </w:p>
    <w:p>
      <w:pPr>
        <w:spacing w:line="240" w:lineRule="auto" w:before="10"/>
        <w:rPr>
          <w:rFonts w:ascii="宋体" w:hAnsi="宋体" w:cs="宋体" w:eastAsia="宋体" w:hint="default"/>
          <w:sz w:val="3"/>
          <w:szCs w:val="3"/>
        </w:rPr>
      </w:pPr>
    </w:p>
    <w:tbl>
      <w:tblPr>
        <w:tblW w:w="0" w:type="auto"/>
        <w:jc w:val="left"/>
        <w:tblInd w:w="282" w:type="dxa"/>
        <w:tblLayout w:type="fixed"/>
        <w:tblCellMar>
          <w:top w:w="0" w:type="dxa"/>
          <w:left w:w="0" w:type="dxa"/>
          <w:bottom w:w="0" w:type="dxa"/>
          <w:right w:w="0" w:type="dxa"/>
        </w:tblCellMar>
        <w:tblLook w:val="01E0"/>
      </w:tblPr>
      <w:tblGrid>
        <w:gridCol w:w="2369"/>
        <w:gridCol w:w="1597"/>
        <w:gridCol w:w="1212"/>
        <w:gridCol w:w="1210"/>
        <w:gridCol w:w="1215"/>
        <w:gridCol w:w="1769"/>
      </w:tblGrid>
      <w:tr>
        <w:trPr>
          <w:trHeight w:val="348" w:hRule="exact"/>
        </w:trPr>
        <w:tc>
          <w:tcPr>
            <w:tcW w:w="2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6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71" w:hRule="exact"/>
        </w:trPr>
        <w:tc>
          <w:tcPr>
            <w:tcW w:w="2369"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39" w:right="240" w:firstLine="91"/>
              <w:jc w:val="left"/>
              <w:rPr>
                <w:rFonts w:ascii="宋体" w:hAnsi="宋体" w:cs="宋体" w:eastAsia="宋体" w:hint="default"/>
                <w:sz w:val="18"/>
                <w:szCs w:val="18"/>
              </w:rPr>
            </w:pPr>
            <w:r>
              <w:rPr>
                <w:rFonts w:ascii="宋体" w:hAnsi="宋体" w:cs="宋体" w:eastAsia="宋体" w:hint="default"/>
                <w:sz w:val="18"/>
                <w:szCs w:val="18"/>
              </w:rPr>
              <w:t>分类和 计量影响</w:t>
            </w:r>
          </w:p>
          <w:p>
            <w:pPr>
              <w:pStyle w:val="TableParagraph"/>
              <w:spacing w:line="240" w:lineRule="auto" w:before="9"/>
              <w:ind w:left="26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40" w:right="239"/>
              <w:jc w:val="left"/>
              <w:rPr>
                <w:rFonts w:ascii="宋体" w:hAnsi="宋体" w:cs="宋体" w:eastAsia="宋体" w:hint="default"/>
                <w:sz w:val="18"/>
                <w:szCs w:val="18"/>
              </w:rPr>
            </w:pPr>
            <w:r>
              <w:rPr>
                <w:rFonts w:ascii="宋体" w:hAnsi="宋体" w:cs="宋体" w:eastAsia="宋体" w:hint="default"/>
                <w:sz w:val="18"/>
                <w:szCs w:val="18"/>
              </w:rPr>
              <w:t>金融资产 减值影响</w:t>
            </w:r>
          </w:p>
          <w:p>
            <w:pPr>
              <w:pStyle w:val="TableParagraph"/>
              <w:spacing w:line="240" w:lineRule="auto" w:before="9"/>
              <w:ind w:left="2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69" w:type="dxa"/>
            <w:vMerge/>
            <w:tcBorders>
              <w:left w:val="single" w:sz="4" w:space="0" w:color="000000"/>
              <w:bottom w:val="single" w:sz="4" w:space="0" w:color="000000"/>
              <w:right w:val="single" w:sz="4" w:space="0" w:color="000000"/>
            </w:tcBorders>
          </w:tcPr>
          <w:p>
            <w:pPr/>
          </w:p>
        </w:tc>
      </w:tr>
      <w:tr>
        <w:trPr>
          <w:trHeight w:val="34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41,190,230.00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color w:val="0000FF"/>
                <w:w w:val="99"/>
                <w:sz w:val="18"/>
              </w:rPr>
              <w:t>-</w:t>
            </w:r>
            <w:r>
              <w:rPr>
                <w:rFonts w:ascii="Times New Roman"/>
                <w:sz w:val="18"/>
              </w:rPr>
            </w:r>
          </w:p>
        </w:tc>
      </w:tr>
      <w:tr>
        <w:trPr>
          <w:trHeight w:val="34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41,190,230.00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right="1133"/>
        <w:jc w:val="left"/>
      </w:pPr>
      <w:r>
        <w:rPr/>
        <w:t>注：上表仅呈列受影响的财务报表项目，不受影响的财务报表项目不包括在内。</w:t>
      </w:r>
    </w:p>
    <w:p>
      <w:pPr>
        <w:pStyle w:val="BodyText"/>
        <w:spacing w:line="343" w:lineRule="auto" w:before="164"/>
        <w:ind w:right="982"/>
        <w:jc w:val="left"/>
      </w:pPr>
      <w:bookmarkStart w:name="注1：于2019年1月1日，账面价值41,190,230.00元的以前年度被分类" w:id="73"/>
      <w:bookmarkEnd w:id="73"/>
      <w:r>
        <w:rPr/>
      </w:r>
      <w:r>
        <w:rPr/>
        <w:t>注</w:t>
      </w:r>
      <w:r>
        <w:rPr>
          <w:spacing w:val="-51"/>
        </w:rPr>
        <w:t> </w:t>
      </w:r>
      <w:r>
        <w:rPr>
          <w:rFonts w:ascii="Times New Roman" w:hAnsi="Times New Roman" w:cs="Times New Roman" w:eastAsia="Times New Roman" w:hint="default"/>
          <w:spacing w:val="-5"/>
        </w:rPr>
        <w:t>1</w:t>
      </w:r>
      <w:r>
        <w:rPr>
          <w:spacing w:val="-5"/>
        </w:rPr>
        <w:t>：于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日，账面价值</w:t>
      </w:r>
      <w:r>
        <w:rPr>
          <w:spacing w:val="-51"/>
        </w:rPr>
        <w:t> </w:t>
      </w:r>
      <w:r>
        <w:rPr>
          <w:rFonts w:ascii="Times New Roman" w:hAnsi="Times New Roman" w:cs="Times New Roman" w:eastAsia="Times New Roman" w:hint="default"/>
        </w:rPr>
        <w:t>41,190,230.00</w:t>
      </w:r>
      <w:r>
        <w:rPr>
          <w:rFonts w:ascii="Times New Roman" w:hAnsi="Times New Roman" w:cs="Times New Roman" w:eastAsia="Times New Roman" w:hint="default"/>
          <w:spacing w:val="-2"/>
        </w:rPr>
        <w:t> </w:t>
      </w:r>
      <w:r>
        <w:rPr/>
        <w:t>元的以前年度被分类为可供出售金融资产的权益工具，</w:t>
      </w:r>
      <w:r>
        <w:rPr>
          <w:w w:val="100"/>
        </w:rPr>
        <w:t> </w:t>
      </w:r>
      <w:r>
        <w:rPr>
          <w:spacing w:val="-2"/>
        </w:rPr>
        <w:t>在首次执行日通过询问管理层并获取指定为以公允价值计量且其变动计入其他综合收益的指定文件，判断</w:t>
      </w:r>
      <w:r>
        <w:rPr>
          <w:spacing w:val="-43"/>
        </w:rPr>
        <w:t> </w:t>
      </w:r>
      <w:r>
        <w:rPr>
          <w:spacing w:val="-43"/>
        </w:rPr>
      </w:r>
      <w:r>
        <w:rPr>
          <w:spacing w:val="-2"/>
        </w:rPr>
        <w:t>为其交易目的为非交易出售赚取差价，且其权益工具为投资以上各投资单位股份权益，因此原为按成本计</w:t>
      </w:r>
      <w:r>
        <w:rPr>
          <w:spacing w:val="-43"/>
        </w:rPr>
        <w:t> </w:t>
      </w:r>
      <w:r>
        <w:rPr>
          <w:spacing w:val="-43"/>
        </w:rPr>
      </w:r>
      <w:r>
        <w:rPr/>
        <w:t>量的可供出售权益工具重分类至其他权益工具投资。</w:t>
      </w:r>
    </w:p>
    <w:p>
      <w:pPr>
        <w:pStyle w:val="BodyText"/>
        <w:spacing w:line="240" w:lineRule="auto" w:before="76"/>
        <w:ind w:left="573" w:right="1133"/>
        <w:jc w:val="left"/>
      </w:pPr>
      <w:bookmarkStart w:name="（2）执行新非货币性资产交换、债务重组准则对公司的影响" w:id="74"/>
      <w:bookmarkEnd w:id="74"/>
      <w:r>
        <w:rPr/>
      </w:r>
      <w:r>
        <w:rPr/>
        <w:t>（</w:t>
      </w:r>
      <w:r>
        <w:rPr>
          <w:rFonts w:ascii="Times New Roman" w:hAnsi="Times New Roman" w:cs="Times New Roman" w:eastAsia="Times New Roman" w:hint="default"/>
        </w:rPr>
        <w:t>2</w:t>
      </w:r>
      <w:r>
        <w:rPr/>
        <w:t>）执行新非货币性资产交换、债务重组准则对公司的影响</w:t>
      </w:r>
    </w:p>
    <w:p>
      <w:pPr>
        <w:pStyle w:val="BodyText"/>
        <w:spacing w:line="240" w:lineRule="auto" w:before="148"/>
        <w:ind w:left="573" w:right="982"/>
        <w:jc w:val="left"/>
        <w:rPr>
          <w:rFonts w:ascii="Times New Roman" w:hAnsi="Times New Roman" w:cs="Times New Roman" w:eastAsia="Times New Roman" w:hint="default"/>
        </w:rPr>
      </w:pPr>
      <w:r>
        <w:rPr>
          <w:w w:val="100"/>
        </w:rPr>
        <w:t>公司自</w:t>
      </w:r>
      <w:r>
        <w:rPr>
          <w:spacing w:val="-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2"/>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月</w:t>
      </w:r>
      <w:r>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0"/>
        </w:rPr>
        <w:t>日起</w:t>
      </w:r>
      <w:r>
        <w:rPr>
          <w:spacing w:val="-3"/>
          <w:w w:val="100"/>
        </w:rPr>
        <w:t>执</w:t>
      </w:r>
      <w:r>
        <w:rPr>
          <w:w w:val="100"/>
        </w:rPr>
        <w:t>行</w:t>
      </w:r>
      <w:r>
        <w:rPr>
          <w:spacing w:val="-3"/>
          <w:w w:val="100"/>
        </w:rPr>
        <w:t>经</w:t>
      </w:r>
      <w:r>
        <w:rPr>
          <w:w w:val="100"/>
        </w:rPr>
        <w:t>修</w:t>
      </w:r>
      <w:r>
        <w:rPr>
          <w:spacing w:val="-3"/>
          <w:w w:val="100"/>
        </w:rPr>
        <w:t>订</w:t>
      </w:r>
      <w:r>
        <w:rPr>
          <w:spacing w:val="-29"/>
          <w:w w:val="100"/>
        </w:rPr>
        <w:t>的</w:t>
      </w:r>
      <w:r>
        <w:rPr>
          <w:spacing w:val="-3"/>
          <w:w w:val="100"/>
        </w:rPr>
        <w:t>《</w:t>
      </w:r>
      <w:r>
        <w:rPr>
          <w:w w:val="100"/>
        </w:rPr>
        <w:t>企</w:t>
      </w:r>
      <w:r>
        <w:rPr>
          <w:spacing w:val="-3"/>
          <w:w w:val="100"/>
        </w:rPr>
        <w:t>业</w:t>
      </w:r>
      <w:r>
        <w:rPr>
          <w:w w:val="100"/>
        </w:rPr>
        <w:t>会计</w:t>
      </w:r>
      <w:r>
        <w:rPr>
          <w:spacing w:val="-3"/>
          <w:w w:val="100"/>
        </w:rPr>
        <w:t>准</w:t>
      </w:r>
      <w:r>
        <w:rPr>
          <w:w w:val="100"/>
        </w:rPr>
        <w:t>则第</w:t>
      </w:r>
      <w:r>
        <w:rPr>
          <w:spacing w:val="-2"/>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4"/>
          <w:w w:val="100"/>
        </w:rPr>
        <w:t>-</w:t>
      </w:r>
      <w:r>
        <w:rPr>
          <w:w w:val="100"/>
        </w:rPr>
        <w:t>非货</w:t>
      </w:r>
      <w:r>
        <w:rPr>
          <w:spacing w:val="-3"/>
          <w:w w:val="100"/>
        </w:rPr>
        <w:t>币</w:t>
      </w:r>
      <w:r>
        <w:rPr>
          <w:w w:val="100"/>
        </w:rPr>
        <w:t>性资</w:t>
      </w:r>
      <w:r>
        <w:rPr>
          <w:spacing w:val="-3"/>
          <w:w w:val="100"/>
        </w:rPr>
        <w:t>产</w:t>
      </w:r>
      <w:r>
        <w:rPr>
          <w:w w:val="100"/>
        </w:rPr>
        <w:t>交</w:t>
      </w:r>
      <w:r>
        <w:rPr>
          <w:spacing w:val="-3"/>
          <w:w w:val="100"/>
        </w:rPr>
        <w:t>换</w:t>
      </w:r>
      <w:r>
        <w:rPr>
          <w:spacing w:val="-106"/>
          <w:w w:val="100"/>
        </w:rPr>
        <w:t>》</w:t>
      </w:r>
      <w:r>
        <w:rPr>
          <w:w w:val="100"/>
        </w:rPr>
        <w:t>，</w:t>
      </w:r>
      <w:r>
        <w:rPr>
          <w:spacing w:val="-31"/>
        </w:rPr>
        <w:t> </w:t>
      </w:r>
      <w:r>
        <w:rPr>
          <w:w w:val="100"/>
        </w:rPr>
        <w:t>自</w:t>
      </w:r>
      <w:r>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p>
    <w:p>
      <w:pPr>
        <w:pStyle w:val="BodyText"/>
        <w:spacing w:line="240" w:lineRule="auto" w:before="110"/>
        <w:ind w:right="982"/>
        <w:jc w:val="left"/>
      </w:pPr>
      <w:r>
        <w:rPr>
          <w:w w:val="100"/>
        </w:rPr>
        <w:t>年</w:t>
      </w:r>
      <w:r>
        <w:rPr>
          <w:spacing w:val="1"/>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t> </w:t>
      </w: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w w:val="100"/>
        </w:rPr>
        <w:t>日起执行修订的《企业会计准则第</w:t>
      </w:r>
      <w:r>
        <w:rPr>
          <w:spacing w:val="1"/>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1"/>
          <w:w w:val="100"/>
        </w:rPr>
        <w:t>--</w:t>
      </w:r>
      <w:r>
        <w:rPr>
          <w:w w:val="100"/>
        </w:rPr>
        <w:t>债务重组</w:t>
      </w:r>
      <w:r>
        <w:rPr>
          <w:spacing w:val="-104"/>
          <w:w w:val="100"/>
        </w:rPr>
        <w:t>》</w:t>
      </w:r>
      <w:r>
        <w:rPr>
          <w:w w:val="100"/>
        </w:rPr>
        <w:t>。该项会</w:t>
      </w:r>
      <w:r>
        <w:rPr>
          <w:spacing w:val="-3"/>
          <w:w w:val="100"/>
        </w:rPr>
        <w:t>计</w:t>
      </w:r>
      <w:r>
        <w:rPr>
          <w:w w:val="100"/>
        </w:rPr>
        <w:t>政策变更采用未来适用</w:t>
      </w:r>
      <w:r>
        <w:rPr>
          <w:spacing w:val="-3"/>
          <w:w w:val="100"/>
        </w:rPr>
        <w:t>法</w:t>
      </w:r>
      <w:r>
        <w:rPr>
          <w:w w:val="100"/>
        </w:rPr>
        <w:t>处</w:t>
      </w:r>
    </w:p>
    <w:p>
      <w:pPr>
        <w:pStyle w:val="BodyText"/>
        <w:spacing w:line="331" w:lineRule="auto" w:before="107"/>
        <w:ind w:right="1133"/>
        <w:jc w:val="left"/>
      </w:pPr>
      <w:r>
        <w:rPr>
          <w:spacing w:val="-4"/>
        </w:rPr>
        <w:t>理，并根据准则的规定对于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日至准则实施日之间发生的非货币性资产交换和债务重组进</w:t>
      </w:r>
      <w:r>
        <w:rPr>
          <w:w w:val="100"/>
        </w:rPr>
        <w:t> </w:t>
      </w:r>
      <w:r>
        <w:rPr/>
        <w:t>行调整。公司首次执行该准则对财务报表无影响。</w:t>
      </w:r>
    </w:p>
    <w:p>
      <w:pPr>
        <w:pStyle w:val="BodyText"/>
        <w:spacing w:line="364" w:lineRule="auto" w:before="84"/>
        <w:ind w:left="573" w:right="6794"/>
        <w:jc w:val="left"/>
      </w:pPr>
      <w:r>
        <w:rPr>
          <w:rFonts w:ascii="Times New Roman" w:hAnsi="Times New Roman" w:cs="Times New Roman" w:eastAsia="Times New Roman" w:hint="default"/>
        </w:rPr>
        <w:t>2</w:t>
      </w:r>
      <w:r>
        <w:rPr/>
        <w:t>、会计估计变更</w:t>
      </w:r>
      <w:r>
        <w:rPr>
          <w:w w:val="100"/>
        </w:rPr>
        <w:t> </w:t>
      </w:r>
      <w:r>
        <w:rPr>
          <w:spacing w:val="-2"/>
        </w:rPr>
        <w:t>本报告期主要会计估计未发生变更。</w:t>
      </w:r>
    </w:p>
    <w:p>
      <w:pPr>
        <w:spacing w:line="240" w:lineRule="auto" w:before="6"/>
        <w:rPr>
          <w:rFonts w:ascii="宋体" w:hAnsi="宋体" w:cs="宋体" w:eastAsia="宋体" w:hint="default"/>
          <w:sz w:val="15"/>
          <w:szCs w:val="15"/>
        </w:rPr>
      </w:pPr>
    </w:p>
    <w:p>
      <w:pPr>
        <w:pStyle w:val="Heading2"/>
        <w:spacing w:line="240" w:lineRule="auto"/>
        <w:ind w:right="1133"/>
        <w:jc w:val="left"/>
        <w:rPr>
          <w:b w:val="0"/>
          <w:bCs w:val="0"/>
        </w:rPr>
      </w:pPr>
      <w:bookmarkStart w:name="七、与上年度财务报告相比，合并报表范围发生变化的情况说明" w:id="75"/>
      <w:bookmarkEnd w:id="75"/>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240" w:lineRule="auto"/>
        <w:ind w:left="573" w:right="1133"/>
        <w:jc w:val="left"/>
      </w:pPr>
      <w:r>
        <w:rPr/>
        <w:t>本期纳入合并财务报表范围的主体较上期相比，增加</w:t>
      </w:r>
      <w:r>
        <w:rPr>
          <w:rFonts w:ascii="Times New Roman" w:hAnsi="Times New Roman" w:cs="Times New Roman" w:eastAsia="Times New Roman" w:hint="default"/>
        </w:rPr>
        <w:t>4</w:t>
      </w:r>
      <w:r>
        <w:rPr/>
        <w:t>户，减少</w:t>
      </w:r>
      <w:r>
        <w:rPr>
          <w:rFonts w:ascii="Times New Roman" w:hAnsi="Times New Roman" w:cs="Times New Roman" w:eastAsia="Times New Roman" w:hint="default"/>
        </w:rPr>
        <w:t>3</w:t>
      </w:r>
      <w:r>
        <w:rPr/>
        <w:t>户，其中：</w:t>
      </w:r>
    </w:p>
    <w:p>
      <w:pPr>
        <w:pStyle w:val="BodyText"/>
        <w:spacing w:line="240" w:lineRule="auto" w:before="107"/>
        <w:ind w:left="573" w:right="1133"/>
        <w:jc w:val="left"/>
      </w:pPr>
      <w:r>
        <w:rPr>
          <w:rFonts w:ascii="Times New Roman" w:hAnsi="Times New Roman" w:cs="Times New Roman" w:eastAsia="Times New Roman" w:hint="default"/>
        </w:rPr>
        <w:t>1</w:t>
      </w:r>
      <w:r>
        <w:rPr/>
        <w:t>、本期新纳入合并范围的子公司</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820"/>
        <w:gridCol w:w="4820"/>
      </w:tblGrid>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始兴县都亨加油站有限公司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广州市汇特慧科技有限公司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湖北蓝盾网信科技有限公司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广东和诚科技孵化器有限公司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bl>
    <w:p>
      <w:pPr>
        <w:pStyle w:val="BodyText"/>
        <w:spacing w:line="240" w:lineRule="auto" w:before="74"/>
        <w:ind w:left="573" w:right="1133"/>
        <w:jc w:val="left"/>
      </w:pPr>
      <w:r>
        <w:rPr>
          <w:rFonts w:ascii="Times New Roman" w:hAnsi="Times New Roman" w:cs="Times New Roman" w:eastAsia="Times New Roman" w:hint="default"/>
        </w:rPr>
        <w:t>2</w:t>
      </w:r>
      <w:r>
        <w:rPr/>
        <w:t>、本期减少的合并范围内的子公司</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820"/>
        <w:gridCol w:w="4820"/>
      </w:tblGrid>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股权转让</w:t>
            </w:r>
          </w:p>
        </w:tc>
      </w:tr>
    </w:tbl>
    <w:p>
      <w:pPr>
        <w:pStyle w:val="BodyText"/>
        <w:spacing w:line="240" w:lineRule="auto" w:before="74"/>
        <w:ind w:left="573" w:right="1133"/>
        <w:jc w:val="left"/>
      </w:pPr>
      <w:r>
        <w:rPr/>
        <w:t>合并范围变更主体的具体信息详见第十一节</w:t>
      </w:r>
      <w:r>
        <w:rPr>
          <w:spacing w:val="-4"/>
        </w:rPr>
        <w:t> </w:t>
      </w:r>
      <w:r>
        <w:rPr/>
        <w:t>八、合并范围的变更。</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八、聘任、解聘会计师事务所情况" w:id="76"/>
      <w:bookmarkEnd w:id="76"/>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tbl>
      <w:tblPr>
        <w:tblW w:w="0" w:type="auto"/>
        <w:jc w:val="left"/>
        <w:tblInd w:w="809" w:type="dxa"/>
        <w:tblLayout w:type="fixed"/>
        <w:tblCellMar>
          <w:top w:w="0" w:type="dxa"/>
          <w:left w:w="0" w:type="dxa"/>
          <w:bottom w:w="0" w:type="dxa"/>
          <w:right w:w="0" w:type="dxa"/>
        </w:tblCellMar>
        <w:tblLook w:val="01E0"/>
      </w:tblPr>
      <w:tblGrid>
        <w:gridCol w:w="4790"/>
        <w:gridCol w:w="4779"/>
      </w:tblGrid>
      <w:tr>
        <w:trPr>
          <w:trHeight w:val="334" w:hRule="exact"/>
        </w:trPr>
        <w:tc>
          <w:tcPr>
            <w:tcW w:w="4790" w:type="dxa"/>
            <w:tcBorders>
              <w:top w:val="single" w:sz="6" w:space="0" w:color="000000"/>
              <w:left w:val="nil" w:sz="6" w:space="0" w:color="auto"/>
              <w:bottom w:val="single" w:sz="4" w:space="0" w:color="000000"/>
              <w:right w:val="nil" w:sz="6" w:space="0" w:color="auto"/>
            </w:tcBorders>
          </w:tcPr>
          <w:p>
            <w:pPr/>
          </w:p>
        </w:tc>
        <w:tc>
          <w:tcPr>
            <w:tcW w:w="4779"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812" w:right="679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81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812" w:right="0"/>
        <w:jc w:val="left"/>
        <w:rPr>
          <w:b w:val="0"/>
          <w:bCs w:val="0"/>
        </w:rPr>
      </w:pPr>
      <w:bookmarkStart w:name="九、年度报告披露后面临暂停上市和终止上市情况" w:id="77"/>
      <w:bookmarkEnd w:id="77"/>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812" w:right="6794"/>
        <w:jc w:val="left"/>
        <w:rPr>
          <w:b w:val="0"/>
          <w:bCs w:val="0"/>
        </w:rPr>
      </w:pPr>
      <w:bookmarkStart w:name="十、破产重整相关事项" w:id="78"/>
      <w:bookmarkEnd w:id="78"/>
      <w:r>
        <w:rPr>
          <w:b w:val="0"/>
          <w:bCs w:val="0"/>
        </w:rPr>
      </w:r>
      <w:r>
        <w:rPr/>
        <w:t>十、破产重整相关事项</w:t>
      </w:r>
      <w:r>
        <w:rPr>
          <w:b w:val="0"/>
          <w:bCs w:val="0"/>
        </w:rPr>
      </w:r>
    </w:p>
    <w:p>
      <w:pPr>
        <w:spacing w:line="240" w:lineRule="auto" w:before="4"/>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812" w:right="6794"/>
        <w:jc w:val="left"/>
        <w:rPr>
          <w:b w:val="0"/>
          <w:bCs w:val="0"/>
        </w:rPr>
      </w:pPr>
      <w:bookmarkStart w:name="十一、重大诉讼、仲裁事项" w:id="79"/>
      <w:bookmarkEnd w:id="79"/>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spacing w:before="0"/>
        <w:ind w:left="8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552"/>
        <w:gridCol w:w="694"/>
        <w:gridCol w:w="867"/>
        <w:gridCol w:w="1351"/>
        <w:gridCol w:w="2758"/>
        <w:gridCol w:w="853"/>
        <w:gridCol w:w="850"/>
        <w:gridCol w:w="852"/>
      </w:tblGrid>
      <w:tr>
        <w:trPr>
          <w:trHeight w:val="1025"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7" w:right="68"/>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3" w:right="26"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月，因中经电商未能 按期偿还长沙银行广州流花支 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万元本金及相应利息， 长沙银行广州分行向天河区法 </w:t>
            </w:r>
            <w:r>
              <w:rPr>
                <w:rFonts w:ascii="宋体" w:hAnsi="宋体" w:cs="宋体" w:eastAsia="宋体" w:hint="default"/>
                <w:spacing w:val="-2"/>
                <w:sz w:val="18"/>
                <w:szCs w:val="18"/>
              </w:rPr>
              <w:t>院提起诉讼，要求中经电商偿还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长沙银行广州分行借款本金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万元及其相应利息</w:t>
            </w:r>
          </w:p>
          <w:p>
            <w:pPr>
              <w:pStyle w:val="TableParagraph"/>
              <w:spacing w:line="309" w:lineRule="auto" w:before="3"/>
              <w:ind w:left="23"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86,395.83 </w:t>
            </w:r>
            <w:r>
              <w:rPr>
                <w:rFonts w:ascii="宋体" w:hAnsi="宋体" w:cs="宋体" w:eastAsia="宋体" w:hint="default"/>
                <w:spacing w:val="-8"/>
                <w:sz w:val="18"/>
                <w:szCs w:val="18"/>
              </w:rPr>
              <w:t>元，并要求公司及实际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控制人柯宗庆、柯宗贵为中经电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商上述债务承担连带清偿责任。</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5,008.64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根据天河区法院 下发的传票，该 案拟定于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300" w:lineRule="auto"/>
              <w:ind w:left="23" w:right="5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日开庭 审理。</w:t>
            </w:r>
          </w:p>
        </w:tc>
        <w:tc>
          <w:tcPr>
            <w:tcW w:w="2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因该项诉讼事宜，公司及实际控制 人柯宗庆、柯宗贵作为担保方亦被 长沙银行广州分行列为被告提起诉 讼，因长沙银行广州分行申请诉前 财产保全，公司位于广州市萝岗区 瑞和路以西，瑞源路以北、土地使 用权证为</w:t>
            </w:r>
            <w:r>
              <w:rPr>
                <w:rFonts w:ascii="Times New Roman" w:hAnsi="Times New Roman" w:cs="Times New Roman" w:eastAsia="Times New Roman" w:hint="default"/>
                <w:sz w:val="18"/>
                <w:szCs w:val="18"/>
              </w:rPr>
              <w:t>"</w:t>
            </w:r>
            <w:r>
              <w:rPr>
                <w:rFonts w:ascii="宋体" w:hAnsi="宋体" w:cs="宋体" w:eastAsia="宋体" w:hint="default"/>
                <w:sz w:val="18"/>
                <w:szCs w:val="18"/>
              </w:rPr>
              <w:t>穗符国用（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 </w:t>
            </w:r>
            <w:r>
              <w:rPr>
                <w:rFonts w:ascii="Times New Roman" w:hAnsi="Times New Roman" w:cs="Times New Roman" w:eastAsia="Times New Roman" w:hint="default"/>
                <w:sz w:val="18"/>
                <w:szCs w:val="18"/>
              </w:rPr>
              <w:t>050001113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的一宗国有土地使用 权被天河区法院第一次轮候查封。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月，因蓝盾技术未能 按期偿还浦发银行广州东风支 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56,990,936.11 </w:t>
            </w:r>
            <w:r>
              <w:rPr>
                <w:rFonts w:ascii="宋体" w:hAnsi="宋体" w:cs="宋体" w:eastAsia="宋体" w:hint="default"/>
                <w:sz w:val="18"/>
                <w:szCs w:val="18"/>
              </w:rPr>
              <w:t>元本金及相应 </w:t>
            </w:r>
            <w:r>
              <w:rPr>
                <w:rFonts w:ascii="宋体" w:hAnsi="宋体" w:cs="宋体" w:eastAsia="宋体" w:hint="default"/>
                <w:spacing w:val="-2"/>
                <w:sz w:val="18"/>
                <w:szCs w:val="18"/>
              </w:rPr>
              <w:t>利息，浦发银行广州东风支行向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越秀区法院提起诉讼，要求蓝盾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技术偿还浦发银行广州东风支 行借款本金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56,990,936.11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元及</w:t>
            </w:r>
          </w:p>
          <w:p>
            <w:pPr>
              <w:pStyle w:val="TableParagraph"/>
              <w:spacing w:line="312" w:lineRule="auto" w:before="3"/>
              <w:ind w:left="23" w:right="-3"/>
              <w:jc w:val="left"/>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212,369.25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元，并要求公司</w:t>
            </w:r>
            <w:r>
              <w:rPr>
                <w:rFonts w:ascii="宋体" w:hAnsi="宋体" w:cs="宋体" w:eastAsia="宋体" w:hint="default"/>
                <w:sz w:val="18"/>
                <w:szCs w:val="18"/>
              </w:rPr>
              <w:t> 及实际控制人柯宗庆、柯宗贵、 中经电商等相关方对蓝盾技术 该笔债务承担连带清偿责任。</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5,720.33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根据越秀区法院 下发的传票，该 案拟定于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300" w:lineRule="auto"/>
              <w:ind w:left="23" w:right="5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日开庭 审理。</w:t>
            </w:r>
          </w:p>
        </w:tc>
        <w:tc>
          <w:tcPr>
            <w:tcW w:w="2758"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月，因中经电商未能</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根据越秀区法院</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因该两项诉讼事宜，公司及实际控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320" w:right="0"/>
        </w:sectPr>
      </w:pPr>
    </w:p>
    <w:p>
      <w:pPr>
        <w:spacing w:line="240" w:lineRule="auto" w:before="11"/>
        <w:rPr>
          <w:rFonts w:ascii="宋体" w:hAnsi="宋体" w:cs="宋体" w:eastAsia="宋体" w:hint="default"/>
          <w:sz w:val="2"/>
          <w:szCs w:val="2"/>
        </w:rPr>
      </w:pPr>
    </w:p>
    <w:p>
      <w:pPr>
        <w:spacing w:line="20" w:lineRule="exact"/>
        <w:ind w:left="7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554"/>
        <w:gridCol w:w="694"/>
        <w:gridCol w:w="867"/>
        <w:gridCol w:w="1351"/>
        <w:gridCol w:w="2758"/>
        <w:gridCol w:w="853"/>
        <w:gridCol w:w="850"/>
        <w:gridCol w:w="852"/>
      </w:tblGrid>
      <w:tr>
        <w:trPr>
          <w:trHeight w:val="317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按期偿还浦发银行广州东风支 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49,994,236.71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元本金及相应 </w:t>
            </w:r>
            <w:r>
              <w:rPr>
                <w:rFonts w:ascii="宋体" w:hAnsi="宋体" w:cs="宋体" w:eastAsia="宋体" w:hint="default"/>
                <w:spacing w:val="-2"/>
                <w:sz w:val="18"/>
                <w:szCs w:val="18"/>
              </w:rPr>
              <w:t>利息，浦发银行广州东风支行向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越秀区法院提起诉讼，要求中经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电商偿还浦发银行广州东风支 行借款本金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49,994,236.71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w:t>
            </w:r>
          </w:p>
          <w:p>
            <w:pPr>
              <w:pStyle w:val="TableParagraph"/>
              <w:spacing w:line="312"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183,767.87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元，并要求公司</w:t>
            </w:r>
            <w:r>
              <w:rPr>
                <w:rFonts w:ascii="宋体" w:hAnsi="宋体" w:cs="宋体" w:eastAsia="宋体" w:hint="default"/>
                <w:sz w:val="18"/>
                <w:szCs w:val="18"/>
              </w:rPr>
              <w:t> 及实际控制人柯宗庆、柯宗贵、 蓝盾技术等相关方对中经电商 该笔债务承担连带清偿责任。</w:t>
            </w:r>
          </w:p>
        </w:tc>
        <w:tc>
          <w:tcPr>
            <w:tcW w:w="69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下发的传票，该 案拟定于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300" w:lineRule="auto"/>
              <w:ind w:left="23" w:right="5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日开庭 审理。</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both"/>
              <w:rPr>
                <w:rFonts w:ascii="宋体" w:hAnsi="宋体" w:cs="宋体" w:eastAsia="宋体" w:hint="default"/>
                <w:sz w:val="18"/>
                <w:szCs w:val="18"/>
              </w:rPr>
            </w:pPr>
            <w:r>
              <w:rPr>
                <w:rFonts w:ascii="宋体" w:hAnsi="宋体" w:cs="宋体" w:eastAsia="宋体" w:hint="default"/>
                <w:sz w:val="18"/>
                <w:szCs w:val="18"/>
              </w:rPr>
              <w:t>制人柯宗庆、柯宗贵作为担保方亦 被浦发银行广州东风支行列为被告 提起诉讼，因浦发银行广州东风支 行申请诉前财产保全，公司位于广 州市萝岗区瑞和路以西，瑞源路以 北、土地使用权证为</w:t>
            </w:r>
            <w:r>
              <w:rPr>
                <w:rFonts w:ascii="Times New Roman" w:hAnsi="Times New Roman" w:cs="Times New Roman" w:eastAsia="Times New Roman" w:hint="default"/>
                <w:sz w:val="18"/>
                <w:szCs w:val="18"/>
              </w:rPr>
              <w:t>“</w:t>
            </w:r>
            <w:r>
              <w:rPr>
                <w:rFonts w:ascii="宋体" w:hAnsi="宋体" w:cs="宋体" w:eastAsia="宋体" w:hint="default"/>
                <w:sz w:val="18"/>
                <w:szCs w:val="18"/>
              </w:rPr>
              <w:t>穗符国用</w:t>
            </w:r>
          </w:p>
          <w:p>
            <w:pPr>
              <w:pStyle w:val="TableParagraph"/>
              <w:spacing w:line="300" w:lineRule="auto"/>
              <w:ind w:left="23" w:right="19"/>
              <w:jc w:val="both"/>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2013</w:t>
            </w:r>
            <w:r>
              <w:rPr>
                <w:rFonts w:ascii="宋体" w:hAnsi="宋体" w:cs="宋体" w:eastAsia="宋体" w:hint="default"/>
                <w:spacing w:val="-10"/>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050001113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的一宗国 有土地使用权被越秀区法院查封。</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left="832" w:right="7874"/>
        <w:jc w:val="left"/>
        <w:rPr>
          <w:b w:val="0"/>
          <w:bCs w:val="0"/>
        </w:rPr>
      </w:pPr>
      <w:bookmarkStart w:name="十二、处罚及整改情况" w:id="80"/>
      <w:bookmarkEnd w:id="80"/>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83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left="832" w:right="1128"/>
        <w:jc w:val="left"/>
        <w:rPr>
          <w:b w:val="0"/>
          <w:bCs w:val="0"/>
        </w:rPr>
      </w:pPr>
      <w:bookmarkStart w:name="十三、公司及其控股股东、实际控制人的诚信状况" w:id="81"/>
      <w:bookmarkEnd w:id="81"/>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83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1" w:lineRule="auto"/>
        <w:ind w:left="832" w:right="1128" w:firstLine="420"/>
        <w:jc w:val="left"/>
      </w:pPr>
      <w:r>
        <w:rPr>
          <w:rFonts w:ascii="Times New Roman" w:hAnsi="Times New Roman" w:cs="Times New Roman" w:eastAsia="Times New Roman" w:hint="default"/>
        </w:rPr>
        <w:t>1</w:t>
      </w:r>
      <w:r>
        <w:rPr/>
        <w:t>、报告期内，公司全资子公司中经电商业务发展及融资渠道受到较大影响，出现较多涉及个人用户</w:t>
      </w:r>
      <w:r>
        <w:rPr>
          <w:w w:val="100"/>
        </w:rPr>
        <w:t> </w:t>
      </w:r>
      <w:r>
        <w:rPr>
          <w:spacing w:val="-1"/>
        </w:rPr>
        <w:t>及合作商户的诉讼事项，主要为</w:t>
      </w:r>
      <w:r>
        <w:rPr>
          <w:rFonts w:ascii="Times New Roman" w:hAnsi="Times New Roman" w:cs="Times New Roman" w:eastAsia="Times New Roman" w:hint="default"/>
          <w:spacing w:val="-1"/>
        </w:rPr>
        <w:t>“</w:t>
      </w:r>
      <w:r>
        <w:rPr>
          <w:spacing w:val="-1"/>
        </w:rPr>
        <w:t>网络服务合同纠纷</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合同纠纷</w:t>
      </w:r>
      <w:r>
        <w:rPr>
          <w:rFonts w:ascii="Times New Roman" w:hAnsi="Times New Roman" w:cs="Times New Roman" w:eastAsia="Times New Roman" w:hint="default"/>
          <w:spacing w:val="-1"/>
        </w:rPr>
        <w:t>”</w:t>
      </w:r>
      <w:r>
        <w:rPr>
          <w:spacing w:val="-1"/>
        </w:rPr>
        <w:t>，具体内容详见公司披露在巨潮资讯网</w:t>
      </w:r>
    </w:p>
    <w:p>
      <w:pPr>
        <w:pStyle w:val="BodyText"/>
        <w:spacing w:line="328" w:lineRule="auto" w:before="21"/>
        <w:ind w:left="832" w:right="1128"/>
        <w:jc w:val="left"/>
      </w:pPr>
      <w:r>
        <w:rPr>
          <w:spacing w:val="-6"/>
          <w:w w:val="100"/>
        </w:rPr>
        <w:t>（</w:t>
      </w:r>
      <w:hyperlink r:id="rId13">
        <w:r>
          <w:rPr>
            <w:rFonts w:ascii="Times New Roman" w:hAnsi="Times New Roman" w:cs="Times New Roman" w:eastAsia="Times New Roman" w:hint="default"/>
            <w:spacing w:val="-6"/>
            <w:w w:val="100"/>
          </w:rPr>
          <w:t>www.cninfo.com.cn</w:t>
        </w:r>
      </w:hyperlink>
      <w:r>
        <w:rPr>
          <w:spacing w:val="-6"/>
          <w:w w:val="100"/>
        </w:rPr>
        <w:t>）的《关于全资子公司中经汇通电子商务有限公司经营情况及风险的提示性公告》（编</w:t>
      </w:r>
      <w:r>
        <w:rPr>
          <w:spacing w:val="-100"/>
          <w:w w:val="100"/>
        </w:rPr>
        <w:t> </w:t>
      </w:r>
      <w:r>
        <w:rPr>
          <w:spacing w:val="-100"/>
          <w:w w:val="100"/>
        </w:rPr>
      </w:r>
      <w:r>
        <w:rPr/>
        <w:t>号：</w:t>
      </w:r>
      <w:r>
        <w:rPr>
          <w:rFonts w:ascii="Times New Roman" w:hAnsi="Times New Roman" w:cs="Times New Roman" w:eastAsia="Times New Roman" w:hint="default"/>
        </w:rPr>
        <w:t>2019-124</w:t>
      </w:r>
      <w:r>
        <w:rPr/>
        <w:t>）等相关公告。</w:t>
      </w:r>
    </w:p>
    <w:p>
      <w:pPr>
        <w:pStyle w:val="BodyText"/>
        <w:spacing w:line="338" w:lineRule="auto" w:before="65"/>
        <w:ind w:left="832" w:right="1128" w:firstLine="420"/>
        <w:jc w:val="left"/>
      </w:pPr>
      <w:r>
        <w:rPr/>
        <w:t>注：</w:t>
      </w:r>
      <w:r>
        <w:rPr>
          <w:rFonts w:ascii="Times New Roman" w:hAnsi="Times New Roman" w:cs="Times New Roman" w:eastAsia="Times New Roman" w:hint="default"/>
        </w:rPr>
        <w:t>1</w:t>
      </w:r>
      <w:r>
        <w:rPr/>
        <w:t>、公司应当披露报告期内公司及其控股股东、实际控制人的诚信状况，包括但不限于：是否存</w:t>
      </w:r>
      <w:r>
        <w:rPr>
          <w:w w:val="100"/>
        </w:rPr>
        <w:t> </w:t>
      </w:r>
      <w:r>
        <w:rPr>
          <w:spacing w:val="-2"/>
        </w:rPr>
        <w:t>在未履行法院生效判决、所负数额较大的债务到期未清偿等情况。如相关事项已在临时报告且无后续进展</w:t>
      </w:r>
      <w:r>
        <w:rPr>
          <w:spacing w:val="-42"/>
        </w:rPr>
        <w:t> </w:t>
      </w:r>
      <w:r>
        <w:rPr>
          <w:spacing w:val="-42"/>
        </w:rPr>
      </w:r>
      <w:r>
        <w:rPr/>
        <w:t>的，仅需披露该事项概述，并提供临时报告披露网站的相关查询索引。</w:t>
      </w:r>
    </w:p>
    <w:p>
      <w:pPr>
        <w:pStyle w:val="BodyText"/>
        <w:spacing w:line="240" w:lineRule="auto" w:before="78"/>
        <w:ind w:left="1253" w:right="1128"/>
        <w:jc w:val="left"/>
      </w:pPr>
      <w:r>
        <w:rPr>
          <w:rFonts w:ascii="Times New Roman" w:hAnsi="Times New Roman" w:cs="Times New Roman" w:eastAsia="Times New Roman" w:hint="default"/>
        </w:rPr>
        <w:t>2</w:t>
      </w:r>
      <w:r>
        <w:rPr/>
        <w:t>、无控股股东、实际控制人的，应披露公司第一大股东及其实际控制人的相应情况。</w:t>
      </w:r>
    </w:p>
    <w:p>
      <w:pPr>
        <w:spacing w:line="240" w:lineRule="auto" w:before="10"/>
        <w:rPr>
          <w:rFonts w:ascii="宋体" w:hAnsi="宋体" w:cs="宋体" w:eastAsia="宋体" w:hint="default"/>
          <w:sz w:val="22"/>
          <w:szCs w:val="22"/>
        </w:rPr>
      </w:pPr>
    </w:p>
    <w:p>
      <w:pPr>
        <w:pStyle w:val="Heading2"/>
        <w:spacing w:line="240" w:lineRule="auto"/>
        <w:ind w:left="832" w:right="1128"/>
        <w:jc w:val="left"/>
        <w:rPr>
          <w:b w:val="0"/>
          <w:bCs w:val="0"/>
        </w:rPr>
      </w:pPr>
      <w:bookmarkStart w:name="十四、公司股权激励计划、员工持股计划或其他员工激励措施的实施情况" w:id="82"/>
      <w:bookmarkEnd w:id="82"/>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83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3" w:lineRule="auto"/>
        <w:ind w:left="832" w:right="1109" w:firstLine="420"/>
        <w:jc w:val="both"/>
      </w:pPr>
      <w:r>
        <w:rPr>
          <w:rFonts w:ascii="Times New Roman" w:hAnsi="Times New Roman" w:cs="Times New Roman" w:eastAsia="Times New Roman" w:hint="default"/>
        </w:rPr>
        <w:t>1</w:t>
      </w:r>
      <w:r>
        <w:rPr/>
        <w:t>、员工持股计划：鉴于公司第一期员工持股计划存续期将于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日届满，公司第一期员工持</w:t>
      </w:r>
      <w:r>
        <w:rPr>
          <w:w w:val="100"/>
        </w:rPr>
        <w:t> </w:t>
      </w:r>
      <w:r>
        <w:rPr/>
        <w:t>股计划第二次持有人大会于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日召开，经持有人会议审议通过，并经公司第四届董事会第十三</w:t>
      </w:r>
      <w:r>
        <w:rPr>
          <w:spacing w:val="-27"/>
        </w:rPr>
        <w:t> </w:t>
      </w:r>
      <w:r>
        <w:rPr>
          <w:spacing w:val="-27"/>
        </w:rPr>
      </w:r>
      <w:r>
        <w:rPr>
          <w:spacing w:val="-2"/>
        </w:rPr>
        <w:t>次（临时）审议通过，同意将公司第一期员工持股计划延期</w:t>
      </w:r>
      <w:r>
        <w:rPr>
          <w:rFonts w:ascii="Times New Roman" w:hAnsi="Times New Roman" w:cs="Times New Roman" w:eastAsia="Times New Roman" w:hint="default"/>
          <w:spacing w:val="-2"/>
        </w:rPr>
        <w:t>6</w:t>
      </w:r>
      <w:r>
        <w:rPr>
          <w:spacing w:val="-2"/>
        </w:rPr>
        <w:t>个月，即延长后的存续期至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w:t>
      </w:r>
      <w:r>
        <w:rPr>
          <w:spacing w:val="-19"/>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日，公司召开第一期员工持股计划第三次持有人大会，审议通过了《关于授权持有人代表择机</w:t>
      </w:r>
      <w:r>
        <w:rPr>
          <w:spacing w:val="-40"/>
        </w:rPr>
        <w:t> </w:t>
      </w:r>
      <w:r>
        <w:rPr>
          <w:spacing w:val="-40"/>
        </w:rPr>
      </w:r>
      <w:r>
        <w:rPr>
          <w:spacing w:val="-2"/>
        </w:rPr>
        <w:t>出售员工持股计划所持股票的议案》，书面授权持有人代表在员工持股计划存续期内择机出售本次员工持</w:t>
      </w:r>
      <w:r>
        <w:rPr>
          <w:spacing w:val="-42"/>
        </w:rPr>
        <w:t> </w:t>
      </w:r>
      <w:r>
        <w:rPr>
          <w:spacing w:val="-42"/>
        </w:rPr>
      </w:r>
      <w:r>
        <w:rPr>
          <w:spacing w:val="-2"/>
        </w:rPr>
        <w:t>股计划所持公司股票。截至本报告期内，公司第一期员工持股计划所持有的</w:t>
      </w:r>
      <w:r>
        <w:rPr>
          <w:rFonts w:ascii="Times New Roman" w:hAnsi="Times New Roman" w:cs="Times New Roman" w:eastAsia="Times New Roman" w:hint="default"/>
          <w:spacing w:val="-2"/>
        </w:rPr>
        <w:t>4,899,774</w:t>
      </w:r>
      <w:r>
        <w:rPr>
          <w:spacing w:val="-2"/>
        </w:rPr>
        <w:t>股公司股票已全部出</w:t>
      </w:r>
      <w:r>
        <w:rPr>
          <w:spacing w:val="-38"/>
        </w:rPr>
        <w:t> </w:t>
      </w:r>
      <w:r>
        <w:rPr>
          <w:spacing w:val="-38"/>
        </w:rPr>
      </w:r>
      <w:r>
        <w:rPr/>
        <w:t>售完毕，第一期员工持股计划已终止。</w:t>
      </w:r>
    </w:p>
    <w:p>
      <w:pPr>
        <w:pStyle w:val="BodyText"/>
        <w:spacing w:line="240" w:lineRule="auto" w:before="85"/>
        <w:ind w:left="1253" w:right="0"/>
        <w:jc w:val="left"/>
      </w:pPr>
      <w:r>
        <w:rPr>
          <w:rFonts w:ascii="Times New Roman" w:hAnsi="Times New Roman" w:cs="Times New Roman" w:eastAsia="Times New Roman" w:hint="default"/>
        </w:rPr>
        <w:t>2</w:t>
      </w:r>
      <w:r>
        <w:rPr/>
        <w:t>、股权激励计划：公司于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日召开的第四届董事会第十四次会议、第四届监事会第八次会</w:t>
      </w:r>
    </w:p>
    <w:p>
      <w:pPr>
        <w:spacing w:after="0" w:line="240" w:lineRule="auto"/>
        <w:jc w:val="left"/>
        <w:sectPr>
          <w:pgSz w:w="11910" w:h="16840"/>
          <w:pgMar w:header="877" w:footer="980" w:top="1060" w:bottom="1160" w:left="300" w:right="0"/>
        </w:sectPr>
      </w:pPr>
    </w:p>
    <w:p>
      <w:pPr>
        <w:spacing w:line="240" w:lineRule="auto" w:before="0"/>
        <w:rPr>
          <w:rFonts w:ascii="宋体" w:hAnsi="宋体" w:cs="宋体" w:eastAsia="宋体" w:hint="default"/>
          <w:sz w:val="20"/>
          <w:szCs w:val="20"/>
        </w:rPr>
      </w:pPr>
    </w:p>
    <w:p>
      <w:pPr>
        <w:pStyle w:val="BodyText"/>
        <w:spacing w:line="333" w:lineRule="auto" w:before="185"/>
        <w:ind w:right="1126"/>
        <w:jc w:val="both"/>
      </w:pPr>
      <w:r>
        <w:rPr>
          <w:spacing w:val="-2"/>
        </w:rPr>
        <w:t>议审议通过了《关于限制性股票激励计划第三个解锁期解锁条件成就的议案》、《关于调整限制性股票回</w:t>
      </w:r>
      <w:r>
        <w:rPr>
          <w:spacing w:val="-44"/>
        </w:rPr>
        <w:t> </w:t>
      </w:r>
      <w:r>
        <w:rPr>
          <w:spacing w:val="-44"/>
        </w:rPr>
      </w:r>
      <w:r>
        <w:rPr/>
        <w:t>购价格及回购注销部分限制性股票的议案》。其中，本期符合解锁条件的激励对象共</w:t>
      </w:r>
      <w:r>
        <w:rPr>
          <w:rFonts w:ascii="Times New Roman" w:hAnsi="Times New Roman" w:cs="Times New Roman" w:eastAsia="Times New Roman" w:hint="default"/>
        </w:rPr>
        <w:t>152</w:t>
      </w:r>
      <w:r>
        <w:rPr/>
        <w:t>人，可申请解锁</w:t>
      </w:r>
      <w:r>
        <w:rPr>
          <w:spacing w:val="-23"/>
        </w:rPr>
        <w:t> </w:t>
      </w:r>
      <w:r>
        <w:rPr>
          <w:spacing w:val="-23"/>
        </w:rPr>
      </w:r>
      <w:r>
        <w:rPr>
          <w:spacing w:val="-2"/>
        </w:rPr>
        <w:t>的限制性股票数量为</w:t>
      </w:r>
      <w:r>
        <w:rPr>
          <w:rFonts w:ascii="Times New Roman" w:hAnsi="Times New Roman" w:cs="Times New Roman" w:eastAsia="Times New Roman" w:hint="default"/>
          <w:spacing w:val="-2"/>
        </w:rPr>
        <w:t>201</w:t>
      </w:r>
      <w:r>
        <w:rPr>
          <w:spacing w:val="-2"/>
        </w:rPr>
        <w:t>万股，该等股份已于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日上市流通；本期因离职不予解锁的激励对象</w:t>
      </w:r>
      <w:r>
        <w:rPr>
          <w:rFonts w:ascii="Times New Roman" w:hAnsi="Times New Roman" w:cs="Times New Roman" w:eastAsia="Times New Roman" w:hint="default"/>
          <w:spacing w:val="-2"/>
        </w:rPr>
        <w:t>32</w:t>
      </w:r>
      <w:r>
        <w:rPr>
          <w:rFonts w:ascii="Times New Roman" w:hAnsi="Times New Roman" w:cs="Times New Roman" w:eastAsia="Times New Roman" w:hint="default"/>
          <w:spacing w:val="10"/>
        </w:rPr>
        <w:t> </w:t>
      </w:r>
      <w:r>
        <w:rPr>
          <w:spacing w:val="-3"/>
        </w:rPr>
        <w:t>人，未解锁的限制性股票共</w:t>
      </w:r>
      <w:r>
        <w:rPr>
          <w:rFonts w:ascii="Times New Roman" w:hAnsi="Times New Roman" w:cs="Times New Roman" w:eastAsia="Times New Roman" w:hint="default"/>
          <w:spacing w:val="-3"/>
        </w:rPr>
        <w:t>43.8</w:t>
      </w:r>
      <w:r>
        <w:rPr>
          <w:spacing w:val="-3"/>
        </w:rPr>
        <w:t>万股根据规定实施回购注销，回购价格为</w:t>
      </w:r>
      <w:r>
        <w:rPr>
          <w:rFonts w:ascii="Times New Roman" w:hAnsi="Times New Roman" w:cs="Times New Roman" w:eastAsia="Times New Roman" w:hint="default"/>
          <w:spacing w:val="-3"/>
        </w:rPr>
        <w:t>7.82</w:t>
      </w:r>
      <w:r>
        <w:rPr>
          <w:spacing w:val="-3"/>
        </w:rPr>
        <w:t>元</w:t>
      </w:r>
      <w:r>
        <w:rPr>
          <w:rFonts w:ascii="Times New Roman" w:hAnsi="Times New Roman" w:cs="Times New Roman" w:eastAsia="Times New Roman" w:hint="default"/>
          <w:spacing w:val="-3"/>
        </w:rPr>
        <w:t>/</w:t>
      </w:r>
      <w:r>
        <w:rPr>
          <w:spacing w:val="-3"/>
        </w:rPr>
        <w:t>股，该等股份已于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17"/>
        </w:rPr>
        <w:t> </w:t>
      </w:r>
      <w:r>
        <w:rPr>
          <w:spacing w:val="-2"/>
        </w:rPr>
        <w:t>月</w:t>
      </w:r>
      <w:r>
        <w:rPr>
          <w:rFonts w:ascii="Times New Roman" w:hAnsi="Times New Roman" w:cs="Times New Roman" w:eastAsia="Times New Roman" w:hint="default"/>
          <w:spacing w:val="-2"/>
        </w:rPr>
        <w:t>5</w:t>
      </w:r>
      <w:r>
        <w:rPr>
          <w:spacing w:val="-2"/>
        </w:rPr>
        <w:t>日完成回购注销登记手续，公司总股本由</w:t>
      </w:r>
      <w:r>
        <w:rPr>
          <w:rFonts w:ascii="Times New Roman" w:hAnsi="Times New Roman" w:cs="Times New Roman" w:eastAsia="Times New Roman" w:hint="default"/>
          <w:spacing w:val="-2"/>
        </w:rPr>
        <w:t>1,250,158,007</w:t>
      </w:r>
      <w:r>
        <w:rPr>
          <w:spacing w:val="-2"/>
        </w:rPr>
        <w:t>股变更为</w:t>
      </w:r>
      <w:r>
        <w:rPr>
          <w:rFonts w:ascii="Times New Roman" w:hAnsi="Times New Roman" w:cs="Times New Roman" w:eastAsia="Times New Roman" w:hint="default"/>
          <w:spacing w:val="-2"/>
        </w:rPr>
        <w:t>1,249,720,007</w:t>
      </w:r>
      <w:r>
        <w:rPr>
          <w:spacing w:val="-2"/>
        </w:rPr>
        <w:t>股。详见公司刊登于巨潮</w:t>
      </w:r>
      <w:r>
        <w:rPr>
          <w:spacing w:val="-20"/>
        </w:rPr>
        <w:t> </w:t>
      </w:r>
      <w:r>
        <w:rPr>
          <w:spacing w:val="-20"/>
        </w:rPr>
      </w:r>
      <w:r>
        <w:rPr/>
        <w:t>资讯网（</w:t>
      </w:r>
      <w:hyperlink r:id="rId13">
        <w:r>
          <w:rPr>
            <w:rFonts w:ascii="Times New Roman" w:hAnsi="Times New Roman" w:cs="Times New Roman" w:eastAsia="Times New Roman" w:hint="default"/>
          </w:rPr>
          <w:t>http://www.cninfo.com.cn</w:t>
        </w:r>
      </w:hyperlink>
      <w:r>
        <w:rPr/>
        <w:t>）的《关于限制性股票激励计划第三个解锁期解锁条件成就的公告》、</w:t>
      </w:r>
    </w:p>
    <w:p>
      <w:pPr>
        <w:pStyle w:val="BodyText"/>
        <w:spacing w:line="350" w:lineRule="auto" w:before="19"/>
        <w:ind w:right="1133"/>
        <w:jc w:val="left"/>
      </w:pPr>
      <w:r>
        <w:rPr>
          <w:spacing w:val="-2"/>
        </w:rPr>
        <w:t>《关于调整限制性股票回购价格及回购注销部分限制性股票的公告》以及《关于部分限制性股票回购注销</w:t>
      </w:r>
      <w:r>
        <w:rPr>
          <w:spacing w:val="-44"/>
        </w:rPr>
        <w:t> </w:t>
      </w:r>
      <w:r>
        <w:rPr>
          <w:spacing w:val="-44"/>
        </w:rPr>
      </w:r>
      <w:r>
        <w:rPr/>
        <w:t>完成的公告》等相关公告。</w:t>
      </w:r>
    </w:p>
    <w:p>
      <w:pPr>
        <w:spacing w:line="240" w:lineRule="auto" w:before="6"/>
        <w:rPr>
          <w:rFonts w:ascii="宋体" w:hAnsi="宋体" w:cs="宋体" w:eastAsia="宋体" w:hint="default"/>
          <w:sz w:val="16"/>
          <w:szCs w:val="16"/>
        </w:rPr>
      </w:pPr>
    </w:p>
    <w:p>
      <w:pPr>
        <w:pStyle w:val="Heading2"/>
        <w:spacing w:line="240" w:lineRule="auto"/>
        <w:ind w:right="0"/>
        <w:jc w:val="both"/>
        <w:rPr>
          <w:b w:val="0"/>
          <w:bCs w:val="0"/>
        </w:rPr>
      </w:pPr>
      <w:bookmarkStart w:name="十五、重大关联交易" w:id="83"/>
      <w:bookmarkEnd w:id="83"/>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r>
        <w:rPr/>
        <w:pict>
          <v:shape style="position:absolute;margin-left:58.080002pt;margin-top:671.139954pt;width:147.3pt;height:46.8pt;mso-position-horizontal-relative:page;mso-position-vertical-relative:page;z-index:-1432288" type="#_x0000_t202" filled="false" stroked="false">
            <v:textbox inset="0,0,0,0">
              <w:txbxContent>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盾满泰科技发展有限公司、</w:t>
                  </w:r>
                </w:p>
              </w:txbxContent>
            </v:textbox>
            <w10:wrap type="none"/>
          </v:shape>
        </w:pict>
      </w:r>
    </w:p>
    <w:p>
      <w:pPr>
        <w:pStyle w:val="Heading2"/>
        <w:spacing w:line="240" w:lineRule="auto" w:before="26"/>
        <w:ind w:right="1133"/>
        <w:jc w:val="left"/>
        <w:rPr>
          <w:b w:val="0"/>
          <w:bCs w:val="0"/>
        </w:rPr>
      </w:pPr>
      <w:bookmarkStart w:name="十六、重大合同及其履行情况" w:id="89"/>
      <w:bookmarkEnd w:id="89"/>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 公司报告期不存在租赁情况。</w:t>
      </w:r>
    </w:p>
    <w:p>
      <w:pPr>
        <w:spacing w:line="240" w:lineRule="auto" w:before="0"/>
        <w:rPr>
          <w:rFonts w:ascii="宋体" w:hAnsi="宋体" w:cs="宋体" w:eastAsia="宋体" w:hint="default"/>
          <w:sz w:val="21"/>
          <w:szCs w:val="21"/>
        </w:rPr>
      </w:pPr>
    </w:p>
    <w:p>
      <w:pPr>
        <w:pStyle w:val="Heading3"/>
        <w:spacing w:line="240" w:lineRule="auto"/>
        <w:ind w:right="1133"/>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850"/>
        <w:gridCol w:w="852"/>
        <w:gridCol w:w="1135"/>
        <w:gridCol w:w="956"/>
        <w:gridCol w:w="1169"/>
        <w:gridCol w:w="994"/>
        <w:gridCol w:w="713"/>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1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58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蓝盾信息安全技术有限公 </w:t>
            </w:r>
            <w:r>
              <w:rPr>
                <w:rFonts w:ascii="宋体" w:hAnsi="宋体" w:cs="宋体" w:eastAsia="宋体" w:hint="default"/>
                <w:spacing w:val="-8"/>
                <w:sz w:val="18"/>
                <w:szCs w:val="18"/>
              </w:rPr>
              <w:t>司、广东蓝盾乐庚信息技术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有限公司、中经汇通电子商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务有限公司、西咸新区蓝盾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信息安全技术、成都蓝盾网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信科技有限公司、深圳市蓝</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936" w:lineRule="exact"/>
              <w:ind w:left="2" w:right="-53"/>
              <w:jc w:val="left"/>
              <w:rPr>
                <w:rFonts w:ascii="宋体" w:hAnsi="宋体" w:cs="宋体" w:eastAsia="宋体" w:hint="default"/>
                <w:sz w:val="20"/>
                <w:szCs w:val="20"/>
              </w:rPr>
            </w:pPr>
            <w:r>
              <w:rPr>
                <w:rFonts w:ascii="宋体" w:hAnsi="宋体" w:cs="宋体" w:eastAsia="宋体" w:hint="default"/>
                <w:position w:val="-18"/>
                <w:sz w:val="20"/>
                <w:szCs w:val="20"/>
              </w:rPr>
              <w:pict>
                <v:group style="width:42.05pt;height:46.8pt;mso-position-horizontal-relative:char;mso-position-vertical-relative:line" coordorigin="0,0" coordsize="841,936">
                  <v:group style="position:absolute;left:0;top:0;width:841;height:936" coordorigin="0,0" coordsize="841,936">
                    <v:shape style="position:absolute;left:0;top:0;width:841;height:936" coordorigin="0,0" coordsize="841,936" path="m0,936l840,936,840,0,0,0,0,936xe" filled="true" fillcolor="#ffffff" stroked="false">
                      <v:path arrowok="t"/>
                      <v:fill type="solid"/>
                    </v:shape>
                  </v:group>
                </v:group>
              </w:pict>
            </w:r>
            <w:r>
              <w:rPr>
                <w:rFonts w:ascii="宋体" w:hAnsi="宋体" w:cs="宋体" w:eastAsia="宋体" w:hint="default"/>
                <w:position w:val="-18"/>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213,786.74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中经汇通电子商务有限公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402.24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以相关业务</w:t>
            </w:r>
          </w:p>
          <w:p>
            <w:pPr>
              <w:pStyle w:val="TableParagraph"/>
              <w:spacing w:line="316" w:lineRule="auto" w:before="76"/>
              <w:ind w:left="23" w:right="58"/>
              <w:jc w:val="left"/>
              <w:rPr>
                <w:rFonts w:ascii="宋体" w:hAnsi="宋体" w:cs="宋体" w:eastAsia="宋体" w:hint="default"/>
                <w:sz w:val="18"/>
                <w:szCs w:val="18"/>
              </w:rPr>
            </w:pPr>
            <w:r>
              <w:rPr>
                <w:rFonts w:ascii="宋体" w:hAnsi="宋体" w:cs="宋体" w:eastAsia="宋体" w:hint="default"/>
                <w:sz w:val="18"/>
                <w:szCs w:val="18"/>
              </w:rPr>
              <w:t>（话费宝、 宽带宝）的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15"/>
        <w:gridCol w:w="839"/>
        <w:gridCol w:w="863"/>
        <w:gridCol w:w="1139"/>
        <w:gridCol w:w="952"/>
        <w:gridCol w:w="1158"/>
        <w:gridCol w:w="1005"/>
        <w:gridCol w:w="713"/>
        <w:gridCol w:w="780"/>
      </w:tblGrid>
      <w:tr>
        <w:trPr>
          <w:trHeight w:val="675" w:hRule="exact"/>
        </w:trPr>
        <w:tc>
          <w:tcPr>
            <w:tcW w:w="211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4" w:right="58"/>
              <w:jc w:val="left"/>
              <w:rPr>
                <w:rFonts w:ascii="宋体" w:hAnsi="宋体" w:cs="宋体" w:eastAsia="宋体" w:hint="default"/>
                <w:sz w:val="18"/>
                <w:szCs w:val="18"/>
              </w:rPr>
            </w:pPr>
            <w:r>
              <w:rPr>
                <w:rFonts w:ascii="宋体" w:hAnsi="宋体" w:cs="宋体" w:eastAsia="宋体" w:hint="default"/>
                <w:sz w:val="18"/>
                <w:szCs w:val="18"/>
              </w:rPr>
              <w:t>合同履行期 限为准</w:t>
            </w:r>
          </w:p>
        </w:tc>
        <w:tc>
          <w:tcPr>
            <w:tcW w:w="71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002"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9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5" w:right="0"/>
              <w:jc w:val="left"/>
              <w:rPr>
                <w:rFonts w:ascii="Times New Roman" w:hAnsi="Times New Roman" w:cs="Times New Roman" w:eastAsia="Times New Roman" w:hint="default"/>
                <w:sz w:val="18"/>
                <w:szCs w:val="18"/>
              </w:rPr>
            </w:pPr>
            <w:r>
              <w:rPr>
                <w:rFonts w:ascii="Times New Roman"/>
                <w:sz w:val="18"/>
              </w:rPr>
              <w:t>214,188.98</w:t>
            </w:r>
          </w:p>
        </w:tc>
      </w:tr>
      <w:tr>
        <w:trPr>
          <w:trHeight w:val="720"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 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002"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330,000</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9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5" w:right="0"/>
              <w:jc w:val="left"/>
              <w:rPr>
                <w:rFonts w:ascii="Times New Roman" w:hAnsi="Times New Roman" w:cs="Times New Roman" w:eastAsia="Times New Roman" w:hint="default"/>
                <w:sz w:val="18"/>
                <w:szCs w:val="18"/>
              </w:rPr>
            </w:pPr>
            <w:r>
              <w:rPr>
                <w:rFonts w:ascii="Times New Roman"/>
                <w:sz w:val="18"/>
              </w:rPr>
              <w:t>214,188.98</w:t>
            </w:r>
          </w:p>
        </w:tc>
      </w:tr>
      <w:tr>
        <w:trPr>
          <w:trHeight w:val="396"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398"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002"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9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4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45" w:right="0"/>
              <w:jc w:val="left"/>
              <w:rPr>
                <w:rFonts w:ascii="Times New Roman" w:hAnsi="Times New Roman" w:cs="Times New Roman" w:eastAsia="Times New Roman" w:hint="default"/>
                <w:sz w:val="18"/>
                <w:szCs w:val="18"/>
              </w:rPr>
            </w:pPr>
            <w:r>
              <w:rPr>
                <w:rFonts w:ascii="Times New Roman"/>
                <w:sz w:val="18"/>
              </w:rPr>
              <w:t>214,188.98</w:t>
            </w:r>
          </w:p>
        </w:tc>
      </w:tr>
      <w:tr>
        <w:trPr>
          <w:trHeight w:val="716"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002"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330,000</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 w:right="9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4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5" w:right="0"/>
              <w:jc w:val="left"/>
              <w:rPr>
                <w:rFonts w:ascii="Times New Roman" w:hAnsi="Times New Roman" w:cs="Times New Roman" w:eastAsia="Times New Roman" w:hint="default"/>
                <w:sz w:val="18"/>
                <w:szCs w:val="18"/>
              </w:rPr>
            </w:pPr>
            <w:r>
              <w:rPr>
                <w:rFonts w:ascii="Times New Roman"/>
                <w:sz w:val="18"/>
              </w:rPr>
              <w:t>214,188.98</w:t>
            </w:r>
          </w:p>
        </w:tc>
      </w:tr>
      <w:tr>
        <w:trPr>
          <w:trHeight w:val="406" w:hRule="exact"/>
        </w:trPr>
        <w:tc>
          <w:tcPr>
            <w:tcW w:w="4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60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55.65%</w:t>
            </w:r>
          </w:p>
        </w:tc>
      </w:tr>
      <w:tr>
        <w:trPr>
          <w:trHeight w:val="394"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07" w:type="dxa"/>
            <w:gridSpan w:val="5"/>
            <w:tcBorders>
              <w:top w:val="single" w:sz="4" w:space="0" w:color="000000"/>
              <w:left w:val="single" w:sz="13" w:space="0" w:color="D2D2D2"/>
              <w:bottom w:val="single" w:sz="4" w:space="0" w:color="000000"/>
              <w:right w:val="single" w:sz="4" w:space="0" w:color="000000"/>
            </w:tcBorders>
          </w:tcPr>
          <w:p>
            <w:pPr/>
          </w:p>
        </w:tc>
      </w:tr>
      <w:tr>
        <w:trPr>
          <w:trHeight w:val="715" w:hRule="exact"/>
        </w:trPr>
        <w:tc>
          <w:tcPr>
            <w:tcW w:w="4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07" w:type="dxa"/>
            <w:gridSpan w:val="5"/>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4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607" w:type="dxa"/>
            <w:gridSpan w:val="5"/>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4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607" w:type="dxa"/>
            <w:gridSpan w:val="5"/>
            <w:tcBorders>
              <w:top w:val="single" w:sz="4" w:space="0" w:color="000000"/>
              <w:left w:val="single" w:sz="13" w:space="0" w:color="D2D2D2"/>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采用复合方式担保的具体情况说明：不适用</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4"/>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十七、社会责任情况" w:id="101"/>
      <w:bookmarkEnd w:id="101"/>
      <w:r>
        <w:rPr>
          <w:b w:val="0"/>
          <w:bCs w:val="0"/>
        </w:rPr>
      </w:r>
      <w:r>
        <w:rPr/>
        <w:t>十七、社会责任情况</w:t>
      </w:r>
      <w:r>
        <w:rPr>
          <w:b w:val="0"/>
          <w:bCs w:val="0"/>
        </w:rPr>
      </w:r>
    </w:p>
    <w:p>
      <w:pPr>
        <w:pStyle w:val="BodyText"/>
        <w:spacing w:line="698" w:lineRule="exact" w:before="12"/>
        <w:ind w:left="573" w:right="1133" w:hanging="421"/>
        <w:jc w:val="left"/>
      </w:pPr>
      <w:bookmarkStart w:name="1、履行社会责任情况" w:id="102"/>
      <w:bookmarkEnd w:id="102"/>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公司本年度共参与社会公益捐赠</w:t>
      </w:r>
      <w:r>
        <w:rPr>
          <w:rFonts w:ascii="Times New Roman" w:hAnsi="Times New Roman" w:cs="Times New Roman" w:eastAsia="Times New Roman" w:hint="default"/>
          <w:spacing w:val="-2"/>
        </w:rPr>
        <w:t>14</w:t>
      </w:r>
      <w:r>
        <w:rPr>
          <w:spacing w:val="-2"/>
        </w:rPr>
        <w:t>万元，其中向深圳大学捐赠助学</w:t>
      </w:r>
      <w:r>
        <w:rPr>
          <w:rFonts w:ascii="Times New Roman" w:hAnsi="Times New Roman" w:cs="Times New Roman" w:eastAsia="Times New Roman" w:hint="default"/>
          <w:spacing w:val="-2"/>
        </w:rPr>
        <w:t>12</w:t>
      </w:r>
      <w:r>
        <w:rPr>
          <w:spacing w:val="-2"/>
        </w:rPr>
        <w:t>万元，向都匀市扶贫开发局捐赠</w:t>
      </w:r>
    </w:p>
    <w:p>
      <w:pPr>
        <w:pStyle w:val="BodyText"/>
        <w:spacing w:line="240" w:lineRule="auto" w:before="16"/>
        <w:ind w:right="1133"/>
        <w:jc w:val="left"/>
      </w:pPr>
      <w:r>
        <w:rPr/>
        <w:t>扶贫款</w:t>
      </w:r>
      <w:r>
        <w:rPr>
          <w:rFonts w:ascii="Times New Roman" w:hAnsi="Times New Roman" w:cs="Times New Roman" w:eastAsia="Times New Roman" w:hint="default"/>
        </w:rPr>
        <w:t>2</w:t>
      </w:r>
      <w:r>
        <w:rPr/>
        <w:t>万元。</w:t>
      </w:r>
    </w:p>
    <w:p>
      <w:pPr>
        <w:spacing w:line="240" w:lineRule="auto" w:before="10"/>
        <w:rPr>
          <w:rFonts w:ascii="宋体" w:hAnsi="宋体" w:cs="宋体" w:eastAsia="宋体" w:hint="default"/>
          <w:sz w:val="24"/>
          <w:szCs w:val="24"/>
        </w:rPr>
      </w:pPr>
    </w:p>
    <w:p>
      <w:pPr>
        <w:spacing w:line="576" w:lineRule="auto" w:before="0"/>
        <w:ind w:left="573" w:right="2602" w:hanging="421"/>
        <w:jc w:val="left"/>
        <w:rPr>
          <w:rFonts w:ascii="宋体" w:hAnsi="宋体" w:cs="宋体" w:eastAsia="宋体" w:hint="default"/>
          <w:sz w:val="21"/>
          <w:szCs w:val="21"/>
        </w:rPr>
      </w:pPr>
      <w:bookmarkStart w:name="2、履行精准扶贫社会责任情况" w:id="103"/>
      <w:bookmarkEnd w:id="1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p>
    <w:p>
      <w:pPr>
        <w:pStyle w:val="Heading3"/>
        <w:spacing w:line="240" w:lineRule="auto" w:before="46"/>
        <w:ind w:right="1133"/>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1" w:lineRule="auto"/>
        <w:ind w:left="573" w:right="1133"/>
        <w:jc w:val="left"/>
      </w:pPr>
      <w:r>
        <w:rPr>
          <w:rFonts w:ascii="Times New Roman" w:hAnsi="Times New Roman" w:cs="Times New Roman" w:eastAsia="Times New Roman" w:hint="default"/>
        </w:rPr>
        <w:t>1</w:t>
      </w:r>
      <w:r>
        <w:rPr/>
        <w:t>、公司实际控制人及其一致行动人拟协议转让股权事项的说明</w:t>
      </w:r>
      <w:r>
        <w:rPr>
          <w:w w:val="100"/>
        </w:rPr>
        <w:t> </w:t>
      </w:r>
      <w:r>
        <w:rPr>
          <w:spacing w:val="-2"/>
        </w:rPr>
        <w:t>公司实际控制人柯宗庆先生、柯宗贵先生及其一致行动人中经汇通有限责任公司与科学城（广州）投</w:t>
      </w:r>
    </w:p>
    <w:p>
      <w:pPr>
        <w:pStyle w:val="BodyText"/>
        <w:spacing w:line="336" w:lineRule="auto" w:before="46"/>
        <w:ind w:right="1088"/>
        <w:jc w:val="both"/>
      </w:pPr>
      <w:r>
        <w:rPr>
          <w:spacing w:val="-2"/>
        </w:rPr>
        <w:t>资集团有限公司于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日签订了《股权转让框架意向协议》，科学城（广州）投资集团有限公司</w:t>
      </w:r>
      <w:r>
        <w:rPr>
          <w:spacing w:val="-42"/>
        </w:rPr>
        <w:t> </w:t>
      </w:r>
      <w:r>
        <w:rPr>
          <w:spacing w:val="-42"/>
        </w:rPr>
      </w:r>
      <w:r>
        <w:rPr>
          <w:spacing w:val="-2"/>
        </w:rPr>
        <w:t>拟受让公司实际控制人及其一致行动人持有的公司股份合计</w:t>
      </w:r>
      <w:r>
        <w:rPr>
          <w:rFonts w:ascii="Times New Roman" w:hAnsi="Times New Roman" w:cs="Times New Roman" w:eastAsia="Times New Roman" w:hint="default"/>
          <w:spacing w:val="-2"/>
        </w:rPr>
        <w:t>173,058,213</w:t>
      </w:r>
      <w:r>
        <w:rPr>
          <w:spacing w:val="-2"/>
        </w:rPr>
        <w:t>股，占公司目前总股本的</w:t>
      </w:r>
      <w:r>
        <w:rPr>
          <w:rFonts w:ascii="Times New Roman" w:hAnsi="Times New Roman" w:cs="Times New Roman" w:eastAsia="Times New Roman" w:hint="default"/>
          <w:spacing w:val="-2"/>
        </w:rPr>
        <w:t>13.85%</w:t>
      </w:r>
      <w:r>
        <w:rPr>
          <w:spacing w:val="-2"/>
        </w:rPr>
        <w:t>，</w:t>
      </w:r>
      <w:r>
        <w:rPr>
          <w:spacing w:val="-4"/>
        </w:rPr>
        <w:t> </w:t>
      </w:r>
      <w:r>
        <w:rPr>
          <w:spacing w:val="-2"/>
        </w:rPr>
        <w:t>转让股份数量以最终签署的正式股权转让协议为准。截至本报告披露日，本次协议转让事项尚处于协议商</w:t>
      </w:r>
      <w:r>
        <w:rPr>
          <w:spacing w:val="-43"/>
        </w:rPr>
        <w:t> </w:t>
      </w:r>
      <w:r>
        <w:rPr>
          <w:spacing w:val="-43"/>
        </w:rPr>
      </w:r>
      <w:r>
        <w:rPr/>
        <w:t>讨</w:t>
      </w:r>
      <w:r>
        <w:rPr>
          <w:spacing w:val="-73"/>
        </w:rPr>
        <w:t> </w:t>
      </w:r>
      <w:r>
        <w:rPr/>
        <w:t>阶</w:t>
      </w:r>
      <w:r>
        <w:rPr>
          <w:spacing w:val="-73"/>
        </w:rPr>
        <w:t> </w:t>
      </w:r>
      <w:r>
        <w:rPr/>
        <w:t>段</w:t>
      </w:r>
      <w:r>
        <w:rPr>
          <w:spacing w:val="-73"/>
        </w:rPr>
        <w:t> </w:t>
      </w:r>
      <w:r>
        <w:rPr/>
        <w:t>，</w:t>
      </w:r>
      <w:r>
        <w:rPr>
          <w:spacing w:val="-73"/>
        </w:rPr>
        <w:t> </w:t>
      </w:r>
      <w:r>
        <w:rPr/>
        <w:t>双</w:t>
      </w:r>
      <w:r>
        <w:rPr>
          <w:spacing w:val="-76"/>
        </w:rPr>
        <w:t> </w:t>
      </w:r>
      <w:r>
        <w:rPr/>
        <w:t>方</w:t>
      </w:r>
      <w:r>
        <w:rPr>
          <w:spacing w:val="-73"/>
        </w:rPr>
        <w:t> </w:t>
      </w:r>
      <w:r>
        <w:rPr/>
        <w:t>正</w:t>
      </w:r>
      <w:r>
        <w:rPr>
          <w:spacing w:val="-73"/>
        </w:rPr>
        <w:t> </w:t>
      </w:r>
      <w:r>
        <w:rPr/>
        <w:t>就</w:t>
      </w:r>
      <w:r>
        <w:rPr>
          <w:spacing w:val="-73"/>
        </w:rPr>
        <w:t> </w:t>
      </w:r>
      <w:r>
        <w:rPr/>
        <w:t>核</w:t>
      </w:r>
      <w:r>
        <w:rPr>
          <w:spacing w:val="-76"/>
        </w:rPr>
        <w:t> </w:t>
      </w:r>
      <w:r>
        <w:rPr/>
        <w:t>心</w:t>
      </w:r>
      <w:r>
        <w:rPr>
          <w:spacing w:val="-76"/>
        </w:rPr>
        <w:t> </w:t>
      </w:r>
      <w:r>
        <w:rPr/>
        <w:t>条</w:t>
      </w:r>
      <w:r>
        <w:rPr>
          <w:spacing w:val="-73"/>
        </w:rPr>
        <w:t> </w:t>
      </w:r>
      <w:r>
        <w:rPr/>
        <w:t>款</w:t>
      </w:r>
      <w:r>
        <w:rPr>
          <w:spacing w:val="-73"/>
        </w:rPr>
        <w:t> </w:t>
      </w:r>
      <w:r>
        <w:rPr/>
        <w:t>进</w:t>
      </w:r>
      <w:r>
        <w:rPr>
          <w:spacing w:val="-73"/>
        </w:rPr>
        <w:t> </w:t>
      </w:r>
      <w:r>
        <w:rPr/>
        <w:t>行</w:t>
      </w:r>
      <w:r>
        <w:rPr>
          <w:spacing w:val="-73"/>
        </w:rPr>
        <w:t> </w:t>
      </w:r>
      <w:r>
        <w:rPr/>
        <w:t>积</w:t>
      </w:r>
      <w:r>
        <w:rPr>
          <w:spacing w:val="-76"/>
        </w:rPr>
        <w:t> </w:t>
      </w:r>
      <w:r>
        <w:rPr/>
        <w:t>极</w:t>
      </w:r>
      <w:r>
        <w:rPr>
          <w:spacing w:val="-73"/>
        </w:rPr>
        <w:t> </w:t>
      </w:r>
      <w:r>
        <w:rPr/>
        <w:t>协</w:t>
      </w:r>
      <w:r>
        <w:rPr>
          <w:spacing w:val="-73"/>
        </w:rPr>
        <w:t> </w:t>
      </w:r>
      <w:r>
        <w:rPr/>
        <w:t>商</w:t>
      </w:r>
      <w:r>
        <w:rPr>
          <w:spacing w:val="-73"/>
        </w:rPr>
        <w:t> </w:t>
      </w:r>
      <w:r>
        <w:rPr/>
        <w:t>，</w:t>
      </w:r>
      <w:r>
        <w:rPr>
          <w:spacing w:val="-76"/>
        </w:rPr>
        <w:t> </w:t>
      </w:r>
      <w:r>
        <w:rPr/>
        <w:t>正</w:t>
      </w:r>
      <w:r>
        <w:rPr>
          <w:spacing w:val="-76"/>
        </w:rPr>
        <w:t> </w:t>
      </w:r>
      <w:r>
        <w:rPr/>
        <w:t>在</w:t>
      </w:r>
      <w:r>
        <w:rPr>
          <w:spacing w:val="-73"/>
        </w:rPr>
        <w:t> </w:t>
      </w:r>
      <w:r>
        <w:rPr/>
        <w:t>准</w:t>
      </w:r>
      <w:r>
        <w:rPr>
          <w:spacing w:val="-73"/>
        </w:rPr>
        <w:t> </w:t>
      </w:r>
      <w:r>
        <w:rPr/>
        <w:t>备</w:t>
      </w:r>
      <w:r>
        <w:rPr>
          <w:spacing w:val="-73"/>
        </w:rPr>
        <w:t> </w:t>
      </w:r>
      <w:r>
        <w:rPr/>
        <w:t>相</w:t>
      </w:r>
      <w:r>
        <w:rPr>
          <w:spacing w:val="-73"/>
        </w:rPr>
        <w:t> </w:t>
      </w:r>
      <w:r>
        <w:rPr/>
        <w:t>应</w:t>
      </w:r>
      <w:r>
        <w:rPr>
          <w:spacing w:val="-76"/>
        </w:rPr>
        <w:t> </w:t>
      </w:r>
      <w:r>
        <w:rPr/>
        <w:t>材</w:t>
      </w:r>
      <w:r>
        <w:rPr>
          <w:spacing w:val="-73"/>
        </w:rPr>
        <w:t> </w:t>
      </w:r>
      <w:r>
        <w:rPr/>
        <w:t>料</w:t>
      </w:r>
      <w:r>
        <w:rPr>
          <w:spacing w:val="-73"/>
        </w:rPr>
        <w:t> </w:t>
      </w:r>
      <w:r>
        <w:rPr/>
        <w:t>。</w:t>
      </w:r>
      <w:r>
        <w:rPr>
          <w:spacing w:val="-73"/>
        </w:rPr>
        <w:t> </w:t>
      </w:r>
      <w:r>
        <w:rPr/>
        <w:t>详</w:t>
      </w:r>
      <w:r>
        <w:rPr>
          <w:spacing w:val="-76"/>
        </w:rPr>
        <w:t> </w:t>
      </w:r>
      <w:r>
        <w:rPr/>
        <w:t>见</w:t>
      </w:r>
      <w:r>
        <w:rPr>
          <w:spacing w:val="-76"/>
        </w:rPr>
        <w:t> </w:t>
      </w:r>
      <w:r>
        <w:rPr/>
        <w:t>公</w:t>
      </w:r>
      <w:r>
        <w:rPr>
          <w:spacing w:val="-73"/>
        </w:rPr>
        <w:t> </w:t>
      </w:r>
      <w:r>
        <w:rPr/>
        <w:t>司</w:t>
      </w:r>
      <w:r>
        <w:rPr>
          <w:spacing w:val="-73"/>
        </w:rPr>
        <w:t> </w:t>
      </w:r>
      <w:r>
        <w:rPr/>
        <w:t>刊</w:t>
      </w:r>
      <w:r>
        <w:rPr>
          <w:spacing w:val="-73"/>
        </w:rPr>
        <w:t> </w:t>
      </w:r>
      <w:r>
        <w:rPr/>
        <w:t>登</w:t>
      </w:r>
      <w:r>
        <w:rPr>
          <w:spacing w:val="-73"/>
        </w:rPr>
        <w:t> </w:t>
      </w:r>
      <w:r>
        <w:rPr/>
        <w:t>于</w:t>
      </w:r>
      <w:r>
        <w:rPr>
          <w:spacing w:val="-76"/>
        </w:rPr>
        <w:t> </w:t>
      </w:r>
      <w:r>
        <w:rPr/>
        <w:t>巨</w:t>
      </w:r>
      <w:r>
        <w:rPr>
          <w:spacing w:val="-73"/>
        </w:rPr>
        <w:t> </w:t>
      </w:r>
      <w:r>
        <w:rPr/>
        <w:t>潮</w:t>
      </w:r>
      <w:r>
        <w:rPr>
          <w:spacing w:val="-73"/>
        </w:rPr>
        <w:t> </w:t>
      </w:r>
      <w:r>
        <w:rPr/>
        <w:t>资</w:t>
      </w:r>
      <w:r>
        <w:rPr>
          <w:spacing w:val="-73"/>
        </w:rPr>
        <w:t> </w:t>
      </w:r>
      <w:r>
        <w:rPr/>
        <w:t>讯</w:t>
      </w:r>
      <w:r>
        <w:rPr>
          <w:spacing w:val="-76"/>
        </w:rPr>
        <w:t> </w:t>
      </w:r>
      <w:r>
        <w:rPr/>
        <w:t>网</w:t>
      </w:r>
    </w:p>
    <w:p>
      <w:pPr>
        <w:pStyle w:val="BodyText"/>
        <w:spacing w:line="240" w:lineRule="auto" w:before="39"/>
        <w:ind w:right="1133"/>
        <w:jc w:val="left"/>
      </w:pPr>
      <w:r>
        <w:rPr/>
        <w:t>（</w:t>
      </w:r>
      <w:hyperlink r:id="rId13">
        <w:r>
          <w:rPr>
            <w:rFonts w:ascii="Times New Roman" w:hAnsi="Times New Roman" w:cs="Times New Roman" w:eastAsia="Times New Roman" w:hint="default"/>
          </w:rPr>
          <w:t>http://www.cninfo.com.cn</w:t>
        </w:r>
      </w:hyperlink>
      <w:r>
        <w:rPr/>
        <w:t>）的相关公告。</w:t>
      </w:r>
    </w:p>
    <w:p>
      <w:pPr>
        <w:pStyle w:val="BodyText"/>
        <w:spacing w:line="240" w:lineRule="auto" w:before="110"/>
        <w:ind w:left="633" w:right="1133"/>
        <w:jc w:val="left"/>
      </w:pPr>
      <w:r>
        <w:rPr>
          <w:rFonts w:ascii="Times New Roman" w:hAnsi="Times New Roman" w:cs="Times New Roman" w:eastAsia="Times New Roman" w:hint="default"/>
        </w:rPr>
        <w:t>2</w:t>
      </w:r>
      <w:r>
        <w:rPr/>
        <w:t>、关于出售全资子公司股权事项的说明</w:t>
      </w:r>
    </w:p>
    <w:p>
      <w:pPr>
        <w:pStyle w:val="BodyText"/>
        <w:spacing w:line="328" w:lineRule="auto" w:before="110"/>
        <w:ind w:right="982"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日，公司召开第四届董事会第十八次（临时）会议审议通过了《关于出售全资子公司股</w:t>
      </w:r>
      <w:r>
        <w:rPr>
          <w:w w:val="100"/>
        </w:rPr>
        <w:t> </w:t>
      </w:r>
      <w:r>
        <w:rPr>
          <w:spacing w:val="-6"/>
        </w:rPr>
        <w:t>权的议案》，同意将公司所持有的全资子公司和诚科技</w:t>
      </w:r>
      <w:r>
        <w:rPr>
          <w:rFonts w:ascii="Times New Roman" w:hAnsi="Times New Roman" w:cs="Times New Roman" w:eastAsia="Times New Roman" w:hint="default"/>
          <w:spacing w:val="-6"/>
        </w:rPr>
        <w:t>100%</w:t>
      </w:r>
      <w:r>
        <w:rPr>
          <w:spacing w:val="-6"/>
        </w:rPr>
        <w:t>股权转让给科学城（广州）投资集团有限公司，</w:t>
      </w:r>
    </w:p>
    <w:p>
      <w:pPr>
        <w:spacing w:after="0" w:line="32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38" w:lineRule="auto"/>
        <w:ind w:right="1127"/>
        <w:jc w:val="both"/>
      </w:pPr>
      <w:r>
        <w:rPr>
          <w:spacing w:val="-1"/>
        </w:rPr>
        <w:t>转让金额为人民币</w:t>
      </w:r>
      <w:r>
        <w:rPr>
          <w:rFonts w:ascii="Times New Roman" w:hAnsi="Times New Roman" w:cs="Times New Roman" w:eastAsia="Times New Roman" w:hint="default"/>
          <w:spacing w:val="-1"/>
        </w:rPr>
        <w:t>28,800</w:t>
      </w:r>
      <w:r>
        <w:rPr>
          <w:spacing w:val="-1"/>
        </w:rPr>
        <w:t>万元。报告期内，公司已与科学城（广州）投资集团有限公司签署《股权转让合</w:t>
      </w:r>
      <w:r>
        <w:rPr>
          <w:spacing w:val="-29"/>
        </w:rPr>
        <w:t> </w:t>
      </w:r>
      <w:r>
        <w:rPr>
          <w:spacing w:val="-29"/>
        </w:rPr>
      </w:r>
      <w:r>
        <w:rPr>
          <w:spacing w:val="-2"/>
        </w:rPr>
        <w:t>同》并完成了工商变更登记手续，取得广州市黄埔区市场监督管理局颁发的新的《营业执照》，公司不再</w:t>
      </w:r>
      <w:r>
        <w:rPr>
          <w:spacing w:val="-43"/>
        </w:rPr>
        <w:t> </w:t>
      </w:r>
      <w:r>
        <w:rPr>
          <w:spacing w:val="-43"/>
        </w:rPr>
      </w:r>
      <w:r>
        <w:rPr>
          <w:spacing w:val="2"/>
        </w:rPr>
        <w:t>持有和诚科技的股权。截至本报告披露日，该交易事项已经完成。具体内容详见公司披露在巨潮资讯网</w:t>
      </w:r>
    </w:p>
    <w:p>
      <w:pPr>
        <w:pStyle w:val="BodyText"/>
        <w:spacing w:line="240" w:lineRule="auto" w:before="40"/>
        <w:ind w:right="0"/>
        <w:jc w:val="both"/>
      </w:pPr>
      <w:r>
        <w:rPr/>
        <w:t>（</w:t>
      </w:r>
      <w:hyperlink r:id="rId13">
        <w:r>
          <w:rPr>
            <w:rFonts w:ascii="Times New Roman" w:hAnsi="Times New Roman" w:cs="Times New Roman" w:eastAsia="Times New Roman" w:hint="default"/>
          </w:rPr>
          <w:t>www.cninfo.com.cn</w:t>
        </w:r>
      </w:hyperlink>
      <w:r>
        <w:rPr/>
        <w:t>）的相关公告。</w:t>
      </w:r>
    </w:p>
    <w:p>
      <w:pPr>
        <w:pStyle w:val="BodyText"/>
        <w:spacing w:line="328" w:lineRule="auto" w:before="110"/>
        <w:ind w:left="573" w:right="1133"/>
        <w:jc w:val="left"/>
      </w:pPr>
      <w:r>
        <w:rPr>
          <w:rFonts w:ascii="Times New Roman" w:hAnsi="Times New Roman" w:cs="Times New Roman" w:eastAsia="Times New Roman" w:hint="default"/>
        </w:rPr>
        <w:t>3</w:t>
      </w:r>
      <w:r>
        <w:rPr/>
        <w:t>、公司非公开发行股票事项的说明</w:t>
      </w:r>
      <w:r>
        <w:rPr>
          <w:w w:val="100"/>
        </w:rPr>
        <w:t> </w:t>
      </w:r>
      <w:r>
        <w:rPr>
          <w:spacing w:val="-2"/>
        </w:rPr>
        <w:t>为进一步聚焦网络信息安全主业，进行业务拓展及产业扩张，满足公司资金需求，公司召开第四届董</w:t>
      </w:r>
    </w:p>
    <w:p>
      <w:pPr>
        <w:pStyle w:val="BodyText"/>
        <w:spacing w:line="336" w:lineRule="auto" w:before="48"/>
        <w:ind w:right="1104"/>
        <w:jc w:val="both"/>
      </w:pPr>
      <w:r>
        <w:rPr>
          <w:spacing w:val="-2"/>
        </w:rPr>
        <w:t>事会第十九次（临时）会议、</w:t>
      </w:r>
      <w:r>
        <w:rPr>
          <w:rFonts w:ascii="Times New Roman" w:hAnsi="Times New Roman" w:cs="Times New Roman" w:eastAsia="Times New Roman" w:hint="default"/>
          <w:spacing w:val="-2"/>
        </w:rPr>
        <w:t>2020</w:t>
      </w:r>
      <w:r>
        <w:rPr>
          <w:spacing w:val="-2"/>
        </w:rPr>
        <w:t>年第一次临时股东大会审议通过了公司次非公开发行股票的相关议案，</w:t>
      </w:r>
      <w:r>
        <w:rPr>
          <w:spacing w:val="-18"/>
        </w:rPr>
        <w:t> </w:t>
      </w:r>
      <w:r>
        <w:rPr>
          <w:spacing w:val="-18"/>
        </w:rPr>
      </w:r>
      <w:r>
        <w:rPr>
          <w:spacing w:val="-2"/>
        </w:rPr>
        <w:t>公司已收到中国证监会出具的《中国证监会行政许可申请受理单》（受理序号：</w:t>
      </w:r>
      <w:r>
        <w:rPr>
          <w:rFonts w:ascii="Times New Roman" w:hAnsi="Times New Roman" w:cs="Times New Roman" w:eastAsia="Times New Roman" w:hint="default"/>
          <w:spacing w:val="-2"/>
        </w:rPr>
        <w:t>200642</w:t>
      </w:r>
      <w:r>
        <w:rPr>
          <w:spacing w:val="-2"/>
        </w:rPr>
        <w:t>）。公司本次非公</w:t>
      </w:r>
      <w:r>
        <w:rPr>
          <w:spacing w:val="-36"/>
        </w:rPr>
        <w:t> </w:t>
      </w:r>
      <w:r>
        <w:rPr>
          <w:spacing w:val="-36"/>
        </w:rPr>
      </w:r>
      <w:r>
        <w:rPr>
          <w:spacing w:val="-2"/>
        </w:rPr>
        <w:t>开发行股票事项尚需获得中国证监会核准，能否获得核准尚存在不确定性。公司将根据中国证监会对该事</w:t>
      </w:r>
      <w:r>
        <w:rPr>
          <w:spacing w:val="-43"/>
        </w:rPr>
        <w:t> </w:t>
      </w:r>
      <w:r>
        <w:rPr>
          <w:spacing w:val="-43"/>
        </w:rPr>
      </w:r>
      <w:r>
        <w:rPr/>
        <w:t>项的审核进展情况及时履行信息披露义务。详见公司刊登于巨潮资讯网（</w:t>
      </w:r>
      <w:hyperlink r:id="rId13">
        <w:r>
          <w:rPr>
            <w:rFonts w:ascii="Times New Roman" w:hAnsi="Times New Roman" w:cs="Times New Roman" w:eastAsia="Times New Roman" w:hint="default"/>
          </w:rPr>
          <w:t>http://www.cninfo.com.cn</w:t>
        </w:r>
      </w:hyperlink>
      <w:r>
        <w:rPr/>
        <w:t>）的相</w:t>
      </w:r>
      <w:r>
        <w:rPr>
          <w:spacing w:val="-36"/>
        </w:rPr>
        <w:t> </w:t>
      </w:r>
      <w:r>
        <w:rPr>
          <w:spacing w:val="-36"/>
        </w:rPr>
      </w:r>
      <w:r>
        <w:rPr/>
        <w:t>关公告。</w:t>
      </w:r>
    </w:p>
    <w:p>
      <w:pPr>
        <w:spacing w:line="240" w:lineRule="auto" w:before="5"/>
        <w:rPr>
          <w:rFonts w:ascii="宋体" w:hAnsi="宋体" w:cs="宋体" w:eastAsia="宋体" w:hint="default"/>
          <w:sz w:val="17"/>
          <w:szCs w:val="17"/>
        </w:rPr>
      </w:pPr>
    </w:p>
    <w:p>
      <w:pPr>
        <w:pStyle w:val="Heading2"/>
        <w:spacing w:line="240" w:lineRule="auto"/>
        <w:ind w:right="0"/>
        <w:jc w:val="both"/>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336" w:lineRule="auto"/>
        <w:ind w:right="1126" w:firstLine="420"/>
        <w:jc w:val="both"/>
      </w:pPr>
      <w:r>
        <w:rPr>
          <w:rFonts w:ascii="Times New Roman" w:hAnsi="Times New Roman" w:cs="Times New Roman" w:eastAsia="Times New Roman" w:hint="default"/>
        </w:rPr>
        <w:t>1</w:t>
      </w:r>
      <w:r>
        <w:rPr/>
        <w:t>、因宏观经济形势及行业监管政策发生较大变化，受中美贸易摩擦对物流行业的影响、合作机构保</w:t>
      </w:r>
      <w:r>
        <w:rPr>
          <w:w w:val="100"/>
        </w:rPr>
        <w:t> </w:t>
      </w:r>
      <w:r>
        <w:rPr>
          <w:spacing w:val="-2"/>
        </w:rPr>
        <w:t>险行业的合规监管以及融资难融资贵等多方面因素影响，公司全资子公司中经电商业务发展及融资渠道受</w:t>
      </w:r>
      <w:r>
        <w:rPr>
          <w:spacing w:val="-43"/>
        </w:rPr>
        <w:t> </w:t>
      </w:r>
      <w:r>
        <w:rPr>
          <w:spacing w:val="-43"/>
        </w:rPr>
      </w:r>
      <w:r>
        <w:rPr>
          <w:spacing w:val="-3"/>
        </w:rPr>
        <w:t>到较大影响，存在一定的经营风险。具体内容详见公司披露在巨潮资讯网（</w:t>
      </w:r>
      <w:hyperlink r:id="rId13">
        <w:r>
          <w:rPr>
            <w:rFonts w:ascii="Times New Roman" w:hAnsi="Times New Roman" w:cs="Times New Roman" w:eastAsia="Times New Roman" w:hint="default"/>
            <w:spacing w:val="-3"/>
          </w:rPr>
          <w:t>www.cninfo.com.cn</w:t>
        </w:r>
      </w:hyperlink>
      <w:r>
        <w:rPr>
          <w:spacing w:val="-3"/>
        </w:rPr>
        <w:t>）的《关于</w:t>
      </w:r>
      <w:r>
        <w:rPr>
          <w:spacing w:val="-8"/>
        </w:rPr>
        <w:t> </w:t>
      </w:r>
      <w:r>
        <w:rPr>
          <w:spacing w:val="-8"/>
        </w:rPr>
      </w:r>
      <w:r>
        <w:rPr/>
        <w:t>全资子公司中经汇通电子商务有限公司经营情况及风险的提示性公告》。（编号：</w:t>
      </w:r>
      <w:r>
        <w:rPr>
          <w:rFonts w:ascii="Times New Roman" w:hAnsi="Times New Roman" w:cs="Times New Roman" w:eastAsia="Times New Roman" w:hint="default"/>
        </w:rPr>
        <w:t>2019-124</w:t>
      </w:r>
      <w:r>
        <w:rPr/>
        <w:t>）</w:t>
      </w:r>
    </w:p>
    <w:p>
      <w:pPr>
        <w:pStyle w:val="BodyText"/>
        <w:spacing w:line="350" w:lineRule="auto" w:before="15"/>
        <w:ind w:right="1126" w:firstLine="420"/>
        <w:jc w:val="both"/>
      </w:pPr>
      <w:r>
        <w:rPr>
          <w:spacing w:val="-2"/>
        </w:rPr>
        <w:t>公司正在积极寻求解决方案，包括但不限于帮助中经电商进行业务转型、探索剥离方案等。截至本报</w:t>
      </w:r>
      <w:r>
        <w:rPr>
          <w:w w:val="100"/>
        </w:rPr>
        <w:t> </w:t>
      </w:r>
      <w:r>
        <w:rPr/>
        <w:t>告披露日，上述方案尚未明确，相关工作进展情况公司将按信息披露的相关规定及时予以披露。</w:t>
      </w:r>
    </w:p>
    <w:p>
      <w:pPr>
        <w:spacing w:after="0" w:line="350"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45" w:right="0"/>
        <w:jc w:val="left"/>
        <w:rPr>
          <w:b w:val="0"/>
          <w:bCs w:val="0"/>
        </w:rPr>
      </w:pPr>
      <w:bookmarkStart w:name="第六节股份变动及股东情况" w:id="107"/>
      <w:bookmarkEnd w:id="107"/>
      <w:r>
        <w:rPr>
          <w:b w:val="0"/>
          <w:bCs w:val="0"/>
        </w:rPr>
      </w:r>
      <w:bookmarkStart w:name="_bookmark5" w:id="108"/>
      <w:bookmarkEnd w:id="108"/>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52"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2"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04"/>
        <w:gridCol w:w="1147"/>
        <w:gridCol w:w="754"/>
        <w:gridCol w:w="804"/>
        <w:gridCol w:w="425"/>
        <w:gridCol w:w="994"/>
        <w:gridCol w:w="1066"/>
        <w:gridCol w:w="1061"/>
        <w:gridCol w:w="991"/>
        <w:gridCol w:w="710"/>
      </w:tblGrid>
      <w:tr>
        <w:trPr>
          <w:trHeight w:val="206"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5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8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900" w:type="dxa"/>
            <w:gridSpan w:val="2"/>
            <w:vMerge/>
            <w:tcBorders>
              <w:left w:val="single" w:sz="4" w:space="0" w:color="000000"/>
              <w:bottom w:val="single" w:sz="4" w:space="0" w:color="000000"/>
              <w:right w:val="single" w:sz="4" w:space="0" w:color="000000"/>
            </w:tcBorders>
            <w:shd w:val="clear" w:color="auto" w:fill="D2D2D2"/>
          </w:tcPr>
          <w:p>
            <w:pPr/>
          </w:p>
        </w:tc>
        <w:tc>
          <w:tcPr>
            <w:tcW w:w="4350" w:type="dxa"/>
            <w:gridSpan w:val="5"/>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2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419,638,073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-142,073,597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-142,073,597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277,564,476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22.21%</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419,155,673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-141,832,397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-141,832,397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277,323,276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22.19%</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124,579,489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-117,685,519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-117,685,519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6,893,970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294,576,184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-24,146,878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-24,146,878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270,429,306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21.64%</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482,400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482,400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755,423,831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216,807,887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216,807,887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972,231,718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77.79%</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755,423,831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216,807,887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216,807,887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972,231,718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77.79%</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1,175,061,904</w:t>
            </w:r>
          </w:p>
        </w:tc>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74,734,290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74,734,290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1,249,796,1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1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vMerge/>
            <w:tcBorders>
              <w:left w:val="single" w:sz="9" w:space="0" w:color="D2D2D2"/>
              <w:right w:val="single" w:sz="4" w:space="0" w:color="000000"/>
            </w:tcBorders>
          </w:tcPr>
          <w:p>
            <w:pPr/>
          </w:p>
        </w:tc>
        <w:tc>
          <w:tcPr>
            <w:tcW w:w="754" w:type="dxa"/>
            <w:vMerge/>
            <w:tcBorders>
              <w:left w:val="single" w:sz="4" w:space="0" w:color="000000"/>
              <w:right w:val="single" w:sz="4" w:space="0" w:color="000000"/>
            </w:tcBorders>
          </w:tcPr>
          <w:p>
            <w:pPr/>
          </w:p>
        </w:tc>
        <w:tc>
          <w:tcPr>
            <w:tcW w:w="80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161" w:hRule="exact"/>
        </w:trPr>
        <w:tc>
          <w:tcPr>
            <w:tcW w:w="2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7" w:type="dxa"/>
            <w:vMerge/>
            <w:tcBorders>
              <w:left w:val="single" w:sz="9" w:space="0" w:color="D2D2D2"/>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bl>
    <w:p>
      <w:pPr>
        <w:spacing w:before="49"/>
        <w:ind w:left="2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p>
      <w:pPr>
        <w:pStyle w:val="BodyText"/>
        <w:spacing w:line="328" w:lineRule="auto"/>
        <w:ind w:left="252" w:right="1126" w:firstLine="526"/>
        <w:jc w:val="both"/>
      </w:pPr>
      <w:r>
        <w:rPr>
          <w:rFonts w:ascii="Times New Roman" w:hAnsi="Times New Roman" w:cs="Times New Roman" w:eastAsia="Times New Roman" w:hint="default"/>
        </w:rPr>
        <w:t>1</w:t>
      </w:r>
      <w:r>
        <w:rPr/>
        <w:t>、根据大华会计师事务所（特殊普通合伙）出具的审核报告（大华核字</w:t>
      </w:r>
      <w:r>
        <w:rPr>
          <w:rFonts w:ascii="Times New Roman" w:hAnsi="Times New Roman" w:cs="Times New Roman" w:eastAsia="Times New Roman" w:hint="default"/>
        </w:rPr>
        <w:t>[2018]002945</w:t>
      </w:r>
      <w:r>
        <w:rPr/>
        <w:t>号），公司收</w:t>
      </w:r>
      <w:r>
        <w:rPr>
          <w:w w:val="100"/>
        </w:rPr>
        <w:t> </w:t>
      </w:r>
      <w:r>
        <w:rPr>
          <w:spacing w:val="-2"/>
        </w:rPr>
        <w:t>购的标的华炜科技</w:t>
      </w:r>
      <w:r>
        <w:rPr>
          <w:rFonts w:ascii="Times New Roman" w:hAnsi="Times New Roman" w:cs="Times New Roman" w:eastAsia="Times New Roman" w:hint="default"/>
          <w:spacing w:val="-2"/>
        </w:rPr>
        <w:t>2017</w:t>
      </w:r>
      <w:r>
        <w:rPr>
          <w:spacing w:val="-2"/>
        </w:rPr>
        <w:t>年度的业绩承诺已实现，张远鹏等</w:t>
      </w:r>
      <w:r>
        <w:rPr>
          <w:rFonts w:ascii="Times New Roman" w:hAnsi="Times New Roman" w:cs="Times New Roman" w:eastAsia="Times New Roman" w:hint="default"/>
          <w:spacing w:val="-2"/>
        </w:rPr>
        <w:t>10</w:t>
      </w:r>
      <w:r>
        <w:rPr>
          <w:spacing w:val="-2"/>
        </w:rPr>
        <w:t>名交易对象所持剩余限售股份可按约定解除限</w:t>
      </w:r>
      <w:r>
        <w:rPr>
          <w:spacing w:val="-37"/>
        </w:rPr>
        <w:t> </w:t>
      </w:r>
      <w:r>
        <w:rPr>
          <w:spacing w:val="-37"/>
        </w:rPr>
      </w:r>
      <w:r>
        <w:rPr/>
        <w:t>售，本次合计解除限售的股份数量为</w:t>
      </w:r>
      <w:r>
        <w:rPr>
          <w:rFonts w:ascii="Times New Roman" w:hAnsi="Times New Roman" w:cs="Times New Roman" w:eastAsia="Times New Roman" w:hint="default"/>
        </w:rPr>
        <w:t>21,635,206</w:t>
      </w:r>
      <w:r>
        <w:rPr/>
        <w:t>股，上述股份已于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日上市流通。</w:t>
      </w:r>
    </w:p>
    <w:p>
      <w:pPr>
        <w:pStyle w:val="BodyText"/>
        <w:spacing w:line="331" w:lineRule="auto" w:before="24"/>
        <w:ind w:left="252" w:right="0" w:firstLine="42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日召开第四届董事会第十四次会议审议通过了《关于深圳市蓝盾满泰科技发展</w:t>
      </w:r>
      <w:r>
        <w:rPr>
          <w:w w:val="100"/>
        </w:rPr>
        <w:t> </w:t>
      </w:r>
      <w:r>
        <w:rPr>
          <w:spacing w:val="-2"/>
        </w:rPr>
        <w:t>有限公司</w:t>
      </w:r>
      <w:r>
        <w:rPr>
          <w:rFonts w:ascii="Times New Roman" w:hAnsi="Times New Roman" w:cs="Times New Roman" w:eastAsia="Times New Roman" w:hint="default"/>
          <w:spacing w:val="-2"/>
        </w:rPr>
        <w:t>2018</w:t>
      </w:r>
      <w:r>
        <w:rPr>
          <w:spacing w:val="-2"/>
        </w:rPr>
        <w:t>年度业绩承诺实现情况的议案》，根据大华会计师事务所（特殊普通合伙）出具的审核报告</w:t>
      </w:r>
    </w:p>
    <w:p>
      <w:pPr>
        <w:pStyle w:val="BodyText"/>
        <w:spacing w:line="331" w:lineRule="auto" w:before="19"/>
        <w:ind w:left="252" w:right="0"/>
        <w:jc w:val="left"/>
      </w:pPr>
      <w:r>
        <w:rPr>
          <w:spacing w:val="-1"/>
        </w:rPr>
        <w:t>（大华核字</w:t>
      </w:r>
      <w:r>
        <w:rPr>
          <w:rFonts w:ascii="Times New Roman" w:hAnsi="Times New Roman" w:cs="Times New Roman" w:eastAsia="Times New Roman" w:hint="default"/>
          <w:spacing w:val="-1"/>
        </w:rPr>
        <w:t>[2019]002965</w:t>
      </w:r>
      <w:r>
        <w:rPr>
          <w:spacing w:val="-1"/>
        </w:rPr>
        <w:t>号），满泰科技</w:t>
      </w:r>
      <w:r>
        <w:rPr>
          <w:rFonts w:ascii="Times New Roman" w:hAnsi="Times New Roman" w:cs="Times New Roman" w:eastAsia="Times New Roman" w:hint="default"/>
          <w:spacing w:val="-1"/>
        </w:rPr>
        <w:t>2018</w:t>
      </w:r>
      <w:r>
        <w:rPr>
          <w:spacing w:val="-1"/>
        </w:rPr>
        <w:t>年度的业绩承诺已实现，瑞兴达投资所持部分限售股份可按</w:t>
      </w:r>
      <w:r>
        <w:rPr>
          <w:spacing w:val="-6"/>
        </w:rPr>
        <w:t> </w:t>
      </w:r>
      <w:r>
        <w:rPr>
          <w:spacing w:val="-6"/>
        </w:rPr>
      </w:r>
      <w:r>
        <w:rPr/>
        <w:t>约定解除限售。本次合计解除限售的股份数量为</w:t>
      </w:r>
      <w:r>
        <w:rPr>
          <w:rFonts w:ascii="Times New Roman" w:hAnsi="Times New Roman" w:cs="Times New Roman" w:eastAsia="Times New Roman" w:hint="default"/>
        </w:rPr>
        <w:t>5,170,477</w:t>
      </w:r>
      <w:r>
        <w:rPr/>
        <w:t>股，上述股份已于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日上市流通。</w:t>
      </w:r>
    </w:p>
    <w:p>
      <w:pPr>
        <w:spacing w:after="0" w:line="331" w:lineRule="auto"/>
        <w:jc w:val="left"/>
        <w:sectPr>
          <w:pgSz w:w="11910" w:h="16840"/>
          <w:pgMar w:header="877" w:footer="980" w:top="1060" w:bottom="1160" w:left="880" w:right="0"/>
        </w:sectPr>
      </w:pPr>
    </w:p>
    <w:p>
      <w:pPr>
        <w:spacing w:line="240" w:lineRule="auto" w:before="0"/>
        <w:rPr>
          <w:rFonts w:ascii="宋体" w:hAnsi="宋体" w:cs="宋体" w:eastAsia="宋体" w:hint="default"/>
          <w:sz w:val="20"/>
          <w:szCs w:val="20"/>
        </w:rPr>
      </w:pPr>
    </w:p>
    <w:p>
      <w:pPr>
        <w:pStyle w:val="BodyText"/>
        <w:spacing w:line="333" w:lineRule="auto" w:before="185"/>
        <w:ind w:right="1126" w:firstLine="42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日召开第四届董事会第十四次会议及第四届监事会第八次会议，分别审议通过</w:t>
      </w:r>
      <w:r>
        <w:rPr>
          <w:w w:val="100"/>
        </w:rPr>
        <w:t> </w:t>
      </w:r>
      <w:r>
        <w:rPr>
          <w:spacing w:val="-2"/>
        </w:rPr>
        <w:t>了《关于限制性股票激励计划第三个解锁期解锁条件成就的议案》、《关于调整限制性股票回购价格及回</w:t>
      </w:r>
      <w:r>
        <w:rPr>
          <w:spacing w:val="-44"/>
        </w:rPr>
        <w:t> </w:t>
      </w:r>
      <w:r>
        <w:rPr>
          <w:spacing w:val="-44"/>
        </w:rPr>
      </w:r>
      <w:r>
        <w:rPr/>
        <w:t>购注销部分限制性股票的议案》。本次符合解锁条件的激励对象共</w:t>
      </w:r>
      <w:r>
        <w:rPr>
          <w:rFonts w:ascii="Times New Roman" w:hAnsi="Times New Roman" w:cs="Times New Roman" w:eastAsia="Times New Roman" w:hint="default"/>
        </w:rPr>
        <w:t>152</w:t>
      </w:r>
      <w:r>
        <w:rPr/>
        <w:t>人，可申请解锁的限制性股票数量</w:t>
      </w:r>
      <w:r>
        <w:rPr>
          <w:spacing w:val="-25"/>
        </w:rPr>
        <w:t> </w:t>
      </w:r>
      <w:r>
        <w:rPr>
          <w:spacing w:val="-25"/>
        </w:rPr>
      </w:r>
      <w:r>
        <w:rPr>
          <w:spacing w:val="-2"/>
        </w:rPr>
        <w:t>为</w:t>
      </w:r>
      <w:r>
        <w:rPr>
          <w:rFonts w:ascii="Times New Roman" w:hAnsi="Times New Roman" w:cs="Times New Roman" w:eastAsia="Times New Roman" w:hint="default"/>
          <w:spacing w:val="-2"/>
        </w:rPr>
        <w:t>201</w:t>
      </w:r>
      <w:r>
        <w:rPr>
          <w:spacing w:val="-2"/>
        </w:rPr>
        <w:t>万股，上述股份已于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日上市流通；因离职不予解锁的激励对象</w:t>
      </w:r>
      <w:r>
        <w:rPr>
          <w:rFonts w:ascii="Times New Roman" w:hAnsi="Times New Roman" w:cs="Times New Roman" w:eastAsia="Times New Roman" w:hint="default"/>
          <w:spacing w:val="-2"/>
        </w:rPr>
        <w:t>32</w:t>
      </w:r>
      <w:r>
        <w:rPr>
          <w:spacing w:val="-2"/>
        </w:rPr>
        <w:t>人，未解锁的限制性股</w:t>
      </w:r>
      <w:r>
        <w:rPr>
          <w:spacing w:val="-35"/>
        </w:rPr>
        <w:t> </w:t>
      </w:r>
      <w:r>
        <w:rPr>
          <w:spacing w:val="-35"/>
        </w:rPr>
      </w:r>
      <w:r>
        <w:rPr>
          <w:spacing w:val="-1"/>
        </w:rPr>
        <w:t>票共</w:t>
      </w:r>
      <w:r>
        <w:rPr>
          <w:rFonts w:ascii="Times New Roman" w:hAnsi="Times New Roman" w:cs="Times New Roman" w:eastAsia="Times New Roman" w:hint="default"/>
          <w:spacing w:val="-1"/>
        </w:rPr>
        <w:t>43.8</w:t>
      </w:r>
      <w:r>
        <w:rPr>
          <w:spacing w:val="-1"/>
        </w:rPr>
        <w:t>万股将根据规定实施回购注销，公司已于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5</w:t>
      </w:r>
      <w:r>
        <w:rPr>
          <w:spacing w:val="-1"/>
        </w:rPr>
        <w:t>日在中国结算深圳分公司完成了上述限制性</w:t>
      </w:r>
      <w:r>
        <w:rPr>
          <w:spacing w:val="-28"/>
        </w:rPr>
        <w:t> </w:t>
      </w:r>
      <w:r>
        <w:rPr>
          <w:spacing w:val="-28"/>
        </w:rPr>
      </w:r>
      <w:r>
        <w:rPr/>
        <w:t>股票的回购和注销登记手续，公司总股本减少</w:t>
      </w:r>
      <w:r>
        <w:rPr>
          <w:rFonts w:ascii="Times New Roman" w:hAnsi="Times New Roman" w:cs="Times New Roman" w:eastAsia="Times New Roman" w:hint="default"/>
        </w:rPr>
        <w:t>43.8</w:t>
      </w:r>
      <w:r>
        <w:rPr/>
        <w:t>万股。</w:t>
      </w:r>
    </w:p>
    <w:p>
      <w:pPr>
        <w:pStyle w:val="BodyText"/>
        <w:spacing w:line="331" w:lineRule="auto" w:before="19"/>
        <w:ind w:right="1126" w:firstLine="42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日召开第四届董事会第十四次会议，审议通过了《关于中经汇通电子商务有限</w:t>
      </w:r>
      <w:r>
        <w:rPr>
          <w:w w:val="100"/>
        </w:rPr>
        <w:t> </w:t>
      </w:r>
      <w:r>
        <w:rPr>
          <w:spacing w:val="-2"/>
        </w:rPr>
        <w:t>公司及汇通宝支付有限责任公司</w:t>
      </w:r>
      <w:r>
        <w:rPr>
          <w:rFonts w:ascii="Times New Roman" w:hAnsi="Times New Roman" w:cs="Times New Roman" w:eastAsia="Times New Roman" w:hint="default"/>
          <w:spacing w:val="-2"/>
        </w:rPr>
        <w:t>2018</w:t>
      </w:r>
      <w:r>
        <w:rPr>
          <w:spacing w:val="-2"/>
        </w:rPr>
        <w:t>年度业绩承诺实现情况的议案》，根据大华会计师事务所（特殊普通</w:t>
      </w:r>
      <w:r>
        <w:rPr>
          <w:spacing w:val="-39"/>
        </w:rPr>
        <w:t> </w:t>
      </w:r>
      <w:r>
        <w:rPr>
          <w:spacing w:val="-39"/>
        </w:rPr>
      </w:r>
      <w:r>
        <w:rPr/>
        <w:t>合伙）出具的审核报告（大华核字</w:t>
      </w:r>
      <w:r>
        <w:rPr>
          <w:rFonts w:ascii="Times New Roman" w:hAnsi="Times New Roman" w:cs="Times New Roman" w:eastAsia="Times New Roman" w:hint="default"/>
        </w:rPr>
        <w:t>[2019]002963</w:t>
      </w:r>
      <w:r>
        <w:rPr/>
        <w:t>号），中经电商及汇通宝</w:t>
      </w:r>
      <w:r>
        <w:rPr>
          <w:rFonts w:ascii="Times New Roman" w:hAnsi="Times New Roman" w:cs="Times New Roman" w:eastAsia="Times New Roman" w:hint="default"/>
        </w:rPr>
        <w:t>2018</w:t>
      </w:r>
      <w:r>
        <w:rPr/>
        <w:t>年度的业绩承诺已完成，中</w:t>
      </w:r>
      <w:r>
        <w:rPr>
          <w:spacing w:val="-65"/>
        </w:rPr>
        <w:t> </w:t>
      </w:r>
      <w:r>
        <w:rPr>
          <w:spacing w:val="-2"/>
        </w:rPr>
        <w:t>经汇通所持全部限售股份可按约定解除限售。本次合计解除限售的股份数量为</w:t>
      </w:r>
      <w:r>
        <w:rPr>
          <w:rFonts w:ascii="Times New Roman" w:hAnsi="Times New Roman" w:cs="Times New Roman" w:eastAsia="Times New Roman" w:hint="default"/>
          <w:spacing w:val="-2"/>
        </w:rPr>
        <w:t>112,515,042</w:t>
      </w:r>
      <w:r>
        <w:rPr>
          <w:spacing w:val="-2"/>
        </w:rPr>
        <w:t>股，上述股份已</w:t>
      </w:r>
      <w:r>
        <w:rPr>
          <w:spacing w:val="-31"/>
        </w:rPr>
        <w:t> </w:t>
      </w:r>
      <w:r>
        <w:rPr>
          <w:spacing w:val="-31"/>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日上市流通。</w:t>
      </w:r>
    </w:p>
    <w:p>
      <w:pPr>
        <w:pStyle w:val="BodyText"/>
        <w:spacing w:line="321" w:lineRule="auto" w:before="19"/>
        <w:ind w:right="1133" w:firstLine="420"/>
        <w:jc w:val="left"/>
        <w:rPr>
          <w:sz w:val="18"/>
          <w:szCs w:val="18"/>
        </w:rPr>
      </w:pPr>
      <w:r>
        <w:rPr>
          <w:rFonts w:ascii="Times New Roman" w:hAnsi="Times New Roman" w:cs="Times New Roman" w:eastAsia="Times New Roman" w:hint="default"/>
          <w:spacing w:val="-2"/>
        </w:rPr>
        <w:t>5</w:t>
      </w:r>
      <w:r>
        <w:rPr>
          <w:spacing w:val="-2"/>
        </w:rPr>
        <w:t>、根据相关规定和公司《创业板公开发行可转换公司债券募集说明书》约定，</w:t>
      </w:r>
      <w:r>
        <w:rPr>
          <w:rFonts w:ascii="Times New Roman" w:hAnsi="Times New Roman" w:cs="Times New Roman" w:eastAsia="Times New Roman" w:hint="default"/>
          <w:spacing w:val="-2"/>
        </w:rPr>
        <w:t>“</w:t>
      </w:r>
      <w:r>
        <w:rPr>
          <w:spacing w:val="-2"/>
        </w:rPr>
        <w:t>蓝盾转债</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18</w:t>
      </w:r>
      <w:r>
        <w:rPr/>
        <w:t>日起可转换为公司股份。报告期内，因</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转股，公司总股本增加</w:t>
      </w:r>
      <w:r>
        <w:rPr>
          <w:rFonts w:ascii="Times New Roman" w:hAnsi="Times New Roman" w:cs="Times New Roman" w:eastAsia="Times New Roman" w:hint="default"/>
        </w:rPr>
        <w:t>75,172,290</w:t>
      </w:r>
      <w:r>
        <w:rPr/>
        <w:t>股。</w:t>
      </w:r>
      <w:r>
        <w:rPr>
          <w:w w:val="100"/>
        </w:rPr>
        <w:t> </w:t>
      </w:r>
      <w:r>
        <w:rPr>
          <w:sz w:val="18"/>
          <w:szCs w:val="18"/>
        </w:rPr>
        <w:t>股份变动的批准情况</w:t>
      </w:r>
    </w:p>
    <w:p>
      <w:pPr>
        <w:spacing w:before="5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240" w:lineRule="auto"/>
        <w:ind w:left="573" w:right="1133"/>
        <w:jc w:val="left"/>
      </w:pPr>
      <w:r>
        <w:rPr/>
        <w:t>详见第六节</w:t>
      </w:r>
      <w:r>
        <w:rPr>
          <w:spacing w:val="-1"/>
        </w:rPr>
        <w:t> </w:t>
      </w:r>
      <w:r>
        <w:rPr/>
        <w:t>一、</w:t>
      </w:r>
      <w:r>
        <w:rPr>
          <w:rFonts w:ascii="Times New Roman" w:hAnsi="Times New Roman" w:cs="Times New Roman" w:eastAsia="Times New Roman" w:hint="default"/>
        </w:rPr>
        <w:t>1</w:t>
      </w:r>
      <w:r>
        <w:rPr/>
        <w:t>、股份变动情况之股份变动的原因。</w:t>
      </w:r>
    </w:p>
    <w:p>
      <w:pPr>
        <w:spacing w:before="82"/>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333" w:lineRule="auto"/>
        <w:ind w:right="1105" w:firstLine="42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日召开第四届董事会第五次（临时）会议，审议通过了《关于回购公司股份以激</w:t>
      </w:r>
      <w:r>
        <w:rPr>
          <w:w w:val="100"/>
        </w:rPr>
        <w:t> </w:t>
      </w:r>
      <w:r>
        <w:rPr>
          <w:spacing w:val="-4"/>
        </w:rPr>
        <w:t>励员工预案的议案》，该议案已经</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5</w:t>
      </w:r>
      <w:r>
        <w:rPr>
          <w:spacing w:val="-4"/>
        </w:rPr>
        <w:t>日召开的</w:t>
      </w:r>
      <w:r>
        <w:rPr>
          <w:rFonts w:ascii="Times New Roman" w:hAnsi="Times New Roman" w:cs="Times New Roman" w:eastAsia="Times New Roman" w:hint="default"/>
          <w:spacing w:val="-4"/>
        </w:rPr>
        <w:t>2018</w:t>
      </w:r>
      <w:r>
        <w:rPr>
          <w:spacing w:val="-4"/>
        </w:rPr>
        <w:t>年第五次临时股东大会审议通过。公司于</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29</w:t>
      </w:r>
      <w:r>
        <w:rPr>
          <w:spacing w:val="-7"/>
        </w:rPr>
        <w:t>日召开第四届董事会第十八次（临时）会议及第四届监事会第十一次（临时）会议审议通过了《关</w:t>
      </w:r>
      <w:r>
        <w:rPr>
          <w:spacing w:val="-5"/>
        </w:rPr>
        <w:t> </w:t>
      </w:r>
      <w:r>
        <w:rPr>
          <w:spacing w:val="-5"/>
        </w:rPr>
      </w:r>
      <w:r>
        <w:rPr>
          <w:spacing w:val="-2"/>
        </w:rPr>
        <w:t>于终止回购公司股份的议案》，考虑到公司业务发展的实际经营需求，为保证公司拥有充足的运营资金，</w:t>
      </w:r>
      <w:r>
        <w:rPr>
          <w:spacing w:val="-21"/>
        </w:rPr>
        <w:t> </w:t>
      </w:r>
      <w:r>
        <w:rPr>
          <w:spacing w:val="-21"/>
        </w:rPr>
      </w:r>
      <w:r>
        <w:rPr/>
        <w:t>以支撑公司业务拓展所需，公司董事会审慎决定，终止实施本次回购股份事项。</w:t>
      </w:r>
    </w:p>
    <w:p>
      <w:pPr>
        <w:pStyle w:val="BodyText"/>
        <w:spacing w:line="331" w:lineRule="auto" w:before="44"/>
        <w:ind w:right="1126" w:firstLine="420"/>
        <w:jc w:val="both"/>
      </w:pPr>
      <w:r>
        <w:rPr>
          <w:spacing w:val="-3"/>
        </w:rPr>
        <w:t>截至报告期末，公司累计通过回购专用证券账户以集中竞价交易方式回购公司股份</w:t>
      </w:r>
      <w:r>
        <w:rPr>
          <w:rFonts w:ascii="Times New Roman" w:hAnsi="Times New Roman" w:cs="Times New Roman" w:eastAsia="Times New Roman" w:hint="default"/>
          <w:spacing w:val="-3"/>
        </w:rPr>
        <w:t>433,000</w:t>
      </w:r>
      <w:r>
        <w:rPr>
          <w:spacing w:val="-3"/>
        </w:rPr>
        <w:t>股，占公司</w:t>
      </w:r>
      <w:r>
        <w:rPr>
          <w:w w:val="100"/>
        </w:rPr>
        <w:t> </w:t>
      </w:r>
      <w:r>
        <w:rPr/>
        <w:t>总股本的</w:t>
      </w:r>
      <w:r>
        <w:rPr>
          <w:rFonts w:ascii="Times New Roman" w:hAnsi="Times New Roman" w:cs="Times New Roman" w:eastAsia="Times New Roman" w:hint="default"/>
        </w:rPr>
        <w:t>0.03%</w:t>
      </w:r>
      <w:r>
        <w:rPr/>
        <w:t>，最高成交价为</w:t>
      </w:r>
      <w:r>
        <w:rPr>
          <w:rFonts w:ascii="Times New Roman" w:hAnsi="Times New Roman" w:cs="Times New Roman" w:eastAsia="Times New Roman" w:hint="default"/>
        </w:rPr>
        <w:t>5.09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5.07</w:t>
      </w:r>
      <w:r>
        <w:rPr/>
        <w:t>元</w:t>
      </w:r>
      <w:r>
        <w:rPr>
          <w:rFonts w:ascii="Times New Roman" w:hAnsi="Times New Roman" w:cs="Times New Roman" w:eastAsia="Times New Roman" w:hint="default"/>
        </w:rPr>
        <w:t>/</w:t>
      </w:r>
      <w:r>
        <w:rPr/>
        <w:t>股，已使用资金总额为人民币</w:t>
      </w:r>
      <w:r>
        <w:rPr>
          <w:rFonts w:ascii="Times New Roman" w:hAnsi="Times New Roman" w:cs="Times New Roman" w:eastAsia="Times New Roman" w:hint="default"/>
        </w:rPr>
        <w:t>2,199,192</w:t>
      </w:r>
      <w:r>
        <w:rPr/>
        <w:t>元</w:t>
      </w:r>
    </w:p>
    <w:p>
      <w:pPr>
        <w:pStyle w:val="BodyText"/>
        <w:spacing w:line="240" w:lineRule="auto" w:before="19"/>
        <w:ind w:right="1133"/>
        <w:jc w:val="left"/>
      </w:pPr>
      <w:r>
        <w:rPr/>
        <w:t>（不含交易费用）。</w:t>
      </w:r>
    </w:p>
    <w:p>
      <w:pPr>
        <w:spacing w:before="101"/>
        <w:ind w:left="152" w:right="1133"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141" w:firstLine="0"/>
        <w:jc w:val="right"/>
        <w:rPr>
          <w:rFonts w:ascii="宋体" w:hAnsi="宋体" w:cs="宋体" w:eastAsia="宋体" w:hint="default"/>
          <w:sz w:val="18"/>
          <w:szCs w:val="18"/>
        </w:rPr>
      </w:pPr>
      <w:r>
        <w:rPr/>
        <w:pict>
          <v:shape style="position:absolute;margin-left:56.400002pt;margin-top:-174.758301pt;width:479.15pt;height:627.6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275"/>
                    <w:gridCol w:w="852"/>
                    <w:gridCol w:w="991"/>
                    <w:gridCol w:w="994"/>
                    <w:gridCol w:w="1133"/>
                    <w:gridCol w:w="2621"/>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1" w:right="41" w:hanging="361"/>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134,256,678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134,256,678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高管锁定股每年按持股总数的</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133,464,408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133,464,408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高管锁定股每年按持股总数的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中经汇通有限责任公 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112,515,042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112,515,042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南平市瑞兴达股权投 资合伙企业（有限合 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12,064,447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5,170,477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6,893,970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首发后机构 类限售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在满泰科技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年度相关专项 审核报告出具后的十日之后解锁 </w:t>
                        </w:r>
                        <w:r>
                          <w:rPr>
                            <w:rFonts w:ascii="宋体" w:hAnsi="宋体" w:cs="宋体" w:eastAsia="宋体" w:hint="default"/>
                            <w:spacing w:val="-4"/>
                            <w:sz w:val="18"/>
                            <w:szCs w:val="18"/>
                          </w:rPr>
                          <w:t>全部限售股份（如满足解锁条件</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8,012,536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7,982,536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该部分股权激励限售股未满足解 锁条件，公司需回购注销</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史利民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4,504,020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4,474,020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该部分股权激励限售股未满足解 锁条件，公司需回购注销</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张宇弋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1,784,370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1,769,370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该部分股权激励限售股未满足解 锁条件，公司需回购注销</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梁发柱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1,754,370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1,754,370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程庆国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1,667,272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1,199,478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1,184,478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该部分股权激励限售股未满足解 锁条件，公司需回购注销</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曹冬平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1,082,378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1,067,378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该部分股权激励限售股未满足解 锁条件，公司需回购注销</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1,052,380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黎讴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1,052,378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1,052,378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4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672,420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672,420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8"/>
                          <w:ind w:left="23" w:right="146"/>
                          <w:jc w:val="left"/>
                          <w:rPr>
                            <w:rFonts w:ascii="宋体" w:hAnsi="宋体" w:cs="宋体" w:eastAsia="宋体" w:hint="default"/>
                            <w:sz w:val="18"/>
                            <w:szCs w:val="18"/>
                          </w:rPr>
                        </w:pPr>
                        <w:r>
                          <w:rPr>
                            <w:rFonts w:ascii="宋体" w:hAnsi="宋体" w:cs="宋体" w:eastAsia="宋体" w:hint="default"/>
                            <w:sz w:val="18"/>
                            <w:szCs w:val="18"/>
                          </w:rPr>
                          <w:t>高管锁定</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高管锁定股每年按持股总数的 </w:t>
                        </w:r>
                        <w:r>
                          <w:rPr>
                            <w:rFonts w:ascii="Times New Roman" w:hAnsi="Times New Roman" w:cs="Times New Roman" w:eastAsia="Times New Roman" w:hint="default"/>
                            <w:spacing w:val="-5"/>
                            <w:sz w:val="18"/>
                            <w:szCs w:val="18"/>
                          </w:rPr>
                          <w:t>75%</w:t>
                        </w:r>
                        <w:r>
                          <w:rPr>
                            <w:rFonts w:ascii="宋体" w:hAnsi="宋体" w:cs="宋体" w:eastAsia="宋体" w:hint="default"/>
                            <w:spacing w:val="-5"/>
                            <w:sz w:val="18"/>
                            <w:szCs w:val="18"/>
                          </w:rPr>
                          <w:t>锁定；股权激励限售股共计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万股未满足解锁条件，公司需回 购注销</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75"/>
                          <w:jc w:val="left"/>
                          <w:rPr>
                            <w:rFonts w:ascii="宋体" w:hAnsi="宋体" w:cs="宋体" w:eastAsia="宋体" w:hint="default"/>
                            <w:sz w:val="18"/>
                            <w:szCs w:val="18"/>
                          </w:rPr>
                        </w:pPr>
                        <w:r>
                          <w:rPr>
                            <w:rFonts w:ascii="宋体" w:hAnsi="宋体" w:cs="宋体" w:eastAsia="宋体" w:hint="default"/>
                            <w:sz w:val="18"/>
                            <w:szCs w:val="18"/>
                          </w:rPr>
                          <w:t>其他董监高</w:t>
                        </w:r>
                        <w:r>
                          <w:rPr>
                            <w:rFonts w:ascii="Times New Roman" w:hAnsi="Times New Roman" w:cs="Times New Roman" w:eastAsia="Times New Roman" w:hint="default"/>
                            <w:sz w:val="18"/>
                            <w:szCs w:val="18"/>
                          </w:rPr>
                          <w:t>/</w:t>
                        </w:r>
                        <w:r>
                          <w:rPr>
                            <w:rFonts w:ascii="宋体" w:hAnsi="宋体" w:cs="宋体" w:eastAsia="宋体" w:hint="default"/>
                            <w:sz w:val="18"/>
                            <w:szCs w:val="18"/>
                          </w:rPr>
                          <w:t>股权激 励对象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146"/>
                          <w:jc w:val="left"/>
                          <w:rPr>
                            <w:rFonts w:ascii="宋体" w:hAnsi="宋体" w:cs="宋体" w:eastAsia="宋体" w:hint="default"/>
                            <w:sz w:val="18"/>
                            <w:szCs w:val="18"/>
                          </w:rPr>
                        </w:pPr>
                        <w:r>
                          <w:rPr>
                            <w:rFonts w:ascii="宋体" w:hAnsi="宋体" w:cs="宋体" w:eastAsia="宋体" w:hint="default"/>
                            <w:sz w:val="18"/>
                            <w:szCs w:val="18"/>
                          </w:rPr>
                          <w:t>高管锁定</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高管锁定股每年按持股总数的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锁定；该部分股权激励限售 股未满足解锁条件，公司需回购 注销</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419,638,073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142,073,597</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277,564,476</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1" w:lineRule="auto"/>
        <w:ind w:right="1126" w:firstLine="42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日召开第四届董事会第十四次会议，审议通过了《关于调整限制性股票回购价</w:t>
      </w:r>
      <w:r>
        <w:rPr>
          <w:w w:val="100"/>
        </w:rPr>
        <w:t> </w:t>
      </w:r>
      <w:r>
        <w:rPr>
          <w:spacing w:val="-2"/>
        </w:rPr>
        <w:t>格及回购注销部分限制性股票的议案》，鉴于公司限制股票激励计划原激励对象</w:t>
      </w:r>
      <w:r>
        <w:rPr>
          <w:rFonts w:ascii="Times New Roman" w:hAnsi="Times New Roman" w:cs="Times New Roman" w:eastAsia="Times New Roman" w:hint="default"/>
          <w:spacing w:val="-2"/>
        </w:rPr>
        <w:t>32</w:t>
      </w:r>
      <w:r>
        <w:rPr>
          <w:spacing w:val="-2"/>
        </w:rPr>
        <w:t>人因个人原因离职，已</w:t>
      </w:r>
      <w:r>
        <w:rPr>
          <w:spacing w:val="-42"/>
        </w:rPr>
        <w:t> </w:t>
      </w:r>
      <w:r>
        <w:rPr>
          <w:spacing w:val="-42"/>
        </w:rPr>
      </w:r>
      <w:r>
        <w:rPr>
          <w:spacing w:val="-2"/>
        </w:rPr>
        <w:t>不符合激励条件，根据公司《限制性股票激励计划》的相关规定，公司拟将上述</w:t>
      </w:r>
      <w:r>
        <w:rPr>
          <w:rFonts w:ascii="Times New Roman" w:hAnsi="Times New Roman" w:cs="Times New Roman" w:eastAsia="Times New Roman" w:hint="default"/>
          <w:spacing w:val="-2"/>
        </w:rPr>
        <w:t>32</w:t>
      </w:r>
      <w:r>
        <w:rPr>
          <w:spacing w:val="-2"/>
        </w:rPr>
        <w:t>人所持的已授予但未解</w:t>
      </w:r>
      <w:r>
        <w:rPr>
          <w:spacing w:val="-45"/>
        </w:rPr>
        <w:t> </w:t>
      </w:r>
      <w:r>
        <w:rPr>
          <w:spacing w:val="-45"/>
        </w:rPr>
      </w:r>
      <w:r>
        <w:rPr>
          <w:spacing w:val="-1"/>
        </w:rPr>
        <w:t>锁的限制性股票共计</w:t>
      </w:r>
      <w:r>
        <w:rPr>
          <w:rFonts w:ascii="Times New Roman" w:hAnsi="Times New Roman" w:cs="Times New Roman" w:eastAsia="Times New Roman" w:hint="default"/>
          <w:spacing w:val="-1"/>
        </w:rPr>
        <w:t>43.8</w:t>
      </w:r>
      <w:r>
        <w:rPr>
          <w:spacing w:val="-1"/>
        </w:rPr>
        <w:t>万股回购注销。公司已于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5</w:t>
      </w:r>
      <w:r>
        <w:rPr>
          <w:spacing w:val="-1"/>
        </w:rPr>
        <w:t>日在中国结算深圳分公司完成了上述限制性</w:t>
      </w:r>
      <w:r>
        <w:rPr>
          <w:spacing w:val="-28"/>
        </w:rPr>
        <w:t> </w:t>
      </w:r>
      <w:r>
        <w:rPr>
          <w:spacing w:val="-28"/>
        </w:rPr>
      </w:r>
      <w:r>
        <w:rPr/>
        <w:t>股票的回购和注销登记手续，公司总股本减少</w:t>
      </w:r>
      <w:r>
        <w:rPr>
          <w:rFonts w:ascii="Times New Roman" w:hAnsi="Times New Roman" w:cs="Times New Roman" w:eastAsia="Times New Roman" w:hint="default"/>
        </w:rPr>
        <w:t>43.8</w:t>
      </w:r>
      <w:r>
        <w:rPr/>
        <w:t>万股。</w:t>
      </w:r>
    </w:p>
    <w:p>
      <w:pPr>
        <w:pStyle w:val="BodyText"/>
        <w:spacing w:line="240" w:lineRule="auto" w:before="21"/>
        <w:ind w:left="0" w:right="1126"/>
        <w:jc w:val="right"/>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、根据相关规定和公司《创业板公开发行可转换公司债券募集说明书》约定，</w:t>
      </w:r>
      <w:r>
        <w:rPr>
          <w:rFonts w:ascii="Times New Roman" w:hAnsi="Times New Roman" w:cs="Times New Roman" w:eastAsia="Times New Roman" w:hint="default"/>
          <w:spacing w:val="-2"/>
        </w:rPr>
        <w:t>“</w:t>
      </w:r>
      <w:r>
        <w:rPr>
          <w:spacing w:val="-2"/>
        </w:rPr>
        <w:t>蓝盾转债</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p>
    <w:p>
      <w:pPr>
        <w:pStyle w:val="BodyText"/>
        <w:spacing w:line="240" w:lineRule="auto" w:before="107"/>
        <w:ind w:right="1133"/>
        <w:jc w:val="left"/>
      </w:pPr>
      <w:r>
        <w:rPr/>
        <w:t>月</w:t>
      </w:r>
      <w:r>
        <w:rPr>
          <w:rFonts w:ascii="Times New Roman" w:hAnsi="Times New Roman" w:cs="Times New Roman" w:eastAsia="Times New Roman" w:hint="default"/>
        </w:rPr>
        <w:t>18</w:t>
      </w:r>
      <w:r>
        <w:rPr/>
        <w:t>日起可转换为公司股份。报告期内，因</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转股，公司总股本增加</w:t>
      </w:r>
      <w:r>
        <w:rPr>
          <w:rFonts w:ascii="Times New Roman" w:hAnsi="Times New Roman" w:cs="Times New Roman" w:eastAsia="Times New Roman" w:hint="default"/>
        </w:rPr>
        <w:t>75,172,290</w:t>
      </w:r>
      <w:r>
        <w:rPr/>
        <w:t>股。</w:t>
      </w:r>
    </w:p>
    <w:p>
      <w:pPr>
        <w:spacing w:line="240" w:lineRule="auto" w:before="10"/>
        <w:rPr>
          <w:rFonts w:ascii="宋体" w:hAnsi="宋体" w:cs="宋体" w:eastAsia="宋体" w:hint="default"/>
          <w:sz w:val="24"/>
          <w:szCs w:val="24"/>
        </w:rPr>
      </w:pPr>
    </w:p>
    <w:p>
      <w:pPr>
        <w:pStyle w:val="Heading3"/>
        <w:spacing w:line="240" w:lineRule="auto"/>
        <w:ind w:right="1133"/>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127"/>
        <w:gridCol w:w="1136"/>
        <w:gridCol w:w="1003"/>
        <w:gridCol w:w="1124"/>
        <w:gridCol w:w="1003"/>
        <w:gridCol w:w="988"/>
        <w:gridCol w:w="850"/>
        <w:gridCol w:w="1064"/>
      </w:tblGrid>
      <w:tr>
        <w:trPr>
          <w:trHeight w:val="161"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127"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68,649</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3"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65,628</w:t>
            </w:r>
          </w:p>
        </w:tc>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5"/>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03" w:type="dxa"/>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3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10" w:space="0" w:color="D2D2D2"/>
              <w:right w:val="single" w:sz="10" w:space="0" w:color="D2D2D2"/>
            </w:tcBorders>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26"/>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003" w:type="dxa"/>
            <w:vMerge/>
            <w:tcBorders>
              <w:left w:val="single" w:sz="9" w:space="0" w:color="D2D2D2"/>
              <w:right w:val="single" w:sz="13" w:space="0" w:color="D2D2D2"/>
            </w:tcBorders>
          </w:tcPr>
          <w:p>
            <w:pPr/>
          </w:p>
        </w:tc>
        <w:tc>
          <w:tcPr>
            <w:tcW w:w="1124" w:type="dxa"/>
            <w:vMerge/>
            <w:tcBorders>
              <w:left w:val="single" w:sz="4" w:space="0" w:color="000000"/>
              <w:right w:val="single" w:sz="4" w:space="0" w:color="000000"/>
            </w:tcBorders>
            <w:shd w:val="clear" w:color="auto" w:fill="D2D2D2"/>
          </w:tcPr>
          <w:p>
            <w:pPr/>
          </w:p>
        </w:tc>
        <w:tc>
          <w:tcPr>
            <w:tcW w:w="1003" w:type="dxa"/>
            <w:vMerge/>
            <w:tcBorders>
              <w:left w:val="single" w:sz="13" w:space="0" w:color="D2D2D2"/>
              <w:right w:val="single" w:sz="9" w:space="0" w:color="D2D2D2"/>
            </w:tcBorders>
          </w:tcPr>
          <w:p>
            <w:pPr/>
          </w:p>
        </w:tc>
        <w:tc>
          <w:tcPr>
            <w:tcW w:w="18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 w:right="18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6"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27" w:type="dxa"/>
            <w:vMerge/>
            <w:tcBorders>
              <w:left w:val="single" w:sz="10" w:space="0" w:color="D2D2D2"/>
              <w:right w:val="single" w:sz="10" w:space="0" w:color="D2D2D2"/>
            </w:tcBorders>
          </w:tcPr>
          <w:p>
            <w:pPr/>
          </w:p>
        </w:tc>
        <w:tc>
          <w:tcPr>
            <w:tcW w:w="1136" w:type="dxa"/>
            <w:vMerge/>
            <w:tcBorders>
              <w:left w:val="single" w:sz="4" w:space="0" w:color="000000"/>
              <w:right w:val="single" w:sz="4" w:space="0" w:color="000000"/>
            </w:tcBorders>
            <w:shd w:val="clear" w:color="auto" w:fill="D2D2D2"/>
          </w:tcPr>
          <w:p>
            <w:pPr/>
          </w:p>
        </w:tc>
        <w:tc>
          <w:tcPr>
            <w:tcW w:w="1003" w:type="dxa"/>
            <w:vMerge/>
            <w:tcBorders>
              <w:left w:val="single" w:sz="9" w:space="0" w:color="D2D2D2"/>
              <w:right w:val="single" w:sz="13" w:space="0" w:color="D2D2D2"/>
            </w:tcBorders>
          </w:tcPr>
          <w:p>
            <w:pPr/>
          </w:p>
        </w:tc>
        <w:tc>
          <w:tcPr>
            <w:tcW w:w="1124" w:type="dxa"/>
            <w:vMerge/>
            <w:tcBorders>
              <w:left w:val="single" w:sz="4" w:space="0" w:color="000000"/>
              <w:right w:val="single" w:sz="4" w:space="0" w:color="000000"/>
            </w:tcBorders>
            <w:shd w:val="clear" w:color="auto" w:fill="D2D2D2"/>
          </w:tcPr>
          <w:p>
            <w:pPr/>
          </w:p>
        </w:tc>
        <w:tc>
          <w:tcPr>
            <w:tcW w:w="1003" w:type="dxa"/>
            <w:vMerge/>
            <w:tcBorders>
              <w:left w:val="single" w:sz="13" w:space="0" w:color="D2D2D2"/>
              <w:right w:val="single" w:sz="9" w:space="0" w:color="D2D2D2"/>
            </w:tcBorders>
          </w:tcPr>
          <w:p>
            <w:pPr/>
          </w:p>
        </w:tc>
        <w:tc>
          <w:tcPr>
            <w:tcW w:w="1837"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127" w:type="dxa"/>
            <w:vMerge/>
            <w:tcBorders>
              <w:left w:val="single" w:sz="10" w:space="0" w:color="D2D2D2"/>
              <w:right w:val="single" w:sz="10" w:space="0" w:color="D2D2D2"/>
            </w:tcBorders>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9" w:space="0" w:color="D2D2D2"/>
              <w:right w:val="single" w:sz="13" w:space="0" w:color="D2D2D2"/>
            </w:tcBorders>
          </w:tcPr>
          <w:p>
            <w:pPr/>
          </w:p>
        </w:tc>
        <w:tc>
          <w:tcPr>
            <w:tcW w:w="1124" w:type="dxa"/>
            <w:vMerge/>
            <w:tcBorders>
              <w:left w:val="single" w:sz="4" w:space="0" w:color="000000"/>
              <w:right w:val="single" w:sz="4" w:space="0" w:color="000000"/>
            </w:tcBorders>
            <w:shd w:val="clear" w:color="auto" w:fill="D2D2D2"/>
          </w:tcPr>
          <w:p>
            <w:pPr/>
          </w:p>
        </w:tc>
        <w:tc>
          <w:tcPr>
            <w:tcW w:w="1003" w:type="dxa"/>
            <w:vMerge/>
            <w:tcBorders>
              <w:left w:val="single" w:sz="13" w:space="0" w:color="D2D2D2"/>
              <w:right w:val="single" w:sz="9" w:space="0" w:color="D2D2D2"/>
            </w:tcBorders>
          </w:tcPr>
          <w:p>
            <w:pPr/>
          </w:p>
        </w:tc>
        <w:tc>
          <w:tcPr>
            <w:tcW w:w="1837"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10" w:space="0" w:color="D2D2D2"/>
              <w:bottom w:val="single" w:sz="4" w:space="0" w:color="000000"/>
              <w:right w:val="single" w:sz="10" w:space="0" w:color="D2D2D2"/>
            </w:tcBorders>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3" w:type="dxa"/>
            <w:vMerge/>
            <w:tcBorders>
              <w:left w:val="single" w:sz="9" w:space="0" w:color="D2D2D2"/>
              <w:bottom w:val="single" w:sz="4" w:space="0" w:color="000000"/>
              <w:right w:val="single" w:sz="13" w:space="0" w:color="D2D2D2"/>
            </w:tcBorders>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13" w:space="0" w:color="D2D2D2"/>
              <w:bottom w:val="single" w:sz="4" w:space="0" w:color="000000"/>
              <w:right w:val="single" w:sz="9" w:space="0" w:color="D2D2D2"/>
            </w:tcBorders>
          </w:tcPr>
          <w:p>
            <w:pPr/>
          </w:p>
        </w:tc>
        <w:tc>
          <w:tcPr>
            <w:tcW w:w="183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127"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6" w:right="4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4"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7"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4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6" w:right="10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03"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913" w:type="dxa"/>
            <w:gridSpan w:val="2"/>
            <w:vMerge/>
            <w:tcBorders>
              <w:left w:val="single" w:sz="4" w:space="0" w:color="000000"/>
              <w:right w:val="single" w:sz="4" w:space="0" w:color="000000"/>
            </w:tcBorders>
            <w:shd w:val="clear" w:color="auto" w:fill="D2D2D2"/>
          </w:tcPr>
          <w:p>
            <w:pPr/>
          </w:p>
        </w:tc>
      </w:tr>
      <w:tr>
        <w:trPr>
          <w:trHeight w:val="142"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3"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913"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6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127" w:type="dxa"/>
            <w:vMerge w:val="restart"/>
            <w:tcBorders>
              <w:top w:val="nil" w:sz="6" w:space="0" w:color="auto"/>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12.94%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161,783,504</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-17,225,400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134,256,678</w:t>
            </w:r>
          </w:p>
        </w:tc>
        <w:tc>
          <w:tcPr>
            <w:tcW w:w="98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27,526,826</w:t>
            </w:r>
          </w:p>
        </w:tc>
        <w:tc>
          <w:tcPr>
            <w:tcW w:w="850" w:type="dxa"/>
            <w:tcBorders>
              <w:top w:val="single" w:sz="49" w:space="0" w:color="D2D2D2"/>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9" w:space="0" w:color="D2D2D2"/>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157,135,201</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2,716,407</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12.94%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161,750,293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-16,202,251</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133,464,408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28,285,885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158,973,384</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61"/>
              <w:jc w:val="left"/>
              <w:rPr>
                <w:rFonts w:ascii="宋体" w:hAnsi="宋体" w:cs="宋体" w:eastAsia="宋体" w:hint="default"/>
                <w:sz w:val="18"/>
                <w:szCs w:val="18"/>
              </w:rPr>
            </w:pPr>
            <w:r>
              <w:rPr>
                <w:rFonts w:ascii="宋体" w:hAnsi="宋体" w:cs="宋体" w:eastAsia="宋体" w:hint="default"/>
                <w:sz w:val="18"/>
                <w:szCs w:val="18"/>
              </w:rPr>
              <w:t>深圳市博益投 资发展有限公</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9.15%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114,400,000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114,400,000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121"/>
        <w:gridCol w:w="723"/>
        <w:gridCol w:w="425"/>
        <w:gridCol w:w="991"/>
        <w:gridCol w:w="1136"/>
        <w:gridCol w:w="425"/>
        <w:gridCol w:w="566"/>
        <w:gridCol w:w="994"/>
        <w:gridCol w:w="425"/>
        <w:gridCol w:w="430"/>
        <w:gridCol w:w="1058"/>
      </w:tblGrid>
      <w:tr>
        <w:trPr>
          <w:trHeight w:val="3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中经汇通有限 责任公司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7.44%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92,935,042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-19,580,000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92,935,042</w:t>
            </w:r>
          </w:p>
        </w:tc>
        <w:tc>
          <w:tcPr>
            <w:tcW w:w="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87,370,000</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常州京泽永兴 </w:t>
            </w:r>
            <w:r>
              <w:rPr>
                <w:rFonts w:ascii="宋体" w:hAnsi="宋体" w:cs="宋体" w:eastAsia="宋体" w:hint="default"/>
                <w:spacing w:val="-6"/>
                <w:sz w:val="18"/>
                <w:szCs w:val="18"/>
              </w:rPr>
              <w:t>投资中心（有限</w:t>
            </w:r>
            <w:r>
              <w:rPr>
                <w:rFonts w:ascii="宋体" w:hAnsi="宋体" w:cs="宋体" w:eastAsia="宋体" w:hint="default"/>
                <w:sz w:val="18"/>
                <w:szCs w:val="18"/>
              </w:rPr>
              <w:t> 合伙）</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2.02%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25,190,959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25,190,959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25,190,959</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西部利得基金</w:t>
            </w:r>
          </w:p>
          <w:p>
            <w:pPr>
              <w:pStyle w:val="TableParagraph"/>
              <w:spacing w:line="312"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－浦发银行－ 西部利得－蓝 盾股份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期定增 资产管理计划</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0.69%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8,637,913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-1,597,100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8,637,913</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中国农业银行 股份有限公司</w:t>
            </w:r>
          </w:p>
          <w:p>
            <w:pPr>
              <w:pStyle w:val="TableParagraph"/>
              <w:spacing w:line="309"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－中证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交易 型开放式指数 证券投资基金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0.57%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7,106,236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882,836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7,106,236</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南平市瑞兴达 股权投资合伙 企业（有限合 伙）</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50" w:right="0"/>
              <w:jc w:val="left"/>
              <w:rPr>
                <w:rFonts w:ascii="Times New Roman" w:hAnsi="Times New Roman" w:cs="Times New Roman" w:eastAsia="Times New Roman" w:hint="default"/>
                <w:sz w:val="18"/>
                <w:szCs w:val="18"/>
              </w:rPr>
            </w:pPr>
            <w:r>
              <w:rPr>
                <w:rFonts w:ascii="Times New Roman"/>
                <w:sz w:val="18"/>
              </w:rPr>
              <w:t>0.57%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7,074,447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-10,160,477</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0" w:right="0"/>
              <w:jc w:val="left"/>
              <w:rPr>
                <w:rFonts w:ascii="Times New Roman" w:hAnsi="Times New Roman" w:cs="Times New Roman" w:eastAsia="Times New Roman" w:hint="default"/>
                <w:sz w:val="18"/>
                <w:szCs w:val="18"/>
              </w:rPr>
            </w:pPr>
            <w:r>
              <w:rPr>
                <w:rFonts w:ascii="Times New Roman"/>
                <w:sz w:val="18"/>
              </w:rPr>
              <w:t>6,893,970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180,477</w:t>
            </w:r>
          </w:p>
        </w:tc>
        <w:tc>
          <w:tcPr>
            <w:tcW w:w="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6,339,995</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香港中央结算 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0.56%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7,041,283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2,588,113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7,041,283</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中国证券金融 股份有限公司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0.51%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6,328,056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6,328,056</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316" w:lineRule="auto" w:before="49"/>
              <w:ind w:left="13" w:right="21"/>
              <w:jc w:val="left"/>
              <w:rPr>
                <w:rFonts w:ascii="宋体" w:hAnsi="宋体" w:cs="宋体" w:eastAsia="宋体" w:hint="default"/>
                <w:sz w:val="18"/>
                <w:szCs w:val="18"/>
              </w:rPr>
            </w:pPr>
            <w:r>
              <w:rPr>
                <w:rFonts w:ascii="宋体" w:hAnsi="宋体" w:cs="宋体" w:eastAsia="宋体" w:hint="default"/>
                <w:spacing w:val="-3"/>
                <w:sz w:val="18"/>
                <w:szCs w:val="18"/>
              </w:rPr>
              <w:t>柯宗庆、柯宗贵与中经汇通系一致行动关系。除此之外，公司未知上述其他股东之间是否存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在关联关系，也未知是否属于一致行动人。</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12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47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12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7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473"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21" w:type="dxa"/>
            <w:gridSpan w:val="3"/>
            <w:vMerge/>
            <w:tcBorders>
              <w:left w:val="single" w:sz="4" w:space="0" w:color="000000"/>
              <w:bottom w:val="nil" w:sz="6" w:space="0" w:color="auto"/>
              <w:right w:val="single" w:sz="4" w:space="0" w:color="000000"/>
            </w:tcBorders>
            <w:shd w:val="clear" w:color="auto" w:fill="D2D2D2"/>
          </w:tcPr>
          <w:p>
            <w:pPr/>
          </w:p>
        </w:tc>
        <w:tc>
          <w:tcPr>
            <w:tcW w:w="2976" w:type="dxa"/>
            <w:gridSpan w:val="4"/>
            <w:vMerge/>
            <w:tcBorders>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312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97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1488"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114,400,000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4" w:right="0"/>
              <w:jc w:val="left"/>
              <w:rPr>
                <w:rFonts w:ascii="Times New Roman" w:hAnsi="Times New Roman" w:cs="Times New Roman" w:eastAsia="Times New Roman" w:hint="default"/>
                <w:sz w:val="18"/>
                <w:szCs w:val="18"/>
              </w:rPr>
            </w:pPr>
            <w:r>
              <w:rPr>
                <w:rFonts w:ascii="Times New Roman"/>
                <w:sz w:val="18"/>
              </w:rPr>
              <w:t>114,400,000</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92,935,042</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92,935,042</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28,285,885</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28,285,885</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27,526,826</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27,526,826</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常州京泽永兴投资中心（有限合伙）</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25,190,959</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25,190,959</w:t>
            </w:r>
          </w:p>
        </w:tc>
      </w:tr>
      <w:tr>
        <w:trPr>
          <w:trHeight w:val="715"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西部利得基金－浦发银行－西部利得－ 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期定增资产管理计划</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8,637,913</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8,637,913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21"/>
        <w:gridCol w:w="2976"/>
        <w:gridCol w:w="1985"/>
        <w:gridCol w:w="1488"/>
      </w:tblGrid>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交易型开放式指数证券投资基金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7,106,236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7,106,236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7,041,283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7,041,283</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6,328,056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6,328,056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1025"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r>
              <w:rPr>
                <w:rFonts w:ascii="宋体" w:hAnsi="宋体" w:cs="宋体" w:eastAsia="宋体" w:hint="default"/>
                <w:spacing w:val="-1"/>
                <w:sz w:val="18"/>
                <w:szCs w:val="18"/>
              </w:rPr>
              <w:t>东</w:t>
            </w:r>
            <w:r>
              <w:rPr>
                <w:rFonts w:ascii="宋体" w:hAnsi="宋体" w:cs="宋体" w:eastAsia="宋体" w:hint="default"/>
                <w:sz w:val="18"/>
                <w:szCs w:val="18"/>
              </w:rPr>
              <w:t>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3"/>
              <w:ind w:left="24"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柯宗庆、柯宗贵与中经汇通系一致行动关系。除此之外，公司未知上述其他股东之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间是否存在关联关系，也未知是否属于一致行动人。</w:t>
            </w:r>
          </w:p>
        </w:tc>
      </w:tr>
      <w:tr>
        <w:trPr>
          <w:trHeight w:val="1340" w:hRule="exact"/>
        </w:trPr>
        <w:tc>
          <w:tcPr>
            <w:tcW w:w="3121"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41"/>
              <w:jc w:val="left"/>
              <w:rPr>
                <w:rFonts w:ascii="宋体" w:hAnsi="宋体" w:cs="宋体" w:eastAsia="宋体" w:hint="default"/>
                <w:sz w:val="18"/>
                <w:szCs w:val="18"/>
              </w:rPr>
            </w:pPr>
            <w:r>
              <w:rPr>
                <w:rFonts w:ascii="宋体" w:hAnsi="宋体" w:cs="宋体" w:eastAsia="宋体" w:hint="default"/>
                <w:sz w:val="18"/>
                <w:szCs w:val="18"/>
              </w:rPr>
              <w:t>参与融资融券业务股东情况说</w:t>
            </w:r>
            <w:r>
              <w:rPr>
                <w:rFonts w:ascii="宋体" w:hAnsi="宋体" w:cs="宋体" w:eastAsia="宋体" w:hint="default"/>
                <w:spacing w:val="-87"/>
                <w:sz w:val="18"/>
                <w:szCs w:val="18"/>
              </w:rPr>
              <w:t>明</w:t>
            </w:r>
            <w:r>
              <w:rPr>
                <w:rFonts w:ascii="宋体" w:hAnsi="宋体" w:cs="宋体" w:eastAsia="宋体" w:hint="default"/>
                <w:sz w:val="18"/>
                <w:szCs w:val="18"/>
              </w:rPr>
              <w:t>（如有</w:t>
            </w:r>
            <w:r>
              <w:rPr>
                <w:rFonts w:ascii="宋体" w:hAnsi="宋体" w:cs="宋体" w:eastAsia="宋体" w:hint="default"/>
                <w:spacing w:val="-33"/>
                <w:sz w:val="18"/>
                <w:szCs w:val="18"/>
              </w:rPr>
              <w:t>）</w:t>
            </w:r>
            <w:r>
              <w:rPr>
                <w:rFonts w:ascii="宋体" w:hAnsi="宋体" w:cs="宋体" w:eastAsia="宋体" w:hint="default"/>
                <w:sz w:val="18"/>
                <w:szCs w:val="18"/>
              </w:rPr>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450" w:type="dxa"/>
            <w:gridSpan w:val="3"/>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公司股东中经汇通除通过普通证券账户持有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w:t>
            </w:r>
            <w:r>
              <w:rPr>
                <w:rFonts w:ascii="宋体" w:hAnsi="宋体" w:cs="宋体" w:eastAsia="宋体" w:hint="default"/>
                <w:spacing w:val="-89"/>
                <w:sz w:val="18"/>
                <w:szCs w:val="18"/>
              </w:rPr>
              <w:t>，</w:t>
            </w:r>
            <w:r>
              <w:rPr>
                <w:rFonts w:ascii="宋体" w:hAnsi="宋体" w:cs="宋体" w:eastAsia="宋体" w:hint="default"/>
                <w:sz w:val="18"/>
                <w:szCs w:val="18"/>
              </w:rPr>
              <w:t>还通过东北证券股份</w:t>
            </w:r>
          </w:p>
          <w:p>
            <w:pPr>
              <w:pStyle w:val="TableParagraph"/>
              <w:spacing w:line="309" w:lineRule="auto" w:before="60"/>
              <w:ind w:left="16" w:right="2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65,042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92,935,042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w:t>
            </w:r>
            <w:r>
              <w:rPr>
                <w:rFonts w:ascii="宋体" w:hAnsi="宋体" w:cs="宋体" w:eastAsia="宋体" w:hint="default"/>
                <w:spacing w:val="-3"/>
                <w:sz w:val="18"/>
                <w:szCs w:val="18"/>
              </w:rPr>
              <w:t>公司股东常州京泽永兴投资中心（有限合伙）通过中信证券股份有限公司客户信用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25,190,959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25,190,959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49"/>
        <w:ind w:left="152" w:right="1133" w:firstLine="0"/>
        <w:jc w:val="left"/>
        <w:rPr>
          <w:rFonts w:ascii="宋体" w:hAnsi="宋体" w:cs="宋体" w:eastAsia="宋体" w:hint="default"/>
          <w:sz w:val="18"/>
          <w:szCs w:val="18"/>
        </w:rPr>
      </w:pPr>
      <w:r>
        <w:rPr/>
        <w:pict>
          <v:group style="position:absolute;margin-left:214.130005pt;margin-top:-49.348301pt;width:324.45pt;height:15.6pt;mso-position-horizontal-relative:page;mso-position-vertical-relative:paragraph;z-index:-1432216" coordorigin="4283,-987" coordsize="6489,312">
            <v:group style="position:absolute;left:4283;top:-987;width:6395;height:312" coordorigin="4283,-987" coordsize="6395,312">
              <v:shape style="position:absolute;left:4283;top:-987;width:6395;height:312" coordorigin="4283,-987" coordsize="6395,312" path="m4283,-675l10677,-675,10677,-987,4283,-987,4283,-675xe" filled="true" fillcolor="#ffffff" stroked="false">
                <v:path arrowok="t"/>
                <v:fill type="solid"/>
              </v:shape>
              <v:shape style="position:absolute;left:10591;top:-9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柯宗庆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年至今任本公司董事长；柯宗贵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年至今任本公司副董事长 兼总裁。</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柯宗庆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年至今任本公司董事长；柯宗贵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年至今任本公司副董事长兼总裁。</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5"/>
          <w:szCs w:val="15"/>
        </w:rPr>
      </w:pPr>
    </w:p>
    <w:p>
      <w:pPr>
        <w:spacing w:line="3390" w:lineRule="exact"/>
        <w:ind w:left="1355"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0330" cy="21526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4590330" cy="215265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9"/>
        <w:rPr>
          <w:rFonts w:ascii="宋体" w:hAnsi="宋体" w:cs="宋体" w:eastAsia="宋体" w:hint="default"/>
          <w:sz w:val="17"/>
          <w:szCs w:val="17"/>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22"/>
      <w:bookmarkEnd w:id="122"/>
      <w:r>
        <w:rPr>
          <w:b w:val="0"/>
          <w:bCs w:val="0"/>
        </w:rPr>
      </w:r>
      <w:bookmarkStart w:name="_bookmark6" w:id="123"/>
      <w:bookmarkEnd w:id="123"/>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24"/>
      <w:bookmarkEnd w:id="124"/>
      <w:r>
        <w:rPr>
          <w:b w:val="0"/>
          <w:bCs w:val="0"/>
        </w:rPr>
      </w:r>
      <w:bookmarkStart w:name="_bookmark7" w:id="125"/>
      <w:bookmarkEnd w:id="125"/>
      <w:r>
        <w:rPr>
          <w:b w:val="0"/>
          <w:bCs w:val="0"/>
        </w:rPr>
      </w:r>
      <w:r>
        <w:rPr/>
        <w:t>第八节可转换公司债券相关情况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一、转股价格历次调整情况" w:id="126"/>
      <w:bookmarkEnd w:id="126"/>
      <w:r>
        <w:rPr>
          <w:b w:val="0"/>
          <w:bCs w:val="0"/>
        </w:rPr>
      </w:r>
      <w:r>
        <w:rPr/>
        <w:t>一、转股价格历次调整情况</w:t>
      </w:r>
      <w:r>
        <w:rPr>
          <w:b w:val="0"/>
          <w:bCs w:val="0"/>
        </w:rPr>
      </w:r>
    </w:p>
    <w:p>
      <w:pPr>
        <w:spacing w:line="240" w:lineRule="auto" w:before="7"/>
        <w:rPr>
          <w:rFonts w:ascii="宋体" w:hAnsi="宋体" w:cs="宋体" w:eastAsia="宋体" w:hint="default"/>
          <w:b/>
          <w:bCs/>
          <w:sz w:val="31"/>
          <w:szCs w:val="31"/>
        </w:rPr>
      </w:pPr>
    </w:p>
    <w:p>
      <w:pPr>
        <w:pStyle w:val="BodyText"/>
        <w:spacing w:line="331" w:lineRule="auto"/>
        <w:ind w:right="982" w:firstLine="420"/>
        <w:jc w:val="left"/>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日公开发行了</w:t>
      </w:r>
      <w:r>
        <w:rPr>
          <w:rFonts w:ascii="Times New Roman" w:hAnsi="Times New Roman" w:cs="Times New Roman" w:eastAsia="Times New Roman" w:hint="default"/>
          <w:spacing w:val="-3"/>
        </w:rPr>
        <w:t>538</w:t>
      </w:r>
      <w:r>
        <w:rPr>
          <w:spacing w:val="-3"/>
        </w:rPr>
        <w:t>万张可转换公司债券，每张面值</w:t>
      </w:r>
      <w:r>
        <w:rPr>
          <w:rFonts w:ascii="Times New Roman" w:hAnsi="Times New Roman" w:cs="Times New Roman" w:eastAsia="Times New Roman" w:hint="default"/>
          <w:spacing w:val="-3"/>
        </w:rPr>
        <w:t>100</w:t>
      </w:r>
      <w:r>
        <w:rPr>
          <w:spacing w:val="-3"/>
        </w:rPr>
        <w:t>元，发行总额</w:t>
      </w:r>
      <w:r>
        <w:rPr>
          <w:rFonts w:ascii="Times New Roman" w:hAnsi="Times New Roman" w:cs="Times New Roman" w:eastAsia="Times New Roman" w:hint="default"/>
          <w:spacing w:val="-3"/>
        </w:rPr>
        <w:t>53,800</w:t>
      </w:r>
      <w:r>
        <w:rPr>
          <w:spacing w:val="-3"/>
        </w:rPr>
        <w:t>万元，</w:t>
      </w:r>
      <w:r>
        <w:rPr>
          <w:w w:val="100"/>
        </w:rPr>
        <w:t> </w:t>
      </w:r>
      <w:r>
        <w:rPr>
          <w:spacing w:val="-4"/>
        </w:rPr>
        <w:t>期限</w:t>
      </w:r>
      <w:r>
        <w:rPr>
          <w:rFonts w:ascii="Times New Roman" w:hAnsi="Times New Roman" w:cs="Times New Roman" w:eastAsia="Times New Roman" w:hint="default"/>
          <w:spacing w:val="-4"/>
        </w:rPr>
        <w:t>6</w:t>
      </w:r>
      <w:r>
        <w:rPr>
          <w:spacing w:val="-4"/>
        </w:rPr>
        <w:t>年。公司可转换公司债券已于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13</w:t>
      </w:r>
      <w:r>
        <w:rPr>
          <w:spacing w:val="-4"/>
        </w:rPr>
        <w:t>日在深圳证券交易所挂牌交易上市，债券简称</w:t>
      </w:r>
      <w:r>
        <w:rPr>
          <w:rFonts w:ascii="Times New Roman" w:hAnsi="Times New Roman" w:cs="Times New Roman" w:eastAsia="Times New Roman" w:hint="default"/>
          <w:spacing w:val="-4"/>
        </w:rPr>
        <w:t>“</w:t>
      </w:r>
      <w:r>
        <w:rPr>
          <w:spacing w:val="-4"/>
        </w:rPr>
        <w:t>蓝盾转债</w:t>
      </w:r>
      <w:r>
        <w:rPr>
          <w:rFonts w:ascii="Times New Roman" w:hAnsi="Times New Roman" w:cs="Times New Roman" w:eastAsia="Times New Roman" w:hint="default"/>
          <w:spacing w:val="-4"/>
        </w:rPr>
        <w:t>”</w:t>
      </w:r>
      <w:r>
        <w:rPr>
          <w:spacing w:val="-4"/>
        </w:rPr>
        <w:t>，</w:t>
      </w:r>
      <w:r>
        <w:rPr>
          <w:spacing w:val="-12"/>
        </w:rPr>
        <w:t> </w:t>
      </w:r>
      <w:r>
        <w:rPr/>
        <w:t>债券代码</w:t>
      </w:r>
      <w:r>
        <w:rPr>
          <w:rFonts w:ascii="Times New Roman" w:hAnsi="Times New Roman" w:cs="Times New Roman" w:eastAsia="Times New Roman" w:hint="default"/>
        </w:rPr>
        <w:t>“</w:t>
      </w:r>
      <w:r>
        <w:rPr>
          <w:rFonts w:ascii="Times New Roman" w:hAnsi="Times New Roman" w:cs="Times New Roman" w:eastAsia="Times New Roman" w:hint="default"/>
        </w:rPr>
        <w:t>123015</w:t>
      </w:r>
      <w:r>
        <w:rPr>
          <w:rFonts w:ascii="Times New Roman" w:hAnsi="Times New Roman" w:cs="Times New Roman" w:eastAsia="Times New Roman" w:hint="default"/>
        </w:rPr>
        <w:t>”</w:t>
      </w:r>
      <w:r>
        <w:rPr/>
        <w:t>。根据相关规定和公司《创业板公开发行可转换公司债券募集说明书》约定，公司本次</w:t>
      </w:r>
      <w:r>
        <w:rPr>
          <w:w w:val="100"/>
        </w:rPr>
        <w:t> </w:t>
      </w:r>
      <w:r>
        <w:rPr/>
        <w:t>发行的</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日起可转换为公司股份，初始转股价格为</w:t>
      </w:r>
      <w:r>
        <w:rPr>
          <w:rFonts w:ascii="Times New Roman" w:hAnsi="Times New Roman" w:cs="Times New Roman" w:eastAsia="Times New Roman" w:hint="default"/>
        </w:rPr>
        <w:t>7.89</w:t>
      </w:r>
      <w:r>
        <w:rPr/>
        <w:t>元</w:t>
      </w:r>
      <w:r>
        <w:rPr>
          <w:rFonts w:ascii="Times New Roman" w:hAnsi="Times New Roman" w:cs="Times New Roman" w:eastAsia="Times New Roman" w:hint="default"/>
        </w:rPr>
        <w:t>/</w:t>
      </w:r>
      <w:r>
        <w:rPr/>
        <w:t>股。鉴于公司股价已经</w:t>
      </w:r>
      <w:r>
        <w:rPr>
          <w:spacing w:val="-10"/>
        </w:rPr>
        <w:t> </w:t>
      </w:r>
      <w:r>
        <w:rPr>
          <w:spacing w:val="-10"/>
        </w:rPr>
      </w:r>
      <w:r>
        <w:rPr/>
        <w:t>出现任意连续三十个交易日中有十五个交易日的收盘价低于当期转股价格的</w:t>
      </w:r>
      <w:r>
        <w:rPr>
          <w:rFonts w:ascii="Times New Roman" w:hAnsi="Times New Roman" w:cs="Times New Roman" w:eastAsia="Times New Roman" w:hint="default"/>
        </w:rPr>
        <w:t>85%</w:t>
      </w:r>
      <w:r>
        <w:rPr/>
        <w:t>（</w:t>
      </w:r>
      <w:r>
        <w:rPr>
          <w:rFonts w:ascii="Times New Roman" w:hAnsi="Times New Roman" w:cs="Times New Roman" w:eastAsia="Times New Roman" w:hint="default"/>
        </w:rPr>
        <w:t>7.89</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×85%=6.7065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3"/>
        </w:rPr>
        <w:t>元</w:t>
      </w:r>
      <w:r>
        <w:rPr>
          <w:rFonts w:ascii="Times New Roman" w:hAnsi="Times New Roman" w:cs="Times New Roman" w:eastAsia="Times New Roman" w:hint="default"/>
          <w:spacing w:val="-3"/>
        </w:rPr>
        <w:t>/</w:t>
      </w:r>
      <w:r>
        <w:rPr>
          <w:spacing w:val="-3"/>
        </w:rPr>
        <w:t>股），为优化公司资本结构、支持公司的长期发展，公司于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日召开</w:t>
      </w:r>
      <w:r>
        <w:rPr>
          <w:rFonts w:ascii="Times New Roman" w:hAnsi="Times New Roman" w:cs="Times New Roman" w:eastAsia="Times New Roman" w:hint="default"/>
          <w:spacing w:val="-3"/>
        </w:rPr>
        <w:t>2018</w:t>
      </w:r>
      <w:r>
        <w:rPr>
          <w:spacing w:val="-3"/>
        </w:rPr>
        <w:t>年第六次临时股东</w:t>
      </w:r>
      <w:r>
        <w:rPr>
          <w:spacing w:val="-41"/>
        </w:rPr>
        <w:t> </w:t>
      </w:r>
      <w:r>
        <w:rPr>
          <w:spacing w:val="-41"/>
        </w:rPr>
      </w:r>
      <w:r>
        <w:rPr/>
        <w:t>大会及第四届董事会第九次（临时）会议，审议通过了向下修正</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转股价格的相关议案，决议自</w:t>
      </w:r>
      <w:r>
        <w:rPr>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日起将</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转股价格由原</w:t>
      </w:r>
      <w:r>
        <w:rPr>
          <w:rFonts w:ascii="Times New Roman" w:hAnsi="Times New Roman" w:cs="Times New Roman" w:eastAsia="Times New Roman" w:hint="default"/>
        </w:rPr>
        <w:t>7.89/</w:t>
      </w:r>
      <w:r>
        <w:rPr/>
        <w:t>股向下修正为</w:t>
      </w:r>
      <w:r>
        <w:rPr>
          <w:rFonts w:ascii="Times New Roman" w:hAnsi="Times New Roman" w:cs="Times New Roman" w:eastAsia="Times New Roman" w:hint="default"/>
        </w:rPr>
        <w:t>5.82</w:t>
      </w:r>
      <w:r>
        <w:rPr/>
        <w:t>元</w:t>
      </w:r>
      <w:r>
        <w:rPr>
          <w:rFonts w:ascii="Times New Roman" w:hAnsi="Times New Roman" w:cs="Times New Roman" w:eastAsia="Times New Roman" w:hint="default"/>
        </w:rPr>
        <w:t>/</w:t>
      </w:r>
      <w:r>
        <w:rPr/>
        <w:t>股。</w:t>
      </w:r>
    </w:p>
    <w:p>
      <w:pPr>
        <w:pStyle w:val="BodyText"/>
        <w:spacing w:line="328" w:lineRule="auto" w:before="60"/>
        <w:ind w:right="1131" w:firstLine="420"/>
        <w:jc w:val="both"/>
      </w:pPr>
      <w:r>
        <w:rPr>
          <w:rFonts w:ascii="Times New Roman" w:hAnsi="Times New Roman" w:cs="Times New Roman" w:eastAsia="Times New Roman" w:hint="default"/>
        </w:rPr>
        <w:t>2</w:t>
      </w:r>
      <w:r>
        <w:rPr/>
        <w:t>、公司已于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日在中国结算深圳分公司完成了部分限制性股票的回购和注销登记手续。根</w:t>
      </w:r>
      <w:r>
        <w:rPr>
          <w:w w:val="100"/>
        </w:rPr>
        <w:t> </w:t>
      </w:r>
      <w:r>
        <w:rPr>
          <w:spacing w:val="-1"/>
        </w:rPr>
        <w:t>据相关规定，公司需对</w:t>
      </w:r>
      <w:r>
        <w:rPr>
          <w:rFonts w:ascii="Times New Roman" w:hAnsi="Times New Roman" w:cs="Times New Roman" w:eastAsia="Times New Roman" w:hint="default"/>
          <w:spacing w:val="-1"/>
        </w:rPr>
        <w:t>“</w:t>
      </w:r>
      <w:r>
        <w:rPr>
          <w:spacing w:val="-1"/>
        </w:rPr>
        <w:t>蓝盾转债</w:t>
      </w:r>
      <w:r>
        <w:rPr>
          <w:rFonts w:ascii="Times New Roman" w:hAnsi="Times New Roman" w:cs="Times New Roman" w:eastAsia="Times New Roman" w:hint="default"/>
          <w:spacing w:val="-1"/>
        </w:rPr>
        <w:t>”</w:t>
      </w:r>
      <w:r>
        <w:rPr>
          <w:spacing w:val="-1"/>
        </w:rPr>
        <w:t>转股价格进行调整，但由于所回购股份对总股本影响较小，</w:t>
      </w:r>
      <w:r>
        <w:rPr>
          <w:rFonts w:ascii="Times New Roman" w:hAnsi="Times New Roman" w:cs="Times New Roman" w:eastAsia="Times New Roman" w:hint="default"/>
          <w:spacing w:val="-1"/>
        </w:rPr>
        <w:t>“</w:t>
      </w:r>
      <w:r>
        <w:rPr>
          <w:spacing w:val="-1"/>
        </w:rPr>
        <w:t>蓝盾转债</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1"/>
        </w:rPr>
        <w:t> </w:t>
      </w:r>
      <w:r>
        <w:rPr/>
        <w:t>转股价格调整后仍为人民币</w:t>
      </w:r>
      <w:r>
        <w:rPr>
          <w:rFonts w:ascii="Times New Roman" w:hAnsi="Times New Roman" w:cs="Times New Roman" w:eastAsia="Times New Roman" w:hint="default"/>
        </w:rPr>
        <w:t>5.82</w:t>
      </w:r>
      <w:r>
        <w:rPr/>
        <w:t>元</w:t>
      </w:r>
      <w:r>
        <w:rPr>
          <w:rFonts w:ascii="Times New Roman" w:hAnsi="Times New Roman" w:cs="Times New Roman" w:eastAsia="Times New Roman" w:hint="default"/>
        </w:rPr>
        <w:t>/</w:t>
      </w:r>
      <w:r>
        <w:rPr/>
        <w:t>股，即调整前后转股价格不变，故本次可转债转股价格不需要调整。</w:t>
      </w:r>
    </w:p>
    <w:p>
      <w:pPr>
        <w:pStyle w:val="BodyText"/>
        <w:spacing w:line="331" w:lineRule="auto" w:before="24"/>
        <w:ind w:right="1028" w:firstLine="420"/>
        <w:jc w:val="left"/>
      </w:pPr>
      <w:r>
        <w:rPr>
          <w:rFonts w:ascii="Times New Roman" w:hAnsi="Times New Roman" w:cs="Times New Roman" w:eastAsia="Times New Roman" w:hint="default"/>
          <w:spacing w:val="-2"/>
        </w:rPr>
        <w:t>3</w:t>
      </w:r>
      <w:r>
        <w:rPr>
          <w:spacing w:val="-2"/>
        </w:rPr>
        <w:t>、鉴于公司实施了</w:t>
      </w:r>
      <w:r>
        <w:rPr>
          <w:rFonts w:ascii="Times New Roman" w:hAnsi="Times New Roman" w:cs="Times New Roman" w:eastAsia="Times New Roman" w:hint="default"/>
          <w:spacing w:val="-2"/>
        </w:rPr>
        <w:t>2018</w:t>
      </w:r>
      <w:r>
        <w:rPr>
          <w:spacing w:val="-2"/>
        </w:rPr>
        <w:t>年年度权益分派方案（向全体股东每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0.319895</w:t>
      </w:r>
      <w:r>
        <w:rPr>
          <w:spacing w:val="-2"/>
        </w:rPr>
        <w:t>元（含税），</w:t>
      </w:r>
      <w:r>
        <w:rPr>
          <w:w w:val="100"/>
        </w:rPr>
        <w:t> </w:t>
      </w:r>
      <w:r>
        <w:rPr>
          <w:spacing w:val="-6"/>
        </w:rPr>
        <w:t>权益分派股权登记日为</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18</w:t>
      </w:r>
      <w:r>
        <w:rPr>
          <w:spacing w:val="-6"/>
        </w:rPr>
        <w:t>日），根据《募集说明书》相关条款，</w:t>
      </w:r>
      <w:r>
        <w:rPr>
          <w:rFonts w:ascii="Times New Roman" w:hAnsi="Times New Roman" w:cs="Times New Roman" w:eastAsia="Times New Roman" w:hint="default"/>
          <w:spacing w:val="-6"/>
        </w:rPr>
        <w:t>“</w:t>
      </w:r>
      <w:r>
        <w:rPr>
          <w:spacing w:val="-6"/>
        </w:rPr>
        <w:t>蓝盾转债</w:t>
      </w:r>
      <w:r>
        <w:rPr>
          <w:rFonts w:ascii="Times New Roman" w:hAnsi="Times New Roman" w:cs="Times New Roman" w:eastAsia="Times New Roman" w:hint="default"/>
          <w:spacing w:val="-6"/>
        </w:rPr>
        <w:t>”</w:t>
      </w:r>
      <w:r>
        <w:rPr>
          <w:spacing w:val="-6"/>
        </w:rPr>
        <w:t>的转股价格调整如下：</w:t>
      </w:r>
      <w:r>
        <w:rPr>
          <w:spacing w:val="-21"/>
        </w:rPr>
        <w:t> </w:t>
      </w:r>
      <w:r>
        <w:rPr>
          <w:spacing w:val="-21"/>
        </w:rPr>
      </w:r>
      <w:r>
        <w:rPr>
          <w:rFonts w:ascii="Times New Roman" w:hAnsi="Times New Roman" w:cs="Times New Roman" w:eastAsia="Times New Roman" w:hint="default"/>
          <w:spacing w:val="-2"/>
        </w:rPr>
        <w:t>P1=P0-D=5.82-0.0319895=5.79</w:t>
      </w:r>
      <w:r>
        <w:rPr>
          <w:spacing w:val="-2"/>
        </w:rPr>
        <w:t>元</w:t>
      </w:r>
      <w:r>
        <w:rPr>
          <w:rFonts w:ascii="Times New Roman" w:hAnsi="Times New Roman" w:cs="Times New Roman" w:eastAsia="Times New Roman" w:hint="default"/>
          <w:spacing w:val="-2"/>
        </w:rPr>
        <w:t>/</w:t>
      </w:r>
      <w:r>
        <w:rPr>
          <w:spacing w:val="-2"/>
        </w:rPr>
        <w:t>股。因此，</w:t>
      </w:r>
      <w:r>
        <w:rPr>
          <w:rFonts w:ascii="Times New Roman" w:hAnsi="Times New Roman" w:cs="Times New Roman" w:eastAsia="Times New Roman" w:hint="default"/>
          <w:spacing w:val="-2"/>
        </w:rPr>
        <w:t>“</w:t>
      </w:r>
      <w:r>
        <w:rPr>
          <w:spacing w:val="-2"/>
        </w:rPr>
        <w:t>蓝盾转债</w:t>
      </w:r>
      <w:r>
        <w:rPr>
          <w:rFonts w:ascii="Times New Roman" w:hAnsi="Times New Roman" w:cs="Times New Roman" w:eastAsia="Times New Roman" w:hint="default"/>
          <w:spacing w:val="-2"/>
        </w:rPr>
        <w:t>”</w:t>
      </w:r>
      <w:r>
        <w:rPr>
          <w:spacing w:val="-2"/>
        </w:rPr>
        <w:t>的转股价格调整为</w:t>
      </w:r>
      <w:r>
        <w:rPr>
          <w:rFonts w:ascii="Times New Roman" w:hAnsi="Times New Roman" w:cs="Times New Roman" w:eastAsia="Times New Roman" w:hint="default"/>
          <w:spacing w:val="-2"/>
        </w:rPr>
        <w:t>5.79</w:t>
      </w:r>
      <w:r>
        <w:rPr>
          <w:spacing w:val="-2"/>
        </w:rPr>
        <w:t>元</w:t>
      </w:r>
      <w:r>
        <w:rPr>
          <w:rFonts w:ascii="Times New Roman" w:hAnsi="Times New Roman" w:cs="Times New Roman" w:eastAsia="Times New Roman" w:hint="default"/>
          <w:spacing w:val="-2"/>
        </w:rPr>
        <w:t>/</w:t>
      </w:r>
      <w:r>
        <w:rPr>
          <w:spacing w:val="-2"/>
        </w:rPr>
        <w:t>股，调整后的转股价格自</w:t>
      </w:r>
      <w:r>
        <w:rPr>
          <w:spacing w:val="-44"/>
        </w:rPr>
        <w:t> </w:t>
      </w:r>
      <w:r>
        <w:rPr>
          <w:spacing w:val="-44"/>
        </w:rPr>
      </w:r>
      <w:r>
        <w:rPr>
          <w:rFonts w:ascii="Times New Roman" w:hAnsi="Times New Roman" w:cs="Times New Roman" w:eastAsia="Times New Roman" w:hint="default"/>
          <w:spacing w:val="-6"/>
          <w:w w:val="100"/>
        </w:rPr>
        <w:t>2019</w:t>
      </w:r>
      <w:r>
        <w:rPr>
          <w:spacing w:val="-6"/>
          <w:w w:val="100"/>
        </w:rPr>
        <w:t>年</w:t>
      </w:r>
      <w:r>
        <w:rPr>
          <w:rFonts w:ascii="Times New Roman" w:hAnsi="Times New Roman" w:cs="Times New Roman" w:eastAsia="Times New Roman" w:hint="default"/>
          <w:spacing w:val="-6"/>
          <w:w w:val="100"/>
        </w:rPr>
        <w:t>7</w:t>
      </w:r>
      <w:r>
        <w:rPr>
          <w:spacing w:val="-6"/>
          <w:w w:val="100"/>
        </w:rPr>
        <w:t>月</w:t>
      </w:r>
      <w:r>
        <w:rPr>
          <w:rFonts w:ascii="Times New Roman" w:hAnsi="Times New Roman" w:cs="Times New Roman" w:eastAsia="Times New Roman" w:hint="default"/>
          <w:spacing w:val="-6"/>
          <w:w w:val="100"/>
        </w:rPr>
        <w:t>19</w:t>
      </w:r>
      <w:r>
        <w:rPr>
          <w:spacing w:val="-6"/>
          <w:w w:val="100"/>
        </w:rPr>
        <w:t>日起生效。具体内容详见公司于</w:t>
      </w:r>
      <w:r>
        <w:rPr>
          <w:rFonts w:ascii="Times New Roman" w:hAnsi="Times New Roman" w:cs="Times New Roman" w:eastAsia="Times New Roman" w:hint="default"/>
          <w:spacing w:val="-6"/>
          <w:w w:val="100"/>
        </w:rPr>
        <w:t>2019</w:t>
      </w:r>
      <w:r>
        <w:rPr>
          <w:spacing w:val="-6"/>
          <w:w w:val="100"/>
        </w:rPr>
        <w:t>年</w:t>
      </w:r>
      <w:r>
        <w:rPr>
          <w:rFonts w:ascii="Times New Roman" w:hAnsi="Times New Roman" w:cs="Times New Roman" w:eastAsia="Times New Roman" w:hint="default"/>
          <w:spacing w:val="-6"/>
          <w:w w:val="100"/>
        </w:rPr>
        <w:t>7</w:t>
      </w:r>
      <w:r>
        <w:rPr>
          <w:spacing w:val="-6"/>
          <w:w w:val="100"/>
        </w:rPr>
        <w:t>月</w:t>
      </w:r>
      <w:r>
        <w:rPr>
          <w:rFonts w:ascii="Times New Roman" w:hAnsi="Times New Roman" w:cs="Times New Roman" w:eastAsia="Times New Roman" w:hint="default"/>
          <w:spacing w:val="-6"/>
          <w:w w:val="100"/>
        </w:rPr>
        <w:t>12</w:t>
      </w:r>
      <w:r>
        <w:rPr>
          <w:spacing w:val="-6"/>
          <w:w w:val="100"/>
        </w:rPr>
        <w:t>日披露的《关于可转债转股价格调整的公告》（编</w:t>
      </w:r>
      <w:r>
        <w:rPr>
          <w:spacing w:val="-86"/>
          <w:w w:val="100"/>
        </w:rPr>
        <w:t> </w:t>
      </w:r>
      <w:r>
        <w:rPr>
          <w:spacing w:val="-86"/>
          <w:w w:val="100"/>
        </w:rPr>
      </w:r>
      <w:r>
        <w:rPr/>
        <w:t>号</w:t>
      </w:r>
      <w:r>
        <w:rPr>
          <w:rFonts w:ascii="Times New Roman" w:hAnsi="Times New Roman" w:cs="Times New Roman" w:eastAsia="Times New Roman" w:hint="default"/>
        </w:rPr>
        <w:t>2019-071</w:t>
      </w:r>
      <w:r>
        <w:rPr/>
        <w:t>）。</w:t>
      </w:r>
    </w:p>
    <w:p>
      <w:pPr>
        <w:pStyle w:val="BodyText"/>
        <w:spacing w:line="240" w:lineRule="auto" w:before="60"/>
        <w:ind w:left="573" w:right="1133"/>
        <w:jc w:val="left"/>
      </w:pPr>
      <w:r>
        <w:rPr/>
        <w:t>经上述调整后，</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最新的转股价格为</w:t>
      </w:r>
      <w:r>
        <w:rPr>
          <w:rFonts w:ascii="Times New Roman" w:hAnsi="Times New Roman" w:cs="Times New Roman" w:eastAsia="Times New Roman" w:hint="default"/>
        </w:rPr>
        <w:t>5.79</w:t>
      </w:r>
      <w:r>
        <w:rPr/>
        <w:t>元</w:t>
      </w:r>
      <w:r>
        <w:rPr>
          <w:rFonts w:ascii="Times New Roman" w:hAnsi="Times New Roman" w:cs="Times New Roman" w:eastAsia="Times New Roman" w:hint="default"/>
        </w:rPr>
        <w:t>/</w:t>
      </w:r>
      <w:r>
        <w:rPr/>
        <w:t>股。</w:t>
      </w:r>
    </w:p>
    <w:p>
      <w:pPr>
        <w:spacing w:line="240" w:lineRule="auto" w:before="8"/>
        <w:rPr>
          <w:rFonts w:ascii="宋体" w:hAnsi="宋体" w:cs="宋体" w:eastAsia="宋体" w:hint="default"/>
          <w:sz w:val="22"/>
          <w:szCs w:val="22"/>
        </w:rPr>
      </w:pPr>
    </w:p>
    <w:p>
      <w:pPr>
        <w:pStyle w:val="Heading2"/>
        <w:spacing w:line="240" w:lineRule="auto"/>
        <w:ind w:right="1133"/>
        <w:jc w:val="left"/>
        <w:rPr>
          <w:b w:val="0"/>
          <w:bCs w:val="0"/>
        </w:rPr>
      </w:pPr>
      <w:bookmarkStart w:name="二、累计转股情况" w:id="127"/>
      <w:bookmarkEnd w:id="127"/>
      <w:r>
        <w:rPr>
          <w:b w:val="0"/>
          <w:bCs w:val="0"/>
        </w:rPr>
      </w:r>
      <w:r>
        <w:rPr/>
        <w:t>二、累计转股情况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850"/>
        <w:gridCol w:w="1279"/>
        <w:gridCol w:w="1275"/>
        <w:gridCol w:w="991"/>
        <w:gridCol w:w="991"/>
        <w:gridCol w:w="1277"/>
        <w:gridCol w:w="780"/>
      </w:tblGrid>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转债简称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转股起止日 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发行总量</w:t>
            </w:r>
          </w:p>
          <w:p>
            <w:pPr>
              <w:pStyle w:val="TableParagraph"/>
              <w:spacing w:line="240" w:lineRule="auto" w:before="76"/>
              <w:ind w:left="151"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发行总金额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累计转股金额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累计转股数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转股数量占 转股开始日 前公司已发 行股份总额 的比例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尚未转股金额</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未转股金 额占发行 总金额的 比例</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蓝盾转债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5,380,000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538,000,000.00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437,509,000.00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75,172,290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100,491,000.00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18.68%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前十名可转债持有人情况" w:id="128"/>
      <w:bookmarkEnd w:id="128"/>
      <w:r>
        <w:rPr>
          <w:b w:val="0"/>
          <w:bCs w:val="0"/>
        </w:rPr>
      </w:r>
      <w:r>
        <w:rPr/>
        <w:t>三、前十名可转债持有人情况</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44"/>
        <w:gridCol w:w="2635"/>
        <w:gridCol w:w="1594"/>
        <w:gridCol w:w="1596"/>
        <w:gridCol w:w="1594"/>
        <w:gridCol w:w="1594"/>
      </w:tblGrid>
      <w:tr>
        <w:trPr>
          <w:trHeight w:val="161" w:hRule="exact"/>
        </w:trPr>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1" w:right="72" w:hanging="180"/>
              <w:jc w:val="left"/>
              <w:rPr>
                <w:rFonts w:ascii="宋体" w:hAnsi="宋体" w:cs="宋体" w:eastAsia="宋体" w:hint="default"/>
                <w:sz w:val="18"/>
                <w:szCs w:val="18"/>
              </w:rPr>
            </w:pPr>
            <w:r>
              <w:rPr>
                <w:rFonts w:ascii="宋体" w:hAnsi="宋体" w:cs="宋体" w:eastAsia="宋体" w:hint="default"/>
                <w:sz w:val="18"/>
                <w:szCs w:val="18"/>
              </w:rPr>
              <w:t>报告期末持有可转 债数量（张）</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1" w:right="70" w:hanging="180"/>
              <w:jc w:val="left"/>
              <w:rPr>
                <w:rFonts w:ascii="宋体" w:hAnsi="宋体" w:cs="宋体" w:eastAsia="宋体" w:hint="default"/>
                <w:sz w:val="18"/>
                <w:szCs w:val="18"/>
              </w:rPr>
            </w:pPr>
            <w:r>
              <w:rPr>
                <w:rFonts w:ascii="宋体" w:hAnsi="宋体" w:cs="宋体" w:eastAsia="宋体" w:hint="default"/>
                <w:sz w:val="18"/>
                <w:szCs w:val="18"/>
              </w:rPr>
              <w:t>报告期末持有可转 债金额（元）</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报告期末持有可转 债占比</w:t>
            </w:r>
          </w:p>
        </w:tc>
      </w:tr>
      <w:tr>
        <w:trPr>
          <w:trHeight w:val="394" w:hRule="exact"/>
        </w:trPr>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8" w:right="0"/>
              <w:jc w:val="left"/>
              <w:rPr>
                <w:rFonts w:ascii="宋体" w:hAnsi="宋体" w:cs="宋体" w:eastAsia="宋体" w:hint="default"/>
                <w:sz w:val="18"/>
                <w:szCs w:val="18"/>
              </w:rPr>
            </w:pPr>
            <w:r>
              <w:rPr>
                <w:rFonts w:ascii="宋体" w:hAnsi="宋体" w:cs="宋体" w:eastAsia="宋体" w:hint="default"/>
                <w:sz w:val="18"/>
                <w:szCs w:val="18"/>
              </w:rPr>
              <w:t>可转债持有人名称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可转债持有人性质</w:t>
            </w: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26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红塔证券股份有限公司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9,707,800.00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w:t>
            </w:r>
          </w:p>
        </w:tc>
      </w:tr>
      <w:tr>
        <w:trPr>
          <w:trHeight w:val="161" w:hRule="exact"/>
        </w:trPr>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35" w:type="dxa"/>
            <w:vMerge w:val="restart"/>
            <w:tcBorders>
              <w:top w:val="single" w:sz="4" w:space="0" w:color="000000"/>
              <w:left w:val="single" w:sz="10" w:space="0" w:color="D2D2D2"/>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华安证券－光大－华安理财合赢</w:t>
            </w:r>
          </w:p>
          <w:p>
            <w:pPr>
              <w:pStyle w:val="TableParagraph"/>
              <w:spacing w:line="240" w:lineRule="auto" w:before="76"/>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号债券分级集合资产管理计划</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47,605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4,760,500.00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w:t>
            </w:r>
          </w:p>
        </w:tc>
      </w:tr>
      <w:tr>
        <w:trPr>
          <w:trHeight w:val="394" w:hRule="exact"/>
        </w:trPr>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2635"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35"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17" w:hRule="exact"/>
        </w:trPr>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35" w:type="dxa"/>
            <w:vMerge w:val="restart"/>
            <w:tcBorders>
              <w:top w:val="single" w:sz="4" w:space="0" w:color="000000"/>
              <w:left w:val="single" w:sz="10" w:space="0" w:color="D2D2D2"/>
              <w:right w:val="single" w:sz="4" w:space="0" w:color="000000"/>
            </w:tcBorders>
          </w:tcPr>
          <w:p>
            <w:pPr>
              <w:pStyle w:val="TableParagraph"/>
              <w:spacing w:line="309" w:lineRule="auto" w:before="49"/>
              <w:ind w:left="27" w:right="20"/>
              <w:jc w:val="both"/>
              <w:rPr>
                <w:rFonts w:ascii="宋体" w:hAnsi="宋体" w:cs="宋体" w:eastAsia="宋体" w:hint="default"/>
                <w:sz w:val="18"/>
                <w:szCs w:val="18"/>
              </w:rPr>
            </w:pPr>
            <w:r>
              <w:rPr>
                <w:rFonts w:ascii="宋体" w:hAnsi="宋体" w:cs="宋体" w:eastAsia="宋体" w:hint="default"/>
                <w:sz w:val="18"/>
                <w:szCs w:val="18"/>
              </w:rPr>
              <w:t>兴业国际信托有限公司－兴业信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兴赢可转债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号集合资金信托 计划</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40,797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4,079,700.00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r>
      <w:tr>
        <w:trPr>
          <w:trHeight w:val="391" w:hRule="exact"/>
        </w:trPr>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2635"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35"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35"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68"/>
              <w:jc w:val="left"/>
              <w:rPr>
                <w:rFonts w:ascii="宋体" w:hAnsi="宋体" w:cs="宋体" w:eastAsia="宋体" w:hint="default"/>
                <w:sz w:val="18"/>
                <w:szCs w:val="18"/>
              </w:rPr>
            </w:pPr>
            <w:r>
              <w:rPr>
                <w:rFonts w:ascii="宋体" w:hAnsi="宋体" w:cs="宋体" w:eastAsia="宋体" w:hint="default"/>
                <w:sz w:val="18"/>
                <w:szCs w:val="18"/>
              </w:rPr>
              <w:t>招商银行股份有限公司－诺安双 利债券型发起式证券投资基金</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37,551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3,755,100.00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w:t>
            </w:r>
          </w:p>
        </w:tc>
      </w:tr>
      <w:tr>
        <w:trPr>
          <w:trHeight w:val="394" w:hRule="exact"/>
        </w:trPr>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2635"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35"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35"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68"/>
              <w:jc w:val="left"/>
              <w:rPr>
                <w:rFonts w:ascii="宋体" w:hAnsi="宋体" w:cs="宋体" w:eastAsia="宋体" w:hint="default"/>
                <w:sz w:val="18"/>
                <w:szCs w:val="18"/>
              </w:rPr>
            </w:pPr>
            <w:r>
              <w:rPr>
                <w:rFonts w:ascii="宋体" w:hAnsi="宋体" w:cs="宋体" w:eastAsia="宋体" w:hint="default"/>
                <w:sz w:val="18"/>
                <w:szCs w:val="18"/>
              </w:rPr>
              <w:t>太平养老金溢盈固定收益型养老 金产品－交通银行股份有限公司</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34,964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3,496,400.00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w:t>
            </w:r>
          </w:p>
        </w:tc>
      </w:tr>
      <w:tr>
        <w:trPr>
          <w:trHeight w:val="391" w:hRule="exact"/>
        </w:trPr>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2635"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35"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6</w:t>
            </w:r>
          </w:p>
        </w:tc>
        <w:tc>
          <w:tcPr>
            <w:tcW w:w="26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10"/>
                <w:sz w:val="18"/>
              </w:rPr>
              <w:t> </w:t>
            </w:r>
            <w:r>
              <w:rPr>
                <w:rFonts w:ascii="Times New Roman"/>
                <w:sz w:val="18"/>
              </w:rPr>
              <w:t>AG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r>
      <w:tr>
        <w:trPr>
          <w:trHeight w:val="401" w:hRule="exact"/>
        </w:trPr>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7</w:t>
            </w:r>
          </w:p>
        </w:tc>
        <w:tc>
          <w:tcPr>
            <w:tcW w:w="26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8</w:t>
            </w:r>
          </w:p>
        </w:tc>
        <w:tc>
          <w:tcPr>
            <w:tcW w:w="26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林晓辉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9</w:t>
            </w:r>
          </w:p>
        </w:tc>
        <w:tc>
          <w:tcPr>
            <w:tcW w:w="26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金丽洁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r>
      <w:tr>
        <w:trPr>
          <w:trHeight w:val="161" w:hRule="exact"/>
        </w:trPr>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35"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68"/>
              <w:jc w:val="left"/>
              <w:rPr>
                <w:rFonts w:ascii="宋体" w:hAnsi="宋体" w:cs="宋体" w:eastAsia="宋体" w:hint="default"/>
                <w:sz w:val="18"/>
                <w:szCs w:val="18"/>
              </w:rPr>
            </w:pPr>
            <w:r>
              <w:rPr>
                <w:rFonts w:ascii="宋体" w:hAnsi="宋体" w:cs="宋体" w:eastAsia="宋体" w:hint="default"/>
                <w:sz w:val="18"/>
                <w:szCs w:val="18"/>
              </w:rPr>
              <w:t>太平养老金溢富混合型养老金产 品－中国光大银行股份有限公司</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17,822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1,782,200.00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w:t>
            </w:r>
          </w:p>
        </w:tc>
      </w:tr>
      <w:tr>
        <w:trPr>
          <w:trHeight w:val="394" w:hRule="exact"/>
        </w:trPr>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10</w:t>
            </w:r>
          </w:p>
        </w:tc>
        <w:tc>
          <w:tcPr>
            <w:tcW w:w="2635"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35"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担保人盈利能力、资产状况和信用状况发生重大变化的情况" w:id="129"/>
      <w:bookmarkEnd w:id="129"/>
      <w:r>
        <w:rPr>
          <w:b w:val="0"/>
          <w:bCs w:val="0"/>
        </w:rPr>
      </w:r>
      <w:r>
        <w:rPr/>
        <w:t>四、担保人盈利能力、资产状况和信用状况发生重大变化的情况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报告期末公司的负债情况、资信变化情况以及在未来年度还债的现金安排" w:id="130"/>
      <w:bookmarkEnd w:id="130"/>
      <w:r>
        <w:rPr>
          <w:b w:val="0"/>
          <w:bCs w:val="0"/>
        </w:rPr>
      </w:r>
      <w:r>
        <w:rPr/>
        <w:t>五、报告期末公司的负债情况、资信变化情况以及在未来年度还债的现金安排</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1133"/>
        <w:jc w:val="left"/>
      </w:pPr>
      <w:r>
        <w:rPr/>
        <w:t>详见第十一节</w:t>
      </w:r>
      <w:r>
        <w:rPr>
          <w:spacing w:val="-22"/>
        </w:rPr>
        <w:t> </w:t>
      </w:r>
      <w:r>
        <w:rPr/>
        <w:t>公司债券相关情况。</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31"/>
      <w:bookmarkEnd w:id="131"/>
      <w:r>
        <w:rPr>
          <w:b w:val="0"/>
          <w:bCs w:val="0"/>
        </w:rPr>
      </w:r>
      <w:bookmarkStart w:name="_bookmark8" w:id="132"/>
      <w:bookmarkEnd w:id="132"/>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33"/>
      <w:bookmarkEnd w:id="13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902"/>
        <w:gridCol w:w="566"/>
        <w:gridCol w:w="428"/>
        <w:gridCol w:w="566"/>
        <w:gridCol w:w="850"/>
        <w:gridCol w:w="852"/>
        <w:gridCol w:w="992"/>
        <w:gridCol w:w="850"/>
        <w:gridCol w:w="994"/>
        <w:gridCol w:w="850"/>
        <w:gridCol w:w="991"/>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4"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59"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5"/>
                <w:sz w:val="18"/>
                <w:szCs w:val="18"/>
              </w:rPr>
              <w:t>变动（股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177,952,544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16,202,251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161,750,293</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02"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566" w:type="dxa"/>
            <w:tcBorders>
              <w:top w:val="single" w:sz="4" w:space="0" w:color="000000"/>
              <w:left w:val="single" w:sz="10" w:space="0" w:color="FFFFFF"/>
              <w:bottom w:val="single" w:sz="4" w:space="0" w:color="000000"/>
              <w:right w:val="single" w:sz="4" w:space="0" w:color="000000"/>
            </w:tcBorders>
          </w:tcPr>
          <w:p>
            <w:pPr>
              <w:pStyle w:val="TableParagraph"/>
              <w:spacing w:line="156" w:lineRule="exact"/>
              <w:ind w:left="-8"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27.85pt;height:7.8pt;mso-position-horizontal-relative:char;mso-position-vertical-relative:line" coordorigin="0,0" coordsize="557,156">
                  <v:group style="position:absolute;left:0;top:0;width:557;height:156" coordorigin="0,0" coordsize="557,156">
                    <v:shape style="position:absolute;left:0;top:0;width:557;height:156" coordorigin="0,0" coordsize="557,156" path="m0,156l557,156,557,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179,008,904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17,225,400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161,783,504</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景丽</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357,121,448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33,457,651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323,663,797</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34"/>
      <w:bookmarkEnd w:id="134"/>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966"/>
        <w:gridCol w:w="3613"/>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补选为董事</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任职情况" w:id="135"/>
      <w:bookmarkEnd w:id="135"/>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3"/>
          <w:szCs w:val="13"/>
        </w:rPr>
      </w:pPr>
    </w:p>
    <w:p>
      <w:pPr>
        <w:pStyle w:val="BodyText"/>
        <w:spacing w:line="336" w:lineRule="auto"/>
        <w:ind w:right="1126" w:firstLine="422"/>
        <w:jc w:val="both"/>
      </w:pPr>
      <w:r>
        <w:rPr>
          <w:rFonts w:ascii="宋体" w:hAnsi="宋体" w:cs="宋体" w:eastAsia="宋体" w:hint="default"/>
          <w:b/>
          <w:bCs/>
          <w:spacing w:val="-2"/>
        </w:rPr>
        <w:t>柯宗庆：</w:t>
      </w:r>
      <w:r>
        <w:rPr>
          <w:spacing w:val="-2"/>
        </w:rPr>
        <w:t>男，</w:t>
      </w:r>
      <w:r>
        <w:rPr>
          <w:rFonts w:ascii="Times New Roman" w:hAnsi="Times New Roman" w:cs="Times New Roman" w:eastAsia="Times New Roman" w:hint="default"/>
          <w:spacing w:val="-2"/>
        </w:rPr>
        <w:t>1956</w:t>
      </w:r>
      <w:r>
        <w:rPr>
          <w:spacing w:val="-2"/>
        </w:rPr>
        <w:t>年出生，中国国籍，无境外永久居留权。</w:t>
      </w:r>
      <w:r>
        <w:rPr>
          <w:rFonts w:ascii="Times New Roman" w:hAnsi="Times New Roman" w:cs="Times New Roman" w:eastAsia="Times New Roman" w:hint="default"/>
          <w:spacing w:val="-2"/>
        </w:rPr>
        <w:t>1981</w:t>
      </w:r>
      <w:r>
        <w:rPr>
          <w:spacing w:val="-2"/>
        </w:rPr>
        <w:t>年毕业于华南师范大学物理系，广东</w:t>
      </w:r>
      <w:r>
        <w:rPr>
          <w:w w:val="100"/>
        </w:rPr>
        <w:t> </w:t>
      </w:r>
      <w:r>
        <w:rPr>
          <w:spacing w:val="-2"/>
        </w:rPr>
        <w:t>省计算机信息网络安全协会副会长，广东省计算机学会副理事长。曾任职于华南师范大学生物系、华南师</w:t>
      </w:r>
      <w:r>
        <w:rPr>
          <w:spacing w:val="-45"/>
        </w:rPr>
        <w:t> </w:t>
      </w:r>
      <w:r>
        <w:rPr>
          <w:spacing w:val="-45"/>
        </w:rPr>
      </w:r>
      <w:r>
        <w:rPr/>
        <w:t>范大学微电子所、广东水晶球技术发展有限公司、广州水晶球信息技术有限公司；</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w:t>
      </w:r>
      <w:r>
        <w:rPr>
          <w:spacing w:val="-28"/>
        </w:rPr>
        <w:t> </w:t>
      </w:r>
      <w:r>
        <w:rPr/>
        <w:t>职广东天海威数码技术有限公司，</w:t>
      </w:r>
      <w:r>
        <w:rPr>
          <w:rFonts w:ascii="Times New Roman" w:hAnsi="Times New Roman" w:cs="Times New Roman" w:eastAsia="Times New Roman" w:hint="default"/>
        </w:rPr>
        <w:t>2009</w:t>
      </w:r>
      <w:r>
        <w:rPr/>
        <w:t>年至今任蓝盾信息安全技术股份有限公司董事长。</w:t>
      </w:r>
    </w:p>
    <w:p>
      <w:pPr>
        <w:pStyle w:val="BodyText"/>
        <w:spacing w:line="340" w:lineRule="auto" w:before="58"/>
        <w:ind w:right="1126" w:firstLine="422"/>
        <w:jc w:val="both"/>
      </w:pPr>
      <w:r>
        <w:rPr>
          <w:rFonts w:ascii="宋体" w:hAnsi="宋体" w:cs="宋体" w:eastAsia="宋体" w:hint="default"/>
          <w:b/>
          <w:bCs/>
          <w:spacing w:val="-2"/>
        </w:rPr>
        <w:t>柯宗贵：</w:t>
      </w:r>
      <w:r>
        <w:rPr>
          <w:spacing w:val="-2"/>
        </w:rPr>
        <w:t>男，</w:t>
      </w:r>
      <w:r>
        <w:rPr>
          <w:rFonts w:ascii="Times New Roman" w:hAnsi="Times New Roman" w:cs="Times New Roman" w:eastAsia="Times New Roman" w:hint="default"/>
          <w:spacing w:val="-2"/>
        </w:rPr>
        <w:t>1969</w:t>
      </w:r>
      <w:r>
        <w:rPr>
          <w:spacing w:val="-2"/>
        </w:rPr>
        <w:t>年出生，中国国籍，无境外永久居留权。</w:t>
      </w:r>
      <w:r>
        <w:rPr>
          <w:rFonts w:ascii="Times New Roman" w:hAnsi="Times New Roman" w:cs="Times New Roman" w:eastAsia="Times New Roman" w:hint="default"/>
          <w:spacing w:val="-2"/>
        </w:rPr>
        <w:t>1992</w:t>
      </w:r>
      <w:r>
        <w:rPr>
          <w:spacing w:val="-2"/>
        </w:rPr>
        <w:t>年毕业于深圳大学电子工程系，获学</w:t>
      </w:r>
      <w:r>
        <w:rPr>
          <w:w w:val="100"/>
        </w:rPr>
        <w:t> </w:t>
      </w:r>
      <w:r>
        <w:rPr>
          <w:spacing w:val="-2"/>
        </w:rPr>
        <w:t>士学位，广东省计算机信息网络安全协会信息网络安全技术专家委员会委员，广州市计算机信息网络安全</w:t>
      </w:r>
      <w:r>
        <w:rPr>
          <w:spacing w:val="-44"/>
        </w:rPr>
        <w:t> </w:t>
      </w:r>
      <w:r>
        <w:rPr>
          <w:spacing w:val="-44"/>
        </w:rPr>
      </w:r>
      <w:r>
        <w:rPr>
          <w:spacing w:val="-2"/>
        </w:rPr>
        <w:t>协会副会长，广州城建职业学院客座教授。曾获公安部科学技术三等奖、广州市科技进步二等奖、广州市</w:t>
      </w:r>
      <w:r>
        <w:rPr>
          <w:spacing w:val="-50"/>
        </w:rPr>
        <w:t> </w:t>
      </w:r>
      <w:r>
        <w:rPr>
          <w:spacing w:val="-50"/>
        </w:rPr>
      </w:r>
      <w:r>
        <w:rPr>
          <w:spacing w:val="-2"/>
        </w:rPr>
        <w:t>科学技术三等奖，编著《计算机网络安全实用技术》。曾任职于香港中银电脑（深圳）软件开发中心、广</w:t>
      </w:r>
      <w:r>
        <w:rPr>
          <w:spacing w:val="-44"/>
        </w:rPr>
        <w:t> </w:t>
      </w:r>
      <w:r>
        <w:rPr>
          <w:spacing w:val="-44"/>
        </w:rPr>
      </w:r>
      <w:r>
        <w:rPr/>
        <w:t>东水晶球技术发展有限公司、广州水晶球信息技术有限公司；</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月任职于广东天海威数码</w:t>
      </w:r>
      <w:r>
        <w:rPr>
          <w:spacing w:val="-27"/>
        </w:rPr>
        <w:t> </w:t>
      </w:r>
      <w:r>
        <w:rPr>
          <w:spacing w:val="-27"/>
        </w:rPr>
      </w:r>
      <w:r>
        <w:rPr/>
        <w:t>技术有限公司，</w:t>
      </w:r>
      <w:r>
        <w:rPr>
          <w:rFonts w:ascii="Times New Roman" w:hAnsi="Times New Roman" w:cs="Times New Roman" w:eastAsia="Times New Roman" w:hint="default"/>
        </w:rPr>
        <w:t>2009</w:t>
      </w:r>
      <w:r>
        <w:rPr/>
        <w:t>年至今任蓝盾信息安全技术股份有限公司副董事长兼总裁。</w:t>
      </w:r>
    </w:p>
    <w:p>
      <w:pPr>
        <w:pStyle w:val="BodyText"/>
        <w:spacing w:line="331" w:lineRule="auto" w:before="51"/>
        <w:ind w:right="1128" w:firstLine="422"/>
        <w:jc w:val="both"/>
      </w:pPr>
      <w:r>
        <w:rPr>
          <w:rFonts w:ascii="宋体" w:hAnsi="宋体" w:cs="宋体" w:eastAsia="宋体" w:hint="default"/>
          <w:b/>
          <w:bCs/>
        </w:rPr>
        <w:t>黄泽华：</w:t>
      </w:r>
      <w:r>
        <w:rPr/>
        <w:t>男，</w:t>
      </w:r>
      <w:r>
        <w:rPr>
          <w:rFonts w:ascii="Times New Roman" w:hAnsi="Times New Roman" w:cs="Times New Roman" w:eastAsia="Times New Roman" w:hint="default"/>
        </w:rPr>
        <w:t>1969</w:t>
      </w:r>
      <w:r>
        <w:rPr/>
        <w:t>年出生，中国国籍，无境外永久居留权，中专学历。</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11</w:t>
      </w:r>
      <w:r>
        <w:rPr/>
        <w:t>月，任</w:t>
      </w:r>
      <w:r>
        <w:rPr>
          <w:w w:val="100"/>
        </w:rPr>
        <w:t> </w:t>
      </w:r>
      <w:r>
        <w:rPr>
          <w:spacing w:val="-2"/>
        </w:rPr>
        <w:t>广州市海洋渔业公司办公室副主任；</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月，任广东燕粤经济发展有限公司营销副总经</w:t>
      </w:r>
    </w:p>
    <w:p>
      <w:pPr>
        <w:spacing w:after="0" w:line="331"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31" w:lineRule="auto"/>
        <w:ind w:right="1131"/>
        <w:jc w:val="both"/>
      </w:pPr>
      <w:r>
        <w:rPr>
          <w:spacing w:val="-1"/>
        </w:rPr>
        <w:t>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月，任广东天海威数码技术有限公司营销部副总经理；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spacing w:val="-48"/>
        </w:rPr>
        <w:t> </w:t>
      </w:r>
      <w:r>
        <w:rPr/>
        <w:t>任蓝盾信息安全技术股份有限公司监事会主席；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月至今任蓝盾信息安全技术股份有限公司董事及</w:t>
      </w:r>
      <w:r>
        <w:rPr>
          <w:spacing w:val="-26"/>
        </w:rPr>
        <w:t> </w:t>
      </w:r>
      <w:r>
        <w:rPr>
          <w:spacing w:val="-26"/>
        </w:rPr>
      </w:r>
      <w:r>
        <w:rPr/>
        <w:t>副总裁。</w:t>
      </w:r>
    </w:p>
    <w:p>
      <w:pPr>
        <w:pStyle w:val="BodyText"/>
        <w:spacing w:line="328" w:lineRule="auto" w:before="87"/>
        <w:ind w:right="1126" w:firstLine="422"/>
        <w:jc w:val="both"/>
      </w:pPr>
      <w:r>
        <w:rPr>
          <w:rFonts w:ascii="宋体" w:hAnsi="宋体" w:cs="宋体" w:eastAsia="宋体" w:hint="default"/>
          <w:b/>
          <w:bCs/>
          <w:spacing w:val="-6"/>
        </w:rPr>
        <w:t>张越：</w:t>
      </w:r>
      <w:r>
        <w:rPr>
          <w:spacing w:val="-6"/>
        </w:rPr>
        <w:t>男，</w:t>
      </w:r>
      <w:r>
        <w:rPr>
          <w:rFonts w:ascii="Times New Roman" w:hAnsi="Times New Roman" w:cs="Times New Roman" w:eastAsia="Times New Roman" w:hint="default"/>
          <w:spacing w:val="-6"/>
        </w:rPr>
        <w:t>1979</w:t>
      </w:r>
      <w:r>
        <w:rPr>
          <w:spacing w:val="-6"/>
        </w:rPr>
        <w:t>年出生，中国国籍，无境外永久居留权。</w:t>
      </w:r>
      <w:r>
        <w:rPr>
          <w:rFonts w:ascii="Times New Roman" w:hAnsi="Times New Roman" w:cs="Times New Roman" w:eastAsia="Times New Roman" w:hint="default"/>
          <w:spacing w:val="-6"/>
        </w:rPr>
        <w:t>1998</w:t>
      </w:r>
      <w:r>
        <w:rPr>
          <w:spacing w:val="-6"/>
        </w:rPr>
        <w:t>年毕业于西安统计学院统计学专业；</w:t>
      </w:r>
      <w:r>
        <w:rPr>
          <w:rFonts w:ascii="Times New Roman" w:hAnsi="Times New Roman" w:cs="Times New Roman" w:eastAsia="Times New Roman" w:hint="default"/>
          <w:spacing w:val="-6"/>
        </w:rPr>
        <w:t>1998</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spacing w:val="-2"/>
        </w:rPr>
        <w:t>月，在北京首创股份有限公司任职；</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6</w:t>
      </w:r>
      <w:r>
        <w:rPr>
          <w:spacing w:val="-2"/>
        </w:rPr>
        <w:t>月，在广东三九智慧电子信息产</w:t>
      </w:r>
      <w:r>
        <w:rPr>
          <w:spacing w:val="-29"/>
        </w:rPr>
        <w:t> </w:t>
      </w:r>
      <w:r>
        <w:rPr>
          <w:spacing w:val="-29"/>
        </w:rPr>
      </w:r>
      <w:r>
        <w:rPr/>
        <w:t>业有限公司任职；</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月，在广东天海威数码技术有限公司任职；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月至今任蓝盾</w:t>
      </w:r>
      <w:r>
        <w:rPr>
          <w:spacing w:val="-28"/>
        </w:rPr>
        <w:t> </w:t>
      </w:r>
      <w:r>
        <w:rPr>
          <w:spacing w:val="-28"/>
        </w:rPr>
      </w:r>
      <w:r>
        <w:rPr>
          <w:spacing w:val="-2"/>
        </w:rPr>
        <w:t>信息安全技术有限公司常务副总经理；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月至今任蓝盾信息安全技术股份有限公司副总裁。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9"/>
        </w:rPr>
        <w:t> </w:t>
      </w:r>
      <w:r>
        <w:rPr/>
        <w:t>月至今任蓝盾信息安全技术股份有限公司董事。</w:t>
      </w:r>
    </w:p>
    <w:p>
      <w:pPr>
        <w:pStyle w:val="BodyText"/>
        <w:spacing w:line="336" w:lineRule="auto" w:before="89"/>
        <w:ind w:right="1127" w:firstLine="422"/>
        <w:jc w:val="both"/>
      </w:pPr>
      <w:r>
        <w:rPr>
          <w:rFonts w:ascii="宋体" w:hAnsi="宋体" w:cs="宋体" w:eastAsia="宋体" w:hint="default"/>
          <w:b/>
          <w:bCs/>
          <w:spacing w:val="-2"/>
        </w:rPr>
        <w:t>赵庆伦：</w:t>
      </w:r>
      <w:r>
        <w:rPr>
          <w:spacing w:val="-2"/>
        </w:rPr>
        <w:t>男，</w:t>
      </w:r>
      <w:r>
        <w:rPr>
          <w:rFonts w:ascii="Times New Roman" w:hAnsi="Times New Roman" w:cs="Times New Roman" w:eastAsia="Times New Roman" w:hint="default"/>
          <w:spacing w:val="-2"/>
        </w:rPr>
        <w:t>1957</w:t>
      </w:r>
      <w:r>
        <w:rPr>
          <w:spacing w:val="-2"/>
        </w:rPr>
        <w:t>年出生，中国国籍，无境外永久居留权。</w:t>
      </w:r>
      <w:r>
        <w:rPr>
          <w:rFonts w:ascii="Times New Roman" w:hAnsi="Times New Roman" w:cs="Times New Roman" w:eastAsia="Times New Roman" w:hint="default"/>
          <w:spacing w:val="-2"/>
        </w:rPr>
        <w:t>1979</w:t>
      </w:r>
      <w:r>
        <w:rPr>
          <w:spacing w:val="-2"/>
        </w:rPr>
        <w:t>年毕业于中南林学院森林工业系运输</w:t>
      </w:r>
      <w:r>
        <w:rPr>
          <w:w w:val="100"/>
        </w:rPr>
        <w:t> </w:t>
      </w:r>
      <w:r>
        <w:rPr>
          <w:spacing w:val="-2"/>
        </w:rPr>
        <w:t>机械专业，获讲师职称。</w:t>
      </w:r>
      <w:r>
        <w:rPr>
          <w:rFonts w:ascii="Times New Roman" w:hAnsi="Times New Roman" w:cs="Times New Roman" w:eastAsia="Times New Roman" w:hint="default"/>
          <w:spacing w:val="-2"/>
        </w:rPr>
        <w:t>1974</w:t>
      </w:r>
      <w:r>
        <w:rPr>
          <w:spacing w:val="-2"/>
        </w:rPr>
        <w:t>年参加工作，</w:t>
      </w:r>
      <w:r>
        <w:rPr>
          <w:rFonts w:ascii="Times New Roman" w:hAnsi="Times New Roman" w:cs="Times New Roman" w:eastAsia="Times New Roman" w:hint="default"/>
          <w:spacing w:val="-2"/>
        </w:rPr>
        <w:t>2004</w:t>
      </w:r>
      <w:r>
        <w:rPr>
          <w:spacing w:val="-2"/>
        </w:rPr>
        <w:t>年退休。曾任职于广东省林业厅下属林场，任副场长；曾</w:t>
      </w:r>
      <w:r>
        <w:rPr>
          <w:spacing w:val="-35"/>
        </w:rPr>
        <w:t> </w:t>
      </w:r>
      <w:r>
        <w:rPr>
          <w:spacing w:val="-35"/>
        </w:rPr>
      </w:r>
      <w:r>
        <w:rPr>
          <w:spacing w:val="-2"/>
        </w:rPr>
        <w:t>任职广东省林业中专学校，任党委副书记、副校长；曾任职广州市文化、广播电视、新闻出版局，任办公</w:t>
      </w:r>
      <w:r>
        <w:rPr>
          <w:spacing w:val="-42"/>
        </w:rPr>
        <w:t> </w:t>
      </w:r>
      <w:r>
        <w:rPr>
          <w:spacing w:val="-42"/>
        </w:rPr>
      </w:r>
      <w:r>
        <w:rPr>
          <w:spacing w:val="-4"/>
        </w:rPr>
        <w:t>室副主任、事业处处长、科技处处长、网络安全处处长</w:t>
      </w:r>
      <w:r>
        <w:rPr>
          <w:rFonts w:ascii="Times New Roman" w:hAnsi="Times New Roman" w:cs="Times New Roman" w:eastAsia="Times New Roman" w:hint="default"/>
          <w:spacing w:val="-4"/>
        </w:rPr>
        <w:t>(</w:t>
      </w:r>
      <w:r>
        <w:rPr>
          <w:spacing w:val="-4"/>
        </w:rPr>
        <w:t>兼局机关党委委员、支部书记、广州市建筑智能化</w:t>
      </w:r>
      <w:r>
        <w:rPr>
          <w:spacing w:val="-19"/>
        </w:rPr>
        <w:t> </w:t>
      </w:r>
      <w:r>
        <w:rPr>
          <w:spacing w:val="-19"/>
        </w:rPr>
      </w:r>
      <w:r>
        <w:rPr/>
        <w:t>专家组成员</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月至今任蓝盾信息安全技术股份有限公司董事。</w:t>
      </w:r>
    </w:p>
    <w:p>
      <w:pPr>
        <w:pStyle w:val="BodyText"/>
        <w:spacing w:line="333" w:lineRule="auto" w:before="58"/>
        <w:ind w:right="1126" w:firstLine="422"/>
        <w:jc w:val="both"/>
      </w:pPr>
      <w:r>
        <w:rPr>
          <w:rFonts w:ascii="宋体" w:hAnsi="宋体" w:cs="宋体" w:eastAsia="宋体" w:hint="default"/>
          <w:b/>
          <w:bCs/>
          <w:spacing w:val="-2"/>
        </w:rPr>
        <w:t>余曜青：</w:t>
      </w:r>
      <w:r>
        <w:rPr>
          <w:spacing w:val="-2"/>
        </w:rPr>
        <w:t>男，</w:t>
      </w:r>
      <w:r>
        <w:rPr>
          <w:rFonts w:ascii="Times New Roman" w:hAnsi="Times New Roman" w:cs="Times New Roman" w:eastAsia="Times New Roman" w:hint="default"/>
          <w:spacing w:val="-2"/>
        </w:rPr>
        <w:t>1956</w:t>
      </w:r>
      <w:r>
        <w:rPr>
          <w:spacing w:val="-2"/>
        </w:rPr>
        <w:t>年出生，中国国籍，无境外永久居留权，</w:t>
      </w:r>
      <w:r>
        <w:rPr>
          <w:rFonts w:ascii="Times New Roman" w:hAnsi="Times New Roman" w:cs="Times New Roman" w:eastAsia="Times New Roman" w:hint="default"/>
          <w:spacing w:val="-2"/>
        </w:rPr>
        <w:t>1983</w:t>
      </w:r>
      <w:r>
        <w:rPr>
          <w:spacing w:val="-2"/>
        </w:rPr>
        <w:t>年毕业于广东广播电视大学电子类专</w:t>
      </w:r>
      <w:r>
        <w:rPr>
          <w:w w:val="100"/>
        </w:rPr>
        <w:t> </w:t>
      </w:r>
      <w:r>
        <w:rPr>
          <w:spacing w:val="-2"/>
        </w:rPr>
        <w:t>业。</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11</w:t>
      </w:r>
      <w:r>
        <w:rPr>
          <w:spacing w:val="-2"/>
        </w:rPr>
        <w:t>月参加工作，为广东省国营平沙农场知青；</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月，在广东粤华发电有限责</w:t>
      </w:r>
      <w:r>
        <w:rPr>
          <w:spacing w:val="-35"/>
        </w:rPr>
        <w:t> </w:t>
      </w:r>
      <w:r>
        <w:rPr>
          <w:spacing w:val="-35"/>
        </w:rPr>
      </w:r>
      <w:r>
        <w:rPr>
          <w:spacing w:val="-2"/>
        </w:rPr>
        <w:t>任公司检修部、材料科、生技科、企管办信息中心、黄电实业总公司综合部等各部门工作，任计算机应用</w:t>
      </w:r>
      <w:r>
        <w:rPr>
          <w:spacing w:val="-42"/>
        </w:rPr>
        <w:t> </w:t>
      </w:r>
      <w:r>
        <w:rPr>
          <w:spacing w:val="-42"/>
        </w:rPr>
      </w:r>
      <w:r>
        <w:rPr/>
        <w:t>工程师。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月至今任蓝盾信息安全技术股份有限公司顾问；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月至今任蓝盾信息安全技术股</w:t>
      </w:r>
      <w:r>
        <w:rPr>
          <w:spacing w:val="-27"/>
        </w:rPr>
        <w:t> </w:t>
      </w:r>
      <w:r>
        <w:rPr>
          <w:spacing w:val="-27"/>
        </w:rPr>
      </w:r>
      <w:r>
        <w:rPr/>
        <w:t>份有限公司董事。</w:t>
      </w:r>
    </w:p>
    <w:p>
      <w:pPr>
        <w:pStyle w:val="BodyText"/>
        <w:spacing w:line="338" w:lineRule="auto" w:before="85"/>
        <w:ind w:right="982" w:firstLine="422"/>
        <w:jc w:val="left"/>
      </w:pPr>
      <w:r>
        <w:rPr>
          <w:rFonts w:ascii="宋体" w:hAnsi="宋体" w:cs="宋体" w:eastAsia="宋体" w:hint="default"/>
          <w:b/>
          <w:bCs/>
          <w:spacing w:val="-5"/>
        </w:rPr>
        <w:t>王丹舟：</w:t>
      </w:r>
      <w:r>
        <w:rPr>
          <w:spacing w:val="-5"/>
        </w:rPr>
        <w:t>女，</w:t>
      </w:r>
      <w:r>
        <w:rPr>
          <w:rFonts w:ascii="Times New Roman" w:hAnsi="Times New Roman" w:cs="Times New Roman" w:eastAsia="Times New Roman" w:hint="default"/>
          <w:spacing w:val="-5"/>
        </w:rPr>
        <w:t>1964</w:t>
      </w:r>
      <w:r>
        <w:rPr>
          <w:spacing w:val="-5"/>
        </w:rPr>
        <w:t>年出生，中国国籍，无境外永久居留权，西南财经大学财务管理专业，博士、教授。</w:t>
      </w:r>
      <w:r>
        <w:rPr>
          <w:w w:val="100"/>
        </w:rPr>
        <w:t> </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月至今在暨南大学管理学院会计系从事一线教学研究工作；近年来主持并参与国家、省部级等各</w:t>
      </w:r>
      <w:r>
        <w:rPr>
          <w:spacing w:val="-27"/>
        </w:rPr>
        <w:t> </w:t>
      </w:r>
      <w:r>
        <w:rPr>
          <w:spacing w:val="-27"/>
        </w:rPr>
      </w:r>
      <w:r>
        <w:rPr>
          <w:spacing w:val="-2"/>
        </w:rPr>
        <w:t>级科研项目近</w:t>
      </w:r>
      <w:r>
        <w:rPr>
          <w:rFonts w:ascii="Times New Roman" w:hAnsi="Times New Roman" w:cs="Times New Roman" w:eastAsia="Times New Roman" w:hint="default"/>
          <w:spacing w:val="-2"/>
        </w:rPr>
        <w:t>10</w:t>
      </w:r>
      <w:r>
        <w:rPr>
          <w:spacing w:val="-2"/>
        </w:rPr>
        <w:t>项，发表相关论文数十篇。曾任蓝盾信息安全技术股份有限公司、中山达华智能科技股份</w:t>
      </w:r>
      <w:r>
        <w:rPr>
          <w:spacing w:val="-42"/>
        </w:rPr>
        <w:t> </w:t>
      </w:r>
      <w:r>
        <w:rPr>
          <w:spacing w:val="-42"/>
        </w:rPr>
      </w:r>
      <w:r>
        <w:rPr>
          <w:spacing w:val="-2"/>
        </w:rPr>
        <w:t>有限公司、深圳太辰光通信股份有限公司独立董事、广东百合医疗科技股份有限公司独立董事，现任暨南</w:t>
      </w:r>
      <w:r>
        <w:rPr>
          <w:spacing w:val="-44"/>
        </w:rPr>
        <w:t> </w:t>
      </w:r>
      <w:r>
        <w:rPr>
          <w:spacing w:val="-44"/>
        </w:rPr>
      </w:r>
      <w:r>
        <w:rPr>
          <w:spacing w:val="-2"/>
        </w:rPr>
        <w:t>大学管理学院教授、广州安必平医药科技股份有限公司独立董事、广东电声市场营销股份有限公司独立董</w:t>
      </w:r>
      <w:r>
        <w:rPr>
          <w:spacing w:val="-42"/>
        </w:rPr>
        <w:t> </w:t>
      </w:r>
      <w:r>
        <w:rPr>
          <w:spacing w:val="-42"/>
        </w:rPr>
      </w:r>
      <w:r>
        <w:rPr/>
        <w:t>事、广州中康资讯股份有限公司独立董事。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月至今任蓝盾信息安全技术股份有限公司独立董事。</w:t>
      </w:r>
    </w:p>
    <w:p>
      <w:pPr>
        <w:pStyle w:val="BodyText"/>
        <w:spacing w:line="333" w:lineRule="auto" w:before="53"/>
        <w:ind w:right="982" w:firstLine="422"/>
        <w:jc w:val="left"/>
      </w:pPr>
      <w:r>
        <w:rPr>
          <w:rFonts w:ascii="宋体" w:hAnsi="宋体" w:cs="宋体" w:eastAsia="宋体" w:hint="default"/>
          <w:b/>
          <w:bCs/>
          <w:spacing w:val="-5"/>
        </w:rPr>
        <w:t>周涛：</w:t>
      </w:r>
      <w:r>
        <w:rPr>
          <w:spacing w:val="-5"/>
        </w:rPr>
        <w:t>男，</w:t>
      </w:r>
      <w:r>
        <w:rPr>
          <w:rFonts w:ascii="Times New Roman" w:hAnsi="Times New Roman" w:cs="Times New Roman" w:eastAsia="Times New Roman" w:hint="default"/>
          <w:spacing w:val="-5"/>
        </w:rPr>
        <w:t>1955</w:t>
      </w:r>
      <w:r>
        <w:rPr>
          <w:spacing w:val="-5"/>
        </w:rPr>
        <w:t>年出生，中国国籍，无境外永久居留权，毕业于解放军通信工程学院，大学本科学历。</w:t>
      </w:r>
      <w:r>
        <w:rPr>
          <w:w w:val="100"/>
        </w:rPr>
        <w:t> </w:t>
      </w:r>
      <w:r>
        <w:rPr>
          <w:spacing w:val="-2"/>
        </w:rPr>
        <w:t>长期在院校担任教职工作，</w:t>
      </w:r>
      <w:r>
        <w:rPr>
          <w:rFonts w:ascii="Times New Roman" w:hAnsi="Times New Roman" w:cs="Times New Roman" w:eastAsia="Times New Roman" w:hint="default"/>
          <w:spacing w:val="-2"/>
        </w:rPr>
        <w:t>1977</w:t>
      </w:r>
      <w:r>
        <w:rPr>
          <w:spacing w:val="-2"/>
        </w:rPr>
        <w:t>年至</w:t>
      </w:r>
      <w:r>
        <w:rPr>
          <w:rFonts w:ascii="Times New Roman" w:hAnsi="Times New Roman" w:cs="Times New Roman" w:eastAsia="Times New Roman" w:hint="default"/>
          <w:spacing w:val="-2"/>
        </w:rPr>
        <w:t>1999</w:t>
      </w:r>
      <w:r>
        <w:rPr>
          <w:spacing w:val="-2"/>
        </w:rPr>
        <w:t>年，先后在广州军区通信训练大队，桂林陆军学院通信大队、解</w:t>
      </w:r>
      <w:r>
        <w:rPr>
          <w:spacing w:val="-37"/>
        </w:rPr>
        <w:t> </w:t>
      </w:r>
      <w:r>
        <w:rPr>
          <w:spacing w:val="-37"/>
        </w:rPr>
      </w:r>
      <w:r>
        <w:rPr>
          <w:spacing w:val="-2"/>
        </w:rPr>
        <w:t>放军广州通信学院担任教员、讲师；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2015</w:t>
      </w:r>
      <w:r>
        <w:rPr>
          <w:spacing w:val="-2"/>
        </w:rPr>
        <w:t>年先后在解放军体育学院教研部保密技术教研室、广州</w:t>
      </w:r>
      <w:r>
        <w:rPr>
          <w:spacing w:val="-35"/>
        </w:rPr>
        <w:t> </w:t>
      </w:r>
      <w:r>
        <w:rPr>
          <w:spacing w:val="-35"/>
        </w:rPr>
      </w:r>
      <w:r>
        <w:rPr>
          <w:spacing w:val="-2"/>
        </w:rPr>
        <w:t>城建职业学院信息工程系、广东创新科技职业学院计算机和通信系、广东食品药品职业学院软件学院担任</w:t>
      </w:r>
      <w:r>
        <w:rPr>
          <w:spacing w:val="-44"/>
        </w:rPr>
        <w:t> </w:t>
      </w:r>
      <w:r>
        <w:rPr>
          <w:spacing w:val="-44"/>
        </w:rPr>
      </w:r>
      <w:r>
        <w:rPr/>
        <w:t>副教授。工作期间曾在国家及省部级刊物发表学术论文数十篇，参与编写教材数部。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月至今任蓝</w:t>
      </w:r>
      <w:r>
        <w:rPr>
          <w:spacing w:val="-24"/>
        </w:rPr>
        <w:t> </w:t>
      </w:r>
      <w:r>
        <w:rPr>
          <w:spacing w:val="-24"/>
        </w:rPr>
      </w:r>
      <w:r>
        <w:rPr/>
        <w:t>盾信息安全技术股份有限公司独立董事。</w:t>
      </w:r>
    </w:p>
    <w:p>
      <w:pPr>
        <w:pStyle w:val="BodyText"/>
        <w:spacing w:line="343" w:lineRule="auto" w:before="82"/>
        <w:ind w:right="1126" w:firstLine="422"/>
        <w:jc w:val="both"/>
      </w:pPr>
      <w:r>
        <w:rPr>
          <w:rFonts w:ascii="宋体" w:hAnsi="宋体" w:cs="宋体" w:eastAsia="宋体" w:hint="default"/>
          <w:b/>
          <w:bCs/>
          <w:spacing w:val="-2"/>
        </w:rPr>
        <w:t>蔡镇顺：</w:t>
      </w:r>
      <w:r>
        <w:rPr>
          <w:spacing w:val="-2"/>
        </w:rPr>
        <w:t>男，</w:t>
      </w:r>
      <w:r>
        <w:rPr>
          <w:rFonts w:ascii="Times New Roman" w:hAnsi="Times New Roman" w:cs="Times New Roman" w:eastAsia="Times New Roman" w:hint="default"/>
          <w:spacing w:val="-2"/>
        </w:rPr>
        <w:t>1956</w:t>
      </w:r>
      <w:r>
        <w:rPr>
          <w:spacing w:val="-2"/>
        </w:rPr>
        <w:t>年出生，中国国籍，无永久境外居留权，研究生学历，法学教授。现任广东外语外</w:t>
      </w:r>
      <w:r>
        <w:rPr>
          <w:w w:val="100"/>
        </w:rPr>
        <w:t> </w:t>
      </w:r>
      <w:r>
        <w:rPr>
          <w:spacing w:val="-2"/>
        </w:rPr>
        <w:t>贸大学法学院教授、广东岭南律师事务所律师、广东省法学会副会长、广东省港澳法学研究会会长、广州</w:t>
      </w:r>
      <w:r>
        <w:rPr>
          <w:spacing w:val="-50"/>
        </w:rPr>
        <w:t> </w:t>
      </w:r>
      <w:r>
        <w:rPr>
          <w:spacing w:val="-50"/>
        </w:rPr>
      </w:r>
      <w:r>
        <w:rPr>
          <w:spacing w:val="-2"/>
        </w:rPr>
        <w:t>仲裁委员会委员、雅安正兴汉白玉股份有限公司独立董事；曾任最高法院经济庭书记员、汕头大学法学院</w:t>
      </w:r>
      <w:r>
        <w:rPr>
          <w:spacing w:val="-43"/>
        </w:rPr>
        <w:t> </w:t>
      </w:r>
      <w:r>
        <w:rPr>
          <w:spacing w:val="-43"/>
        </w:rPr>
      </w:r>
      <w:r>
        <w:rPr>
          <w:spacing w:val="-2"/>
        </w:rPr>
        <w:t>教授、中南财经政法大学兼职博士生导师、广东省人大常委会法律专家顾问、广东省科学技术协会法律顾</w:t>
      </w:r>
    </w:p>
    <w:p>
      <w:pPr>
        <w:spacing w:after="0" w:line="343"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31" w:lineRule="auto"/>
        <w:ind w:right="1133"/>
        <w:jc w:val="left"/>
      </w:pPr>
      <w:r>
        <w:rPr/>
        <w:t>问、南方电网法律顾问、广州市政府法律专家顾问；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月至今任蓝盾信息安全技术股份有限公司独</w:t>
      </w:r>
      <w:r>
        <w:rPr>
          <w:spacing w:val="-25"/>
        </w:rPr>
        <w:t> </w:t>
      </w:r>
      <w:r>
        <w:rPr>
          <w:spacing w:val="-25"/>
        </w:rPr>
      </w:r>
      <w:r>
        <w:rPr/>
        <w:t>立董事。</w:t>
      </w:r>
    </w:p>
    <w:p>
      <w:pPr>
        <w:pStyle w:val="BodyText"/>
        <w:spacing w:line="328" w:lineRule="auto" w:before="84"/>
        <w:ind w:right="1023" w:firstLine="422"/>
        <w:jc w:val="both"/>
      </w:pPr>
      <w:r>
        <w:rPr>
          <w:rFonts w:ascii="宋体" w:hAnsi="宋体" w:cs="宋体" w:eastAsia="宋体" w:hint="default"/>
          <w:b/>
          <w:bCs/>
        </w:rPr>
        <w:t>陈文浩：</w:t>
      </w:r>
      <w:r>
        <w:rPr/>
        <w:t>男，</w:t>
      </w:r>
      <w:r>
        <w:rPr>
          <w:rFonts w:ascii="Times New Roman" w:hAnsi="Times New Roman" w:cs="Times New Roman" w:eastAsia="Times New Roman" w:hint="default"/>
        </w:rPr>
        <w:t>1971</w:t>
      </w:r>
      <w:r>
        <w:rPr/>
        <w:t>年出生，中国国籍，无境外永久居留权。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月毕业于广州通信学院；曾任广</w:t>
      </w:r>
      <w:r>
        <w:rPr>
          <w:w w:val="100"/>
        </w:rPr>
        <w:t> </w:t>
      </w:r>
      <w:r>
        <w:rPr>
          <w:spacing w:val="-2"/>
        </w:rPr>
        <w:t>东水晶球技术发展有限公司工程师、广东天海威数码技术有限公司开发部副总经理；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9"/>
        </w:rPr>
        <w:t> </w:t>
      </w:r>
      <w:r>
        <w:rPr>
          <w:spacing w:val="-2"/>
        </w:rPr>
        <w:t>月任蓝盾信息安全技术股份有限公司监事；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月至今任蓝盾信息安全技术股份有限公司监事会主席。</w:t>
      </w:r>
    </w:p>
    <w:p>
      <w:pPr>
        <w:pStyle w:val="BodyText"/>
        <w:spacing w:line="328" w:lineRule="auto" w:before="65"/>
        <w:ind w:right="1127" w:firstLine="422"/>
        <w:jc w:val="both"/>
      </w:pPr>
      <w:r>
        <w:rPr>
          <w:rFonts w:ascii="宋体" w:hAnsi="宋体" w:cs="宋体" w:eastAsia="宋体" w:hint="default"/>
          <w:b/>
          <w:bCs/>
          <w:spacing w:val="-2"/>
        </w:rPr>
        <w:t>詹桂彬：</w:t>
      </w:r>
      <w:r>
        <w:rPr>
          <w:spacing w:val="-2"/>
        </w:rPr>
        <w:t>男，</w:t>
      </w:r>
      <w:r>
        <w:rPr>
          <w:rFonts w:ascii="Times New Roman" w:hAnsi="Times New Roman" w:cs="Times New Roman" w:eastAsia="Times New Roman" w:hint="default"/>
          <w:spacing w:val="-2"/>
        </w:rPr>
        <w:t>1977</w:t>
      </w:r>
      <w:r>
        <w:rPr>
          <w:spacing w:val="-2"/>
        </w:rPr>
        <w:t>年出生，中国国籍，无境外永久居留权，高中学历。曾任广东水晶球技术发展有限</w:t>
      </w:r>
      <w:r>
        <w:rPr>
          <w:w w:val="100"/>
        </w:rPr>
        <w:t> </w:t>
      </w:r>
      <w:r>
        <w:rPr>
          <w:spacing w:val="-2"/>
        </w:rPr>
        <w:t>公司技术主管及经理、广东天海威数码技术有限公司项目经理，新产品部经理与采购部经理，</w:t>
      </w:r>
      <w:r>
        <w:rPr>
          <w:rFonts w:ascii="Times New Roman" w:hAnsi="Times New Roman" w:cs="Times New Roman" w:eastAsia="Times New Roman" w:hint="default"/>
          <w:spacing w:val="-2"/>
        </w:rPr>
        <w:t>2009</w:t>
      </w:r>
      <w:r>
        <w:rPr>
          <w:spacing w:val="-2"/>
        </w:rPr>
        <w:t>年至今</w:t>
      </w:r>
      <w:r>
        <w:rPr>
          <w:spacing w:val="-43"/>
        </w:rPr>
        <w:t> </w:t>
      </w:r>
      <w:r>
        <w:rPr/>
        <w:t>任蓝盾信息安全技术股份有限公司职工代表监事。</w:t>
      </w:r>
    </w:p>
    <w:p>
      <w:pPr>
        <w:pStyle w:val="BodyText"/>
        <w:spacing w:line="336" w:lineRule="auto" w:before="86"/>
        <w:ind w:right="1128" w:firstLine="422"/>
        <w:jc w:val="both"/>
      </w:pPr>
      <w:r>
        <w:rPr>
          <w:rFonts w:ascii="宋体" w:hAnsi="宋体" w:cs="宋体" w:eastAsia="宋体" w:hint="default"/>
          <w:b/>
          <w:bCs/>
          <w:spacing w:val="-2"/>
        </w:rPr>
        <w:t>冯明强：</w:t>
      </w:r>
      <w:r>
        <w:rPr>
          <w:spacing w:val="-2"/>
        </w:rPr>
        <w:t>男，</w:t>
      </w:r>
      <w:r>
        <w:rPr>
          <w:rFonts w:ascii="Times New Roman" w:hAnsi="Times New Roman" w:cs="Times New Roman" w:eastAsia="Times New Roman" w:hint="default"/>
          <w:spacing w:val="-2"/>
        </w:rPr>
        <w:t>1971</w:t>
      </w:r>
      <w:r>
        <w:rPr>
          <w:spacing w:val="-2"/>
        </w:rPr>
        <w:t>年出生，中国国籍，无境外永久居留权。</w:t>
      </w:r>
      <w:r>
        <w:rPr>
          <w:rFonts w:ascii="Times New Roman" w:hAnsi="Times New Roman" w:cs="Times New Roman" w:eastAsia="Times New Roman" w:hint="default"/>
          <w:spacing w:val="-2"/>
        </w:rPr>
        <w:t>1992</w:t>
      </w:r>
      <w:r>
        <w:rPr>
          <w:spacing w:val="-2"/>
        </w:rPr>
        <w:t>年毕业于四川技术学院电子信息工程</w:t>
      </w:r>
      <w:r>
        <w:rPr>
          <w:w w:val="100"/>
        </w:rPr>
        <w:t> </w:t>
      </w:r>
      <w:r>
        <w:rPr>
          <w:spacing w:val="-2"/>
        </w:rPr>
        <w:t>系，获学士学位。曾任四川成都新兴集团技术部经理、广东水晶球技术发展有限公司技术人员、广东天海</w:t>
      </w:r>
      <w:r>
        <w:rPr>
          <w:spacing w:val="-47"/>
        </w:rPr>
        <w:t> </w:t>
      </w:r>
      <w:r>
        <w:rPr>
          <w:spacing w:val="-47"/>
        </w:rPr>
      </w:r>
      <w:r>
        <w:rPr/>
        <w:t>威数码技术有限公司工程师，</w:t>
      </w:r>
      <w:r>
        <w:rPr>
          <w:rFonts w:ascii="Times New Roman" w:hAnsi="Times New Roman" w:cs="Times New Roman" w:eastAsia="Times New Roman" w:hint="default"/>
        </w:rPr>
        <w:t>2009</w:t>
      </w:r>
      <w:r>
        <w:rPr/>
        <w:t>年至今任蓝盾信息安全技术股份有限公司生产部主管；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w:t>
      </w:r>
      <w:r>
        <w:rPr>
          <w:spacing w:val="-25"/>
        </w:rPr>
        <w:t> </w:t>
      </w:r>
      <w:r>
        <w:rPr/>
        <w:t>任蓝盾信息安全技术股份有限公司监事会监事。</w:t>
      </w:r>
    </w:p>
    <w:p>
      <w:pPr>
        <w:pStyle w:val="BodyText"/>
        <w:spacing w:line="333" w:lineRule="auto" w:before="82"/>
        <w:ind w:right="982" w:firstLine="422"/>
        <w:jc w:val="left"/>
      </w:pPr>
      <w:r>
        <w:rPr>
          <w:rFonts w:ascii="宋体" w:hAnsi="宋体" w:cs="宋体" w:eastAsia="宋体" w:hint="default"/>
          <w:b/>
          <w:bCs/>
          <w:spacing w:val="-2"/>
        </w:rPr>
        <w:t>李根森：</w:t>
      </w:r>
      <w:r>
        <w:rPr>
          <w:spacing w:val="-2"/>
        </w:rPr>
        <w:t>男，</w:t>
      </w:r>
      <w:r>
        <w:rPr>
          <w:rFonts w:ascii="Times New Roman" w:hAnsi="Times New Roman" w:cs="Times New Roman" w:eastAsia="Times New Roman" w:hint="default"/>
          <w:spacing w:val="-2"/>
        </w:rPr>
        <w:t>1960</w:t>
      </w:r>
      <w:r>
        <w:rPr>
          <w:spacing w:val="-2"/>
        </w:rPr>
        <w:t>年出生，中国国籍，无境外永久居留权，高级工程师，</w:t>
      </w:r>
      <w:r>
        <w:rPr>
          <w:rFonts w:ascii="Times New Roman" w:hAnsi="Times New Roman" w:cs="Times New Roman" w:eastAsia="Times New Roman" w:hint="default"/>
          <w:spacing w:val="-2"/>
        </w:rPr>
        <w:t>1982</w:t>
      </w:r>
      <w:r>
        <w:rPr>
          <w:spacing w:val="-2"/>
        </w:rPr>
        <w:t>年毕业于上海交通大学</w:t>
      </w:r>
      <w:r>
        <w:rPr>
          <w:w w:val="100"/>
        </w:rPr>
        <w:t> </w:t>
      </w:r>
      <w:r>
        <w:rPr>
          <w:spacing w:val="-5"/>
        </w:rPr>
        <w:t>计算机科学技术专业，广东省计算机安全协会理事。曾获广州市科学技术三等奖、广州市科技进步二等奖。 </w:t>
      </w:r>
      <w:r>
        <w:rPr>
          <w:spacing w:val="-5"/>
        </w:rPr>
      </w:r>
      <w:r>
        <w:rPr>
          <w:rFonts w:ascii="Times New Roman" w:hAnsi="Times New Roman" w:cs="Times New Roman" w:eastAsia="Times New Roman" w:hint="default"/>
        </w:rPr>
        <w:t>1984</w:t>
      </w:r>
      <w:r>
        <w:rPr/>
        <w:t>年赴美国参加 </w:t>
      </w:r>
      <w:r>
        <w:rPr>
          <w:rFonts w:ascii="Times New Roman" w:hAnsi="Times New Roman" w:cs="Times New Roman" w:eastAsia="Times New Roman" w:hint="default"/>
        </w:rPr>
        <w:t>TTS</w:t>
      </w:r>
      <w:r>
        <w:rPr/>
        <w:t>公司、</w:t>
      </w:r>
      <w:r>
        <w:rPr>
          <w:rFonts w:ascii="Times New Roman" w:hAnsi="Times New Roman" w:cs="Times New Roman" w:eastAsia="Times New Roman" w:hint="default"/>
        </w:rPr>
        <w:t>IBM </w:t>
      </w:r>
      <w:r>
        <w:rPr/>
        <w:t>大中型机 </w:t>
      </w:r>
      <w:r>
        <w:rPr>
          <w:rFonts w:ascii="Times New Roman" w:hAnsi="Times New Roman" w:cs="Times New Roman" w:eastAsia="Times New Roman" w:hint="default"/>
        </w:rPr>
        <w:t>OS</w:t>
      </w:r>
      <w:r>
        <w:rPr>
          <w:rFonts w:ascii="Times New Roman" w:hAnsi="Times New Roman" w:cs="Times New Roman" w:eastAsia="Times New Roman" w:hint="default"/>
          <w:spacing w:val="30"/>
        </w:rPr>
        <w:t> </w:t>
      </w:r>
      <w:r>
        <w:rPr/>
        <w:t>与硬件体系的设计和应用课程，并取得认证；</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
          <w:w w:val="100"/>
        </w:rPr>
        <w:t> </w:t>
      </w:r>
      <w:r>
        <w:rPr/>
        <w:t>月参加中国工业经济管理学院的 </w:t>
      </w:r>
      <w:r>
        <w:rPr>
          <w:rFonts w:ascii="Times New Roman" w:hAnsi="Times New Roman" w:cs="Times New Roman" w:eastAsia="Times New Roman" w:hint="default"/>
        </w:rPr>
        <w:t>EMBA </w:t>
      </w:r>
      <w:r>
        <w:rPr/>
        <w:t>课程，获得中国工业经济协会颁发的</w:t>
      </w:r>
      <w:r>
        <w:rPr>
          <w:rFonts w:ascii="Times New Roman" w:hAnsi="Times New Roman" w:cs="Times New Roman" w:eastAsia="Times New Roman" w:hint="default"/>
        </w:rPr>
        <w:t>EMBA </w:t>
      </w:r>
      <w:r>
        <w:rPr/>
        <w:t>毕业证书；</w:t>
      </w:r>
      <w:r>
        <w:rPr>
          <w:rFonts w:ascii="Times New Roman" w:hAnsi="Times New Roman" w:cs="Times New Roman" w:eastAsia="Times New Roman" w:hint="default"/>
        </w:rPr>
        <w:t>1982</w:t>
      </w:r>
      <w:r>
        <w:rPr/>
        <w:t>－</w:t>
      </w:r>
      <w:r>
        <w:rPr>
          <w:spacing w:val="-86"/>
        </w:rPr>
        <w:t> </w:t>
      </w:r>
      <w:r>
        <w:rPr>
          <w:rFonts w:ascii="Times New Roman" w:hAnsi="Times New Roman" w:cs="Times New Roman" w:eastAsia="Times New Roman" w:hint="default"/>
        </w:rPr>
        <w:t>1994 </w:t>
      </w:r>
      <w:r>
        <w:rPr/>
        <w:t>年，任广州广船国际股份有限公司信息中心科长；</w:t>
      </w:r>
      <w:r>
        <w:rPr>
          <w:rFonts w:ascii="Times New Roman" w:hAnsi="Times New Roman" w:cs="Times New Roman" w:eastAsia="Times New Roman" w:hint="default"/>
        </w:rPr>
        <w:t>1994</w:t>
      </w:r>
      <w:r>
        <w:rPr/>
        <w:t>－</w:t>
      </w:r>
      <w:r>
        <w:rPr>
          <w:rFonts w:ascii="Times New Roman" w:hAnsi="Times New Roman" w:cs="Times New Roman" w:eastAsia="Times New Roman" w:hint="default"/>
        </w:rPr>
        <w:t>1998</w:t>
      </w:r>
      <w:r>
        <w:rPr>
          <w:rFonts w:ascii="Times New Roman" w:hAnsi="Times New Roman" w:cs="Times New Roman" w:eastAsia="Times New Roman" w:hint="default"/>
          <w:spacing w:val="30"/>
        </w:rPr>
        <w:t> </w:t>
      </w:r>
      <w:r>
        <w:rPr/>
        <w:t>年任职上海众恒信息产业有限公司副</w:t>
      </w:r>
      <w:r>
        <w:rPr>
          <w:w w:val="100"/>
        </w:rPr>
        <w:t> </w:t>
      </w:r>
      <w:r>
        <w:rPr/>
        <w:t>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月任广东省科委技术转移中心软件开发部副总经理；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spacing w:val="-3"/>
          <w:w w:val="100"/>
        </w:rPr>
        <w:t> </w:t>
      </w:r>
      <w:r>
        <w:rPr>
          <w:spacing w:val="-2"/>
        </w:rPr>
        <w:t>历任广东天海威数码技术有限公司总经理、副总经理；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月历任蓝盾信息安全技术股份</w:t>
      </w:r>
      <w:r>
        <w:rPr>
          <w:spacing w:val="-33"/>
        </w:rPr>
        <w:t> </w:t>
      </w:r>
      <w:r>
        <w:rPr>
          <w:spacing w:val="-33"/>
        </w:rPr>
      </w:r>
      <w:r>
        <w:rPr>
          <w:spacing w:val="-6"/>
        </w:rPr>
        <w:t>有限公司董事、副总经理及董事会秘书；</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3</w:t>
      </w:r>
      <w:r>
        <w:rPr>
          <w:spacing w:val="-6"/>
        </w:rPr>
        <w:t>月至</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4</w:t>
      </w:r>
      <w:r>
        <w:rPr>
          <w:spacing w:val="-6"/>
        </w:rPr>
        <w:t>月任深圳市通宝莱科技有限公司总经理；</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月任水晶球教育信息技术有限公司董事；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月至今任蓝盾信息安全技术有限公司副</w:t>
      </w:r>
      <w:r>
        <w:rPr>
          <w:spacing w:val="-28"/>
        </w:rPr>
        <w:t> </w:t>
      </w:r>
      <w:r>
        <w:rPr>
          <w:spacing w:val="-28"/>
        </w:rPr>
      </w:r>
      <w:r>
        <w:rPr/>
        <w:t>总经理；</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月至今任蓝盾信息安全技术股份有限公司副总裁、董事会秘书。</w:t>
      </w:r>
    </w:p>
    <w:p>
      <w:pPr>
        <w:pStyle w:val="BodyText"/>
        <w:spacing w:line="331" w:lineRule="auto" w:before="58"/>
        <w:ind w:right="1126" w:firstLine="422"/>
        <w:jc w:val="both"/>
      </w:pPr>
      <w:r>
        <w:rPr>
          <w:rFonts w:ascii="宋体" w:hAnsi="宋体" w:cs="宋体" w:eastAsia="宋体" w:hint="default"/>
          <w:b/>
          <w:bCs/>
          <w:spacing w:val="-2"/>
        </w:rPr>
        <w:t>景丽：</w:t>
      </w:r>
      <w:r>
        <w:rPr>
          <w:spacing w:val="-2"/>
        </w:rPr>
        <w:t>女，</w:t>
      </w:r>
      <w:r>
        <w:rPr>
          <w:rFonts w:ascii="Times New Roman" w:hAnsi="Times New Roman" w:cs="Times New Roman" w:eastAsia="Times New Roman" w:hint="default"/>
          <w:spacing w:val="-2"/>
        </w:rPr>
        <w:t>1981</w:t>
      </w:r>
      <w:r>
        <w:rPr>
          <w:spacing w:val="-2"/>
        </w:rPr>
        <w:t>年出生，中国国籍，无境外永久居留权。</w:t>
      </w:r>
      <w:r>
        <w:rPr>
          <w:rFonts w:ascii="Times New Roman" w:hAnsi="Times New Roman" w:cs="Times New Roman" w:eastAsia="Times New Roman" w:hint="default"/>
          <w:spacing w:val="-2"/>
        </w:rPr>
        <w:t>2014</w:t>
      </w:r>
      <w:r>
        <w:rPr>
          <w:spacing w:val="-2"/>
        </w:rPr>
        <w:t>年毕业于华南师范大学会计系。</w:t>
      </w:r>
      <w:r>
        <w:rPr>
          <w:rFonts w:ascii="Times New Roman" w:hAnsi="Times New Roman" w:cs="Times New Roman" w:eastAsia="Times New Roman" w:hint="default"/>
          <w:spacing w:val="-2"/>
        </w:rPr>
        <w:t>2004</w:t>
      </w:r>
      <w:r>
        <w:rPr>
          <w:spacing w:val="-2"/>
        </w:rPr>
        <w:t>年</w:t>
      </w:r>
      <w:r>
        <w:rPr>
          <w:w w:val="100"/>
        </w:rPr>
        <w:t> </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月，在广州市衡运会计师事务所任职项目经理；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月，在广东天海威数码</w:t>
      </w:r>
      <w:r>
        <w:rPr>
          <w:spacing w:val="-32"/>
        </w:rPr>
        <w:t> </w:t>
      </w:r>
      <w:r>
        <w:rPr>
          <w:spacing w:val="-32"/>
        </w:rPr>
      </w:r>
      <w:r>
        <w:rPr>
          <w:spacing w:val="-2"/>
        </w:rPr>
        <w:t>技术有限公司任职财务经理；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月蓝盾信息安全技术股份有限公司任职财务经理；</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9</w:t>
      </w:r>
      <w:r>
        <w:rPr/>
        <w:t>月至今任蓝盾信息安全技术股份有限公司财务总监。</w:t>
      </w:r>
    </w:p>
    <w:p>
      <w:pPr>
        <w:spacing w:line="230"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8"/>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490"/>
        <w:gridCol w:w="1277"/>
        <w:gridCol w:w="1346"/>
      </w:tblGrid>
      <w:tr>
        <w:trPr>
          <w:trHeight w:val="70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2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广州景辕投资管理合伙企业（有限合伙</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56"/>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3" w:lineRule="exact"/>
              <w:ind w:left="16" w:right="-27"/>
              <w:jc w:val="left"/>
              <w:rPr>
                <w:rFonts w:ascii="宋体" w:hAnsi="宋体" w:cs="宋体" w:eastAsia="宋体" w:hint="default"/>
                <w:sz w:val="20"/>
                <w:szCs w:val="20"/>
              </w:rPr>
            </w:pPr>
            <w:r>
              <w:rPr>
                <w:rFonts w:ascii="宋体" w:hAnsi="宋体" w:cs="宋体" w:eastAsia="宋体" w:hint="default"/>
                <w:position w:val="-13"/>
                <w:sz w:val="20"/>
                <w:szCs w:val="20"/>
              </w:rPr>
              <w:pict>
                <v:group style="width:50.35pt;height:35.2pt;mso-position-horizontal-relative:char;mso-position-vertical-relative:line" coordorigin="0,0" coordsize="1007,704">
                  <v:group style="position:absolute;left:0;top:0;width:1007;height:351" coordorigin="0,0" coordsize="1007,351">
                    <v:shape style="position:absolute;left:0;top:0;width:1007;height:351" coordorigin="0,0" coordsize="1007,351" path="m0,350l1006,350,1006,0,0,0,0,350xe" filled="true" fillcolor="#ffffff" stroked="false">
                      <v:path arrowok="t"/>
                      <v:fill type="solid"/>
                    </v:shape>
                  </v:group>
                  <v:group style="position:absolute;left:0;top:350;width:1007;height:353" coordorigin="0,350" coordsize="1007,353">
                    <v:shape style="position:absolute;left:0;top:350;width:1007;height:353" coordorigin="0,350" coordsize="1007,353" path="m0,703l1006,703,1006,350,0,350,0,703xe" filled="true" fillcolor="#ffffff" stroked="false">
                      <v:path arrowok="t"/>
                      <v:fill type="solid"/>
                    </v:shape>
                  </v:group>
                </v:group>
              </w:pict>
            </w:r>
            <w:r>
              <w:rPr>
                <w:rFonts w:ascii="宋体" w:hAnsi="宋体" w:cs="宋体" w:eastAsia="宋体" w:hint="default"/>
                <w:position w:val="-13"/>
                <w:sz w:val="20"/>
                <w:szCs w:val="20"/>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广州蓝盾融轩投资有限公司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执行董事兼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490"/>
        <w:gridCol w:w="1277"/>
        <w:gridCol w:w="1346"/>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广州蓝耀医药科技有限公司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15"/>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广州市昇佰投资管理合伙企业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广东蓝安控股有限公司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广州蓝锦生物科技有限公司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广州蓝亮医药科技有限公司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广州臻泰企业咨询管理合伙企业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珠海横琴蓝曜投资管理合伙企业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广州创瑞投资合伙企业（有限合伙）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广州博饶投资合伙企业（有限合伙）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教授、硕士生</w:t>
            </w:r>
            <w:r>
              <w:rPr>
                <w:rFonts w:ascii="宋体" w:hAnsi="宋体" w:cs="宋体" w:eastAsia="宋体" w:hint="default"/>
                <w:sz w:val="18"/>
                <w:szCs w:val="18"/>
              </w:rPr>
              <w:t> 导师</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广东百合医疗科技股份有限公司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广州安必平医药科技股份有限公司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广东电声市场营销股份有限公司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广州中康资讯股份有限公司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广东外语外贸大学法学院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广东省法学会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广州仲裁委员会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广东岭南律师事务所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广东省港澳法学研究会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雅安正兴汉白玉股份有限公司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四、董事、监事、高级管理人员报酬情况" w:id="136"/>
      <w:bookmarkEnd w:id="136"/>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29"/>
        <w:gridCol w:w="5742"/>
      </w:tblGrid>
      <w:tr>
        <w:trPr>
          <w:trHeight w:val="136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7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38"/>
              <w:jc w:val="both"/>
              <w:rPr>
                <w:rFonts w:ascii="宋体" w:hAnsi="宋体" w:cs="宋体" w:eastAsia="宋体" w:hint="default"/>
                <w:sz w:val="18"/>
                <w:szCs w:val="18"/>
              </w:rPr>
            </w:pPr>
            <w:r>
              <w:rPr>
                <w:rFonts w:ascii="宋体" w:hAnsi="宋体" w:cs="宋体" w:eastAsia="宋体" w:hint="default"/>
                <w:sz w:val="18"/>
                <w:szCs w:val="18"/>
              </w:rPr>
              <w:t>公司薪酬与考核委员会根据董事及高级管理人员岗位的主要范围、职责、 </w:t>
            </w:r>
            <w:r>
              <w:rPr>
                <w:rFonts w:ascii="宋体" w:hAnsi="宋体" w:cs="宋体" w:eastAsia="宋体" w:hint="default"/>
                <w:spacing w:val="-2"/>
                <w:sz w:val="18"/>
                <w:szCs w:val="18"/>
              </w:rPr>
              <w:t>重要性以及其他相关企业相关岗位的薪酬水平制定薪酬计划或方案；其提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出的公司董事的薪酬计划，报经董事会同意后，提交股东大会审议通过后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实施；公司高级管理人员的薪酬分配方案须报董事会审议批准。</w:t>
            </w:r>
          </w:p>
        </w:tc>
      </w:tr>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74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依据董事及高级管理人员岗位的主要范围、职责、重要性以及其他相关企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业相关岗位的薪酬水平确定。</w:t>
            </w:r>
          </w:p>
        </w:tc>
      </w:tr>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7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根据相关决策程序审议通过后的薪酬方案进行支付，并按照税法规定代扣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代缴个人所得税。</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余曜青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407.49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1262"/>
        <w:gridCol w:w="709"/>
        <w:gridCol w:w="638"/>
        <w:gridCol w:w="871"/>
        <w:gridCol w:w="758"/>
        <w:gridCol w:w="852"/>
        <w:gridCol w:w="708"/>
        <w:gridCol w:w="994"/>
        <w:gridCol w:w="1037"/>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03" w:lineRule="exact" w:before="19"/>
              <w:ind w:left="24" w:right="-46"/>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pStyle w:val="TableParagraph"/>
              <w:spacing w:line="18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6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0"/>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13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张越</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8"/>
                <w:sz w:val="18"/>
                <w:szCs w:val="18"/>
              </w:rPr>
              <w:t>副总裁、董事会</w:t>
            </w:r>
            <w:r>
              <w:rPr>
                <w:rFonts w:ascii="宋体" w:hAnsi="宋体" w:cs="宋体" w:eastAsia="宋体" w:hint="default"/>
                <w:sz w:val="18"/>
                <w:szCs w:val="18"/>
              </w:rPr>
              <w:t> 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景丽</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198,000</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198,000</w:t>
            </w:r>
          </w:p>
        </w:tc>
      </w:tr>
      <w:tr>
        <w:trPr>
          <w:trHeight w:val="492" w:hRule="exact"/>
        </w:trPr>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2"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9" w:right="20"/>
              <w:jc w:val="both"/>
              <w:rPr>
                <w:rFonts w:ascii="宋体" w:hAnsi="宋体" w:cs="宋体" w:eastAsia="宋体" w:hint="default"/>
                <w:sz w:val="18"/>
                <w:szCs w:val="18"/>
              </w:rPr>
            </w:pPr>
            <w:r>
              <w:rPr>
                <w:rFonts w:ascii="宋体" w:hAnsi="宋体" w:cs="宋体" w:eastAsia="宋体" w:hint="default"/>
                <w:sz w:val="18"/>
                <w:szCs w:val="18"/>
              </w:rPr>
              <w:t>截至本报告披露日，李德桂先生因个人原因已申请辞去公司副总裁、董事会秘书职务，魏树华先生因个人原因 已申请辞去公司副总裁职务；具体内容详见公司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日披露于巨潮资讯网《关于公司副总裁、董事 </w:t>
            </w:r>
            <w:r>
              <w:rPr>
                <w:rFonts w:ascii="宋体" w:hAnsi="宋体" w:cs="宋体" w:eastAsia="宋体" w:hint="default"/>
                <w:spacing w:val="-5"/>
                <w:sz w:val="18"/>
                <w:szCs w:val="18"/>
              </w:rPr>
              <w:t>会秘书辞职及聘任副总裁、董事会秘书的公告》。</w:t>
            </w:r>
          </w:p>
          <w:p>
            <w:pPr>
              <w:pStyle w:val="TableParagraph"/>
              <w:spacing w:line="300" w:lineRule="auto" w:before="62"/>
              <w:ind w:left="19" w:right="20"/>
              <w:jc w:val="both"/>
              <w:rPr>
                <w:rFonts w:ascii="宋体" w:hAnsi="宋体" w:cs="宋体" w:eastAsia="宋体" w:hint="default"/>
                <w:sz w:val="18"/>
                <w:szCs w:val="18"/>
              </w:rPr>
            </w:pPr>
            <w:r>
              <w:rPr>
                <w:rFonts w:ascii="宋体" w:hAnsi="宋体" w:cs="宋体" w:eastAsia="宋体" w:hint="default"/>
                <w:spacing w:val="-4"/>
                <w:sz w:val="18"/>
                <w:szCs w:val="18"/>
              </w:rPr>
              <w:t>上述期末持有限制性股票，因</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年公司经营业绩未达到限制性股票第四期解锁条件，公司将按照激励计划有 关规定对该部分限制性股票进行回购注销。</w:t>
            </w:r>
          </w:p>
        </w:tc>
      </w:tr>
      <w:tr>
        <w:trPr>
          <w:trHeight w:val="706" w:hRule="exact"/>
        </w:trPr>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vMerge/>
            <w:tcBorders>
              <w:left w:val="single" w:sz="10" w:space="0" w:color="D2D2D2"/>
              <w:right w:val="single" w:sz="4" w:space="0" w:color="000000"/>
            </w:tcBorders>
          </w:tcPr>
          <w:p>
            <w:pPr/>
          </w:p>
        </w:tc>
      </w:tr>
      <w:tr>
        <w:trPr>
          <w:trHeight w:val="492" w:hRule="exact"/>
        </w:trPr>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2" w:type="dxa"/>
            <w:gridSpan w:val="10"/>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五、公司员工情况" w:id="137"/>
      <w:bookmarkEnd w:id="137"/>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38"/>
      <w:bookmarkEnd w:id="13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3"/>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1,316</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39"/>
      <w:bookmarkEnd w:id="13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73" w:right="1133"/>
        <w:jc w:val="left"/>
      </w:pPr>
      <w:r>
        <w:rPr/>
        <w:t>公司实行全员聘用制，无需承担离退休职工的费用，离退休职工由社保基金统筹解决。</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2"/>
        <w:rPr>
          <w:rFonts w:ascii="宋体" w:hAnsi="宋体" w:cs="宋体" w:eastAsia="宋体" w:hint="default"/>
          <w:sz w:val="12"/>
          <w:szCs w:val="12"/>
        </w:rPr>
      </w:pPr>
    </w:p>
    <w:p>
      <w:pPr>
        <w:pStyle w:val="BodyText"/>
        <w:spacing w:line="331" w:lineRule="auto"/>
        <w:ind w:right="1133" w:firstLine="420"/>
        <w:jc w:val="left"/>
      </w:pPr>
      <w:r>
        <w:rPr>
          <w:spacing w:val="-2"/>
        </w:rPr>
        <w:t>报告期内，</w:t>
      </w:r>
      <w:r>
        <w:rPr>
          <w:rFonts w:ascii="Times New Roman" w:hAnsi="Times New Roman" w:cs="Times New Roman" w:eastAsia="Times New Roman" w:hint="default"/>
          <w:spacing w:val="-2"/>
        </w:rPr>
        <w:t>2019</w:t>
      </w:r>
      <w:r>
        <w:rPr>
          <w:spacing w:val="-2"/>
        </w:rPr>
        <w:t>年计入营业成本部分的职工薪酬总额为</w:t>
      </w:r>
      <w:r>
        <w:rPr>
          <w:rFonts w:ascii="Times New Roman" w:hAnsi="Times New Roman" w:cs="Times New Roman" w:eastAsia="Times New Roman" w:hint="default"/>
          <w:spacing w:val="-2"/>
        </w:rPr>
        <w:t>4,469.54</w:t>
      </w:r>
      <w:r>
        <w:rPr>
          <w:spacing w:val="-2"/>
        </w:rPr>
        <w:t>万元，占公司营业成本总额的</w:t>
      </w:r>
      <w:r>
        <w:rPr>
          <w:rFonts w:ascii="Times New Roman" w:hAnsi="Times New Roman" w:cs="Times New Roman" w:eastAsia="Times New Roman" w:hint="default"/>
          <w:spacing w:val="-2"/>
        </w:rPr>
        <w:t>4.41%</w:t>
      </w:r>
      <w:r>
        <w:rPr>
          <w:spacing w:val="-2"/>
        </w:rPr>
        <w:t>；</w:t>
      </w:r>
      <w:r>
        <w:rPr>
          <w:w w:val="100"/>
        </w:rPr>
        <w:t> </w:t>
      </w:r>
      <w:r>
        <w:rPr/>
        <w:t>上年同期计入营业成本部分的职工薪酬总额为</w:t>
      </w:r>
      <w:r>
        <w:rPr>
          <w:rFonts w:ascii="Times New Roman" w:hAnsi="Times New Roman" w:cs="Times New Roman" w:eastAsia="Times New Roman" w:hint="default"/>
        </w:rPr>
        <w:t>7,770.66</w:t>
      </w:r>
      <w:r>
        <w:rPr>
          <w:rFonts w:ascii="Times New Roman" w:hAnsi="Times New Roman" w:cs="Times New Roman" w:eastAsia="Times New Roman" w:hint="default"/>
          <w:spacing w:val="28"/>
        </w:rPr>
        <w:t> </w:t>
      </w:r>
      <w:r>
        <w:rPr/>
        <w:t>万元，占公司营业成本总额的</w:t>
      </w:r>
      <w:r>
        <w:rPr>
          <w:rFonts w:ascii="Times New Roman" w:hAnsi="Times New Roman" w:cs="Times New Roman" w:eastAsia="Times New Roman" w:hint="default"/>
        </w:rPr>
        <w:t>8.38%</w:t>
      </w:r>
      <w:r>
        <w:rPr/>
        <w:t>，公司利润对</w:t>
      </w:r>
      <w:r>
        <w:rPr>
          <w:w w:val="100"/>
        </w:rPr>
        <w:t> </w:t>
      </w:r>
      <w:r>
        <w:rPr/>
        <w:t>职工薪酬总额变化的敏感性较低。</w:t>
      </w:r>
      <w:r>
        <w:rPr>
          <w:rFonts w:ascii="Times New Roman" w:hAnsi="Times New Roman" w:cs="Times New Roman" w:eastAsia="Times New Roman" w:hint="default"/>
        </w:rPr>
        <w:t>2019</w:t>
      </w:r>
      <w:r>
        <w:rPr/>
        <w:t>年，核心技术人员</w:t>
      </w:r>
      <w:r>
        <w:rPr>
          <w:rFonts w:ascii="Times New Roman" w:hAnsi="Times New Roman" w:cs="Times New Roman" w:eastAsia="Times New Roman" w:hint="default"/>
        </w:rPr>
        <w:t>568</w:t>
      </w:r>
      <w:r>
        <w:rPr/>
        <w:t>人，占公司总人数的</w:t>
      </w:r>
      <w:r>
        <w:rPr>
          <w:rFonts w:ascii="Times New Roman" w:hAnsi="Times New Roman" w:cs="Times New Roman" w:eastAsia="Times New Roman" w:hint="default"/>
        </w:rPr>
        <w:t>43.16%%</w:t>
      </w:r>
      <w:r>
        <w:rPr/>
        <w:t>，核心技术人</w:t>
      </w:r>
      <w:r>
        <w:rPr>
          <w:w w:val="100"/>
        </w:rPr>
        <w:t> </w:t>
      </w:r>
      <w:r>
        <w:rPr>
          <w:spacing w:val="-2"/>
        </w:rPr>
        <w:t>员薪酬占公司薪酬总额的</w:t>
      </w:r>
      <w:r>
        <w:rPr>
          <w:rFonts w:ascii="Times New Roman" w:hAnsi="Times New Roman" w:cs="Times New Roman" w:eastAsia="Times New Roman" w:hint="default"/>
          <w:spacing w:val="-2"/>
        </w:rPr>
        <w:t>24.78%</w:t>
      </w:r>
      <w:r>
        <w:rPr>
          <w:spacing w:val="-2"/>
        </w:rPr>
        <w:t>；</w:t>
      </w:r>
      <w:r>
        <w:rPr>
          <w:rFonts w:ascii="Times New Roman" w:hAnsi="Times New Roman" w:cs="Times New Roman" w:eastAsia="Times New Roman" w:hint="default"/>
          <w:spacing w:val="-2"/>
        </w:rPr>
        <w:t>2018</w:t>
      </w:r>
      <w:r>
        <w:rPr>
          <w:spacing w:val="-2"/>
        </w:rPr>
        <w:t>年，核心技术人员</w:t>
      </w:r>
      <w:r>
        <w:rPr>
          <w:rFonts w:ascii="Times New Roman" w:hAnsi="Times New Roman" w:cs="Times New Roman" w:eastAsia="Times New Roman" w:hint="default"/>
          <w:spacing w:val="-2"/>
        </w:rPr>
        <w:t>825</w:t>
      </w:r>
      <w:r>
        <w:rPr>
          <w:spacing w:val="-2"/>
        </w:rPr>
        <w:t>人，占公司总人数的</w:t>
      </w:r>
      <w:r>
        <w:rPr>
          <w:rFonts w:ascii="Times New Roman" w:hAnsi="Times New Roman" w:cs="Times New Roman" w:eastAsia="Times New Roman" w:hint="default"/>
          <w:spacing w:val="-2"/>
        </w:rPr>
        <w:t>42.5%%</w:t>
      </w:r>
      <w:r>
        <w:rPr>
          <w:spacing w:val="-2"/>
        </w:rPr>
        <w:t>，核心技术人员</w:t>
      </w:r>
      <w:r>
        <w:rPr>
          <w:spacing w:val="-31"/>
        </w:rPr>
        <w:t> </w:t>
      </w:r>
      <w:r>
        <w:rPr>
          <w:spacing w:val="-31"/>
        </w:rPr>
      </w:r>
      <w:r>
        <w:rPr/>
        <w:t>薪酬占公司薪酬总额的</w:t>
      </w:r>
      <w:r>
        <w:rPr>
          <w:rFonts w:ascii="Times New Roman" w:hAnsi="Times New Roman" w:cs="Times New Roman" w:eastAsia="Times New Roman" w:hint="default"/>
        </w:rPr>
        <w:t>26.11%</w:t>
      </w:r>
      <w:r>
        <w:rPr/>
        <w:t>，</w:t>
      </w:r>
      <w:r>
        <w:rPr>
          <w:spacing w:val="-29"/>
        </w:rPr>
        <w:t> </w:t>
      </w:r>
      <w:r>
        <w:rPr>
          <w:rFonts w:ascii="Times New Roman" w:hAnsi="Times New Roman" w:cs="Times New Roman" w:eastAsia="Times New Roman" w:hint="default"/>
        </w:rPr>
        <w:t>2019</w:t>
      </w:r>
      <w:r>
        <w:rPr/>
        <w:t>核心技术人员薪酬占比较</w:t>
      </w:r>
      <w:r>
        <w:rPr>
          <w:rFonts w:ascii="Times New Roman" w:hAnsi="Times New Roman" w:cs="Times New Roman" w:eastAsia="Times New Roman" w:hint="default"/>
        </w:rPr>
        <w:t>2018</w:t>
      </w:r>
      <w:r>
        <w:rPr/>
        <w:t>年略有下降。</w:t>
      </w:r>
    </w:p>
    <w:p>
      <w:pPr>
        <w:spacing w:line="240" w:lineRule="auto" w:before="10"/>
        <w:rPr>
          <w:rFonts w:ascii="宋体" w:hAnsi="宋体" w:cs="宋体" w:eastAsia="宋体" w:hint="default"/>
          <w:sz w:val="17"/>
          <w:szCs w:val="17"/>
        </w:rPr>
      </w:pPr>
    </w:p>
    <w:p>
      <w:pPr>
        <w:pStyle w:val="Heading3"/>
        <w:spacing w:line="240" w:lineRule="auto"/>
        <w:ind w:right="1133"/>
        <w:jc w:val="left"/>
        <w:rPr>
          <w:b w:val="0"/>
          <w:bCs w:val="0"/>
        </w:rPr>
      </w:pPr>
      <w:bookmarkStart w:name="3、培训计划" w:id="140"/>
      <w:bookmarkEnd w:id="14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31"/>
          <w:szCs w:val="31"/>
        </w:rPr>
      </w:pPr>
    </w:p>
    <w:p>
      <w:pPr>
        <w:pStyle w:val="BodyText"/>
        <w:spacing w:line="350" w:lineRule="auto"/>
        <w:ind w:right="1104" w:firstLine="420"/>
        <w:jc w:val="both"/>
      </w:pPr>
      <w:r>
        <w:rPr>
          <w:spacing w:val="-2"/>
        </w:rPr>
        <w:t>为响应公司</w:t>
      </w:r>
      <w:r>
        <w:rPr>
          <w:rFonts w:ascii="宋体" w:hAnsi="宋体" w:cs="宋体" w:eastAsia="宋体" w:hint="default"/>
          <w:spacing w:val="-2"/>
        </w:rPr>
        <w:t>2020</w:t>
      </w:r>
      <w:r>
        <w:rPr>
          <w:spacing w:val="-2"/>
        </w:rPr>
        <w:t>年的战略布局，加紧提升公司业务盈利能力，降低企业内耗，以“业务先行、产品为</w:t>
      </w:r>
      <w:r>
        <w:rPr>
          <w:w w:val="100"/>
        </w:rPr>
        <w:t> </w:t>
      </w:r>
      <w:r>
        <w:rPr>
          <w:spacing w:val="-2"/>
        </w:rPr>
        <w:t>本、管理为重、培训护航”的理念应运而生。</w:t>
      </w:r>
      <w:r>
        <w:rPr>
          <w:rFonts w:ascii="宋体" w:hAnsi="宋体" w:cs="宋体" w:eastAsia="宋体" w:hint="default"/>
          <w:spacing w:val="-2"/>
        </w:rPr>
        <w:t>2020</w:t>
      </w:r>
      <w:r>
        <w:rPr>
          <w:spacing w:val="-2"/>
        </w:rPr>
        <w:t>年公司将着重针对营销人员与管理人员两大核心主体，</w:t>
      </w:r>
      <w:r>
        <w:rPr>
          <w:spacing w:val="-17"/>
        </w:rPr>
        <w:t> </w:t>
      </w:r>
      <w:r>
        <w:rPr>
          <w:spacing w:val="-17"/>
        </w:rPr>
      </w:r>
      <w:r>
        <w:rPr>
          <w:spacing w:val="-2"/>
        </w:rPr>
        <w:t>开展客户挖掘、产品普及、团队管理与业务赋能等适岗培训项目，为销售业务的顺利推进提供知识与技能</w:t>
      </w:r>
      <w:r>
        <w:rPr>
          <w:spacing w:val="-45"/>
        </w:rPr>
        <w:t> </w:t>
      </w:r>
      <w:r>
        <w:rPr>
          <w:spacing w:val="-45"/>
        </w:rPr>
      </w:r>
      <w:r>
        <w:rPr/>
        <w:t>保障，为公司新一轮的发展“保驾护航”。</w:t>
      </w:r>
    </w:p>
    <w:p>
      <w:pPr>
        <w:pStyle w:val="BodyText"/>
        <w:spacing w:line="348" w:lineRule="auto" w:before="67"/>
        <w:ind w:right="1126" w:firstLine="420"/>
        <w:jc w:val="both"/>
      </w:pPr>
      <w:r>
        <w:rPr>
          <w:spacing w:val="-2"/>
        </w:rPr>
        <w:t>受新型冠状肺炎疫情的影响，公司在配合政府有关单位做好疫情防控的基础上，将充分利用各项培训</w:t>
      </w:r>
      <w:r>
        <w:rPr>
          <w:w w:val="100"/>
        </w:rPr>
        <w:t> </w:t>
      </w:r>
      <w:r>
        <w:rPr>
          <w:spacing w:val="-2"/>
        </w:rPr>
        <w:t>资源，</w:t>
      </w:r>
      <w:r>
        <w:rPr>
          <w:rFonts w:ascii="宋体" w:hAnsi="宋体" w:cs="宋体" w:eastAsia="宋体" w:hint="default"/>
          <w:spacing w:val="-2"/>
        </w:rPr>
        <w:t>2020</w:t>
      </w:r>
      <w:r>
        <w:rPr>
          <w:spacing w:val="-2"/>
        </w:rPr>
        <w:t>年的培训工作将采用线上线下相结合的培训模式。优先使用自主研发的“蓝盾线上培训管理系</w:t>
      </w:r>
      <w:r>
        <w:rPr>
          <w:spacing w:val="-39"/>
        </w:rPr>
        <w:t> </w:t>
      </w:r>
      <w:r>
        <w:rPr>
          <w:spacing w:val="-39"/>
        </w:rPr>
      </w:r>
      <w:r>
        <w:rPr/>
        <w:t>统”开展培训工作，既要求保证受训参训人员的人身健康，又尽可能减少疫情所带来的影响。</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bookmarkStart w:name="4、劳务外包情况" w:id="141"/>
      <w:bookmarkEnd w:id="14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279"/>
        <w:jc w:val="center"/>
        <w:rPr>
          <w:b w:val="0"/>
          <w:bCs w:val="0"/>
        </w:rPr>
      </w:pPr>
      <w:bookmarkStart w:name="第十节公司治理" w:id="142"/>
      <w:bookmarkEnd w:id="142"/>
      <w:r>
        <w:rPr>
          <w:b w:val="0"/>
          <w:bCs w:val="0"/>
        </w:rPr>
      </w:r>
      <w:bookmarkStart w:name="_bookmark9" w:id="143"/>
      <w:bookmarkEnd w:id="143"/>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44"/>
      <w:bookmarkEnd w:id="144"/>
      <w:r>
        <w:rPr>
          <w:b w:val="0"/>
          <w:bCs w:val="0"/>
        </w:rPr>
      </w:r>
      <w:r>
        <w:rPr/>
        <w:t>一、公司治理的基本状况</w:t>
      </w:r>
      <w:r>
        <w:rPr>
          <w:b w:val="0"/>
          <w:bCs w:val="0"/>
        </w:rPr>
      </w:r>
    </w:p>
    <w:p>
      <w:pPr>
        <w:spacing w:line="240" w:lineRule="auto" w:before="4"/>
        <w:rPr>
          <w:rFonts w:ascii="宋体" w:hAnsi="宋体" w:cs="宋体" w:eastAsia="宋体" w:hint="default"/>
          <w:b/>
          <w:bCs/>
          <w:sz w:val="31"/>
          <w:szCs w:val="31"/>
        </w:rPr>
      </w:pPr>
    </w:p>
    <w:p>
      <w:pPr>
        <w:pStyle w:val="BodyText"/>
        <w:spacing w:line="350" w:lineRule="auto"/>
        <w:ind w:right="1133" w:firstLine="420"/>
        <w:jc w:val="left"/>
      </w:pPr>
      <w:r>
        <w:rPr>
          <w:spacing w:val="-2"/>
        </w:rPr>
        <w:t>报告期内，公司建立了规范的公司治理结构，严格按照《公司法》、《证券法》、《上市公司治理准</w:t>
      </w:r>
      <w:r>
        <w:rPr>
          <w:w w:val="100"/>
        </w:rPr>
        <w:t> </w:t>
      </w:r>
      <w:r>
        <w:rPr>
          <w:spacing w:val="-2"/>
        </w:rPr>
        <w:t>则》、《深圳证券交易所创业板股票上市规则》、《深圳证券交易所创业板上市公司规范运作指引》等相</w:t>
      </w:r>
      <w:r>
        <w:rPr>
          <w:spacing w:val="-46"/>
        </w:rPr>
        <w:t> </w:t>
      </w:r>
      <w:r>
        <w:rPr>
          <w:spacing w:val="-46"/>
        </w:rPr>
      </w:r>
      <w:r>
        <w:rPr/>
        <w:t>关法律法规和的要求，建立与公司治理结构相适应的各项规章制度，保持公司持续、健康发展。</w:t>
      </w:r>
      <w:r>
        <w:rPr>
          <w:spacing w:val="-25"/>
        </w:rPr>
        <w:t> </w:t>
      </w:r>
      <w:r>
        <w:rPr/>
        <w:t>截至报</w:t>
      </w:r>
      <w:r>
        <w:rPr>
          <w:w w:val="100"/>
        </w:rPr>
        <w:t> </w:t>
      </w:r>
      <w:r>
        <w:rPr>
          <w:spacing w:val="-2"/>
        </w:rPr>
        <w:t>告期末，公司治理的实际情况基本符合中国证监会《上市公司治理准则》和《深圳证券交易所创业板上市</w:t>
      </w:r>
      <w:r>
        <w:rPr>
          <w:spacing w:val="-47"/>
        </w:rPr>
        <w:t> </w:t>
      </w:r>
      <w:r>
        <w:rPr>
          <w:spacing w:val="-47"/>
        </w:rPr>
      </w:r>
      <w:r>
        <w:rPr/>
        <w:t>公司规范运作指引》等法律法规和规范性文件的要求。</w:t>
      </w:r>
    </w:p>
    <w:p>
      <w:pPr>
        <w:pStyle w:val="BodyText"/>
        <w:spacing w:line="362" w:lineRule="auto" w:before="67"/>
        <w:ind w:left="573" w:right="1133"/>
        <w:jc w:val="left"/>
      </w:pPr>
      <w:r>
        <w:rPr>
          <w:rFonts w:ascii="Times New Roman" w:hAnsi="Times New Roman" w:cs="Times New Roman" w:eastAsia="Times New Roman" w:hint="default"/>
        </w:rPr>
        <w:t>1</w:t>
      </w:r>
      <w:r>
        <w:rPr/>
        <w:t>、关于股东与股东大会</w:t>
      </w:r>
      <w:r>
        <w:rPr>
          <w:w w:val="100"/>
        </w:rPr>
        <w:t> </w:t>
      </w:r>
      <w:r>
        <w:rPr>
          <w:spacing w:val="-2"/>
        </w:rPr>
        <w:t>报告期内，公司严格按照《上市公司股东大会规则》、《公司章程》、《股东大会议事规则》等规定</w:t>
      </w:r>
    </w:p>
    <w:p>
      <w:pPr>
        <w:pStyle w:val="BodyText"/>
        <w:spacing w:line="348" w:lineRule="auto" w:before="19"/>
        <w:ind w:right="1126"/>
        <w:jc w:val="both"/>
      </w:pPr>
      <w:r>
        <w:rPr>
          <w:spacing w:val="-2"/>
        </w:rPr>
        <w:t>和要求，规范地召集、召开股东大会，并采用现场投票与网络投票相结合的方式保障全体股东能够充分行</w:t>
      </w:r>
      <w:r>
        <w:rPr>
          <w:spacing w:val="-42"/>
        </w:rPr>
        <w:t> </w:t>
      </w:r>
      <w:r>
        <w:rPr>
          <w:spacing w:val="-42"/>
        </w:rPr>
      </w:r>
      <w:r>
        <w:rPr>
          <w:spacing w:val="-2"/>
        </w:rPr>
        <w:t>使表决权。公司股东大会的相关议程均符合法规规定，现场有见证律师出具法律意见书，确保全体股东特</w:t>
      </w:r>
      <w:r>
        <w:rPr>
          <w:spacing w:val="-43"/>
        </w:rPr>
        <w:t> </w:t>
      </w:r>
      <w:r>
        <w:rPr>
          <w:spacing w:val="-43"/>
        </w:rPr>
      </w:r>
      <w:r>
        <w:rPr/>
        <w:t>别是中小股东享有平等地位，保证所有股东充分行使自己的权利。</w:t>
      </w:r>
    </w:p>
    <w:p>
      <w:pPr>
        <w:pStyle w:val="BodyText"/>
        <w:spacing w:line="362" w:lineRule="auto" w:before="72"/>
        <w:ind w:left="573" w:right="1133"/>
        <w:jc w:val="left"/>
      </w:pPr>
      <w:r>
        <w:rPr>
          <w:rFonts w:ascii="Times New Roman" w:hAnsi="Times New Roman" w:cs="Times New Roman" w:eastAsia="Times New Roman" w:hint="default"/>
        </w:rPr>
        <w:t>2</w:t>
      </w:r>
      <w:r>
        <w:rPr/>
        <w:t>、关于公司与控股股东</w:t>
      </w:r>
      <w:r>
        <w:rPr>
          <w:w w:val="100"/>
        </w:rPr>
        <w:t> </w:t>
      </w:r>
      <w:r>
        <w:rPr>
          <w:spacing w:val="-2"/>
        </w:rPr>
        <w:t>公司控股股东严格规范自身行为，没有超越公司股东大会授权范围行使职权，直接或间接干预公司的</w:t>
      </w:r>
    </w:p>
    <w:p>
      <w:pPr>
        <w:pStyle w:val="BodyText"/>
        <w:spacing w:line="348" w:lineRule="auto" w:before="19"/>
        <w:ind w:right="982"/>
        <w:jc w:val="left"/>
      </w:pPr>
      <w:r>
        <w:rPr>
          <w:spacing w:val="-5"/>
        </w:rPr>
        <w:t>决策和经营活动情况，依法回避各项关联交易。公司在业务、人员、资产、机构、财务上独立于控股股东，</w:t>
      </w:r>
      <w:r>
        <w:rPr>
          <w:spacing w:val="-6"/>
        </w:rPr>
        <w:t> </w:t>
      </w:r>
      <w:r>
        <w:rPr>
          <w:spacing w:val="-6"/>
        </w:rPr>
      </w:r>
      <w:r>
        <w:rPr/>
        <w:t>有独立完整的业务和自主经营能力，公司董事会、监事会和内部机构独立运作。</w:t>
      </w:r>
    </w:p>
    <w:p>
      <w:pPr>
        <w:pStyle w:val="BodyText"/>
        <w:spacing w:line="362" w:lineRule="auto" w:before="72"/>
        <w:ind w:left="573" w:right="1133"/>
        <w:jc w:val="left"/>
      </w:pPr>
      <w:r>
        <w:rPr>
          <w:rFonts w:ascii="Times New Roman" w:hAnsi="Times New Roman" w:cs="Times New Roman" w:eastAsia="Times New Roman" w:hint="default"/>
        </w:rPr>
        <w:t>3</w:t>
      </w:r>
      <w:r>
        <w:rPr/>
        <w:t>、关于董事和董事会</w:t>
      </w:r>
      <w:r>
        <w:rPr>
          <w:w w:val="100"/>
        </w:rPr>
        <w:t> </w:t>
      </w:r>
      <w:r>
        <w:rPr>
          <w:spacing w:val="-2"/>
        </w:rPr>
        <w:t>报告期内，公司严格按照《公司章程》规定的董事选聘程序选举董事。公司董事会由九名董事组成，</w:t>
      </w:r>
    </w:p>
    <w:p>
      <w:pPr>
        <w:pStyle w:val="BodyText"/>
        <w:spacing w:line="348" w:lineRule="auto" w:before="19"/>
        <w:ind w:right="982"/>
        <w:jc w:val="left"/>
      </w:pPr>
      <w:r>
        <w:rPr>
          <w:spacing w:val="-2"/>
        </w:rPr>
        <w:t>其中独立董事三名，董事会的人数及人员结构均符合相关法律、法规和《公司章程》的规定。公司董事积</w:t>
      </w:r>
      <w:r>
        <w:rPr>
          <w:spacing w:val="-43"/>
        </w:rPr>
        <w:t> </w:t>
      </w:r>
      <w:r>
        <w:rPr>
          <w:spacing w:val="-43"/>
        </w:rPr>
      </w:r>
      <w:r>
        <w:rPr>
          <w:spacing w:val="-5"/>
        </w:rPr>
        <w:t>极参加培训，熟悉相关法律法规，并严格按照《公司章程》、《董事会议事规则》、《独立董事工作制度》 </w:t>
      </w:r>
      <w:r>
        <w:rPr>
          <w:spacing w:val="-5"/>
        </w:rPr>
      </w:r>
      <w:r>
        <w:rPr/>
        <w:t>等相关规定依法履行职责，切实维护公司和股东权益。</w:t>
      </w:r>
    </w:p>
    <w:p>
      <w:pPr>
        <w:pStyle w:val="BodyText"/>
        <w:spacing w:line="364" w:lineRule="auto" w:before="70"/>
        <w:ind w:left="573" w:right="982"/>
        <w:jc w:val="left"/>
      </w:pPr>
      <w:r>
        <w:rPr>
          <w:rFonts w:ascii="Times New Roman" w:hAnsi="Times New Roman" w:cs="Times New Roman" w:eastAsia="Times New Roman" w:hint="default"/>
        </w:rPr>
        <w:t>4</w:t>
      </w:r>
      <w:r>
        <w:rPr/>
        <w:t>、关于监事和监事会</w:t>
      </w:r>
      <w:r>
        <w:rPr>
          <w:w w:val="100"/>
        </w:rPr>
        <w:t> </w:t>
      </w:r>
      <w:r>
        <w:rPr>
          <w:spacing w:val="-5"/>
        </w:rPr>
        <w:t>公司监事会由三名监事组成，其中职工监事一名，监事会的人数和构成符合法律、法规和《公司章程》</w:t>
      </w:r>
    </w:p>
    <w:p>
      <w:pPr>
        <w:pStyle w:val="BodyText"/>
        <w:spacing w:line="350" w:lineRule="auto" w:before="15"/>
        <w:ind w:right="1127"/>
        <w:jc w:val="both"/>
      </w:pPr>
      <w:r>
        <w:rPr>
          <w:spacing w:val="-2"/>
        </w:rPr>
        <w:t>的规定与要求。各位监事能够按照《公司监事会议事规则》的要求开展工作，认真履行自己的职责，对公</w:t>
      </w:r>
      <w:r>
        <w:rPr>
          <w:spacing w:val="-43"/>
        </w:rPr>
        <w:t> </w:t>
      </w:r>
      <w:r>
        <w:rPr>
          <w:spacing w:val="-43"/>
        </w:rPr>
      </w:r>
      <w:r>
        <w:rPr>
          <w:spacing w:val="-2"/>
        </w:rPr>
        <w:t>司重大事项、关联交易、财务状况以及董事、高级管理人员履行职责的合法合规性进行监督，保证了公司</w:t>
      </w:r>
      <w:r>
        <w:rPr>
          <w:spacing w:val="-47"/>
        </w:rPr>
        <w:t> </w:t>
      </w:r>
      <w:r>
        <w:rPr>
          <w:spacing w:val="-47"/>
        </w:rPr>
      </w:r>
      <w:r>
        <w:rPr/>
        <w:t>监事会的规范运作。</w:t>
      </w:r>
    </w:p>
    <w:p>
      <w:pPr>
        <w:pStyle w:val="BodyText"/>
        <w:spacing w:line="362" w:lineRule="auto" w:before="67"/>
        <w:ind w:left="573" w:right="1133"/>
        <w:jc w:val="left"/>
      </w:pPr>
      <w:r>
        <w:rPr>
          <w:rFonts w:ascii="Times New Roman" w:hAnsi="Times New Roman" w:cs="Times New Roman" w:eastAsia="Times New Roman" w:hint="default"/>
        </w:rPr>
        <w:t>5</w:t>
      </w:r>
      <w:r>
        <w:rPr/>
        <w:t>、关于绩效评价与激励约束机制</w:t>
      </w:r>
      <w:r>
        <w:rPr>
          <w:w w:val="100"/>
        </w:rPr>
        <w:t> </w:t>
      </w:r>
      <w:r>
        <w:rPr>
          <w:spacing w:val="-2"/>
        </w:rPr>
        <w:t>公司已建立企业绩效评价激励体系，经营者的收入与企业经营业绩挂钩，公司董事、监事和高级管理</w:t>
      </w:r>
    </w:p>
    <w:p>
      <w:pPr>
        <w:pStyle w:val="BodyText"/>
        <w:spacing w:line="350" w:lineRule="auto" w:before="19"/>
        <w:ind w:right="1126"/>
        <w:jc w:val="both"/>
      </w:pPr>
      <w:r>
        <w:rPr>
          <w:spacing w:val="-2"/>
        </w:rPr>
        <w:t>人员的聘任公开、透明，符合法律、法规的要求。公司董事会下设的薪酬和考核委员会负责对公司董事及</w:t>
      </w:r>
      <w:r>
        <w:rPr>
          <w:spacing w:val="-43"/>
        </w:rPr>
        <w:t> </w:t>
      </w:r>
      <w:r>
        <w:rPr>
          <w:spacing w:val="-43"/>
        </w:rPr>
      </w:r>
      <w:r>
        <w:rPr/>
        <w:t>高级管理人员进行绩效考核，董事、监事和高级管理人员的津贴标准由公司董事会</w:t>
      </w:r>
      <w:r>
        <w:rPr>
          <w:rFonts w:ascii="Times New Roman" w:hAnsi="Times New Roman" w:cs="Times New Roman" w:eastAsia="Times New Roman" w:hint="default"/>
        </w:rPr>
        <w:t>/</w:t>
      </w:r>
      <w:r>
        <w:rPr/>
        <w:t>股东大会批准。</w:t>
      </w:r>
    </w:p>
    <w:p>
      <w:pPr>
        <w:spacing w:after="0" w:line="350"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62" w:lineRule="auto"/>
        <w:ind w:left="573" w:right="1133"/>
        <w:jc w:val="left"/>
      </w:pPr>
      <w:r>
        <w:rPr>
          <w:rFonts w:ascii="Times New Roman" w:hAnsi="Times New Roman" w:cs="Times New Roman" w:eastAsia="Times New Roman" w:hint="default"/>
        </w:rPr>
        <w:t>6</w:t>
      </w:r>
      <w:r>
        <w:rPr/>
        <w:t>、关于信息披露与透明度</w:t>
      </w:r>
      <w:r>
        <w:rPr>
          <w:w w:val="100"/>
        </w:rPr>
        <w:t> </w:t>
      </w:r>
      <w:r>
        <w:rPr>
          <w:spacing w:val="-2"/>
        </w:rPr>
        <w:t>公司严格按照《中华人民共和国证券法》、《上市公司信息披露管理办法》《公司投资者关系管理制</w:t>
      </w:r>
    </w:p>
    <w:p>
      <w:pPr>
        <w:pStyle w:val="BodyText"/>
        <w:spacing w:line="343" w:lineRule="auto" w:before="19"/>
        <w:ind w:right="1127"/>
        <w:jc w:val="both"/>
      </w:pPr>
      <w:r>
        <w:rPr>
          <w:spacing w:val="-2"/>
        </w:rPr>
        <w:t>度》等规章制度的要求，真实、准确、完整地披露有关信息，并指定董事会秘书负责信息披露工作，协调</w:t>
      </w:r>
      <w:r>
        <w:rPr>
          <w:spacing w:val="-42"/>
        </w:rPr>
        <w:t> </w:t>
      </w:r>
      <w:r>
        <w:rPr>
          <w:spacing w:val="-42"/>
        </w:rPr>
      </w:r>
      <w:r>
        <w:rPr>
          <w:spacing w:val="-2"/>
        </w:rPr>
        <w:t>公司与投资者的关系，回答投资者咨询，接待投资者来访，向投资者提供公司已披露的资料；并指定《证</w:t>
      </w:r>
      <w:r>
        <w:rPr>
          <w:spacing w:val="-43"/>
        </w:rPr>
        <w:t> </w:t>
      </w:r>
      <w:r>
        <w:rPr>
          <w:spacing w:val="-43"/>
        </w:rPr>
      </w:r>
      <w:r>
        <w:rPr>
          <w:spacing w:val="-2"/>
        </w:rPr>
        <w:t>券时报》、《证券日报》、《中国证券报》、《上海证券报》和巨潮资讯网</w:t>
      </w:r>
      <w:r>
        <w:rPr>
          <w:rFonts w:ascii="Times New Roman" w:hAnsi="Times New Roman" w:cs="Times New Roman" w:eastAsia="Times New Roman" w:hint="default"/>
          <w:spacing w:val="-2"/>
        </w:rPr>
        <w:t>(www.cninfo.com.cn)</w:t>
      </w:r>
      <w:r>
        <w:rPr>
          <w:spacing w:val="-2"/>
        </w:rPr>
        <w:t>为公司信 </w:t>
      </w:r>
      <w:r>
        <w:rPr/>
        <w:t>息披露的指定报纸和网站，确保公司所有股东能够以平等的机会获得信息。</w:t>
      </w:r>
    </w:p>
    <w:p>
      <w:pPr>
        <w:pStyle w:val="BodyText"/>
        <w:spacing w:line="364" w:lineRule="auto" w:before="74"/>
        <w:ind w:left="573" w:right="1133"/>
        <w:jc w:val="left"/>
      </w:pPr>
      <w:r>
        <w:rPr>
          <w:rFonts w:ascii="Times New Roman" w:hAnsi="Times New Roman" w:cs="Times New Roman" w:eastAsia="Times New Roman" w:hint="default"/>
        </w:rPr>
        <w:t>7</w:t>
      </w:r>
      <w:r>
        <w:rPr/>
        <w:t>、关于相关利益者</w:t>
      </w:r>
      <w:r>
        <w:rPr>
          <w:w w:val="100"/>
        </w:rPr>
        <w:t> </w:t>
      </w:r>
      <w:r>
        <w:rPr>
          <w:spacing w:val="-2"/>
        </w:rPr>
        <w:t>公司充分尊重和维护相关利益者的合法权益，积极促进与相关利益者合作，加强与各方的沟通交流，</w:t>
      </w:r>
    </w:p>
    <w:p>
      <w:pPr>
        <w:pStyle w:val="BodyText"/>
        <w:spacing w:line="240" w:lineRule="auto" w:before="14"/>
        <w:ind w:right="0"/>
        <w:jc w:val="both"/>
      </w:pPr>
      <w:r>
        <w:rPr/>
        <w:t>实现股东、员工、社会等各方利益的协调平衡，共同推动公司持续、健康的发展。</w:t>
      </w:r>
    </w:p>
    <w:p>
      <w:pPr>
        <w:spacing w:before="101"/>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45"/>
      <w:bookmarkEnd w:id="14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982" w:firstLine="420"/>
        <w:jc w:val="left"/>
      </w:pPr>
      <w:r>
        <w:rPr/>
        <w:t>公司严格按照《公司法》、《证券法》、《深圳证券交易所创业板股票上市规则》、《深圳证券交易</w:t>
      </w:r>
      <w:r>
        <w:rPr>
          <w:w w:val="100"/>
        </w:rPr>
        <w:t> </w:t>
      </w:r>
      <w:r>
        <w:rPr>
          <w:spacing w:val="-5"/>
        </w:rPr>
        <w:t>所创业板上市公司规范运作指引》等有关法律、法规和《公司章程》的要求规范运作，与控股股东在业务、</w:t>
      </w:r>
      <w:r>
        <w:rPr>
          <w:spacing w:val="-6"/>
        </w:rPr>
        <w:t> </w:t>
      </w:r>
      <w:r>
        <w:rPr>
          <w:spacing w:val="-6"/>
        </w:rPr>
      </w:r>
      <w:r>
        <w:rPr/>
        <w:t>人员、资产、机构、财务等方面相互独立，具有独立完整的业务及自主经营能力。</w:t>
      </w:r>
    </w:p>
    <w:p>
      <w:pPr>
        <w:pStyle w:val="BodyText"/>
        <w:spacing w:line="343" w:lineRule="auto" w:before="70"/>
        <w:ind w:right="982" w:firstLine="420"/>
        <w:jc w:val="left"/>
      </w:pPr>
      <w:r>
        <w:rPr>
          <w:rFonts w:ascii="Times New Roman" w:hAnsi="Times New Roman" w:cs="Times New Roman" w:eastAsia="Times New Roman" w:hint="default"/>
          <w:spacing w:val="-2"/>
        </w:rPr>
        <w:t>1</w:t>
      </w:r>
      <w:r>
        <w:rPr>
          <w:spacing w:val="-2"/>
        </w:rPr>
        <w:t>、业务独立。公司设有独立的技术中心负责公司核心技术和产品的技术创新、产品开发、产品规划、</w:t>
      </w:r>
      <w:r>
        <w:rPr>
          <w:w w:val="100"/>
        </w:rPr>
        <w:t> </w:t>
      </w:r>
      <w:r>
        <w:rPr/>
        <w:t>推广策划和售后服务，由供应链部门负责原材料采购、产品的生产及供应，并建立了覆盖全国主要区域和</w:t>
      </w:r>
      <w:r>
        <w:rPr>
          <w:w w:val="100"/>
        </w:rPr>
        <w:t> </w:t>
      </w:r>
      <w:r>
        <w:rPr>
          <w:spacing w:val="-2"/>
        </w:rPr>
        <w:t>行业立体化营销服务网络。公司具备独立完整的产、供、销及研发系统，其产、供、销、研发均不依赖股</w:t>
      </w:r>
      <w:r>
        <w:rPr>
          <w:spacing w:val="-46"/>
        </w:rPr>
        <w:t> </w:t>
      </w:r>
      <w:r>
        <w:rPr>
          <w:spacing w:val="-46"/>
        </w:rPr>
      </w:r>
      <w:r>
        <w:rPr/>
        <w:t>东单位及其他关联企业，拥有独立的生产经营场所和完整的业务体系，具有面向市场自主经营的能力。</w:t>
      </w:r>
    </w:p>
    <w:p>
      <w:pPr>
        <w:pStyle w:val="BodyText"/>
        <w:spacing w:line="343" w:lineRule="auto" w:before="76"/>
        <w:ind w:right="1133" w:firstLine="420"/>
        <w:jc w:val="left"/>
      </w:pPr>
      <w:r>
        <w:rPr>
          <w:rFonts w:ascii="Times New Roman" w:hAnsi="Times New Roman" w:cs="Times New Roman" w:eastAsia="Times New Roman" w:hint="default"/>
        </w:rPr>
        <w:t>2</w:t>
      </w:r>
      <w:r>
        <w:rPr/>
        <w:t>、资产完整。公司拥有生产经营所需的各项资产，包括房屋建筑、土地使用权、办公设备、存货、</w:t>
      </w:r>
      <w:r>
        <w:rPr>
          <w:w w:val="100"/>
        </w:rPr>
        <w:t> </w:t>
      </w:r>
      <w:r>
        <w:rPr>
          <w:spacing w:val="-2"/>
        </w:rPr>
        <w:t>车辆以及商标权、计算机软件著作权、专利及非专利技术等。公司拥有的土地使用权为协议出让取得，在</w:t>
      </w:r>
      <w:r>
        <w:rPr>
          <w:spacing w:val="-47"/>
        </w:rPr>
        <w:t> </w:t>
      </w:r>
      <w:r>
        <w:rPr>
          <w:spacing w:val="-47"/>
        </w:rPr>
      </w:r>
      <w:r>
        <w:rPr>
          <w:spacing w:val="-2"/>
        </w:rPr>
        <w:t>该土地之上自建的生产经营用房屋已取得房产证书，所有知识产权均为公司及下属全资子公司自主设计申</w:t>
      </w:r>
      <w:r>
        <w:rPr>
          <w:spacing w:val="-43"/>
        </w:rPr>
        <w:t> </w:t>
      </w:r>
      <w:r>
        <w:rPr>
          <w:spacing w:val="-43"/>
        </w:rPr>
      </w:r>
      <w:r>
        <w:rPr>
          <w:spacing w:val="-2"/>
        </w:rPr>
        <w:t>报、自主研发、自主拥有和独占使用的。公司资产完整、产权明晰，不存在资产、资金被控股股东占用而</w:t>
      </w:r>
      <w:r>
        <w:rPr>
          <w:spacing w:val="-41"/>
        </w:rPr>
        <w:t> </w:t>
      </w:r>
      <w:r>
        <w:rPr>
          <w:spacing w:val="-41"/>
        </w:rPr>
      </w:r>
      <w:r>
        <w:rPr/>
        <w:t>损害公司利益的情况。</w:t>
      </w:r>
    </w:p>
    <w:p>
      <w:pPr>
        <w:pStyle w:val="BodyText"/>
        <w:spacing w:line="345" w:lineRule="auto" w:before="76"/>
        <w:ind w:right="1133" w:firstLine="420"/>
        <w:jc w:val="left"/>
      </w:pPr>
      <w:r>
        <w:rPr>
          <w:rFonts w:ascii="Times New Roman" w:hAnsi="Times New Roman" w:cs="Times New Roman" w:eastAsia="Times New Roman" w:hint="default"/>
        </w:rPr>
        <w:t>3</w:t>
      </w:r>
      <w:r>
        <w:rPr/>
        <w:t>、人员独立。公司设立了专门的人力资源部，建立了独立的劳动人事及工资管理制度，不存在受控</w:t>
      </w:r>
      <w:r>
        <w:rPr>
          <w:w w:val="100"/>
        </w:rPr>
        <w:t> </w:t>
      </w:r>
      <w:r>
        <w:rPr>
          <w:spacing w:val="-2"/>
        </w:rPr>
        <w:t>股股东干预的情况。员工的收入由公司独立核算和发放，并已按照国家和地方政府及社会保障部门的有关</w:t>
      </w:r>
      <w:r>
        <w:rPr>
          <w:spacing w:val="-42"/>
        </w:rPr>
        <w:t> </w:t>
      </w:r>
      <w:r>
        <w:rPr>
          <w:spacing w:val="-42"/>
        </w:rPr>
      </w:r>
      <w:r>
        <w:rPr>
          <w:spacing w:val="-2"/>
        </w:rPr>
        <w:t>规定，为员工缴纳养老、医疗、工伤、失业和生育保险以及住房公积金。公司董事、监事均严格按照《公</w:t>
      </w:r>
      <w:r>
        <w:rPr>
          <w:spacing w:val="-47"/>
        </w:rPr>
        <w:t> </w:t>
      </w:r>
      <w:r>
        <w:rPr>
          <w:spacing w:val="-47"/>
        </w:rPr>
      </w:r>
      <w:r>
        <w:rPr>
          <w:spacing w:val="-2"/>
        </w:rPr>
        <w:t>司法》和《公司章程》的有关规定选举产生，高级管理人员均由董事会依职权聘任，不存在控股股东或其</w:t>
      </w:r>
      <w:r>
        <w:rPr>
          <w:spacing w:val="-43"/>
        </w:rPr>
        <w:t> </w:t>
      </w:r>
      <w:r>
        <w:rPr>
          <w:spacing w:val="-43"/>
        </w:rPr>
      </w:r>
      <w:r>
        <w:rPr>
          <w:spacing w:val="-2"/>
        </w:rPr>
        <w:t>他关联方干涉公司人事任免的情况。公司总裁、副总裁、财务负责人和董事会秘书等高级管理人员没有在</w:t>
      </w:r>
      <w:r>
        <w:rPr>
          <w:spacing w:val="-44"/>
        </w:rPr>
        <w:t> </w:t>
      </w:r>
      <w:r>
        <w:rPr>
          <w:spacing w:val="-44"/>
        </w:rPr>
      </w:r>
      <w:r>
        <w:rPr>
          <w:spacing w:val="-2"/>
        </w:rPr>
        <w:t>控股股东、实际控制人及其控制的其他企业中担任除董事、监事以外的其他职务，没有在控股股东、实际</w:t>
      </w:r>
      <w:r>
        <w:rPr>
          <w:spacing w:val="-47"/>
        </w:rPr>
        <w:t> </w:t>
      </w:r>
      <w:r>
        <w:rPr>
          <w:spacing w:val="-47"/>
        </w:rPr>
      </w:r>
      <w:r>
        <w:rPr/>
        <w:t>控制人及其控制的其他企业领薪，财务人员没有在控股股东、实际控制人及其控制的其他企业中兼职。</w:t>
      </w:r>
    </w:p>
    <w:p>
      <w:pPr>
        <w:pStyle w:val="BodyText"/>
        <w:spacing w:line="240" w:lineRule="auto" w:before="72"/>
        <w:ind w:left="573" w:right="1133"/>
        <w:jc w:val="left"/>
      </w:pPr>
      <w:r>
        <w:rPr>
          <w:rFonts w:ascii="Times New Roman" w:hAnsi="Times New Roman" w:cs="Times New Roman" w:eastAsia="Times New Roman" w:hint="default"/>
        </w:rPr>
        <w:t>4</w:t>
      </w:r>
      <w:r>
        <w:rPr/>
        <w:t>、机构独立。公司具有健全的法人治理结构，设立了股东大会、董事会、监事会，聘任了总裁，并</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ind w:right="982"/>
        <w:jc w:val="left"/>
      </w:pPr>
      <w:r>
        <w:rPr>
          <w:spacing w:val="-2"/>
        </w:rPr>
        <w:t>根据生产经营需要设置了各业务中心和相关职能部门，建立完善了各部门规章制度。公司的业务经营场所</w:t>
      </w:r>
      <w:r>
        <w:rPr>
          <w:spacing w:val="-44"/>
        </w:rPr>
        <w:t> </w:t>
      </w:r>
      <w:r>
        <w:rPr>
          <w:spacing w:val="-44"/>
        </w:rPr>
      </w:r>
      <w:r>
        <w:rPr>
          <w:spacing w:val="-5"/>
        </w:rPr>
        <w:t>和办公机构与股东单位完全分开，不存在混合经营、合署办公的情形，公司的组织机构独立于各股东单位， </w:t>
      </w:r>
      <w:r>
        <w:rPr>
          <w:spacing w:val="-5"/>
        </w:rPr>
      </w:r>
      <w:r>
        <w:rPr/>
        <w:t>各职能部门与股东单位及其职能部门之间没有上下级关系，不存在控股股东干预公司内部机构的设置和运</w:t>
      </w:r>
      <w:r>
        <w:rPr>
          <w:w w:val="100"/>
        </w:rPr>
        <w:t> </w:t>
      </w:r>
      <w:r>
        <w:rPr/>
        <w:t>作的情况。</w:t>
      </w:r>
    </w:p>
    <w:p>
      <w:pPr>
        <w:pStyle w:val="BodyText"/>
        <w:spacing w:line="345" w:lineRule="auto" w:before="67"/>
        <w:ind w:right="1133" w:firstLine="420"/>
        <w:jc w:val="left"/>
      </w:pPr>
      <w:r>
        <w:rPr>
          <w:rFonts w:ascii="Times New Roman" w:hAnsi="Times New Roman" w:cs="Times New Roman" w:eastAsia="Times New Roman" w:hint="default"/>
        </w:rPr>
        <w:t>5</w:t>
      </w:r>
      <w:r>
        <w:rPr/>
        <w:t>、财务独立。公司按照《企业会计准则》等规定制定了规范的财务会计制度和对分公司、子公司的</w:t>
      </w:r>
      <w:r>
        <w:rPr>
          <w:w w:val="100"/>
        </w:rPr>
        <w:t> </w:t>
      </w:r>
      <w:r>
        <w:rPr>
          <w:spacing w:val="-2"/>
        </w:rPr>
        <w:t>财务管理制度，建立了独立的财务会计核算体系，设立了独立的财务会计部门，配备了独立的财务会计人</w:t>
      </w:r>
      <w:r>
        <w:rPr>
          <w:spacing w:val="-43"/>
        </w:rPr>
        <w:t> </w:t>
      </w:r>
      <w:r>
        <w:rPr>
          <w:spacing w:val="-43"/>
        </w:rPr>
      </w:r>
      <w:r>
        <w:rPr>
          <w:spacing w:val="-2"/>
        </w:rPr>
        <w:t>员。公司开设了独立的银行账户，不存在与股东或其他第三方共用银行账户的情况；公司办理了独立的税</w:t>
      </w:r>
      <w:r>
        <w:rPr>
          <w:spacing w:val="-42"/>
        </w:rPr>
        <w:t> </w:t>
      </w:r>
      <w:r>
        <w:rPr>
          <w:spacing w:val="-42"/>
        </w:rPr>
      </w:r>
      <w:r>
        <w:rPr>
          <w:spacing w:val="-2"/>
        </w:rPr>
        <w:t>务登记，依法照章纳税，与股东单位无混合纳税现象。公司不存在货币资金或其他资产被股东单位或其他</w:t>
      </w:r>
      <w:r>
        <w:rPr>
          <w:spacing w:val="-42"/>
        </w:rPr>
        <w:t> </w:t>
      </w:r>
      <w:r>
        <w:rPr>
          <w:spacing w:val="-42"/>
        </w:rPr>
      </w:r>
      <w:r>
        <w:rPr/>
        <w:t>关联方占用的情形，也不存在为股东或其他关联方提供担保的情形。</w:t>
      </w:r>
    </w:p>
    <w:p>
      <w:pPr>
        <w:spacing w:line="240" w:lineRule="auto" w:before="11"/>
        <w:rPr>
          <w:rFonts w:ascii="宋体" w:hAnsi="宋体" w:cs="宋体" w:eastAsia="宋体" w:hint="default"/>
          <w:sz w:val="16"/>
          <w:szCs w:val="16"/>
        </w:rPr>
      </w:pPr>
    </w:p>
    <w:p>
      <w:pPr>
        <w:pStyle w:val="Heading2"/>
        <w:spacing w:line="240" w:lineRule="auto"/>
        <w:ind w:right="1133"/>
        <w:jc w:val="left"/>
        <w:rPr>
          <w:b w:val="0"/>
          <w:bCs w:val="0"/>
        </w:rPr>
      </w:pPr>
      <w:bookmarkStart w:name="三、同业竞争情况" w:id="146"/>
      <w:bookmarkEnd w:id="146"/>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47"/>
      <w:bookmarkEnd w:id="147"/>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48"/>
      <w:bookmarkEnd w:id="14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850"/>
        <w:gridCol w:w="991"/>
        <w:gridCol w:w="994"/>
        <w:gridCol w:w="3471"/>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东大会决议的公告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45</w:t>
            </w:r>
            <w:r>
              <w:rPr>
                <w:rFonts w:ascii="宋体" w:hAnsi="宋体" w:cs="宋体" w:eastAsia="宋体" w:hint="default"/>
                <w:sz w:val="18"/>
                <w:szCs w:val="18"/>
              </w:rPr>
              <w:t>）</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表决权恢复的优先股股东请求召开临时股东大会" w:id="149"/>
      <w:bookmarkEnd w:id="14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50"/>
      <w:bookmarkEnd w:id="150"/>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51"/>
      <w:bookmarkEnd w:id="15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3"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蔡镇顺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连续两次未亲自出席董事会的说明：不适用</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独立董事对公司有关事项提出异议的情况" w:id="152"/>
      <w:bookmarkEnd w:id="15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3、独立董事履行职责的其他说明" w:id="153"/>
      <w:bookmarkEnd w:id="15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50" w:lineRule="auto" w:before="105"/>
        <w:ind w:right="1126" w:firstLine="420"/>
        <w:jc w:val="both"/>
      </w:pPr>
      <w:r>
        <w:rPr>
          <w:spacing w:val="-2"/>
        </w:rPr>
        <w:t>报告期内，公司独立董事严格按照《公司法》、《证券法》、《关于在上市公司建立独立董事制度的</w:t>
      </w:r>
      <w:r>
        <w:rPr>
          <w:w w:val="100"/>
        </w:rPr>
        <w:t> </w:t>
      </w:r>
      <w:r>
        <w:rPr>
          <w:spacing w:val="-2"/>
        </w:rPr>
        <w:t>指导意见》、《深圳证券交易所创业板上市公司规范运作指引》、《公司章程》、《独立董事制度》等有</w:t>
      </w:r>
      <w:r>
        <w:rPr>
          <w:spacing w:val="-43"/>
        </w:rPr>
        <w:t> </w:t>
      </w:r>
      <w:r>
        <w:rPr>
          <w:spacing w:val="-43"/>
        </w:rPr>
      </w:r>
      <w:r>
        <w:rPr>
          <w:spacing w:val="-2"/>
        </w:rPr>
        <w:t>关法律法规和规范性文件的要求，本着独立、客观、审慎的原则认真履行职责，了解和关注公司的经营发</w:t>
      </w:r>
      <w:r>
        <w:rPr>
          <w:spacing w:val="-47"/>
        </w:rPr>
        <w:t> </w:t>
      </w:r>
      <w:r>
        <w:rPr>
          <w:spacing w:val="-47"/>
        </w:rPr>
      </w:r>
      <w:r>
        <w:rPr>
          <w:spacing w:val="-2"/>
        </w:rPr>
        <w:t>展情况，对提交董事会的全部议案进行审议并表决，同时发挥各自领域的专业优势，对需要独立董事发表</w:t>
      </w:r>
      <w:r>
        <w:rPr>
          <w:spacing w:val="-43"/>
        </w:rPr>
        <w:t> </w:t>
      </w:r>
      <w:r>
        <w:rPr>
          <w:spacing w:val="-43"/>
        </w:rPr>
      </w:r>
      <w:r>
        <w:rPr>
          <w:spacing w:val="-2"/>
        </w:rPr>
        <w:t>意见的重大事项进行深入研究和谨慎判断，发表书面独立意见并提出相关建议，维护公司及全体股东的合</w:t>
      </w:r>
      <w:r>
        <w:rPr>
          <w:spacing w:val="-44"/>
        </w:rPr>
        <w:t> </w:t>
      </w:r>
      <w:r>
        <w:rPr>
          <w:spacing w:val="-44"/>
        </w:rPr>
      </w:r>
      <w:r>
        <w:rPr/>
        <w:t>法权益。</w:t>
      </w:r>
    </w:p>
    <w:p>
      <w:pPr>
        <w:spacing w:line="240" w:lineRule="auto" w:before="6"/>
        <w:rPr>
          <w:rFonts w:ascii="宋体" w:hAnsi="宋体" w:cs="宋体" w:eastAsia="宋体" w:hint="default"/>
          <w:sz w:val="16"/>
          <w:szCs w:val="16"/>
        </w:rPr>
      </w:pPr>
    </w:p>
    <w:p>
      <w:pPr>
        <w:pStyle w:val="Heading2"/>
        <w:spacing w:line="240" w:lineRule="auto"/>
        <w:ind w:right="1133"/>
        <w:jc w:val="left"/>
        <w:rPr>
          <w:b w:val="0"/>
          <w:bCs w:val="0"/>
        </w:rPr>
      </w:pPr>
      <w:bookmarkStart w:name="六、董事会下设专门委员会在报告期内履行职责情况" w:id="154"/>
      <w:bookmarkEnd w:id="154"/>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1"/>
          <w:szCs w:val="31"/>
        </w:rPr>
      </w:pPr>
    </w:p>
    <w:p>
      <w:pPr>
        <w:pStyle w:val="BodyText"/>
        <w:spacing w:line="362" w:lineRule="auto"/>
        <w:ind w:left="573" w:right="2602"/>
        <w:jc w:val="left"/>
      </w:pPr>
      <w:r>
        <w:rPr>
          <w:rFonts w:ascii="Times New Roman" w:hAnsi="Times New Roman" w:cs="Times New Roman" w:eastAsia="Times New Roman" w:hint="default"/>
        </w:rPr>
        <w:t>1</w:t>
      </w:r>
      <w:r>
        <w:rPr/>
        <w:t>、董事会战略委员会履职情况</w:t>
      </w:r>
      <w:r>
        <w:rPr>
          <w:w w:val="100"/>
        </w:rPr>
        <w:t> </w:t>
      </w:r>
      <w:r>
        <w:rPr>
          <w:spacing w:val="-2"/>
        </w:rPr>
        <w:t>报告期内，董事会战略委员会共召开了一次会议，具体内容如下：</w:t>
      </w:r>
    </w:p>
    <w:p>
      <w:pPr>
        <w:pStyle w:val="BodyText"/>
        <w:spacing w:line="331" w:lineRule="auto" w:before="57"/>
        <w:ind w:right="1128"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日，第四届董事会战略委员会召开第二次会议，与会委员审议并通过了《关于</w:t>
      </w:r>
      <w:r>
        <w:rPr>
          <w:rFonts w:ascii="Times New Roman" w:hAnsi="Times New Roman" w:cs="Times New Roman" w:eastAsia="Times New Roman" w:hint="default"/>
          <w:spacing w:val="-2"/>
        </w:rPr>
        <w:t>2019</w:t>
      </w:r>
      <w:r>
        <w:rPr>
          <w:spacing w:val="-2"/>
        </w:rPr>
        <w:t>年度公</w:t>
      </w:r>
      <w:r>
        <w:rPr>
          <w:spacing w:val="-3"/>
          <w:w w:val="100"/>
        </w:rPr>
        <w:t> </w:t>
      </w:r>
      <w:r>
        <w:rPr/>
        <w:t>司向银行申请综合授信额度并为其提供担保的议案》。</w:t>
      </w:r>
    </w:p>
    <w:p>
      <w:pPr>
        <w:pStyle w:val="BodyText"/>
        <w:spacing w:line="364" w:lineRule="auto" w:before="84"/>
        <w:ind w:left="573" w:right="2602"/>
        <w:jc w:val="left"/>
      </w:pPr>
      <w:r>
        <w:rPr>
          <w:rFonts w:ascii="Times New Roman" w:hAnsi="Times New Roman" w:cs="Times New Roman" w:eastAsia="Times New Roman" w:hint="default"/>
        </w:rPr>
        <w:t>2</w:t>
      </w:r>
      <w:r>
        <w:rPr/>
        <w:t>、董事会审计委员会履职情况</w:t>
      </w:r>
      <w:r>
        <w:rPr>
          <w:w w:val="100"/>
        </w:rPr>
        <w:t> </w:t>
      </w:r>
      <w:r>
        <w:rPr>
          <w:spacing w:val="-2"/>
        </w:rPr>
        <w:t>报告期内，董事会审计委员会共召开了四次会议，具体内容如下：</w:t>
      </w:r>
    </w:p>
    <w:p>
      <w:pPr>
        <w:pStyle w:val="BodyText"/>
        <w:spacing w:line="331" w:lineRule="auto" w:before="55"/>
        <w:ind w:right="1210" w:firstLine="42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日，第四届董事会审计委员会召开第三次会议，与会委员审议并通过了《关于公司</w:t>
      </w:r>
      <w:r>
        <w:rPr>
          <w:w w:val="100"/>
        </w:rPr>
        <w:t> </w:t>
      </w:r>
      <w:r>
        <w:rPr/>
        <w:t>内部审计部</w:t>
      </w:r>
      <w:r>
        <w:rPr>
          <w:rFonts w:ascii="Times New Roman" w:hAnsi="Times New Roman" w:cs="Times New Roman" w:eastAsia="Times New Roman" w:hint="default"/>
        </w:rPr>
        <w:t>2018</w:t>
      </w:r>
      <w:r>
        <w:rPr/>
        <w:t>年年度工作报告的议案》、《关于公司内部审计部</w:t>
      </w:r>
      <w:r>
        <w:rPr>
          <w:rFonts w:ascii="Times New Roman" w:hAnsi="Times New Roman" w:cs="Times New Roman" w:eastAsia="Times New Roman" w:hint="default"/>
        </w:rPr>
        <w:t>2019</w:t>
      </w:r>
      <w:r>
        <w:rPr/>
        <w:t>年年度工作计划的议案》；</w:t>
      </w:r>
    </w:p>
    <w:p>
      <w:pPr>
        <w:pStyle w:val="BodyText"/>
        <w:spacing w:line="331" w:lineRule="auto" w:before="60"/>
        <w:ind w:right="1126" w:firstLine="42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8</w:t>
      </w:r>
      <w:r>
        <w:rPr>
          <w:spacing w:val="-3"/>
        </w:rPr>
        <w:t>日，第四届董事会审计委员会召开第四次会议，与会委员审议并通过了《关于</w:t>
      </w:r>
      <w:r>
        <w:rPr>
          <w:rFonts w:ascii="Times New Roman" w:hAnsi="Times New Roman" w:cs="Times New Roman" w:eastAsia="Times New Roman" w:hint="default"/>
          <w:spacing w:val="-3"/>
        </w:rPr>
        <w:t>&lt;</w:t>
      </w:r>
      <w:r>
        <w:rPr>
          <w:spacing w:val="-3"/>
        </w:rPr>
        <w:t>公司</w:t>
      </w:r>
      <w:r>
        <w:rPr>
          <w:w w:val="100"/>
        </w:rPr>
        <w:t> </w:t>
      </w:r>
      <w:r>
        <w:rPr>
          <w:spacing w:val="-3"/>
        </w:rPr>
        <w:t>内部审计部</w:t>
      </w:r>
      <w:r>
        <w:rPr>
          <w:rFonts w:ascii="Times New Roman" w:hAnsi="Times New Roman" w:cs="Times New Roman" w:eastAsia="Times New Roman" w:hint="default"/>
          <w:spacing w:val="-3"/>
        </w:rPr>
        <w:t>2019</w:t>
      </w:r>
      <w:r>
        <w:rPr>
          <w:spacing w:val="-3"/>
        </w:rPr>
        <w:t>年第一季度工作总结及第二季度工作计划</w:t>
      </w:r>
      <w:r>
        <w:rPr>
          <w:rFonts w:ascii="Times New Roman" w:hAnsi="Times New Roman" w:cs="Times New Roman" w:eastAsia="Times New Roman" w:hint="default"/>
          <w:spacing w:val="-3"/>
        </w:rPr>
        <w:t>&gt;</w:t>
      </w:r>
      <w:r>
        <w:rPr>
          <w:spacing w:val="-3"/>
        </w:rPr>
        <w:t>的议案》、《关于</w:t>
      </w:r>
      <w:r>
        <w:rPr>
          <w:rFonts w:ascii="Times New Roman" w:hAnsi="Times New Roman" w:cs="Times New Roman" w:eastAsia="Times New Roman" w:hint="default"/>
          <w:spacing w:val="-3"/>
        </w:rPr>
        <w:t>&lt;</w:t>
      </w:r>
      <w:r>
        <w:rPr>
          <w:spacing w:val="-3"/>
        </w:rPr>
        <w:t>公司</w:t>
      </w:r>
      <w:r>
        <w:rPr>
          <w:rFonts w:ascii="Times New Roman" w:hAnsi="Times New Roman" w:cs="Times New Roman" w:eastAsia="Times New Roman" w:hint="default"/>
          <w:spacing w:val="-3"/>
        </w:rPr>
        <w:t>2018</w:t>
      </w:r>
      <w:r>
        <w:rPr>
          <w:spacing w:val="-3"/>
        </w:rPr>
        <w:t>年年度财务决算报</w:t>
      </w:r>
      <w:r>
        <w:rPr>
          <w:spacing w:val="-12"/>
        </w:rPr>
        <w:t> </w:t>
      </w:r>
      <w:r>
        <w:rPr>
          <w:spacing w:val="-12"/>
        </w:rPr>
      </w:r>
      <w:r>
        <w:rPr>
          <w:spacing w:val="-2"/>
        </w:rPr>
        <w:t>告</w:t>
      </w:r>
      <w:r>
        <w:rPr>
          <w:rFonts w:ascii="Times New Roman" w:hAnsi="Times New Roman" w:cs="Times New Roman" w:eastAsia="Times New Roman" w:hint="default"/>
          <w:spacing w:val="-2"/>
        </w:rPr>
        <w:t>&gt;</w:t>
      </w:r>
      <w:r>
        <w:rPr>
          <w:spacing w:val="-2"/>
        </w:rPr>
        <w:t>的议案》、《关于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2018</w:t>
      </w:r>
      <w:r>
        <w:rPr>
          <w:spacing w:val="-2"/>
        </w:rPr>
        <w:t>年年度报告</w:t>
      </w:r>
      <w:r>
        <w:rPr>
          <w:rFonts w:ascii="Times New Roman" w:hAnsi="Times New Roman" w:cs="Times New Roman" w:eastAsia="Times New Roman" w:hint="default"/>
          <w:spacing w:val="-2"/>
        </w:rPr>
        <w:t>&gt;</w:t>
      </w:r>
      <w:r>
        <w:rPr>
          <w:spacing w:val="-2"/>
        </w:rPr>
        <w:t>及其摘要的议案》、《关于〈公司</w:t>
      </w:r>
      <w:r>
        <w:rPr>
          <w:rFonts w:ascii="Times New Roman" w:hAnsi="Times New Roman" w:cs="Times New Roman" w:eastAsia="Times New Roman" w:hint="default"/>
          <w:spacing w:val="-2"/>
        </w:rPr>
        <w:t>2018</w:t>
      </w:r>
      <w:r>
        <w:rPr>
          <w:spacing w:val="-2"/>
        </w:rPr>
        <w:t>年年度审计报告〉的</w:t>
      </w:r>
      <w:r>
        <w:rPr>
          <w:spacing w:val="-12"/>
        </w:rPr>
        <w:t> </w:t>
      </w:r>
      <w:r>
        <w:rPr>
          <w:spacing w:val="-12"/>
        </w:rPr>
      </w:r>
      <w:r>
        <w:rPr>
          <w:spacing w:val="-3"/>
        </w:rPr>
        <w:t>议案》、《关于</w:t>
      </w:r>
      <w:r>
        <w:rPr>
          <w:rFonts w:ascii="Times New Roman" w:hAnsi="Times New Roman" w:cs="Times New Roman" w:eastAsia="Times New Roman" w:hint="default"/>
          <w:spacing w:val="-3"/>
        </w:rPr>
        <w:t>&lt;</w:t>
      </w:r>
      <w:r>
        <w:rPr>
          <w:spacing w:val="-3"/>
        </w:rPr>
        <w:t>公司</w:t>
      </w:r>
      <w:r>
        <w:rPr>
          <w:rFonts w:ascii="Times New Roman" w:hAnsi="Times New Roman" w:cs="Times New Roman" w:eastAsia="Times New Roman" w:hint="default"/>
          <w:spacing w:val="-3"/>
        </w:rPr>
        <w:t>2018</w:t>
      </w:r>
      <w:r>
        <w:rPr>
          <w:spacing w:val="-3"/>
        </w:rPr>
        <w:t>年年度利润分配预案</w:t>
      </w:r>
      <w:r>
        <w:rPr>
          <w:rFonts w:ascii="Times New Roman" w:hAnsi="Times New Roman" w:cs="Times New Roman" w:eastAsia="Times New Roman" w:hint="default"/>
          <w:spacing w:val="-3"/>
        </w:rPr>
        <w:t>&gt;</w:t>
      </w:r>
      <w:r>
        <w:rPr>
          <w:spacing w:val="-3"/>
        </w:rPr>
        <w:t>的议案》、《关于</w:t>
      </w:r>
      <w:r>
        <w:rPr>
          <w:rFonts w:ascii="Times New Roman" w:hAnsi="Times New Roman" w:cs="Times New Roman" w:eastAsia="Times New Roman" w:hint="default"/>
          <w:spacing w:val="-3"/>
        </w:rPr>
        <w:t>&lt;</w:t>
      </w:r>
      <w:r>
        <w:rPr>
          <w:spacing w:val="-3"/>
        </w:rPr>
        <w:t>公司</w:t>
      </w:r>
      <w:r>
        <w:rPr>
          <w:rFonts w:ascii="Times New Roman" w:hAnsi="Times New Roman" w:cs="Times New Roman" w:eastAsia="Times New Roman" w:hint="default"/>
          <w:spacing w:val="-3"/>
        </w:rPr>
        <w:t>2018</w:t>
      </w:r>
      <w:r>
        <w:rPr>
          <w:spacing w:val="-3"/>
        </w:rPr>
        <w:t>年度内部控制自我评价报告</w:t>
      </w:r>
      <w:r>
        <w:rPr>
          <w:rFonts w:ascii="Times New Roman" w:hAnsi="Times New Roman" w:cs="Times New Roman" w:eastAsia="Times New Roman" w:hint="default"/>
          <w:spacing w:val="-3"/>
        </w:rPr>
        <w:t>&gt;</w:t>
      </w:r>
      <w:r>
        <w:rPr>
          <w:rFonts w:ascii="Times New Roman" w:hAnsi="Times New Roman" w:cs="Times New Roman" w:eastAsia="Times New Roman" w:hint="default"/>
          <w:spacing w:val="13"/>
        </w:rPr>
        <w:t> </w:t>
      </w:r>
      <w:r>
        <w:rPr>
          <w:spacing w:val="-3"/>
        </w:rPr>
        <w:t>的议案》、《关于</w:t>
      </w:r>
      <w:r>
        <w:rPr>
          <w:rFonts w:ascii="Times New Roman" w:hAnsi="Times New Roman" w:cs="Times New Roman" w:eastAsia="Times New Roman" w:hint="default"/>
          <w:spacing w:val="-3"/>
        </w:rPr>
        <w:t>&lt;</w:t>
      </w:r>
      <w:r>
        <w:rPr>
          <w:spacing w:val="-3"/>
        </w:rPr>
        <w:t>公司</w:t>
      </w:r>
      <w:r>
        <w:rPr>
          <w:rFonts w:ascii="Times New Roman" w:hAnsi="Times New Roman" w:cs="Times New Roman" w:eastAsia="Times New Roman" w:hint="default"/>
          <w:spacing w:val="-3"/>
        </w:rPr>
        <w:t>2018</w:t>
      </w:r>
      <w:r>
        <w:rPr>
          <w:spacing w:val="-3"/>
        </w:rPr>
        <w:t>年度募集资金存放与使用情况的专项报告</w:t>
      </w:r>
      <w:r>
        <w:rPr>
          <w:rFonts w:ascii="Times New Roman" w:hAnsi="Times New Roman" w:cs="Times New Roman" w:eastAsia="Times New Roman" w:hint="default"/>
          <w:spacing w:val="-3"/>
        </w:rPr>
        <w:t>&gt;</w:t>
      </w:r>
      <w:r>
        <w:rPr>
          <w:spacing w:val="-3"/>
        </w:rPr>
        <w:t>的议案》、《关于公司</w:t>
      </w:r>
      <w:r>
        <w:rPr>
          <w:rFonts w:ascii="Times New Roman" w:hAnsi="Times New Roman" w:cs="Times New Roman" w:eastAsia="Times New Roman" w:hint="default"/>
          <w:spacing w:val="-3"/>
        </w:rPr>
        <w:t>2018</w:t>
      </w:r>
      <w:r>
        <w:rPr>
          <w:spacing w:val="-3"/>
        </w:rPr>
        <w:t>年度计</w:t>
      </w:r>
      <w:r>
        <w:rPr/>
      </w:r>
    </w:p>
    <w:p>
      <w:pPr>
        <w:spacing w:after="0" w:line="331"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31" w:lineRule="auto"/>
        <w:ind w:right="1126"/>
        <w:jc w:val="both"/>
      </w:pPr>
      <w:r>
        <w:rPr>
          <w:spacing w:val="-2"/>
        </w:rPr>
        <w:t>提资产减值准备的议案》、《关于中经汇通电子商务有限公司及汇通宝支付有限责任公司</w:t>
      </w:r>
      <w:r>
        <w:rPr>
          <w:rFonts w:ascii="Times New Roman" w:hAnsi="Times New Roman" w:cs="Times New Roman" w:eastAsia="Times New Roman" w:hint="default"/>
          <w:spacing w:val="-2"/>
        </w:rPr>
        <w:t>2018</w:t>
      </w:r>
      <w:r>
        <w:rPr>
          <w:spacing w:val="-2"/>
        </w:rPr>
        <w:t>年度业绩承</w:t>
      </w:r>
      <w:r>
        <w:rPr>
          <w:spacing w:val="-40"/>
        </w:rPr>
        <w:t> </w:t>
      </w:r>
      <w:r>
        <w:rPr>
          <w:spacing w:val="-40"/>
        </w:rPr>
      </w:r>
      <w:r>
        <w:rPr>
          <w:spacing w:val="-7"/>
        </w:rPr>
        <w:t>诺实现情况的议案》、《关于深圳市蓝盾满泰科技发展有限公司</w:t>
      </w:r>
      <w:r>
        <w:rPr>
          <w:rFonts w:ascii="Times New Roman" w:hAnsi="Times New Roman" w:cs="Times New Roman" w:eastAsia="Times New Roman" w:hint="default"/>
          <w:spacing w:val="-7"/>
        </w:rPr>
        <w:t>2018</w:t>
      </w:r>
      <w:r>
        <w:rPr>
          <w:spacing w:val="-7"/>
        </w:rPr>
        <w:t>年度业绩承诺实现情况的议案》、《关</w:t>
      </w:r>
      <w:r>
        <w:rPr>
          <w:spacing w:val="-5"/>
        </w:rPr>
        <w:t> </w:t>
      </w:r>
      <w:r>
        <w:rPr>
          <w:spacing w:val="-5"/>
        </w:rPr>
      </w:r>
      <w:r>
        <w:rPr>
          <w:spacing w:val="-3"/>
        </w:rPr>
        <w:t>于续聘会计师事务所的议案》、《关于</w:t>
      </w:r>
      <w:r>
        <w:rPr>
          <w:rFonts w:ascii="Times New Roman" w:hAnsi="Times New Roman" w:cs="Times New Roman" w:eastAsia="Times New Roman" w:hint="default"/>
          <w:spacing w:val="-3"/>
        </w:rPr>
        <w:t>&lt;</w:t>
      </w:r>
      <w:r>
        <w:rPr>
          <w:spacing w:val="-3"/>
        </w:rPr>
        <w:t>公司</w:t>
      </w:r>
      <w:r>
        <w:rPr>
          <w:rFonts w:ascii="Times New Roman" w:hAnsi="Times New Roman" w:cs="Times New Roman" w:eastAsia="Times New Roman" w:hint="default"/>
          <w:spacing w:val="-3"/>
        </w:rPr>
        <w:t>2019</w:t>
      </w:r>
      <w:r>
        <w:rPr>
          <w:spacing w:val="-3"/>
        </w:rPr>
        <w:t>年第一季度报告全文</w:t>
      </w:r>
      <w:r>
        <w:rPr>
          <w:rFonts w:ascii="Times New Roman" w:hAnsi="Times New Roman" w:cs="Times New Roman" w:eastAsia="Times New Roman" w:hint="default"/>
          <w:spacing w:val="-3"/>
        </w:rPr>
        <w:t>&gt;</w:t>
      </w:r>
      <w:r>
        <w:rPr>
          <w:spacing w:val="-3"/>
        </w:rPr>
        <w:t>的议案》、《关于公司会计政策变</w:t>
      </w:r>
      <w:r>
        <w:rPr>
          <w:spacing w:val="-20"/>
        </w:rPr>
        <w:t> </w:t>
      </w:r>
      <w:r>
        <w:rPr>
          <w:spacing w:val="-20"/>
        </w:rPr>
      </w:r>
      <w:r>
        <w:rPr/>
        <w:t>更的议案》；</w:t>
      </w:r>
    </w:p>
    <w:p>
      <w:pPr>
        <w:pStyle w:val="BodyText"/>
        <w:spacing w:line="331" w:lineRule="auto" w:before="84"/>
        <w:ind w:right="982" w:firstLine="42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日，第四届董事会审计委员会召开第五次会议，与会委员审议并通过了《关于</w:t>
      </w:r>
      <w:r>
        <w:rPr>
          <w:rFonts w:ascii="Times New Roman" w:hAnsi="Times New Roman" w:cs="Times New Roman" w:eastAsia="Times New Roman" w:hint="default"/>
        </w:rPr>
        <w:t>&lt;</w:t>
      </w:r>
      <w:r>
        <w:rPr/>
        <w:t>公</w:t>
      </w:r>
      <w:r>
        <w:rPr>
          <w:w w:val="100"/>
        </w:rPr>
        <w:t> </w:t>
      </w:r>
      <w:r>
        <w:rPr>
          <w:spacing w:val="-2"/>
        </w:rPr>
        <w:t>司内部审计部</w:t>
      </w:r>
      <w:r>
        <w:rPr>
          <w:rFonts w:ascii="Times New Roman" w:hAnsi="Times New Roman" w:cs="Times New Roman" w:eastAsia="Times New Roman" w:hint="default"/>
          <w:spacing w:val="-2"/>
        </w:rPr>
        <w:t>2019</w:t>
      </w:r>
      <w:r>
        <w:rPr>
          <w:spacing w:val="-2"/>
        </w:rPr>
        <w:t>年第二季度工作总结及第三季度工作计划</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2019</w:t>
      </w:r>
      <w:r>
        <w:rPr>
          <w:spacing w:val="-2"/>
        </w:rPr>
        <w:t>年半年度报告〉</w:t>
      </w:r>
      <w:r>
        <w:rPr>
          <w:spacing w:val="-47"/>
        </w:rPr>
        <w:t> </w:t>
      </w:r>
      <w:r>
        <w:rPr>
          <w:spacing w:val="-47"/>
        </w:rPr>
      </w:r>
      <w:r>
        <w:rPr>
          <w:spacing w:val="-3"/>
        </w:rPr>
        <w:t>及其摘要的议案》、《关于</w:t>
      </w:r>
      <w:r>
        <w:rPr>
          <w:rFonts w:ascii="Times New Roman" w:hAnsi="Times New Roman" w:cs="Times New Roman" w:eastAsia="Times New Roman" w:hint="default"/>
          <w:spacing w:val="-3"/>
        </w:rPr>
        <w:t>&lt;</w:t>
      </w:r>
      <w:r>
        <w:rPr>
          <w:spacing w:val="-3"/>
        </w:rPr>
        <w:t>公司</w:t>
      </w:r>
      <w:r>
        <w:rPr>
          <w:rFonts w:ascii="Times New Roman" w:hAnsi="Times New Roman" w:cs="Times New Roman" w:eastAsia="Times New Roman" w:hint="default"/>
          <w:spacing w:val="-3"/>
        </w:rPr>
        <w:t>2019</w:t>
      </w:r>
      <w:r>
        <w:rPr>
          <w:spacing w:val="-3"/>
        </w:rPr>
        <w:t>年半年度募集资金存放与使用情况的专项报告</w:t>
      </w:r>
      <w:r>
        <w:rPr>
          <w:rFonts w:ascii="Times New Roman" w:hAnsi="Times New Roman" w:cs="Times New Roman" w:eastAsia="Times New Roman" w:hint="default"/>
          <w:spacing w:val="-3"/>
        </w:rPr>
        <w:t>&gt;</w:t>
      </w:r>
      <w:r>
        <w:rPr>
          <w:spacing w:val="-3"/>
        </w:rPr>
        <w:t>的议案》、《关于会</w:t>
      </w:r>
      <w:r>
        <w:rPr>
          <w:spacing w:val="-17"/>
        </w:rPr>
        <w:t> </w:t>
      </w:r>
      <w:r>
        <w:rPr>
          <w:spacing w:val="-17"/>
        </w:rPr>
      </w:r>
      <w:r>
        <w:rPr/>
        <w:t>计政策变更的议案》；</w:t>
      </w:r>
    </w:p>
    <w:p>
      <w:pPr>
        <w:pStyle w:val="BodyText"/>
        <w:spacing w:line="331" w:lineRule="auto" w:before="87"/>
        <w:ind w:right="1126" w:firstLine="42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日，第四届董事会审计委员会召开第六次会议，与会委员审议并通过了《关于</w:t>
      </w:r>
      <w:r>
        <w:rPr>
          <w:rFonts w:ascii="Times New Roman" w:hAnsi="Times New Roman" w:cs="Times New Roman" w:eastAsia="Times New Roman" w:hint="default"/>
          <w:spacing w:val="-2"/>
        </w:rPr>
        <w:t>&lt;</w:t>
      </w:r>
      <w:r>
        <w:rPr>
          <w:spacing w:val="-2"/>
        </w:rPr>
        <w:t>公</w:t>
      </w:r>
      <w:r>
        <w:rPr>
          <w:w w:val="100"/>
        </w:rPr>
        <w:t> </w:t>
      </w:r>
      <w:r>
        <w:rPr>
          <w:spacing w:val="-2"/>
        </w:rPr>
        <w:t>司内部审计部</w:t>
      </w:r>
      <w:r>
        <w:rPr>
          <w:rFonts w:ascii="Times New Roman" w:hAnsi="Times New Roman" w:cs="Times New Roman" w:eastAsia="Times New Roman" w:hint="default"/>
          <w:spacing w:val="-2"/>
        </w:rPr>
        <w:t>2019</w:t>
      </w:r>
      <w:r>
        <w:rPr>
          <w:spacing w:val="-2"/>
        </w:rPr>
        <w:t>年第三季度工作总结及第四季度工作计划</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2019</w:t>
      </w:r>
      <w:r>
        <w:rPr>
          <w:spacing w:val="-2"/>
        </w:rPr>
        <w:t>年第三季度报</w:t>
      </w:r>
      <w:r>
        <w:rPr>
          <w:spacing w:val="-15"/>
        </w:rPr>
        <w:t> </w:t>
      </w:r>
      <w:r>
        <w:rPr>
          <w:spacing w:val="-15"/>
        </w:rPr>
      </w:r>
      <w:r>
        <w:rPr/>
        <w:t>告全文〉的议案》。</w:t>
      </w:r>
    </w:p>
    <w:p>
      <w:pPr>
        <w:pStyle w:val="BodyText"/>
        <w:spacing w:line="369" w:lineRule="auto" w:before="84"/>
        <w:ind w:left="573" w:right="3554"/>
        <w:jc w:val="left"/>
      </w:pPr>
      <w:r>
        <w:rPr>
          <w:rFonts w:ascii="Times New Roman" w:hAnsi="Times New Roman" w:cs="Times New Roman" w:eastAsia="Times New Roman" w:hint="default"/>
        </w:rPr>
        <w:t>3</w:t>
      </w:r>
      <w:r>
        <w:rPr/>
        <w:t>、董事会提名委员会履职情况</w:t>
      </w:r>
      <w:r>
        <w:rPr>
          <w:w w:val="100"/>
        </w:rPr>
        <w:t> </w:t>
      </w:r>
      <w:r>
        <w:rPr/>
        <w:t>报告期内，董事会提名委员会未召开会议。</w:t>
      </w:r>
      <w:r>
        <w:rPr>
          <w:w w:val="100"/>
        </w:rPr>
        <w:t> </w:t>
      </w:r>
      <w:r>
        <w:rPr>
          <w:rFonts w:ascii="Times New Roman" w:hAnsi="Times New Roman" w:cs="Times New Roman" w:eastAsia="Times New Roman" w:hint="default"/>
        </w:rPr>
        <w:t>4</w:t>
      </w:r>
      <w:r>
        <w:rPr/>
        <w:t>、董事会薪酬与考核委员会履职情况</w:t>
      </w:r>
      <w:r>
        <w:rPr>
          <w:w w:val="100"/>
        </w:rPr>
        <w:t> </w:t>
      </w:r>
      <w:r>
        <w:rPr/>
        <w:t>报告期内，董事会薪酬与考核委员会共召开了一会议，具体内容如下：</w:t>
      </w:r>
    </w:p>
    <w:p>
      <w:pPr>
        <w:pStyle w:val="BodyText"/>
        <w:spacing w:line="338" w:lineRule="auto" w:before="53"/>
        <w:ind w:right="1133"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日，第四届董事会薪酬与考核委员会召开第二次会议，与会委员审议并通过了《关</w:t>
      </w:r>
      <w:r>
        <w:rPr>
          <w:w w:val="100"/>
        </w:rPr>
        <w:t> </w:t>
      </w:r>
      <w:r>
        <w:rPr>
          <w:spacing w:val="-2"/>
        </w:rPr>
        <w:t>于限制性股票激励计划第三个解锁期解锁条件成就的议案》、《关于调整限制性股票回购价格及回购注销</w:t>
      </w:r>
      <w:r>
        <w:rPr>
          <w:spacing w:val="-43"/>
        </w:rPr>
        <w:t> </w:t>
      </w:r>
      <w:r>
        <w:rPr>
          <w:spacing w:val="-43"/>
        </w:rPr>
      </w:r>
      <w:r>
        <w:rPr/>
        <w:t>部分限制性股票的议案》。</w:t>
      </w:r>
    </w:p>
    <w:p>
      <w:pPr>
        <w:spacing w:line="240" w:lineRule="auto" w:before="4"/>
        <w:rPr>
          <w:rFonts w:ascii="宋体" w:hAnsi="宋体" w:cs="宋体" w:eastAsia="宋体" w:hint="default"/>
          <w:sz w:val="17"/>
          <w:szCs w:val="17"/>
        </w:rPr>
      </w:pPr>
    </w:p>
    <w:p>
      <w:pPr>
        <w:pStyle w:val="Heading2"/>
        <w:spacing w:line="240" w:lineRule="auto"/>
        <w:ind w:right="0"/>
        <w:jc w:val="both"/>
        <w:rPr>
          <w:b w:val="0"/>
          <w:bCs w:val="0"/>
        </w:rPr>
      </w:pPr>
      <w:bookmarkStart w:name="七、监事会工作情况" w:id="155"/>
      <w:bookmarkEnd w:id="155"/>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56"/>
      <w:bookmarkEnd w:id="15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1"/>
          <w:szCs w:val="31"/>
        </w:rPr>
      </w:pPr>
    </w:p>
    <w:p>
      <w:pPr>
        <w:pStyle w:val="BodyText"/>
        <w:spacing w:line="345" w:lineRule="auto"/>
        <w:ind w:right="1126" w:firstLine="420"/>
        <w:jc w:val="both"/>
      </w:pPr>
      <w:r>
        <w:rPr>
          <w:spacing w:val="-2"/>
        </w:rPr>
        <w:t>公司已建立了完善的企业绩效评价激励体系，公司高级管理人员薪酬由基本年薪和浮动奖金两部分构</w:t>
      </w:r>
      <w:r>
        <w:rPr>
          <w:w w:val="100"/>
        </w:rPr>
        <w:t> </w:t>
      </w:r>
      <w:r>
        <w:rPr>
          <w:spacing w:val="-2"/>
        </w:rPr>
        <w:t>成，其中基本年薪根据个人工作职务、岗位级别标准按月发放；浮动奖金根据公司经营业绩和个人绩效考</w:t>
      </w:r>
      <w:r>
        <w:rPr>
          <w:spacing w:val="-42"/>
        </w:rPr>
        <w:t> </w:t>
      </w:r>
      <w:r>
        <w:rPr>
          <w:spacing w:val="-42"/>
        </w:rPr>
      </w:r>
      <w:r>
        <w:rPr>
          <w:spacing w:val="-2"/>
        </w:rPr>
        <w:t>核情况确定。公司董事会薪酬与考核委员会依据董事、监事及高级管理人员职责履行情况及业绩，对其进</w:t>
      </w:r>
      <w:r>
        <w:rPr>
          <w:spacing w:val="-43"/>
        </w:rPr>
        <w:t> </w:t>
      </w:r>
      <w:r>
        <w:rPr>
          <w:spacing w:val="-43"/>
        </w:rPr>
      </w:r>
      <w:r>
        <w:rPr>
          <w:spacing w:val="-4"/>
        </w:rPr>
        <w:t>行考评，并依据考评结果提出薪酬方案，董事、监事和高级管理人员的津贴标准由公司董事会</w:t>
      </w:r>
      <w:r>
        <w:rPr>
          <w:rFonts w:ascii="Times New Roman" w:hAnsi="Times New Roman" w:cs="Times New Roman" w:eastAsia="Times New Roman" w:hint="default"/>
          <w:spacing w:val="-4"/>
        </w:rPr>
        <w:t>/</w:t>
      </w:r>
      <w:r>
        <w:rPr>
          <w:spacing w:val="-4"/>
        </w:rPr>
        <w:t>股东大会批</w:t>
      </w:r>
      <w:r>
        <w:rPr>
          <w:spacing w:val="-9"/>
        </w:rPr>
        <w:t> </w:t>
      </w:r>
      <w:r>
        <w:rPr>
          <w:spacing w:val="-9"/>
        </w:rPr>
      </w:r>
      <w:r>
        <w:rPr>
          <w:spacing w:val="-2"/>
        </w:rPr>
        <w:t>准。报告期内，公司召开第四届董事会第十四次会议、第四届监事会第八次会议，审议通过了《关于公司</w:t>
      </w:r>
      <w:r>
        <w:rPr>
          <w:spacing w:val="-43"/>
        </w:rPr>
        <w:t> </w:t>
      </w:r>
      <w:r>
        <w:rPr>
          <w:spacing w:val="-43"/>
        </w:rPr>
      </w:r>
      <w:r>
        <w:rPr>
          <w:spacing w:val="-2"/>
        </w:rPr>
        <w:t>限制性股票激励计划第三个解锁期解锁条件成就的议案》，同意公司按照《蓝盾信息安全技术股份有限公</w:t>
      </w:r>
      <w:r>
        <w:rPr>
          <w:spacing w:val="-43"/>
        </w:rPr>
        <w:t> </w:t>
      </w:r>
      <w:r>
        <w:rPr>
          <w:spacing w:val="-43"/>
        </w:rPr>
      </w:r>
      <w:r>
        <w:rPr>
          <w:spacing w:val="-2"/>
        </w:rPr>
        <w:t>司限制性股票激励计划（草案）》的相关规定办理第三个解锁期的解锁相关事宜。本次符合解锁条件的激</w:t>
      </w:r>
      <w:r>
        <w:rPr>
          <w:spacing w:val="-47"/>
        </w:rPr>
        <w:t> </w:t>
      </w:r>
      <w:r>
        <w:rPr>
          <w:spacing w:val="-47"/>
        </w:rPr>
      </w:r>
      <w:r>
        <w:rPr/>
        <w:t>励对象共计</w:t>
      </w:r>
      <w:r>
        <w:rPr>
          <w:rFonts w:ascii="Times New Roman" w:hAnsi="Times New Roman" w:cs="Times New Roman" w:eastAsia="Times New Roman" w:hint="default"/>
        </w:rPr>
        <w:t>152</w:t>
      </w:r>
      <w:r>
        <w:rPr/>
        <w:t>人（其中含</w:t>
      </w:r>
      <w:r>
        <w:rPr>
          <w:rFonts w:ascii="Times New Roman" w:hAnsi="Times New Roman" w:cs="Times New Roman" w:eastAsia="Times New Roman" w:hint="default"/>
        </w:rPr>
        <w:t>5</w:t>
      </w:r>
      <w:r>
        <w:rPr/>
        <w:t>名高级管理人员），可申请解锁并上市流通的限制性股票数量为</w:t>
      </w:r>
      <w:r>
        <w:rPr>
          <w:rFonts w:ascii="Times New Roman" w:hAnsi="Times New Roman" w:cs="Times New Roman" w:eastAsia="Times New Roman" w:hint="default"/>
        </w:rPr>
        <w:t>201</w:t>
      </w:r>
      <w:r>
        <w:rPr/>
        <w:t>万股。</w:t>
      </w:r>
    </w:p>
    <w:p>
      <w:pPr>
        <w:spacing w:after="0" w:line="345" w:lineRule="auto"/>
        <w:jc w:val="both"/>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内部控制评价报告" w:id="157"/>
      <w:bookmarkEnd w:id="157"/>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58"/>
      <w:bookmarkEnd w:id="15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内控自我评价报告" w:id="159"/>
      <w:bookmarkEnd w:id="15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44"/>
        <w:ind w:left="0" w:right="1139" w:firstLine="0"/>
        <w:jc w:val="right"/>
        <w:rPr>
          <w:rFonts w:ascii="宋体" w:hAnsi="宋体" w:cs="宋体" w:eastAsia="宋体" w:hint="default"/>
          <w:sz w:val="18"/>
          <w:szCs w:val="18"/>
        </w:rPr>
      </w:pPr>
      <w:r>
        <w:rPr/>
        <w:pict>
          <v:shape style="position:absolute;margin-left:56.400002pt;margin-top:-292.858276pt;width:479.3pt;height:564.9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41"/>
                    <w:gridCol w:w="304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96.63%</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94.63%</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7"/>
                          <w:jc w:val="left"/>
                          <w:rPr>
                            <w:rFonts w:ascii="宋体" w:hAnsi="宋体" w:cs="宋体" w:eastAsia="宋体" w:hint="default"/>
                            <w:sz w:val="18"/>
                            <w:szCs w:val="18"/>
                          </w:rPr>
                        </w:pPr>
                        <w:r>
                          <w:rPr>
                            <w:rFonts w:ascii="宋体" w:hAnsi="宋体" w:cs="宋体" w:eastAsia="宋体" w:hint="default"/>
                            <w:sz w:val="18"/>
                            <w:szCs w:val="18"/>
                          </w:rPr>
                          <w:t>定性指标以法律法规、战略与运营目标作 为衡量指标。重大缺陷认定标准：严重违 反法律、法规、规章、政府政策、其他规 范性文件等，导致中央政府或监管机构的 </w:t>
                        </w:r>
                        <w:r>
                          <w:rPr>
                            <w:rFonts w:ascii="宋体" w:hAnsi="宋体" w:cs="宋体" w:eastAsia="宋体" w:hint="default"/>
                            <w:spacing w:val="-6"/>
                            <w:sz w:val="18"/>
                            <w:szCs w:val="18"/>
                          </w:rPr>
                          <w:t>调查，并被限令行业退出、吊销营业执照、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强制关闭等。战略与运营目标或关键业绩</w:t>
                        </w:r>
                        <w:r>
                          <w:rPr>
                            <w:rFonts w:ascii="宋体" w:hAnsi="宋体" w:cs="宋体" w:eastAsia="宋体" w:hint="default"/>
                            <w:sz w:val="18"/>
                            <w:szCs w:val="18"/>
                          </w:rPr>
                          <w:t> 指标的执行不合理，严重偏离且存在方向 性错误，对战略与运营目标的实现产生严 重负面作用。重要缺陷认定标准：违反法 律、法规、规章、政府政策、其他规范性 </w:t>
                        </w:r>
                        <w:r>
                          <w:rPr>
                            <w:rFonts w:ascii="宋体" w:hAnsi="宋体" w:cs="宋体" w:eastAsia="宋体" w:hint="default"/>
                            <w:spacing w:val="-6"/>
                            <w:sz w:val="18"/>
                            <w:szCs w:val="18"/>
                          </w:rPr>
                          <w:t>文件等，导致地方政府或监管机构的调查，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并责令停业整顿等。战略与运营目标或关</w:t>
                        </w:r>
                        <w:r>
                          <w:rPr>
                            <w:rFonts w:ascii="宋体" w:hAnsi="宋体" w:cs="宋体" w:eastAsia="宋体" w:hint="default"/>
                            <w:sz w:val="18"/>
                            <w:szCs w:val="18"/>
                          </w:rPr>
                          <w:t> 键业绩指标执行不合理，严重偏离，对战 略与运营目标的实现产生明显的消极作 </w:t>
                        </w:r>
                        <w:r>
                          <w:rPr>
                            <w:rFonts w:ascii="宋体" w:hAnsi="宋体" w:cs="宋体" w:eastAsia="宋体" w:hint="default"/>
                            <w:spacing w:val="-6"/>
                            <w:sz w:val="18"/>
                            <w:szCs w:val="18"/>
                          </w:rPr>
                          <w:t>用。一般缺陷认定标准：违反法律、法规、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规章政府政策、其他规范性文件等，导致</w:t>
                        </w:r>
                        <w:r>
                          <w:rPr>
                            <w:rFonts w:ascii="宋体" w:hAnsi="宋体" w:cs="宋体" w:eastAsia="宋体" w:hint="default"/>
                            <w:sz w:val="18"/>
                            <w:szCs w:val="18"/>
                          </w:rPr>
                          <w:t> 地方政府或监管机构的调查，并被处以罚 款或罚金。战略与运营目标或关键业绩的 执行存在较小范围的不合理，目标偏离， 对战略与运营目标的实现影响轻微。</w:t>
                        </w:r>
                      </w:p>
                    </w:tc>
                    <w:tc>
                      <w:tcPr>
                        <w:tcW w:w="3040" w:type="dxa"/>
                        <w:vMerge w:val="restart"/>
                        <w:tcBorders>
                          <w:top w:val="single" w:sz="4" w:space="0" w:color="000000"/>
                          <w:left w:val="single" w:sz="14" w:space="0" w:color="FFFFFF"/>
                          <w:right w:val="single" w:sz="4" w:space="0" w:color="000000"/>
                        </w:tcBorders>
                      </w:tcPr>
                      <w:p>
                        <w:pPr>
                          <w:pStyle w:val="TableParagraph"/>
                          <w:spacing w:line="316" w:lineRule="auto" w:before="49"/>
                          <w:ind w:left="-1" w:right="-43"/>
                          <w:jc w:val="left"/>
                          <w:rPr>
                            <w:rFonts w:ascii="宋体" w:hAnsi="宋体" w:cs="宋体" w:eastAsia="宋体" w:hint="default"/>
                            <w:sz w:val="18"/>
                            <w:szCs w:val="18"/>
                          </w:rPr>
                        </w:pPr>
                        <w:r>
                          <w:rPr>
                            <w:rFonts w:ascii="宋体" w:hAnsi="宋体" w:cs="宋体" w:eastAsia="宋体" w:hint="default"/>
                            <w:spacing w:val="-4"/>
                            <w:sz w:val="18"/>
                            <w:szCs w:val="18"/>
                          </w:rPr>
                          <w:t>定性指标以法律法规、战略与运营目标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作为衡量指标。重大缺陷认定标准：严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重违反法律、法规、规章、政府政策、 </w:t>
                        </w:r>
                        <w:r>
                          <w:rPr>
                            <w:rFonts w:ascii="宋体" w:hAnsi="宋体" w:cs="宋体" w:eastAsia="宋体" w:hint="default"/>
                            <w:spacing w:val="-4"/>
                            <w:sz w:val="18"/>
                            <w:szCs w:val="18"/>
                          </w:rPr>
                          <w:t>其他规范性文件等，导致中央政府或监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管机构的调查，并被限令行业退出、吊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销营业执照、强制关闭等。战略与运营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目标或关键业绩指标的执行不合理，严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重偏离且存在方向性错误，对战略与运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营目标的实现产生严重负面作用。重要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缺陷认定标准：违反法律、法规、规章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政府政策、其他规范性文件等，导致地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方政府或监管机构的调查，并责令停业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整顿等。战略与运营目标或关键业绩指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标执行不合理，严重偏离，对战略与运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营目标的实现产生明显的消极作用。一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般缺陷认定标准：违反法律、法规、规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章政府政策、其他规范性文件等，导致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地方政府或监管机构的调查，并被处以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罚款或罚金。战略与运营目标或关键业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绩的执行存在较小范围的不合理，目标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偏离，对战略与运营目标的实现影响轻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微。</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328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r>
                    <w:trPr>
                      <w:trHeight w:val="45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12" w:lineRule="auto" w:before="49"/>
                          <w:ind w:left="23" w:right="32"/>
                          <w:jc w:val="both"/>
                          <w:rPr>
                            <w:rFonts w:ascii="宋体" w:hAnsi="宋体" w:cs="宋体" w:eastAsia="宋体" w:hint="default"/>
                            <w:sz w:val="18"/>
                            <w:szCs w:val="18"/>
                          </w:rPr>
                        </w:pPr>
                        <w:r>
                          <w:rPr>
                            <w:rFonts w:ascii="宋体" w:hAnsi="宋体" w:cs="宋体" w:eastAsia="宋体" w:hint="default"/>
                            <w:sz w:val="18"/>
                            <w:szCs w:val="18"/>
                          </w:rPr>
                          <w:t>定量标准以利润总额、资产总额、经营收 入作为衡量指标。重大缺陷认定标准：错 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合并会计报表资产总额的</w:t>
                        </w:r>
                        <w:r>
                          <w:rPr>
                            <w:rFonts w:ascii="宋体" w:hAnsi="宋体" w:cs="宋体" w:eastAsia="宋体" w:hint="default"/>
                            <w:spacing w:val="3"/>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，错报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合并</w:t>
                        </w:r>
                      </w:p>
                    </w:tc>
                    <w:tc>
                      <w:tcPr>
                        <w:tcW w:w="3040" w:type="dxa"/>
                        <w:vMerge w:val="restart"/>
                        <w:tcBorders>
                          <w:top w:val="single" w:sz="4" w:space="0" w:color="000000"/>
                          <w:left w:val="single" w:sz="4" w:space="0" w:color="000000"/>
                          <w:right w:val="single" w:sz="4" w:space="0" w:color="000000"/>
                        </w:tcBorders>
                      </w:tcPr>
                      <w:p>
                        <w:pPr>
                          <w:pStyle w:val="TableParagraph"/>
                          <w:spacing w:line="312" w:lineRule="auto" w:before="49"/>
                          <w:ind w:left="13" w:right="20"/>
                          <w:jc w:val="left"/>
                          <w:rPr>
                            <w:rFonts w:ascii="宋体" w:hAnsi="宋体" w:cs="宋体" w:eastAsia="宋体" w:hint="default"/>
                            <w:sz w:val="18"/>
                            <w:szCs w:val="18"/>
                          </w:rPr>
                        </w:pPr>
                        <w:r>
                          <w:rPr>
                            <w:rFonts w:ascii="宋体" w:hAnsi="宋体" w:cs="宋体" w:eastAsia="宋体" w:hint="default"/>
                            <w:spacing w:val="-4"/>
                            <w:sz w:val="18"/>
                            <w:szCs w:val="18"/>
                          </w:rPr>
                          <w:t>定量标准以利润总额、资产总额、经营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收入作为衡量指标。重大缺陷认定标 准：错报</w:t>
                        </w:r>
                        <w:r>
                          <w:rPr>
                            <w:rFonts w:ascii="Times New Roman" w:hAnsi="Times New Roman" w:cs="Times New Roman" w:eastAsia="Times New Roman" w:hint="default"/>
                            <w:sz w:val="18"/>
                            <w:szCs w:val="18"/>
                          </w:rPr>
                          <w:t>≥ </w:t>
                        </w:r>
                        <w:r>
                          <w:rPr>
                            <w:rFonts w:ascii="宋体" w:hAnsi="宋体" w:cs="宋体" w:eastAsia="宋体" w:hint="default"/>
                            <w:sz w:val="18"/>
                            <w:szCs w:val="18"/>
                          </w:rPr>
                          <w:t>合并会计报表利润总额的 </w:t>
                        </w:r>
                        <w:r>
                          <w:rPr>
                            <w:rFonts w:ascii="Times New Roman" w:hAnsi="Times New Roman" w:cs="Times New Roman" w:eastAsia="Times New Roman" w:hint="default"/>
                            <w:sz w:val="18"/>
                            <w:szCs w:val="18"/>
                          </w:rPr>
                          <w:t>8%</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合并会计报表资产总额的</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40" w:type="dxa"/>
                        <w:vMerge/>
                        <w:tcBorders>
                          <w:left w:val="single" w:sz="4" w:space="0" w:color="000000"/>
                          <w:right w:val="single" w:sz="4" w:space="0" w:color="000000"/>
                        </w:tcBorders>
                      </w:tcPr>
                      <w:p>
                        <w:pPr/>
                      </w:p>
                    </w:tc>
                  </w:tr>
                  <w:tr>
                    <w:trPr>
                      <w:trHeight w:val="45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4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29"/>
          <w:szCs w:val="29"/>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384.070007pt;margin-top:72.47998pt;width:149.7pt;height:15.6pt;mso-position-horizontal-relative:page;mso-position-vertical-relative:page;z-index:-1432048" coordorigin="7681,1450" coordsize="2994,312">
            <v:shape style="position:absolute;left:7681;top:1450;width:2994;height:312" coordorigin="7681,1450" coordsize="2994,312" path="m7681,1762l10675,1762,10675,1450,7681,1450,7681,1762xe" filled="true" fillcolor="#ffffff" stroked="false">
              <v:path arrowok="t"/>
              <v:fill type="solid"/>
            </v:shape>
            <w10:wrap type="none"/>
          </v:group>
        </w:pict>
      </w:r>
      <w:r>
        <w:rPr/>
        <w:pict>
          <v:group style="position:absolute;margin-left:384.070007pt;margin-top:228.499985pt;width:149.7pt;height:15.6pt;mso-position-horizontal-relative:page;mso-position-vertical-relative:page;z-index:-1432024" coordorigin="7681,4570" coordsize="2994,312">
            <v:shape style="position:absolute;left:7681;top:4570;width:2994;height:312" coordorigin="7681,4570" coordsize="2994,312" path="m7681,4882l10675,4882,10675,4570,7681,4570,7681,488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35"/>
        <w:gridCol w:w="3040"/>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14" w:space="0" w:color="FFFFFF"/>
            </w:tcBorders>
          </w:tcPr>
          <w:p>
            <w:pPr>
              <w:pStyle w:val="TableParagraph"/>
              <w:spacing w:line="309" w:lineRule="auto" w:before="8"/>
              <w:ind w:left="24" w:right="-37"/>
              <w:jc w:val="left"/>
              <w:rPr>
                <w:rFonts w:ascii="宋体" w:hAnsi="宋体" w:cs="宋体" w:eastAsia="宋体" w:hint="default"/>
                <w:sz w:val="18"/>
                <w:szCs w:val="18"/>
              </w:rPr>
            </w:pPr>
            <w:r>
              <w:rPr>
                <w:rFonts w:ascii="宋体" w:hAnsi="宋体" w:cs="宋体" w:eastAsia="宋体" w:hint="default"/>
                <w:sz w:val="18"/>
                <w:szCs w:val="18"/>
              </w:rPr>
              <w:t>会计报表主营业务收入或营业收入的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重要缺陷认定标准：合并会计报表利润总</w:t>
            </w:r>
            <w:r>
              <w:rPr>
                <w:rFonts w:ascii="宋体" w:hAnsi="宋体" w:cs="宋体" w:eastAsia="宋体" w:hint="default"/>
                <w:sz w:val="18"/>
                <w:szCs w:val="18"/>
              </w:rPr>
              <w:t> 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错报＜合并会计报表利润总额</w:t>
            </w:r>
          </w:p>
          <w:p>
            <w:pPr>
              <w:pStyle w:val="TableParagraph"/>
              <w:spacing w:line="304" w:lineRule="auto" w:before="5"/>
              <w:ind w:left="24" w:right="17"/>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5%</w:t>
            </w:r>
            <w:r>
              <w:rPr>
                <w:rFonts w:ascii="宋体" w:hAnsi="宋体" w:cs="宋体" w:eastAsia="宋体" w:hint="default"/>
                <w:sz w:val="18"/>
                <w:szCs w:val="18"/>
              </w:rPr>
              <w:t>，合并会计报表资产总额的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错报＜合并会计报表资产总额的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，合并</w:t>
            </w:r>
            <w:r>
              <w:rPr>
                <w:rFonts w:ascii="宋体" w:hAnsi="宋体" w:cs="宋体" w:eastAsia="宋体" w:hint="default"/>
                <w:sz w:val="18"/>
                <w:szCs w:val="18"/>
              </w:rPr>
              <w:t> 会计报表主营业务收入或营业收入的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宋体" w:hAnsi="宋体" w:cs="宋体" w:eastAsia="宋体" w:hint="default"/>
                <w:spacing w:val="1"/>
                <w:sz w:val="18"/>
                <w:szCs w:val="18"/>
              </w:rPr>
              <w:t> </w:t>
            </w:r>
            <w:r>
              <w:rPr>
                <w:rFonts w:ascii="宋体" w:hAnsi="宋体" w:cs="宋体" w:eastAsia="宋体" w:hint="default"/>
                <w:sz w:val="18"/>
                <w:szCs w:val="18"/>
              </w:rPr>
              <w:t>＜合并会计报表主营业务收入或营</w:t>
            </w:r>
            <w:r>
              <w:rPr>
                <w:rFonts w:ascii="宋体" w:hAnsi="宋体" w:cs="宋体" w:eastAsia="宋体" w:hint="default"/>
                <w:sz w:val="18"/>
                <w:szCs w:val="18"/>
              </w:rPr>
              <w:t> 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；一般缺陷认定标准：错报</w:t>
            </w:r>
          </w:p>
          <w:p>
            <w:pPr>
              <w:pStyle w:val="TableParagraph"/>
              <w:spacing w:line="300" w:lineRule="auto" w:before="9"/>
              <w:ind w:left="24" w:right="-37"/>
              <w:jc w:val="both"/>
              <w:rPr>
                <w:rFonts w:ascii="宋体" w:hAnsi="宋体" w:cs="宋体" w:eastAsia="宋体" w:hint="default"/>
                <w:sz w:val="18"/>
                <w:szCs w:val="18"/>
              </w:rPr>
            </w:pPr>
            <w:r>
              <w:rPr>
                <w:rFonts w:ascii="宋体" w:hAnsi="宋体" w:cs="宋体" w:eastAsia="宋体" w:hint="default"/>
                <w:sz w:val="18"/>
                <w:szCs w:val="18"/>
              </w:rPr>
              <w:t>＜合并会计报表利润总额的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，错报＜合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并会计报表资产总额的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，错报＜合并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会计报表主营业务收入或营业收入的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r>
          </w:p>
        </w:tc>
        <w:tc>
          <w:tcPr>
            <w:tcW w:w="3040" w:type="dxa"/>
            <w:tcBorders>
              <w:top w:val="single" w:sz="4" w:space="0" w:color="000000"/>
              <w:left w:val="single" w:sz="14" w:space="0" w:color="FFFFFF"/>
              <w:bottom w:val="single" w:sz="4" w:space="0" w:color="000000"/>
              <w:right w:val="single" w:sz="4" w:space="0" w:color="000000"/>
            </w:tcBorders>
          </w:tcPr>
          <w:p>
            <w:pPr>
              <w:pStyle w:val="TableParagraph"/>
              <w:spacing w:line="300" w:lineRule="auto" w:before="8"/>
              <w:ind w:left="-1"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合并会计报表主营业务收 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；重要缺陷认定标 </w:t>
            </w:r>
            <w:r>
              <w:rPr>
                <w:rFonts w:ascii="宋体" w:hAnsi="宋体" w:cs="宋体" w:eastAsia="宋体" w:hint="default"/>
                <w:spacing w:val="-7"/>
                <w:sz w:val="18"/>
                <w:szCs w:val="18"/>
              </w:rPr>
              <w:t>准：合并会计报表利润总额的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100"/>
                <w:sz w:val="18"/>
                <w:szCs w:val="18"/>
              </w:rPr>
              <w:t>5%</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w:t>
            </w:r>
          </w:p>
          <w:p>
            <w:pPr>
              <w:pStyle w:val="TableParagraph"/>
              <w:spacing w:line="304" w:lineRule="auto" w:before="13"/>
              <w:ind w:left="-1" w:right="19"/>
              <w:jc w:val="left"/>
              <w:rPr>
                <w:rFonts w:ascii="宋体" w:hAnsi="宋体" w:cs="宋体" w:eastAsia="宋体" w:hint="default"/>
                <w:sz w:val="18"/>
                <w:szCs w:val="18"/>
              </w:rPr>
            </w:pPr>
            <w:r>
              <w:rPr>
                <w:rFonts w:ascii="宋体" w:hAnsi="宋体" w:cs="宋体" w:eastAsia="宋体" w:hint="default"/>
                <w:sz w:val="18"/>
                <w:szCs w:val="18"/>
              </w:rPr>
              <w:t>＜合并 会计报表利润总额的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7"/>
                <w:sz w:val="18"/>
                <w:szCs w:val="18"/>
              </w:rPr>
              <w:t>8%</w:t>
            </w:r>
            <w:r>
              <w:rPr>
                <w:rFonts w:ascii="宋体" w:hAnsi="宋体" w:cs="宋体" w:eastAsia="宋体" w:hint="default"/>
                <w:spacing w:val="-17"/>
                <w:sz w:val="18"/>
                <w:szCs w:val="18"/>
              </w:rPr>
              <w:t>，合并</w:t>
            </w:r>
            <w:r>
              <w:rPr>
                <w:rFonts w:ascii="宋体" w:hAnsi="宋体" w:cs="宋体" w:eastAsia="宋体" w:hint="default"/>
                <w:sz w:val="18"/>
                <w:szCs w:val="18"/>
              </w:rPr>
              <w:t> 会计报表资产总额的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 会计报表资产总额的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，合并会计 报表主营业务收入或营业收入的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错报＜合并会计报表主营业务收入或 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；一般缺陷认定标准： 错报＜合并会计报表利润总额的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错报＜合并会计报表资产总额的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错报＜合并会计报表主营业务收入或 营业收入的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内部控制审计报告或鉴证报告" w:id="160"/>
      <w:bookmarkEnd w:id="160"/>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61"/>
      <w:bookmarkEnd w:id="161"/>
      <w:r>
        <w:rPr>
          <w:b w:val="0"/>
          <w:bCs w:val="0"/>
        </w:rPr>
      </w:r>
      <w:bookmarkStart w:name="_bookmark10" w:id="162"/>
      <w:bookmarkEnd w:id="162"/>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r>
        <w:rPr/>
        <w:pict>
          <v:group style="position:absolute;margin-left:440.980011pt;margin-top:102.0056pt;width:92.8pt;height:15.6pt;mso-position-horizontal-relative:page;mso-position-vertical-relative:paragraph;z-index:-1432000" coordorigin="8820,2040" coordsize="1856,312">
            <v:shape style="position:absolute;left:8820;top:2040;width:1856;height:312" coordorigin="8820,2040" coordsize="1856,312" path="m8820,2352l10675,2352,10675,2040,8820,2040,8820,2352xe" filled="true" fillcolor="#ffffff" stroked="false">
              <v:path arrowok="t"/>
              <v:fill type="solid"/>
            </v:shape>
            <w10:wrap type="none"/>
          </v:group>
        </w:pict>
      </w:r>
      <w:bookmarkStart w:name="一、公司债券基本信息" w:id="163"/>
      <w:bookmarkEnd w:id="163"/>
      <w:r>
        <w:rPr>
          <w:b w:val="0"/>
          <w:bCs w:val="0"/>
        </w:rPr>
      </w: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869"/>
        <w:gridCol w:w="850"/>
        <w:gridCol w:w="852"/>
        <w:gridCol w:w="708"/>
        <w:gridCol w:w="1997"/>
        <w:gridCol w:w="1901"/>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债券余 额（万 元）</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
              <w:jc w:val="center"/>
              <w:rPr>
                <w:rFonts w:ascii="宋体" w:hAnsi="宋体" w:cs="宋体" w:eastAsia="宋体" w:hint="default"/>
                <w:sz w:val="18"/>
                <w:szCs w:val="18"/>
              </w:rPr>
            </w:pPr>
            <w:r>
              <w:rPr>
                <w:rFonts w:ascii="宋体" w:hAnsi="宋体" w:cs="宋体" w:eastAsia="宋体" w:hint="default"/>
                <w:sz w:val="18"/>
                <w:szCs w:val="18"/>
              </w:rPr>
              <w:t>利率</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1"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82"/>
              <w:jc w:val="left"/>
              <w:rPr>
                <w:rFonts w:ascii="宋体" w:hAnsi="宋体" w:cs="宋体" w:eastAsia="宋体" w:hint="default"/>
                <w:sz w:val="18"/>
                <w:szCs w:val="18"/>
              </w:rPr>
            </w:pPr>
            <w:r>
              <w:rPr>
                <w:rFonts w:ascii="宋体" w:hAnsi="宋体" w:cs="宋体" w:eastAsia="宋体" w:hint="default"/>
                <w:sz w:val="18"/>
                <w:szCs w:val="18"/>
              </w:rPr>
              <w:t>可转换公司债 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蓝盾转债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123015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10,049.1</w:t>
            </w:r>
          </w:p>
        </w:tc>
        <w:tc>
          <w:tcPr>
            <w:tcW w:w="1997" w:type="dxa"/>
            <w:tcBorders>
              <w:top w:val="single" w:sz="4" w:space="0" w:color="000000"/>
              <w:left w:val="single" w:sz="4" w:space="0" w:color="000000"/>
              <w:bottom w:val="single" w:sz="4" w:space="0" w:color="000000"/>
              <w:right w:val="single" w:sz="10" w:space="0" w:color="FFFFFF"/>
            </w:tcBorders>
          </w:tcPr>
          <w:p>
            <w:pPr>
              <w:pStyle w:val="TableParagraph"/>
              <w:spacing w:line="300" w:lineRule="auto" w:before="49"/>
              <w:ind w:left="24" w:right="-30"/>
              <w:jc w:val="both"/>
              <w:rPr>
                <w:rFonts w:ascii="宋体" w:hAnsi="宋体" w:cs="宋体" w:eastAsia="宋体" w:hint="default"/>
                <w:sz w:val="18"/>
                <w:szCs w:val="18"/>
              </w:rPr>
            </w:pPr>
            <w:r>
              <w:rPr>
                <w:rFonts w:ascii="宋体" w:hAnsi="宋体" w:cs="宋体" w:eastAsia="宋体" w:hint="default"/>
                <w:sz w:val="18"/>
                <w:szCs w:val="18"/>
              </w:rPr>
              <w:t>第一年为 </w:t>
            </w:r>
            <w:r>
              <w:rPr>
                <w:rFonts w:ascii="Times New Roman" w:hAnsi="Times New Roman" w:cs="Times New Roman" w:eastAsia="Times New Roman" w:hint="default"/>
                <w:sz w:val="18"/>
                <w:szCs w:val="18"/>
              </w:rPr>
              <w:t>0.4%</w:t>
            </w:r>
            <w:r>
              <w:rPr>
                <w:rFonts w:ascii="宋体" w:hAnsi="宋体" w:cs="宋体" w:eastAsia="宋体" w:hint="default"/>
                <w:sz w:val="18"/>
                <w:szCs w:val="18"/>
              </w:rPr>
              <w:t>，第二年</w:t>
            </w:r>
            <w:r>
              <w:rPr>
                <w:rFonts w:ascii="宋体" w:hAnsi="宋体" w:cs="宋体" w:eastAsia="宋体" w:hint="default"/>
                <w:spacing w:val="-71"/>
                <w:sz w:val="18"/>
                <w:szCs w:val="18"/>
              </w:rPr>
              <w:t> </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0.6%</w:t>
            </w:r>
            <w:r>
              <w:rPr>
                <w:rFonts w:ascii="宋体" w:hAnsi="宋体" w:cs="宋体" w:eastAsia="宋体" w:hint="default"/>
                <w:spacing w:val="-9"/>
                <w:sz w:val="18"/>
                <w:szCs w:val="18"/>
              </w:rPr>
              <w:t>，第三年为</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w:t>
            </w:r>
            <w:r>
              <w:rPr>
                <w:rFonts w:ascii="宋体" w:hAnsi="宋体" w:cs="宋体" w:eastAsia="宋体" w:hint="default"/>
                <w:spacing w:val="-36"/>
                <w:sz w:val="18"/>
                <w:szCs w:val="18"/>
              </w:rPr>
              <w:t> </w:t>
            </w:r>
            <w:r>
              <w:rPr>
                <w:rFonts w:ascii="宋体" w:hAnsi="宋体" w:cs="宋体" w:eastAsia="宋体" w:hint="default"/>
                <w:sz w:val="18"/>
                <w:szCs w:val="18"/>
              </w:rPr>
              <w:t>第四年为 </w:t>
            </w:r>
            <w:r>
              <w:rPr>
                <w:rFonts w:ascii="Times New Roman" w:hAnsi="Times New Roman" w:cs="Times New Roman" w:eastAsia="Times New Roman" w:hint="default"/>
                <w:sz w:val="18"/>
                <w:szCs w:val="18"/>
              </w:rPr>
              <w:t>1.5%</w:t>
            </w:r>
            <w:r>
              <w:rPr>
                <w:rFonts w:ascii="宋体" w:hAnsi="宋体" w:cs="宋体" w:eastAsia="宋体" w:hint="default"/>
                <w:sz w:val="18"/>
                <w:szCs w:val="18"/>
              </w:rPr>
              <w:t>，第五年</w:t>
            </w:r>
            <w:r>
              <w:rPr>
                <w:rFonts w:ascii="宋体" w:hAnsi="宋体" w:cs="宋体" w:eastAsia="宋体" w:hint="default"/>
                <w:spacing w:val="-71"/>
                <w:sz w:val="18"/>
                <w:szCs w:val="18"/>
              </w:rPr>
              <w:t> </w:t>
            </w:r>
            <w:r>
              <w:rPr>
                <w:rFonts w:ascii="宋体" w:hAnsi="宋体" w:cs="宋体" w:eastAsia="宋体" w:hint="default"/>
                <w:sz w:val="18"/>
                <w:szCs w:val="18"/>
              </w:rPr>
              <w:t>为</w:t>
            </w:r>
            <w:r>
              <w:rPr>
                <w:rFonts w:ascii="宋体" w:hAnsi="宋体" w:cs="宋体" w:eastAsia="宋体" w:hint="default"/>
                <w:spacing w:val="-63"/>
                <w:sz w:val="18"/>
                <w:szCs w:val="18"/>
              </w:rPr>
              <w:t> </w:t>
            </w:r>
            <w:r>
              <w:rPr>
                <w:rFonts w:ascii="Times New Roman" w:hAnsi="Times New Roman" w:cs="Times New Roman" w:eastAsia="Times New Roman" w:hint="default"/>
                <w:spacing w:val="-11"/>
                <w:sz w:val="18"/>
                <w:szCs w:val="18"/>
              </w:rPr>
              <w:t>1.8%</w:t>
            </w:r>
            <w:r>
              <w:rPr>
                <w:rFonts w:ascii="宋体" w:hAnsi="宋体" w:cs="宋体" w:eastAsia="宋体" w:hint="default"/>
                <w:spacing w:val="-11"/>
                <w:sz w:val="18"/>
                <w:szCs w:val="18"/>
              </w:rPr>
              <w:t>，第六年为</w:t>
            </w:r>
            <w:r>
              <w:rPr>
                <w:rFonts w:ascii="宋体" w:hAnsi="宋体" w:cs="宋体" w:eastAsia="宋体" w:hint="default"/>
                <w:spacing w:val="-63"/>
                <w:sz w:val="18"/>
                <w:szCs w:val="18"/>
              </w:rPr>
              <w:t> </w:t>
            </w:r>
            <w:r>
              <w:rPr>
                <w:rFonts w:ascii="Times New Roman" w:hAnsi="Times New Roman" w:cs="Times New Roman" w:eastAsia="Times New Roman" w:hint="default"/>
                <w:spacing w:val="-23"/>
                <w:sz w:val="18"/>
                <w:szCs w:val="18"/>
              </w:rPr>
              <w:t>8%</w:t>
            </w:r>
            <w:r>
              <w:rPr>
                <w:rFonts w:ascii="宋体" w:hAnsi="宋体" w:cs="宋体" w:eastAsia="宋体" w:hint="default"/>
                <w:spacing w:val="-23"/>
                <w:sz w:val="18"/>
                <w:szCs w:val="18"/>
              </w:rPr>
              <w:t>（其</w:t>
            </w:r>
            <w:r>
              <w:rPr>
                <w:rFonts w:ascii="宋体" w:hAnsi="宋体" w:cs="宋体" w:eastAsia="宋体" w:hint="default"/>
                <w:spacing w:val="-86"/>
                <w:sz w:val="18"/>
                <w:szCs w:val="18"/>
              </w:rPr>
              <w:t> </w:t>
            </w:r>
            <w:r>
              <w:rPr>
                <w:rFonts w:ascii="宋体" w:hAnsi="宋体" w:cs="宋体" w:eastAsia="宋体" w:hint="default"/>
                <w:sz w:val="18"/>
                <w:szCs w:val="18"/>
              </w:rPr>
              <w:t>中第六年利率</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补偿到 期赎回利率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901"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4" w:right="77"/>
              <w:jc w:val="both"/>
              <w:rPr>
                <w:rFonts w:ascii="宋体" w:hAnsi="宋体" w:cs="宋体" w:eastAsia="宋体" w:hint="default"/>
                <w:sz w:val="18"/>
                <w:szCs w:val="18"/>
              </w:rPr>
            </w:pPr>
            <w:r>
              <w:rPr>
                <w:rFonts w:ascii="宋体" w:hAnsi="宋体" w:cs="宋体" w:eastAsia="宋体" w:hint="default"/>
                <w:sz w:val="18"/>
                <w:szCs w:val="18"/>
              </w:rPr>
              <w:t>本次发行的可转债采用 每年付息一次的付息方 式，到期归还本金并支 付最后一年利息。计息 起始日为可转债发行首 日。</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深交所</w:t>
            </w:r>
          </w:p>
        </w:tc>
      </w:tr>
      <w:tr>
        <w:trPr>
          <w:trHeight w:val="40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日按面值支付了</w:t>
            </w:r>
            <w:r>
              <w:rPr>
                <w:rFonts w:ascii="Times New Roman" w:hAnsi="Times New Roman" w:cs="Times New Roman" w:eastAsia="Times New Roman" w:hint="default"/>
                <w:sz w:val="18"/>
                <w:szCs w:val="18"/>
              </w:rPr>
              <w:t>“</w:t>
            </w:r>
            <w:r>
              <w:rPr>
                <w:rFonts w:ascii="宋体" w:hAnsi="宋体" w:cs="宋体" w:eastAsia="宋体" w:hint="default"/>
                <w:sz w:val="18"/>
                <w:szCs w:val="18"/>
              </w:rPr>
              <w:t>蓝盾转债</w:t>
            </w:r>
            <w:r>
              <w:rPr>
                <w:rFonts w:ascii="Times New Roman" w:hAnsi="Times New Roman" w:cs="Times New Roman" w:eastAsia="Times New Roman" w:hint="default"/>
                <w:sz w:val="18"/>
                <w:szCs w:val="18"/>
              </w:rPr>
              <w:t>”</w:t>
            </w:r>
            <w:r>
              <w:rPr>
                <w:rFonts w:ascii="宋体" w:hAnsi="宋体" w:cs="宋体" w:eastAsia="宋体" w:hint="default"/>
                <w:sz w:val="18"/>
                <w:szCs w:val="18"/>
              </w:rPr>
              <w:t>第一年利息，每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蓝盾转债</w:t>
            </w:r>
            <w:r>
              <w:rPr>
                <w:rFonts w:ascii="Times New Roman" w:hAnsi="Times New Roman" w:cs="Times New Roman" w:eastAsia="Times New Roman" w:hint="default"/>
                <w:sz w:val="18"/>
                <w:szCs w:val="18"/>
              </w:rPr>
              <w:t>”</w:t>
            </w:r>
            <w:r>
              <w:rPr>
                <w:rFonts w:ascii="宋体" w:hAnsi="宋体" w:cs="宋体" w:eastAsia="宋体" w:hint="default"/>
                <w:sz w:val="18"/>
                <w:szCs w:val="18"/>
              </w:rPr>
              <w:t>（面值</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元）利息为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含</w:t>
            </w: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，共计支付利息</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403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tc>
      </w:tr>
      <w:tr>
        <w:trPr>
          <w:trHeight w:val="1339"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债券受托管理人和资信评级机构信息" w:id="164"/>
      <w:bookmarkEnd w:id="164"/>
      <w:r>
        <w:rPr>
          <w:b w:val="0"/>
          <w:bCs w:val="0"/>
        </w:rPr>
      </w:r>
      <w:r>
        <w:rPr/>
        <w:t>二、债券受托管理人和资信评级机构信息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80"/>
        <w:gridCol w:w="1993"/>
        <w:gridCol w:w="1364"/>
        <w:gridCol w:w="1112"/>
        <w:gridCol w:w="3915"/>
      </w:tblGrid>
      <w:tr>
        <w:trPr>
          <w:trHeight w:val="397" w:hRule="exact"/>
        </w:trPr>
        <w:tc>
          <w:tcPr>
            <w:tcW w:w="95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357"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9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PICC </w:t>
            </w: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1339"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c>
        <w:tc>
          <w:tcPr>
            <w:tcW w:w="1364"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7" w:lineRule="exact" w:before="124"/>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12" w:type="dxa"/>
            <w:tcBorders>
              <w:top w:val="single" w:sz="4" w:space="0" w:color="000000"/>
              <w:left w:val="nil" w:sz="6" w:space="0" w:color="auto"/>
              <w:bottom w:val="single" w:sz="4" w:space="0" w:color="000000"/>
              <w:right w:val="nil" w:sz="6" w:space="0" w:color="auto"/>
            </w:tcBorders>
          </w:tcPr>
          <w:p>
            <w:pPr/>
          </w:p>
        </w:tc>
        <w:tc>
          <w:tcPr>
            <w:tcW w:w="3915" w:type="dxa"/>
            <w:tcBorders>
              <w:top w:val="single" w:sz="4" w:space="0" w:color="000000"/>
              <w:left w:val="nil" w:sz="6" w:space="0" w:color="auto"/>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pict>
          <v:group style="position:absolute;margin-left:216.649994pt;margin-top:-78.668373pt;width:318.55pt;height:43.6pt;mso-position-horizontal-relative:page;mso-position-vertical-relative:paragraph;z-index:-1431976" coordorigin="4333,-1573" coordsize="6371,872">
            <v:group style="position:absolute;left:4333;top:-1573;width:6371;height:469" coordorigin="4333,-1573" coordsize="6371,469">
              <v:shape style="position:absolute;left:4333;top:-1573;width:6371;height:469" coordorigin="4333,-1573" coordsize="6371,469" path="m4333,-1105l10704,-1105,10704,-1573,4333,-1573,4333,-1105xe" filled="true" fillcolor="#ffffff" stroked="false">
                <v:path arrowok="t"/>
                <v:fill type="solid"/>
              </v:shape>
            </v:group>
            <v:group style="position:absolute;left:4345;top:-1105;width:2;height:392" coordorigin="4345,-1105" coordsize="2,392">
              <v:shape style="position:absolute;left:4345;top:-1105;width:2;height:392" coordorigin="4345,-1105" coordsize="0,392" path="m4345,-1105l4345,-714e" filled="false" stroked="true" strokeweight="1.2pt" strokecolor="#ffffff">
                <v:path arrowok="t"/>
              </v:shape>
            </v:group>
            <v:group style="position:absolute;left:4357;top:-1105;width:6325;height:392" coordorigin="4357,-1105" coordsize="6325,392">
              <v:shape style="position:absolute;left:4357;top:-1105;width:6325;height:392" coordorigin="4357,-1105" coordsize="6325,392" path="m4357,-714l10682,-714,10682,-1105,4357,-1105,4357,-714xe" filled="true" fillcolor="#ffffff" stroked="false">
                <v:path arrowok="t"/>
                <v:fill type="solid"/>
              </v:shape>
            </v:group>
            <w10:wrap type="none"/>
          </v:group>
        </w:pict>
      </w:r>
      <w:bookmarkStart w:name="三、公司债券募集资金使用情况" w:id="165"/>
      <w:bookmarkEnd w:id="165"/>
      <w:r>
        <w:rPr>
          <w:b w:val="0"/>
          <w:bCs w:val="0"/>
        </w:rPr>
      </w: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本次募集资金扣除发行费用后用于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蓝盾大安全研发与产业化基地</w:t>
            </w:r>
            <w:r>
              <w:rPr>
                <w:rFonts w:ascii="Times New Roman" w:hAnsi="Times New Roman" w:cs="Times New Roman" w:eastAsia="Times New Roman" w:hint="default"/>
                <w:sz w:val="18"/>
                <w:szCs w:val="18"/>
              </w:rPr>
              <w:t>”</w:t>
            </w:r>
            <w:r>
              <w:rPr>
                <w:rFonts w:ascii="宋体" w:hAnsi="宋体" w:cs="宋体" w:eastAsia="宋体" w:hint="default"/>
                <w:sz w:val="18"/>
                <w:szCs w:val="18"/>
              </w:rPr>
              <w:t>及补充公司流 动资金。</w:t>
            </w:r>
          </w:p>
        </w:tc>
      </w:tr>
    </w:tbl>
    <w:p>
      <w:pPr>
        <w:spacing w:after="0" w:line="30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募集资金专项账户运作正常</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公司债券信息评级情况" w:id="166"/>
      <w:bookmarkEnd w:id="166"/>
      <w:r>
        <w:rPr>
          <w:b w:val="0"/>
          <w:bCs w:val="0"/>
        </w:rPr>
      </w:r>
      <w:r>
        <w:rPr/>
        <w:t>四、公司债券信息评级情况</w:t>
      </w:r>
      <w:r>
        <w:rPr>
          <w:b w:val="0"/>
          <w:bCs w:val="0"/>
        </w:rPr>
      </w:r>
    </w:p>
    <w:p>
      <w:pPr>
        <w:spacing w:line="240" w:lineRule="auto" w:before="4"/>
        <w:rPr>
          <w:rFonts w:ascii="宋体" w:hAnsi="宋体" w:cs="宋体" w:eastAsia="宋体" w:hint="default"/>
          <w:b/>
          <w:bCs/>
          <w:sz w:val="31"/>
          <w:szCs w:val="31"/>
        </w:rPr>
      </w:pPr>
    </w:p>
    <w:p>
      <w:pPr>
        <w:pStyle w:val="BodyText"/>
        <w:spacing w:line="331" w:lineRule="auto"/>
        <w:ind w:right="112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日，联合信用评级有限公司出具《蓝盾信息安全技术股份有限公司可转换公司债券</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t>年跟踪评级报告》（联合</w:t>
      </w:r>
      <w:r>
        <w:rPr>
          <w:rFonts w:ascii="Times New Roman" w:hAnsi="Times New Roman" w:cs="Times New Roman" w:eastAsia="Times New Roman" w:hint="default"/>
        </w:rPr>
        <w:t>[2019]1693</w:t>
      </w:r>
      <w:r>
        <w:rPr/>
        <w:t>号），联合信用评级有限公司通过对公司主体长期信用状况和公司公</w:t>
      </w:r>
      <w:r>
        <w:rPr>
          <w:spacing w:val="-56"/>
        </w:rPr>
        <w:t> </w:t>
      </w:r>
      <w:r>
        <w:rPr>
          <w:spacing w:val="-1"/>
        </w:rPr>
        <w:t>开发行的可转换公司债券进行跟踪评级，确定公司主体长期信用等级为</w:t>
      </w:r>
      <w:r>
        <w:rPr>
          <w:rFonts w:ascii="Times New Roman" w:hAnsi="Times New Roman" w:cs="Times New Roman" w:eastAsia="Times New Roman" w:hint="default"/>
          <w:spacing w:val="-1"/>
        </w:rPr>
        <w:t>AA</w:t>
      </w:r>
      <w:r>
        <w:rPr>
          <w:spacing w:val="-1"/>
        </w:rPr>
        <w:t>，评级展望为</w:t>
      </w:r>
      <w:r>
        <w:rPr>
          <w:rFonts w:ascii="Times New Roman" w:hAnsi="Times New Roman" w:cs="Times New Roman" w:eastAsia="Times New Roman" w:hint="default"/>
          <w:spacing w:val="-1"/>
        </w:rPr>
        <w:t>“</w:t>
      </w:r>
      <w:r>
        <w:rPr>
          <w:spacing w:val="-1"/>
        </w:rPr>
        <w:t>稳定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蓝盾转</w:t>
      </w:r>
      <w:r>
        <w:rPr>
          <w:spacing w:val="-37"/>
        </w:rPr>
        <w:t> </w:t>
      </w:r>
      <w:r>
        <w:rPr>
          <w:spacing w:val="-37"/>
        </w:rPr>
      </w:r>
      <w:r>
        <w:rPr/>
        <w:t>债</w:t>
      </w:r>
      <w:r>
        <w:rPr>
          <w:rFonts w:ascii="Times New Roman" w:hAnsi="Times New Roman" w:cs="Times New Roman" w:eastAsia="Times New Roman" w:hint="default"/>
        </w:rPr>
        <w:t>”</w:t>
      </w:r>
      <w:r>
        <w:rPr/>
        <w:t>的债券信用等级为</w:t>
      </w:r>
      <w:r>
        <w:rPr>
          <w:rFonts w:ascii="Times New Roman" w:hAnsi="Times New Roman" w:cs="Times New Roman" w:eastAsia="Times New Roman" w:hint="default"/>
        </w:rPr>
        <w:t>AA</w:t>
      </w:r>
      <w:r>
        <w:rPr/>
        <w:t>。</w:t>
      </w:r>
    </w:p>
    <w:p>
      <w:pPr>
        <w:spacing w:line="240" w:lineRule="auto" w:before="1"/>
        <w:rPr>
          <w:rFonts w:ascii="宋体" w:hAnsi="宋体" w:cs="宋体" w:eastAsia="宋体" w:hint="default"/>
          <w:sz w:val="16"/>
          <w:szCs w:val="16"/>
        </w:rPr>
      </w:pPr>
    </w:p>
    <w:p>
      <w:pPr>
        <w:pStyle w:val="Heading2"/>
        <w:spacing w:line="240" w:lineRule="auto"/>
        <w:ind w:right="1133"/>
        <w:jc w:val="left"/>
        <w:rPr>
          <w:b w:val="0"/>
          <w:bCs w:val="0"/>
        </w:rPr>
      </w:pPr>
      <w:bookmarkStart w:name="五、公司债券增信机制、偿债计划及其他偿债保障措施" w:id="167"/>
      <w:bookmarkEnd w:id="167"/>
      <w:r>
        <w:rPr>
          <w:b w:val="0"/>
          <w:bCs w:val="0"/>
        </w:rPr>
      </w:r>
      <w:r>
        <w:rPr/>
        <w:t>五、公司债券增信机制、偿债计划及其他偿债保障措施</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1133"/>
        <w:jc w:val="left"/>
      </w:pP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六、报告期内债券持有人会议的召开情况" w:id="168"/>
      <w:bookmarkEnd w:id="168"/>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573" w:right="1133"/>
        <w:jc w:val="left"/>
      </w:pPr>
      <w:r>
        <w:rPr/>
        <w:t>报告期内未召开债券持有人会议。</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bookmarkStart w:name="七、报告期内债券受托管理人履行职责的情况" w:id="169"/>
      <w:bookmarkEnd w:id="169"/>
      <w:r>
        <w:rPr>
          <w:b w:val="0"/>
          <w:bCs w:val="0"/>
        </w:rPr>
      </w:r>
      <w:r>
        <w:rPr/>
        <w:t>七、报告期内债券受托管理人履行职责的情况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573" w:right="1133"/>
        <w:jc w:val="left"/>
      </w:pPr>
      <w:r>
        <w:rPr/>
        <w:t>不适用。</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bookmarkStart w:name="八、截至报告期末公司近2年的主要会计数据和财务指标" w:id="170"/>
      <w:bookmarkEnd w:id="170"/>
      <w:r>
        <w:rPr>
          <w:b w:val="0"/>
          <w:bCs w:val="0"/>
        </w:rPr>
      </w: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-43,317.4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87,446.09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-211.17%</w:t>
            </w:r>
            <w:r>
              <w:rPr>
                <w:rFonts w:ascii="Times New Roman"/>
                <w:spacing w:val="-1"/>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1" w:lineRule="auto"/>
        <w:ind w:right="1128" w:firstLine="420"/>
        <w:jc w:val="both"/>
      </w:pPr>
      <w:r>
        <w:rPr>
          <w:rFonts w:ascii="Times New Roman" w:hAnsi="Times New Roman" w:cs="Times New Roman" w:eastAsia="Times New Roman" w:hint="default"/>
          <w:spacing w:val="-1"/>
        </w:rPr>
        <w:t>1</w:t>
      </w:r>
      <w:r>
        <w:rPr>
          <w:spacing w:val="-1"/>
        </w:rPr>
        <w:t>、息税折旧摊销前利润、</w:t>
      </w:r>
      <w:r>
        <w:rPr>
          <w:rFonts w:ascii="Times New Roman" w:hAnsi="Times New Roman" w:cs="Times New Roman" w:eastAsia="Times New Roman" w:hint="default"/>
          <w:spacing w:val="-1"/>
        </w:rPr>
        <w:t>EBITDA</w:t>
      </w:r>
      <w:r>
        <w:rPr>
          <w:spacing w:val="-1"/>
        </w:rPr>
        <w:t>全部债务比、利息保障倍数、现金利息保障倍数、</w:t>
      </w:r>
      <w:r>
        <w:rPr>
          <w:rFonts w:ascii="Times New Roman" w:hAnsi="Times New Roman" w:cs="Times New Roman" w:eastAsia="Times New Roman" w:hint="default"/>
          <w:spacing w:val="-1"/>
        </w:rPr>
        <w:t>EBITDA</w:t>
      </w:r>
      <w:r>
        <w:rPr>
          <w:spacing w:val="-1"/>
        </w:rPr>
        <w:t>利息保</w:t>
      </w:r>
      <w:r>
        <w:rPr>
          <w:w w:val="100"/>
        </w:rPr>
        <w:t> </w:t>
      </w:r>
      <w:r>
        <w:rPr/>
        <w:t>障倍数同比变动下降较多主要系本期一公司净利润亏损，经营活动产生的现金流量净额减少所致。</w:t>
      </w:r>
    </w:p>
    <w:p>
      <w:pPr>
        <w:spacing w:line="240" w:lineRule="auto" w:before="12"/>
        <w:rPr>
          <w:rFonts w:ascii="宋体" w:hAnsi="宋体" w:cs="宋体" w:eastAsia="宋体" w:hint="default"/>
          <w:sz w:val="17"/>
          <w:szCs w:val="17"/>
        </w:rPr>
      </w:pPr>
    </w:p>
    <w:p>
      <w:pPr>
        <w:pStyle w:val="Heading2"/>
        <w:spacing w:line="240" w:lineRule="auto"/>
        <w:ind w:right="1133"/>
        <w:jc w:val="left"/>
        <w:rPr>
          <w:b w:val="0"/>
          <w:bCs w:val="0"/>
        </w:rPr>
      </w:pPr>
      <w:bookmarkStart w:name="九、报告期内对其他债券和债务融资工具的付息兑付情况" w:id="171"/>
      <w:bookmarkEnd w:id="171"/>
      <w:r>
        <w:rPr>
          <w:b w:val="0"/>
          <w:bCs w:val="0"/>
        </w:rPr>
      </w:r>
      <w:r>
        <w:rPr/>
        <w:t>九、报告期内对其他债券和债务融资工具的付息兑付情况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1133"/>
        <w:jc w:val="left"/>
      </w:pP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报告期内获得的银行授信情况、使用情况以及偿还银行贷款的情况" w:id="172"/>
      <w:bookmarkEnd w:id="172"/>
      <w:r>
        <w:rPr>
          <w:b w:val="0"/>
          <w:bCs w:val="0"/>
        </w:rPr>
      </w:r>
      <w:r>
        <w:rPr/>
        <w:t>十、报告期内获得的银行授信情况、使用情况以及偿还银行贷款的情况</w:t>
      </w:r>
      <w:r>
        <w:rPr>
          <w:b w:val="0"/>
          <w:bCs w:val="0"/>
        </w:rPr>
      </w:r>
    </w:p>
    <w:p>
      <w:pPr>
        <w:spacing w:line="240" w:lineRule="auto" w:before="5"/>
        <w:rPr>
          <w:rFonts w:ascii="宋体" w:hAnsi="宋体" w:cs="宋体" w:eastAsia="宋体" w:hint="default"/>
          <w:b/>
          <w:bCs/>
          <w:sz w:val="31"/>
          <w:szCs w:val="31"/>
        </w:rPr>
      </w:pPr>
    </w:p>
    <w:p>
      <w:pPr>
        <w:pStyle w:val="BodyText"/>
        <w:spacing w:line="340" w:lineRule="auto"/>
        <w:ind w:right="1126" w:firstLine="420"/>
        <w:jc w:val="both"/>
      </w:pPr>
      <w:r>
        <w:rPr>
          <w:spacing w:val="-2"/>
        </w:rPr>
        <w:t>公司及控股子公司始终坚持合规运作、稳健经营。截至报告期末，公司及控股子公司获得合作银行授</w:t>
      </w:r>
      <w:r>
        <w:rPr>
          <w:w w:val="100"/>
        </w:rPr>
        <w:t> </w:t>
      </w:r>
      <w:r>
        <w:rPr>
          <w:spacing w:val="-1"/>
        </w:rPr>
        <w:t>予综合信用额度约</w:t>
      </w:r>
      <w:r>
        <w:rPr>
          <w:rFonts w:ascii="Times New Roman" w:hAnsi="Times New Roman" w:cs="Times New Roman" w:eastAsia="Times New Roman" w:hint="default"/>
          <w:spacing w:val="-1"/>
        </w:rPr>
        <w:t>33.9</w:t>
      </w:r>
      <w:r>
        <w:rPr>
          <w:spacing w:val="-1"/>
        </w:rPr>
        <w:t>亿元。公司及控股子公司严格按照规定使用授信额度，报告期内存在部分贷款展期</w:t>
      </w:r>
      <w:r>
        <w:rPr>
          <w:spacing w:val="-26"/>
        </w:rPr>
        <w:t> </w:t>
      </w:r>
      <w:r>
        <w:rPr>
          <w:spacing w:val="-26"/>
        </w:rPr>
      </w:r>
      <w:r>
        <w:rPr/>
        <w:t>情况，公司及控股子公司正积极与债权人沟通商议有效解决途径，并努力筹措资金尽快偿还到期债务。</w:t>
      </w:r>
    </w:p>
    <w:p>
      <w:pPr>
        <w:spacing w:line="240" w:lineRule="auto" w:before="1"/>
        <w:rPr>
          <w:rFonts w:ascii="宋体" w:hAnsi="宋体" w:cs="宋体" w:eastAsia="宋体" w:hint="default"/>
          <w:sz w:val="17"/>
          <w:szCs w:val="17"/>
        </w:rPr>
      </w:pPr>
    </w:p>
    <w:p>
      <w:pPr>
        <w:pStyle w:val="Heading2"/>
        <w:spacing w:line="240" w:lineRule="auto"/>
        <w:ind w:right="1133"/>
        <w:jc w:val="left"/>
        <w:rPr>
          <w:b w:val="0"/>
          <w:bCs w:val="0"/>
        </w:rPr>
      </w:pPr>
      <w:bookmarkStart w:name="十一、报告期内执行公司债券募集说明书相关约定或承诺的情况" w:id="173"/>
      <w:bookmarkEnd w:id="173"/>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right="1131" w:firstLine="420"/>
        <w:jc w:val="both"/>
      </w:pPr>
      <w:r>
        <w:rPr>
          <w:spacing w:val="-2"/>
        </w:rPr>
        <w:t>报告期内，公司在公司治理、内部控制等方面不存在违反《公司法》、《公司章程》规定的情况，公</w:t>
      </w:r>
      <w:r>
        <w:rPr>
          <w:w w:val="100"/>
        </w:rPr>
        <w:t> </w:t>
      </w:r>
      <w:r>
        <w:rPr/>
        <w:t>司严格执行</w:t>
      </w:r>
      <w:r>
        <w:rPr>
          <w:rFonts w:ascii="Times New Roman" w:hAnsi="Times New Roman" w:cs="Times New Roman" w:eastAsia="Times New Roman" w:hint="default"/>
        </w:rPr>
        <w:t>“</w:t>
      </w:r>
      <w:r>
        <w:rPr/>
        <w:t>蓝盾转债</w:t>
      </w:r>
      <w:r>
        <w:rPr>
          <w:rFonts w:ascii="Times New Roman" w:hAnsi="Times New Roman" w:cs="Times New Roman" w:eastAsia="Times New Roman" w:hint="default"/>
        </w:rPr>
        <w:t>”</w:t>
      </w:r>
      <w:r>
        <w:rPr/>
        <w:t>募集说明书中的相关约定和承诺，不存在违反上述约定和承诺的行为。</w:t>
      </w:r>
    </w:p>
    <w:p>
      <w:pPr>
        <w:pStyle w:val="Heading2"/>
        <w:spacing w:line="240" w:lineRule="auto" w:before="189"/>
        <w:ind w:right="1133"/>
        <w:jc w:val="left"/>
        <w:rPr>
          <w:b w:val="0"/>
          <w:bCs w:val="0"/>
        </w:rPr>
      </w:pPr>
      <w:bookmarkStart w:name="十二、报告期内发生的重大事项" w:id="174"/>
      <w:bookmarkEnd w:id="174"/>
      <w:r>
        <w:rPr>
          <w:b w:val="0"/>
          <w:bCs w:val="0"/>
        </w:rPr>
      </w:r>
      <w:r>
        <w:rPr/>
        <w:t>十二、报告期内发生的重大事项</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573" w:right="982"/>
        <w:jc w:val="left"/>
      </w:pPr>
      <w:r>
        <w:rPr/>
        <w:t>报告期内，公司全资子公司蓝盾技术、中经汇通存在部分到期债务的逾期的情况，具体内容详见公司</w:t>
      </w:r>
    </w:p>
    <w:p>
      <w:pPr>
        <w:pStyle w:val="BodyText"/>
        <w:spacing w:line="240" w:lineRule="auto" w:before="123"/>
        <w:ind w:right="1133"/>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日披露于巨潮资讯网《关于全资子公司部分债务逾期的公告》。（公告编号：</w:t>
      </w:r>
      <w:r>
        <w:rPr>
          <w:rFonts w:ascii="Times New Roman" w:hAnsi="Times New Roman" w:cs="Times New Roman" w:eastAsia="Times New Roman" w:hint="default"/>
        </w:rPr>
        <w:t>2020-058</w:t>
      </w:r>
      <w:r>
        <w:rPr/>
        <w:t>）</w:t>
      </w:r>
    </w:p>
    <w:p>
      <w:pPr>
        <w:spacing w:line="240" w:lineRule="auto" w:before="10"/>
        <w:rPr>
          <w:rFonts w:ascii="宋体" w:hAnsi="宋体" w:cs="宋体" w:eastAsia="宋体" w:hint="default"/>
          <w:sz w:val="22"/>
          <w:szCs w:val="22"/>
        </w:rPr>
      </w:pPr>
    </w:p>
    <w:p>
      <w:pPr>
        <w:pStyle w:val="Heading2"/>
        <w:spacing w:line="240" w:lineRule="auto"/>
        <w:ind w:right="1133"/>
        <w:jc w:val="left"/>
        <w:rPr>
          <w:b w:val="0"/>
          <w:bCs w:val="0"/>
        </w:rPr>
      </w:pPr>
      <w:bookmarkStart w:name="十三、公司债券是否存在保证人" w:id="175"/>
      <w:bookmarkEnd w:id="175"/>
      <w:r>
        <w:rPr>
          <w:b w:val="0"/>
          <w:bCs w:val="0"/>
        </w:rPr>
      </w:r>
      <w:r>
        <w:rPr/>
        <w:t>十三、公司债券是否存在保证人</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5" w:right="1279"/>
        <w:jc w:val="center"/>
        <w:rPr>
          <w:b w:val="0"/>
          <w:bCs w:val="0"/>
        </w:rPr>
      </w:pPr>
      <w:bookmarkStart w:name="第十二节财务报告" w:id="176"/>
      <w:bookmarkEnd w:id="176"/>
      <w:r>
        <w:rPr>
          <w:b w:val="0"/>
          <w:bCs w:val="0"/>
        </w:rPr>
      </w:r>
      <w:bookmarkStart w:name="_bookmark11" w:id="177"/>
      <w:bookmarkEnd w:id="177"/>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78"/>
      <w:bookmarkEnd w:id="17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带持续经营重大不确定性段落的无保留意见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[2020]005843</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spacing w:before="49"/>
        <w:ind w:left="301" w:right="127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0"/>
        <w:rPr>
          <w:rFonts w:ascii="宋体" w:hAnsi="宋体" w:cs="宋体" w:eastAsia="宋体" w:hint="default"/>
          <w:sz w:val="13"/>
          <w:szCs w:val="13"/>
        </w:rPr>
      </w:pPr>
    </w:p>
    <w:p>
      <w:pPr>
        <w:pStyle w:val="Heading3"/>
        <w:spacing w:line="240" w:lineRule="auto"/>
        <w:ind w:left="575" w:right="1133"/>
        <w:jc w:val="left"/>
        <w:rPr>
          <w:b w:val="0"/>
          <w:bCs w:val="0"/>
        </w:rPr>
      </w:pPr>
      <w:r>
        <w:rPr/>
        <w:t>一、审计意见</w:t>
      </w:r>
      <w:r>
        <w:rPr>
          <w:b w:val="0"/>
          <w:bCs w:val="0"/>
        </w:rPr>
      </w:r>
    </w:p>
    <w:p>
      <w:pPr>
        <w:pStyle w:val="BodyText"/>
        <w:spacing w:line="348" w:lineRule="auto" w:before="126"/>
        <w:ind w:right="1128" w:firstLine="420"/>
        <w:jc w:val="both"/>
      </w:pPr>
      <w:r>
        <w:rPr/>
        <w:t>我们审计了蓝盾信息安全技术股份有限公司</w:t>
      </w:r>
      <w:r>
        <w:rPr>
          <w:rFonts w:ascii="宋体" w:hAnsi="宋体" w:cs="宋体" w:eastAsia="宋体" w:hint="default"/>
        </w:rPr>
        <w:t>(</w:t>
      </w:r>
      <w:r>
        <w:rPr/>
        <w:t>以下简称蓝盾股份</w:t>
      </w:r>
      <w:r>
        <w:rPr>
          <w:rFonts w:ascii="宋体" w:hAnsi="宋体" w:cs="宋体" w:eastAsia="宋体" w:hint="default"/>
        </w:rPr>
        <w:t>)</w:t>
      </w:r>
      <w:r>
        <w:rPr/>
        <w:t>财务报表，包括</w:t>
      </w:r>
      <w:r>
        <w:rPr>
          <w:spacing w:val="-40"/>
        </w:rPr>
        <w:t> </w:t>
      </w:r>
      <w:r>
        <w:rPr>
          <w:rFonts w:ascii="宋体" w:hAnsi="宋体" w:cs="宋体" w:eastAsia="宋体" w:hint="default"/>
        </w:rPr>
        <w:t>2019</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w:t>
      </w:r>
      <w:r>
        <w:rPr>
          <w:w w:val="100"/>
        </w:rPr>
        <w:t> </w:t>
      </w:r>
      <w:r>
        <w:rPr>
          <w:spacing w:val="-3"/>
        </w:rPr>
        <w:t>的合并及母公司资产负债表，</w:t>
      </w:r>
      <w:r>
        <w:rPr>
          <w:rFonts w:ascii="宋体" w:hAnsi="宋体" w:cs="宋体" w:eastAsia="宋体" w:hint="default"/>
          <w:spacing w:val="-3"/>
        </w:rPr>
        <w:t>2019 </w:t>
      </w:r>
      <w:r>
        <w:rPr>
          <w:spacing w:val="-4"/>
        </w:rPr>
        <w:t>年度的合并及母公司利润表、合并及母公司现金流量表、合并及母公司</w:t>
      </w:r>
      <w:r>
        <w:rPr>
          <w:spacing w:val="-65"/>
        </w:rPr>
        <w:t> </w:t>
      </w:r>
      <w:r>
        <w:rPr>
          <w:spacing w:val="-65"/>
        </w:rPr>
      </w:r>
      <w:r>
        <w:rPr/>
        <w:t>股东权益变动表以及相关财务报表附注。</w:t>
      </w:r>
    </w:p>
    <w:p>
      <w:pPr>
        <w:pStyle w:val="BodyText"/>
        <w:spacing w:line="240" w:lineRule="auto" w:before="31"/>
        <w:ind w:left="573" w:right="982"/>
        <w:jc w:val="left"/>
        <w:rPr>
          <w:rFonts w:ascii="宋体" w:hAnsi="宋体" w:cs="宋体" w:eastAsia="宋体" w:hint="default"/>
        </w:rPr>
      </w:pPr>
      <w:r>
        <w:rPr>
          <w:spacing w:val="-4"/>
        </w:rPr>
        <w:t>我们认为，后附的财务报表在所有重大方面按照企业会计准则的规定编制，公允反映了蓝盾股份</w:t>
      </w:r>
      <w:r>
        <w:rPr>
          <w:spacing w:val="31"/>
        </w:rPr>
        <w:t> </w:t>
      </w:r>
      <w:r>
        <w:rPr>
          <w:rFonts w:ascii="宋体" w:hAnsi="宋体" w:cs="宋体" w:eastAsia="宋体" w:hint="default"/>
        </w:rPr>
        <w:t>2019</w:t>
      </w:r>
    </w:p>
    <w:p>
      <w:pPr>
        <w:pStyle w:val="BodyText"/>
        <w:spacing w:line="350" w:lineRule="auto" w:before="123"/>
        <w:ind w:left="573" w:right="1133" w:hanging="421"/>
        <w:jc w:val="left"/>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2019</w:t>
      </w:r>
      <w:r>
        <w:rPr>
          <w:rFonts w:ascii="宋体" w:hAnsi="宋体" w:cs="宋体" w:eastAsia="宋体" w:hint="default"/>
          <w:spacing w:val="-55"/>
        </w:rPr>
        <w:t> </w:t>
      </w:r>
      <w:r>
        <w:rPr/>
        <w:t>年度的合并及母公司经营成果和现金流量。</w:t>
      </w:r>
      <w:r>
        <w:rPr>
          <w:w w:val="100"/>
        </w:rPr>
        <w:t> </w:t>
      </w:r>
      <w:r>
        <w:rPr>
          <w:rFonts w:ascii="宋体" w:hAnsi="宋体" w:cs="宋体" w:eastAsia="宋体" w:hint="default"/>
          <w:b/>
          <w:bCs/>
        </w:rPr>
        <w:t>二、形成审计意见的基础</w:t>
      </w:r>
      <w:r>
        <w:rPr>
          <w:rFonts w:ascii="宋体" w:hAnsi="宋体" w:cs="宋体" w:eastAsia="宋体" w:hint="default"/>
          <w:b/>
          <w:bCs/>
          <w:w w:val="100"/>
        </w:rPr>
        <w:t> </w:t>
      </w:r>
      <w:r>
        <w:rPr>
          <w:spacing w:val="-2"/>
        </w:rPr>
        <w:t>我们按照中国注册会计师审计准则的规定执行了审计工作。审计报告的“注册会计师对财务报表审计</w:t>
      </w:r>
    </w:p>
    <w:p>
      <w:pPr>
        <w:pStyle w:val="BodyText"/>
        <w:spacing w:line="350" w:lineRule="auto" w:before="27"/>
        <w:ind w:right="1126"/>
        <w:jc w:val="both"/>
      </w:pPr>
      <w:r>
        <w:rPr>
          <w:spacing w:val="-2"/>
        </w:rPr>
        <w:t>的责任”部分进一步阐述了我们在这些准则下的责任。按照中国注册会计师职业道德守则，我们独立于蓝</w:t>
      </w:r>
      <w:r>
        <w:rPr>
          <w:spacing w:val="-42"/>
        </w:rPr>
        <w:t> </w:t>
      </w:r>
      <w:r>
        <w:rPr>
          <w:spacing w:val="-42"/>
        </w:rPr>
      </w:r>
      <w:r>
        <w:rPr>
          <w:spacing w:val="-2"/>
        </w:rPr>
        <w:t>盾股份，并履行了职业道德方面的其他责任。我们相信，我们获取的审计证据是充分、适当的，为发表审</w:t>
      </w:r>
      <w:r>
        <w:rPr>
          <w:spacing w:val="-43"/>
        </w:rPr>
        <w:t> </w:t>
      </w:r>
      <w:r>
        <w:rPr>
          <w:spacing w:val="-43"/>
        </w:rPr>
      </w:r>
      <w:r>
        <w:rPr/>
        <w:t>计意见提供了基础。</w:t>
      </w:r>
    </w:p>
    <w:p>
      <w:pPr>
        <w:pStyle w:val="Heading3"/>
        <w:spacing w:line="240" w:lineRule="auto" w:before="27"/>
        <w:ind w:left="575" w:right="1133"/>
        <w:jc w:val="left"/>
        <w:rPr>
          <w:b w:val="0"/>
          <w:bCs w:val="0"/>
        </w:rPr>
      </w:pPr>
      <w:r>
        <w:rPr/>
        <w:t>三、与持续经营相关的重大不确定性</w:t>
      </w:r>
      <w:r>
        <w:rPr>
          <w:b w:val="0"/>
          <w:bCs w:val="0"/>
        </w:rPr>
      </w:r>
    </w:p>
    <w:p>
      <w:pPr>
        <w:pStyle w:val="BodyText"/>
        <w:spacing w:line="350" w:lineRule="auto" w:before="126"/>
        <w:ind w:right="982" w:firstLine="420"/>
        <w:jc w:val="left"/>
      </w:pPr>
      <w:r>
        <w:rPr>
          <w:spacing w:val="-6"/>
        </w:rPr>
        <w:t>我们提醒财务报表使用者关注，蓝盾股份</w:t>
      </w:r>
      <w:r>
        <w:rPr>
          <w:spacing w:val="-45"/>
        </w:rPr>
        <w:t> </w:t>
      </w:r>
      <w:r>
        <w:rPr>
          <w:rFonts w:ascii="宋体" w:hAnsi="宋体" w:cs="宋体" w:eastAsia="宋体" w:hint="default"/>
        </w:rPr>
        <w:t>2019</w:t>
      </w:r>
      <w:r>
        <w:rPr>
          <w:rFonts w:ascii="宋体" w:hAnsi="宋体" w:cs="宋体" w:eastAsia="宋体" w:hint="default"/>
          <w:spacing w:val="-45"/>
        </w:rPr>
        <w:t> </w:t>
      </w:r>
      <w:r>
        <w:rPr/>
        <w:t>年度归属于母公司所有者的净利润为</w:t>
      </w:r>
      <w:r>
        <w:rPr>
          <w:rFonts w:ascii="宋体" w:hAnsi="宋体" w:cs="宋体" w:eastAsia="宋体" w:hint="default"/>
        </w:rPr>
        <w:t>-93,651.78</w:t>
      </w:r>
      <w:r>
        <w:rPr>
          <w:rFonts w:ascii="宋体" w:hAnsi="宋体" w:cs="宋体" w:eastAsia="宋体" w:hint="default"/>
          <w:spacing w:val="-47"/>
        </w:rPr>
        <w:t> </w:t>
      </w:r>
      <w:r>
        <w:rPr/>
        <w:t>万元；</w:t>
      </w:r>
      <w:r>
        <w:rPr>
          <w:w w:val="100"/>
        </w:rPr>
        <w:t> </w:t>
      </w:r>
      <w:r>
        <w:rPr/>
        <w:t>截止</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日，蓝盾股份流动资产</w:t>
      </w:r>
      <w:r>
        <w:rPr>
          <w:spacing w:val="-44"/>
        </w:rPr>
        <w:t> </w:t>
      </w:r>
      <w:r>
        <w:rPr>
          <w:rFonts w:ascii="宋体" w:hAnsi="宋体" w:cs="宋体" w:eastAsia="宋体" w:hint="default"/>
        </w:rPr>
        <w:t>503,946.52</w:t>
      </w:r>
      <w:r>
        <w:rPr>
          <w:rFonts w:ascii="宋体" w:hAnsi="宋体" w:cs="宋体" w:eastAsia="宋体" w:hint="default"/>
          <w:spacing w:val="-48"/>
        </w:rPr>
        <w:t> </w:t>
      </w:r>
      <w:r>
        <w:rPr/>
        <w:t>万元，其中不受限的货币资金余额</w:t>
      </w:r>
      <w:r>
        <w:rPr>
          <w:spacing w:val="-44"/>
        </w:rPr>
        <w:t> </w:t>
      </w:r>
      <w:r>
        <w:rPr>
          <w:rFonts w:ascii="宋体" w:hAnsi="宋体" w:cs="宋体" w:eastAsia="宋体" w:hint="default"/>
        </w:rPr>
        <w:t>7,073.36</w:t>
      </w:r>
      <w:r>
        <w:rPr>
          <w:rFonts w:ascii="宋体" w:hAnsi="宋体" w:cs="宋体" w:eastAsia="宋体" w:hint="default"/>
          <w:spacing w:val="-48"/>
        </w:rPr>
        <w:t> </w:t>
      </w:r>
      <w:r>
        <w:rPr/>
        <w:t>万</w:t>
      </w:r>
    </w:p>
    <w:p>
      <w:pPr>
        <w:pStyle w:val="BodyText"/>
        <w:spacing w:line="240" w:lineRule="auto" w:before="27"/>
        <w:ind w:right="982"/>
        <w:jc w:val="left"/>
      </w:pPr>
      <w:r>
        <w:rPr/>
        <w:t>元，非流动资产</w:t>
      </w:r>
      <w:r>
        <w:rPr>
          <w:spacing w:val="-40"/>
        </w:rPr>
        <w:t> </w:t>
      </w:r>
      <w:r>
        <w:rPr>
          <w:rFonts w:ascii="宋体" w:hAnsi="宋体" w:cs="宋体" w:eastAsia="宋体" w:hint="default"/>
        </w:rPr>
        <w:t>360,105.90</w:t>
      </w:r>
      <w:r>
        <w:rPr>
          <w:rFonts w:ascii="宋体" w:hAnsi="宋体" w:cs="宋体" w:eastAsia="宋体" w:hint="default"/>
          <w:spacing w:val="-40"/>
        </w:rPr>
        <w:t> </w:t>
      </w:r>
      <w:r>
        <w:rPr/>
        <w:t>万元，合计资产总额</w:t>
      </w:r>
      <w:r>
        <w:rPr>
          <w:spacing w:val="-41"/>
        </w:rPr>
        <w:t> </w:t>
      </w:r>
      <w:r>
        <w:rPr>
          <w:rFonts w:ascii="宋体" w:hAnsi="宋体" w:cs="宋体" w:eastAsia="宋体" w:hint="default"/>
        </w:rPr>
        <w:t>864,052.42</w:t>
      </w:r>
      <w:r>
        <w:rPr>
          <w:rFonts w:ascii="宋体" w:hAnsi="宋体" w:cs="宋体" w:eastAsia="宋体" w:hint="default"/>
          <w:spacing w:val="-42"/>
        </w:rPr>
        <w:t> </w:t>
      </w:r>
      <w:r>
        <w:rPr/>
        <w:t>万元，流动负债</w:t>
      </w:r>
      <w:r>
        <w:rPr>
          <w:spacing w:val="-43"/>
        </w:rPr>
        <w:t> </w:t>
      </w:r>
      <w:r>
        <w:rPr>
          <w:rFonts w:ascii="宋体" w:hAnsi="宋体" w:cs="宋体" w:eastAsia="宋体" w:hint="default"/>
        </w:rPr>
        <w:t>391,309.85</w:t>
      </w:r>
      <w:r>
        <w:rPr>
          <w:rFonts w:ascii="宋体" w:hAnsi="宋体" w:cs="宋体" w:eastAsia="宋体" w:hint="default"/>
          <w:spacing w:val="-40"/>
        </w:rPr>
        <w:t> </w:t>
      </w:r>
      <w:r>
        <w:rPr/>
        <w:t>万元，非流动</w:t>
      </w:r>
    </w:p>
    <w:p>
      <w:pPr>
        <w:pStyle w:val="BodyText"/>
        <w:spacing w:line="240" w:lineRule="auto" w:before="126"/>
        <w:ind w:right="982"/>
        <w:jc w:val="left"/>
      </w:pPr>
      <w:r>
        <w:rPr/>
        <w:t>负债</w:t>
      </w:r>
      <w:r>
        <w:rPr>
          <w:spacing w:val="-47"/>
        </w:rPr>
        <w:t> </w:t>
      </w:r>
      <w:r>
        <w:rPr>
          <w:rFonts w:ascii="宋体" w:hAnsi="宋体" w:cs="宋体" w:eastAsia="宋体" w:hint="default"/>
        </w:rPr>
        <w:t>72,256.07</w:t>
      </w:r>
      <w:r>
        <w:rPr>
          <w:rFonts w:ascii="宋体" w:hAnsi="宋体" w:cs="宋体" w:eastAsia="宋体" w:hint="default"/>
          <w:spacing w:val="-48"/>
        </w:rPr>
        <w:t> </w:t>
      </w:r>
      <w:r>
        <w:rPr/>
        <w:t>万元，合计负债总额</w:t>
      </w:r>
      <w:r>
        <w:rPr>
          <w:spacing w:val="-48"/>
        </w:rPr>
        <w:t> </w:t>
      </w:r>
      <w:r>
        <w:rPr>
          <w:rFonts w:ascii="宋体" w:hAnsi="宋体" w:cs="宋体" w:eastAsia="宋体" w:hint="default"/>
        </w:rPr>
        <w:t>463,565.92</w:t>
      </w:r>
      <w:r>
        <w:rPr>
          <w:rFonts w:ascii="宋体" w:hAnsi="宋体" w:cs="宋体" w:eastAsia="宋体" w:hint="default"/>
          <w:spacing w:val="-50"/>
        </w:rPr>
        <w:t> </w:t>
      </w:r>
      <w:r>
        <w:rPr/>
        <w:t>万元，经营活动产生的现金净额为</w:t>
      </w:r>
      <w:r>
        <w:rPr>
          <w:rFonts w:ascii="宋体" w:hAnsi="宋体" w:cs="宋体" w:eastAsia="宋体" w:hint="default"/>
        </w:rPr>
        <w:t>-28,849.90</w:t>
      </w:r>
      <w:r>
        <w:rPr>
          <w:rFonts w:ascii="宋体" w:hAnsi="宋体" w:cs="宋体" w:eastAsia="宋体" w:hint="default"/>
          <w:spacing w:val="-48"/>
        </w:rPr>
        <w:t> </w:t>
      </w:r>
      <w:r>
        <w:rPr/>
        <w:t>万元；如</w:t>
      </w:r>
    </w:p>
    <w:p>
      <w:pPr>
        <w:pStyle w:val="BodyText"/>
        <w:tabs>
          <w:tab w:pos="3093" w:val="left" w:leader="none"/>
        </w:tabs>
        <w:spacing w:line="240" w:lineRule="auto" w:before="126"/>
        <w:ind w:right="982"/>
        <w:jc w:val="left"/>
      </w:pPr>
      <w:r>
        <w:rPr/>
        <w:t>财务报表附注六、注释</w:t>
      </w:r>
      <w:r>
        <w:rPr>
          <w:spacing w:val="-57"/>
        </w:rPr>
        <w:t> </w:t>
      </w:r>
      <w:r>
        <w:rPr>
          <w:rFonts w:ascii="宋体" w:hAnsi="宋体" w:cs="宋体" w:eastAsia="宋体" w:hint="default"/>
        </w:rPr>
        <w:t>22</w:t>
      </w:r>
      <w:r>
        <w:rPr/>
        <w:t>．</w:t>
        <w:tab/>
        <w:t>短期借款所述，截止</w:t>
      </w:r>
      <w:r>
        <w:rPr>
          <w:spacing w:val="-39"/>
        </w:rPr>
        <w:t> </w:t>
      </w:r>
      <w:r>
        <w:rPr>
          <w:rFonts w:ascii="宋体" w:hAnsi="宋体" w:cs="宋体" w:eastAsia="宋体" w:hint="default"/>
        </w:rPr>
        <w:t>2019</w:t>
      </w:r>
      <w:r>
        <w:rPr>
          <w:rFonts w:ascii="宋体" w:hAnsi="宋体" w:cs="宋体" w:eastAsia="宋体" w:hint="default"/>
          <w:spacing w:val="-40"/>
        </w:rPr>
        <w:t> </w:t>
      </w:r>
      <w:r>
        <w:rPr/>
        <w:t>年</w:t>
      </w:r>
      <w:r>
        <w:rPr>
          <w:spacing w:val="-38"/>
        </w:rPr>
        <w:t> </w:t>
      </w:r>
      <w:r>
        <w:rPr>
          <w:rFonts w:ascii="宋体" w:hAnsi="宋体" w:cs="宋体" w:eastAsia="宋体" w:hint="default"/>
        </w:rPr>
        <w:t>12</w:t>
      </w:r>
      <w:r>
        <w:rPr>
          <w:rFonts w:ascii="宋体" w:hAnsi="宋体" w:cs="宋体" w:eastAsia="宋体" w:hint="default"/>
          <w:spacing w:val="-41"/>
        </w:rPr>
        <w:t> </w:t>
      </w:r>
      <w:r>
        <w:rPr/>
        <w:t>月</w:t>
      </w:r>
      <w:r>
        <w:rPr>
          <w:spacing w:val="-38"/>
        </w:rPr>
        <w:t> </w:t>
      </w:r>
      <w:r>
        <w:rPr>
          <w:rFonts w:ascii="宋体" w:hAnsi="宋体" w:cs="宋体" w:eastAsia="宋体" w:hint="default"/>
        </w:rPr>
        <w:t>31</w:t>
      </w:r>
      <w:r>
        <w:rPr>
          <w:rFonts w:ascii="宋体" w:hAnsi="宋体" w:cs="宋体" w:eastAsia="宋体" w:hint="default"/>
          <w:spacing w:val="-41"/>
        </w:rPr>
        <w:t> </w:t>
      </w:r>
      <w:r>
        <w:rPr/>
        <w:t>日，蓝盾股份已逾期未偿还的短期</w:t>
      </w:r>
    </w:p>
    <w:p>
      <w:pPr>
        <w:pStyle w:val="BodyText"/>
        <w:spacing w:line="350" w:lineRule="auto" w:before="123"/>
        <w:ind w:right="1126"/>
        <w:jc w:val="both"/>
      </w:pPr>
      <w:r>
        <w:rPr/>
        <w:t>借款总额为</w:t>
      </w:r>
      <w:r>
        <w:rPr>
          <w:spacing w:val="-21"/>
        </w:rPr>
        <w:t> </w:t>
      </w:r>
      <w:r>
        <w:rPr>
          <w:rFonts w:ascii="宋体" w:hAnsi="宋体" w:cs="宋体" w:eastAsia="宋体" w:hint="default"/>
        </w:rPr>
        <w:t>49,812.90</w:t>
      </w:r>
      <w:r>
        <w:rPr>
          <w:rFonts w:ascii="宋体" w:hAnsi="宋体" w:cs="宋体" w:eastAsia="宋体" w:hint="default"/>
          <w:spacing w:val="-22"/>
        </w:rPr>
        <w:t> </w:t>
      </w:r>
      <w:r>
        <w:rPr>
          <w:spacing w:val="-3"/>
        </w:rPr>
        <w:t>万元，公司经营流动资金紧张。这些事项或情况表明存在可能导致对蓝盾股份持续</w:t>
      </w:r>
      <w:r>
        <w:rPr>
          <w:spacing w:val="-92"/>
        </w:rPr>
        <w:t> </w:t>
      </w:r>
      <w:r>
        <w:rPr>
          <w:spacing w:val="-92"/>
        </w:rPr>
      </w:r>
      <w:r>
        <w:rPr/>
        <w:t>经营能力产生重大疑虑的重大不确定性。本段内容不影响已发表的审计意见。</w:t>
      </w:r>
    </w:p>
    <w:p>
      <w:pPr>
        <w:pStyle w:val="BodyText"/>
        <w:spacing w:line="348" w:lineRule="auto" w:before="29"/>
        <w:ind w:left="573" w:right="1133" w:firstLine="2"/>
        <w:jc w:val="left"/>
      </w:pPr>
      <w:r>
        <w:rPr>
          <w:rFonts w:ascii="宋体" w:hAnsi="宋体" w:cs="宋体" w:eastAsia="宋体" w:hint="default"/>
          <w:b/>
          <w:bCs/>
        </w:rPr>
        <w:t>四、关键审计事项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关键审计事项是我们根据职业判断，认为对本期财务报表审计最为重要的事项。这些事项的应对以对</w:t>
      </w:r>
    </w:p>
    <w:p>
      <w:pPr>
        <w:pStyle w:val="BodyText"/>
        <w:spacing w:line="350" w:lineRule="auto" w:before="31"/>
        <w:ind w:left="573" w:right="1133" w:hanging="421"/>
        <w:jc w:val="left"/>
      </w:pPr>
      <w:r>
        <w:rPr>
          <w:spacing w:val="-2"/>
        </w:rPr>
        <w:t>财务报表整体进行审计并形成审计意见为背景，我们不对这些事项单独发表意见。</w:t>
      </w:r>
      <w:r>
        <w:rPr>
          <w:spacing w:val="-35"/>
        </w:rPr>
        <w:t> </w:t>
      </w:r>
      <w:r>
        <w:rPr>
          <w:spacing w:val="-35"/>
        </w:rPr>
      </w:r>
      <w:r>
        <w:rPr/>
        <w:t>我们确定下列事项是需要在审计报告中沟通的关键审计事项。</w:t>
      </w:r>
    </w:p>
    <w:p>
      <w:pPr>
        <w:spacing w:after="0" w:line="35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573" w:right="1133"/>
        <w:jc w:val="left"/>
      </w:pPr>
      <w:r>
        <w:rPr>
          <w:rFonts w:ascii="宋体" w:hAnsi="宋体" w:cs="宋体" w:eastAsia="宋体" w:hint="default"/>
        </w:rPr>
        <w:t>1.</w:t>
      </w:r>
      <w:r>
        <w:rPr/>
        <w:t>应收账款的减值</w:t>
      </w:r>
    </w:p>
    <w:p>
      <w:pPr>
        <w:pStyle w:val="BodyText"/>
        <w:spacing w:line="240" w:lineRule="auto" w:before="126"/>
        <w:ind w:left="573" w:right="1133"/>
        <w:jc w:val="left"/>
      </w:pPr>
      <w:r>
        <w:rPr>
          <w:rFonts w:ascii="宋体" w:hAnsi="宋体" w:cs="宋体" w:eastAsia="宋体" w:hint="default"/>
        </w:rPr>
        <w:t>2.</w:t>
      </w:r>
      <w:r>
        <w:rPr/>
        <w:t>商誉减值</w:t>
      </w:r>
    </w:p>
    <w:p>
      <w:pPr>
        <w:pStyle w:val="BodyText"/>
        <w:spacing w:line="350" w:lineRule="auto" w:before="123"/>
        <w:ind w:left="573" w:right="7694"/>
        <w:jc w:val="left"/>
      </w:pPr>
      <w:r>
        <w:rPr>
          <w:spacing w:val="-2"/>
        </w:rPr>
        <w:t>（一）应收账款的减值</w:t>
      </w:r>
      <w:r>
        <w:rPr>
          <w:spacing w:val="-85"/>
        </w:rPr>
        <w:t> </w:t>
      </w:r>
      <w:r>
        <w:rPr>
          <w:spacing w:val="-85"/>
        </w:rPr>
      </w:r>
      <w:r>
        <w:rPr>
          <w:rFonts w:ascii="宋体" w:hAnsi="宋体" w:cs="宋体" w:eastAsia="宋体" w:hint="default"/>
        </w:rPr>
        <w:t>1.</w:t>
      </w:r>
      <w:r>
        <w:rPr/>
        <w:t>事项描述</w:t>
      </w:r>
    </w:p>
    <w:p>
      <w:pPr>
        <w:pStyle w:val="BodyText"/>
        <w:spacing w:line="240" w:lineRule="auto" w:before="29"/>
        <w:ind w:left="573" w:right="982"/>
        <w:jc w:val="left"/>
      </w:pPr>
      <w:r>
        <w:rPr/>
        <w:t>如财务报表附注六、注释</w:t>
      </w:r>
      <w:r>
        <w:rPr>
          <w:spacing w:val="-51"/>
        </w:rPr>
        <w:t> </w:t>
      </w:r>
      <w:r>
        <w:rPr>
          <w:rFonts w:ascii="宋体" w:hAnsi="宋体" w:cs="宋体" w:eastAsia="宋体" w:hint="default"/>
        </w:rPr>
        <w:t>3.</w:t>
      </w:r>
      <w:r>
        <w:rPr/>
        <w:t>应收账款所述，截止</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日，蓝盾股份应收款项账面余额为</w:t>
      </w:r>
    </w:p>
    <w:p>
      <w:pPr>
        <w:pStyle w:val="BodyText"/>
        <w:spacing w:line="350" w:lineRule="auto" w:before="123"/>
        <w:ind w:left="573" w:right="1133" w:hanging="421"/>
        <w:jc w:val="left"/>
      </w:pPr>
      <w:r>
        <w:rPr/>
        <w:t>人民币</w:t>
      </w:r>
      <w:r>
        <w:rPr>
          <w:spacing w:val="-53"/>
        </w:rPr>
        <w:t> </w:t>
      </w:r>
      <w:r>
        <w:rPr>
          <w:rFonts w:ascii="宋体" w:hAnsi="宋体" w:cs="宋体" w:eastAsia="宋体" w:hint="default"/>
        </w:rPr>
        <w:t>3,728,962,378.82</w:t>
      </w:r>
      <w:r>
        <w:rPr>
          <w:rFonts w:ascii="宋体" w:hAnsi="宋体" w:cs="宋体" w:eastAsia="宋体" w:hint="default"/>
          <w:spacing w:val="-56"/>
        </w:rPr>
        <w:t> </w:t>
      </w:r>
      <w:r>
        <w:rPr/>
        <w:t>元，占资产总额的</w:t>
      </w:r>
      <w:r>
        <w:rPr>
          <w:spacing w:val="-53"/>
        </w:rPr>
        <w:t> </w:t>
      </w:r>
      <w:r>
        <w:rPr>
          <w:rFonts w:ascii="宋体" w:hAnsi="宋体" w:cs="宋体" w:eastAsia="宋体" w:hint="default"/>
        </w:rPr>
        <w:t>43.16%</w:t>
      </w:r>
      <w:r>
        <w:rPr/>
        <w:t>，坏账准备金额为</w:t>
      </w:r>
      <w:r>
        <w:rPr>
          <w:spacing w:val="-54"/>
        </w:rPr>
        <w:t> </w:t>
      </w:r>
      <w:r>
        <w:rPr>
          <w:rFonts w:ascii="宋体" w:hAnsi="宋体" w:cs="宋体" w:eastAsia="宋体" w:hint="default"/>
        </w:rPr>
        <w:t>789,464,352.93</w:t>
      </w:r>
      <w:r>
        <w:rPr>
          <w:rFonts w:ascii="宋体" w:hAnsi="宋体" w:cs="宋体" w:eastAsia="宋体" w:hint="default"/>
          <w:spacing w:val="-56"/>
        </w:rPr>
        <w:t> </w:t>
      </w:r>
      <w:r>
        <w:rPr/>
        <w:t>元。</w:t>
      </w:r>
      <w:r>
        <w:rPr>
          <w:w w:val="100"/>
        </w:rPr>
        <w:t> </w:t>
      </w:r>
      <w:r>
        <w:rPr>
          <w:spacing w:val="-2"/>
        </w:rPr>
        <w:t>管理层定期对重大客户进行单独的信用风险评估。对该等评估重点关注客户的历史结算记录及当前支</w:t>
      </w:r>
    </w:p>
    <w:p>
      <w:pPr>
        <w:pStyle w:val="BodyText"/>
        <w:spacing w:line="350" w:lineRule="auto" w:before="29"/>
        <w:ind w:right="1104"/>
        <w:jc w:val="both"/>
      </w:pPr>
      <w:r>
        <w:rPr>
          <w:spacing w:val="-2"/>
        </w:rPr>
        <w:t>付能力，并考虑客户自身及其所处行业的经济环境的特定信息。对于在单项工具层面无法以合理成本评估</w:t>
      </w:r>
      <w:r>
        <w:rPr>
          <w:spacing w:val="-44"/>
        </w:rPr>
        <w:t> </w:t>
      </w:r>
      <w:r>
        <w:rPr>
          <w:spacing w:val="-44"/>
        </w:rPr>
      </w:r>
      <w:r>
        <w:rPr>
          <w:spacing w:val="-2"/>
        </w:rPr>
        <w:t>预期信用损失的充分证据时，管理层参考历史信用损失经验，结合当前状况以及对未来经济状况的判断，</w:t>
      </w:r>
      <w:r>
        <w:rPr>
          <w:spacing w:val="-20"/>
        </w:rPr>
        <w:t> </w:t>
      </w:r>
      <w:r>
        <w:rPr>
          <w:spacing w:val="-20"/>
        </w:rPr>
      </w:r>
      <w:r>
        <w:rPr/>
        <w:t>依据信用风险特征将应收账款划分为若干组合，在组合基础上计算预期信用损失。</w:t>
      </w:r>
    </w:p>
    <w:p>
      <w:pPr>
        <w:pStyle w:val="BodyText"/>
        <w:spacing w:line="348" w:lineRule="auto" w:before="29"/>
        <w:ind w:right="1126" w:firstLine="420"/>
        <w:jc w:val="both"/>
      </w:pPr>
      <w:r>
        <w:rPr>
          <w:spacing w:val="-2"/>
        </w:rPr>
        <w:t>由于应收款项可收回性的确定需要管理层识别已发生减值的项目和客观证据、评估预期未来可获取的</w:t>
      </w:r>
      <w:r>
        <w:rPr>
          <w:w w:val="100"/>
        </w:rPr>
        <w:t> </w:t>
      </w:r>
      <w:r>
        <w:rPr>
          <w:spacing w:val="-2"/>
        </w:rPr>
        <w:t>现金流量并确定其现值，涉及管理层运用重大会计估计和判断，且应收款项的可收回性对于财务报表具有</w:t>
      </w:r>
      <w:r>
        <w:rPr>
          <w:spacing w:val="-43"/>
        </w:rPr>
        <w:t> </w:t>
      </w:r>
      <w:r>
        <w:rPr>
          <w:spacing w:val="-43"/>
        </w:rPr>
      </w:r>
      <w:r>
        <w:rPr/>
        <w:t>重要性，因此，我们将应收款项的可收回性认定为关键审计事项。</w:t>
      </w:r>
    </w:p>
    <w:p>
      <w:pPr>
        <w:pStyle w:val="BodyText"/>
        <w:spacing w:line="240" w:lineRule="auto" w:before="31"/>
        <w:ind w:left="573" w:right="1133"/>
        <w:jc w:val="left"/>
      </w:pPr>
      <w:r>
        <w:rPr>
          <w:rFonts w:ascii="宋体" w:hAnsi="宋体" w:cs="宋体" w:eastAsia="宋体" w:hint="default"/>
        </w:rPr>
        <w:t>2.</w:t>
      </w:r>
      <w:r>
        <w:rPr/>
        <w:t>审计应对</w:t>
      </w:r>
    </w:p>
    <w:p>
      <w:pPr>
        <w:pStyle w:val="BodyText"/>
        <w:spacing w:line="350" w:lineRule="auto" w:before="123"/>
        <w:ind w:right="1128" w:firstLine="420"/>
        <w:jc w:val="both"/>
      </w:pPr>
      <w:r>
        <w:rPr/>
        <w:t>（</w:t>
      </w:r>
      <w:r>
        <w:rPr>
          <w:rFonts w:ascii="宋体" w:hAnsi="宋体" w:cs="宋体" w:eastAsia="宋体" w:hint="default"/>
        </w:rPr>
        <w:t>1</w:t>
      </w:r>
      <w:r>
        <w:rPr/>
        <w:t>）我们对与应收款项日常管理及可收回性评估相关的内部控制的设计及运行有效性进行了解、评</w:t>
      </w:r>
      <w:r>
        <w:rPr>
          <w:w w:val="100"/>
        </w:rPr>
        <w:t> </w:t>
      </w:r>
      <w:r>
        <w:rPr>
          <w:spacing w:val="-2"/>
        </w:rPr>
        <w:t>估及测试。这些内部控制包括客户信用风险评估、应收款项收回流程、对触发应收款项减值的事件的识别</w:t>
      </w:r>
      <w:r>
        <w:rPr>
          <w:spacing w:val="-45"/>
        </w:rPr>
        <w:t> </w:t>
      </w:r>
      <w:r>
        <w:rPr>
          <w:spacing w:val="-45"/>
        </w:rPr>
      </w:r>
      <w:r>
        <w:rPr/>
        <w:t>及对坏账准备金额的估计等。</w:t>
      </w:r>
    </w:p>
    <w:p>
      <w:pPr>
        <w:pStyle w:val="BodyText"/>
        <w:spacing w:line="350" w:lineRule="auto" w:before="27"/>
        <w:ind w:right="1126" w:firstLine="420"/>
        <w:jc w:val="both"/>
      </w:pPr>
      <w:r>
        <w:rPr/>
        <w:t>（</w:t>
      </w:r>
      <w:r>
        <w:rPr>
          <w:rFonts w:ascii="宋体" w:hAnsi="宋体" w:cs="宋体" w:eastAsia="宋体" w:hint="default"/>
        </w:rPr>
        <w:t>2</w:t>
      </w:r>
      <w:r>
        <w:rPr/>
        <w:t>）我们复核管理层在评估应收款项的可收回性方面的判断及估计，关注管理层是否充分识别已发</w:t>
      </w:r>
      <w:r>
        <w:rPr>
          <w:w w:val="100"/>
        </w:rPr>
        <w:t> </w:t>
      </w:r>
      <w:r>
        <w:rPr>
          <w:spacing w:val="-2"/>
        </w:rPr>
        <w:t>生减值的项目。当中考虑过往的回款模式、实际信用条款的遵守情况，以及我们对经营环境及行业基准的</w:t>
      </w:r>
      <w:r>
        <w:rPr>
          <w:spacing w:val="-44"/>
        </w:rPr>
        <w:t> </w:t>
      </w:r>
      <w:r>
        <w:rPr>
          <w:spacing w:val="-44"/>
        </w:rPr>
      </w:r>
      <w:r>
        <w:rPr/>
        <w:t>认知（特别是帐龄及逾期应收款项）等。</w:t>
      </w:r>
    </w:p>
    <w:p>
      <w:pPr>
        <w:pStyle w:val="BodyText"/>
        <w:spacing w:line="350" w:lineRule="auto" w:before="27"/>
        <w:ind w:right="1126" w:firstLine="420"/>
        <w:jc w:val="both"/>
      </w:pPr>
      <w:r>
        <w:rPr/>
        <w:t>（</w:t>
      </w:r>
      <w:r>
        <w:rPr>
          <w:rFonts w:ascii="宋体" w:hAnsi="宋体" w:cs="宋体" w:eastAsia="宋体" w:hint="default"/>
        </w:rPr>
        <w:t>3</w:t>
      </w:r>
      <w:r>
        <w:rPr/>
        <w:t>）我们将前期坏账准备的会计估计与本期实际发生的坏账损失及坏账准备转回情况、坏账准备计</w:t>
      </w:r>
      <w:r>
        <w:rPr>
          <w:w w:val="100"/>
        </w:rPr>
        <w:t> </w:t>
      </w:r>
      <w:r>
        <w:rPr>
          <w:spacing w:val="-2"/>
        </w:rPr>
        <w:t>提情况进行对比，以评估管理层对应收款项可收回性的可靠性和历史准确性，并向管理层询问显著差异的</w:t>
      </w:r>
      <w:r>
        <w:rPr>
          <w:spacing w:val="-44"/>
        </w:rPr>
        <w:t> </w:t>
      </w:r>
      <w:r>
        <w:rPr>
          <w:spacing w:val="-44"/>
        </w:rPr>
      </w:r>
      <w:r>
        <w:rPr/>
        <w:t>原因；</w:t>
      </w:r>
    </w:p>
    <w:p>
      <w:pPr>
        <w:pStyle w:val="BodyText"/>
        <w:spacing w:line="350" w:lineRule="auto" w:before="27"/>
        <w:ind w:right="1126" w:firstLine="420"/>
        <w:jc w:val="both"/>
      </w:pPr>
      <w:r>
        <w:rPr/>
        <w:t>（</w:t>
      </w:r>
      <w:r>
        <w:rPr>
          <w:rFonts w:ascii="宋体" w:hAnsi="宋体" w:cs="宋体" w:eastAsia="宋体" w:hint="default"/>
        </w:rPr>
        <w:t>4</w:t>
      </w:r>
      <w:r>
        <w:rPr/>
        <w:t>）我们从管理层获取了对重大客户信用风险评估的详细分析，对单项金额重大并已单独计提坏账</w:t>
      </w:r>
      <w:r>
        <w:rPr>
          <w:w w:val="100"/>
        </w:rPr>
        <w:t> </w:t>
      </w:r>
      <w:r>
        <w:rPr>
          <w:spacing w:val="-2"/>
        </w:rPr>
        <w:t>准备的应收款项进行了抽样减值测试，复核管理层对预计未来可获得的现金流量做出评估的依据，以核实</w:t>
      </w:r>
      <w:r>
        <w:rPr>
          <w:spacing w:val="-44"/>
        </w:rPr>
        <w:t> </w:t>
      </w:r>
      <w:r>
        <w:rPr>
          <w:spacing w:val="-44"/>
        </w:rPr>
      </w:r>
      <w:r>
        <w:rPr/>
        <w:t>坏账准备的计提时点和金额的合理性。</w:t>
      </w:r>
    </w:p>
    <w:p>
      <w:pPr>
        <w:pStyle w:val="BodyText"/>
        <w:spacing w:line="350" w:lineRule="auto" w:before="27"/>
        <w:ind w:right="1126" w:firstLine="420"/>
        <w:jc w:val="both"/>
      </w:pPr>
      <w:r>
        <w:rPr>
          <w:spacing w:val="-2"/>
        </w:rPr>
        <w:t>此外，我们抽样检查了管理层未识别出存在潜在减值风险的重大客户，并实施审计程序以测试其可回</w:t>
      </w:r>
      <w:r>
        <w:rPr>
          <w:w w:val="100"/>
        </w:rPr>
        <w:t> </w:t>
      </w:r>
      <w:r>
        <w:rPr>
          <w:spacing w:val="-2"/>
        </w:rPr>
        <w:t>收性。我们的程序包括检查交易合同安排、交易进度，查阅客户的公开信息，通过检查对客户的过往收款</w:t>
      </w:r>
      <w:r>
        <w:rPr>
          <w:spacing w:val="-50"/>
        </w:rPr>
        <w:t> </w:t>
      </w:r>
      <w:r>
        <w:rPr>
          <w:spacing w:val="-50"/>
        </w:rPr>
      </w:r>
      <w:r>
        <w:rPr/>
        <w:t>及期后收款情况评估客户是否面临重大财务困难、欠付或拖欠付款等。</w:t>
      </w:r>
    </w:p>
    <w:p>
      <w:pPr>
        <w:pStyle w:val="BodyText"/>
        <w:spacing w:line="350" w:lineRule="auto" w:before="27"/>
        <w:ind w:right="1136" w:firstLine="420"/>
        <w:jc w:val="both"/>
      </w:pPr>
      <w:r>
        <w:rPr/>
        <w:t>（</w:t>
      </w:r>
      <w:r>
        <w:rPr>
          <w:rFonts w:ascii="宋体" w:hAnsi="宋体" w:cs="宋体" w:eastAsia="宋体" w:hint="default"/>
        </w:rPr>
        <w:t>5</w:t>
      </w:r>
      <w:r>
        <w:rPr/>
        <w:t>）我们对管理层按照信用风险特征组合计提坏账准备的应收款项进行了减值测试，评价管理层坏</w:t>
      </w:r>
      <w:r>
        <w:rPr>
          <w:w w:val="100"/>
        </w:rPr>
        <w:t> </w:t>
      </w:r>
      <w:r>
        <w:rPr/>
        <w:t>账准备计提的合理性。我们的程序包括：</w:t>
      </w:r>
    </w:p>
    <w:p>
      <w:pPr>
        <w:pStyle w:val="BodyText"/>
        <w:spacing w:line="240" w:lineRule="auto" w:before="29"/>
        <w:ind w:left="573" w:right="1133"/>
        <w:jc w:val="left"/>
      </w:pPr>
      <w:r>
        <w:rPr>
          <w:spacing w:val="-159"/>
          <w:w w:val="100"/>
        </w:rPr>
        <w:t>○</w:t>
      </w:r>
      <w:r>
        <w:rPr>
          <w:rFonts w:ascii="宋体" w:hAnsi="宋体" w:cs="宋体" w:eastAsia="宋体" w:hint="default"/>
          <w:w w:val="100"/>
        </w:rPr>
        <w:t>1</w:t>
      </w:r>
      <w:r>
        <w:rPr>
          <w:rFonts w:ascii="宋体" w:hAnsi="宋体" w:cs="宋体" w:eastAsia="宋体" w:hint="default"/>
          <w:spacing w:val="-53"/>
        </w:rPr>
        <w:t> </w:t>
      </w:r>
      <w:r>
        <w:rPr>
          <w:w w:val="100"/>
        </w:rPr>
        <w:t>结合</w:t>
      </w:r>
      <w:r>
        <w:rPr>
          <w:spacing w:val="-3"/>
          <w:w w:val="100"/>
        </w:rPr>
        <w:t>客</w:t>
      </w:r>
      <w:r>
        <w:rPr>
          <w:w w:val="100"/>
        </w:rPr>
        <w:t>户</w:t>
      </w:r>
      <w:r>
        <w:rPr>
          <w:spacing w:val="-3"/>
          <w:w w:val="100"/>
        </w:rPr>
        <w:t>的</w:t>
      </w:r>
      <w:r>
        <w:rPr>
          <w:w w:val="100"/>
        </w:rPr>
        <w:t>财</w:t>
      </w:r>
      <w:r>
        <w:rPr>
          <w:spacing w:val="-3"/>
          <w:w w:val="100"/>
        </w:rPr>
        <w:t>务</w:t>
      </w:r>
      <w:r>
        <w:rPr>
          <w:w w:val="100"/>
        </w:rPr>
        <w:t>状</w:t>
      </w:r>
      <w:r>
        <w:rPr>
          <w:spacing w:val="-3"/>
          <w:w w:val="100"/>
        </w:rPr>
        <w:t>况</w:t>
      </w:r>
      <w:r>
        <w:rPr>
          <w:w w:val="100"/>
        </w:rPr>
        <w:t>和</w:t>
      </w:r>
      <w:r>
        <w:rPr>
          <w:spacing w:val="-3"/>
          <w:w w:val="100"/>
        </w:rPr>
        <w:t>信</w:t>
      </w:r>
      <w:r>
        <w:rPr>
          <w:w w:val="100"/>
        </w:rPr>
        <w:t>用等</w:t>
      </w:r>
      <w:r>
        <w:rPr>
          <w:spacing w:val="-3"/>
          <w:w w:val="100"/>
        </w:rPr>
        <w:t>级</w:t>
      </w:r>
      <w:r>
        <w:rPr>
          <w:w w:val="100"/>
        </w:rPr>
        <w:t>执</w:t>
      </w:r>
      <w:r>
        <w:rPr>
          <w:spacing w:val="-3"/>
          <w:w w:val="100"/>
        </w:rPr>
        <w:t>行</w:t>
      </w:r>
      <w:r>
        <w:rPr>
          <w:w w:val="100"/>
        </w:rPr>
        <w:t>信</w:t>
      </w:r>
      <w:r>
        <w:rPr>
          <w:spacing w:val="-3"/>
          <w:w w:val="100"/>
        </w:rPr>
        <w:t>用</w:t>
      </w:r>
      <w:r>
        <w:rPr>
          <w:w w:val="100"/>
        </w:rPr>
        <w:t>风</w:t>
      </w:r>
      <w:r>
        <w:rPr>
          <w:spacing w:val="-3"/>
          <w:w w:val="100"/>
        </w:rPr>
        <w:t>险</w:t>
      </w:r>
      <w:r>
        <w:rPr>
          <w:w w:val="100"/>
        </w:rPr>
        <w:t>特</w:t>
      </w:r>
      <w:r>
        <w:rPr>
          <w:spacing w:val="-3"/>
          <w:w w:val="100"/>
        </w:rPr>
        <w:t>征</w:t>
      </w:r>
      <w:r>
        <w:rPr>
          <w:w w:val="100"/>
        </w:rPr>
        <w:t>分析；</w:t>
      </w:r>
    </w:p>
    <w:p>
      <w:pPr>
        <w:pStyle w:val="BodyText"/>
        <w:spacing w:line="350" w:lineRule="auto" w:before="123"/>
        <w:ind w:right="1126" w:firstLine="420"/>
        <w:jc w:val="both"/>
      </w:pPr>
      <w:r>
        <w:rPr>
          <w:spacing w:val="-80"/>
          <w:w w:val="100"/>
        </w:rPr>
        <w:t>○</w:t>
      </w:r>
      <w:r>
        <w:rPr>
          <w:rFonts w:ascii="宋体" w:hAnsi="宋体" w:cs="宋体" w:eastAsia="宋体" w:hint="default"/>
          <w:spacing w:val="-80"/>
          <w:w w:val="100"/>
        </w:rPr>
        <w:t>2</w:t>
      </w:r>
      <w:r>
        <w:rPr>
          <w:rFonts w:ascii="宋体" w:hAnsi="宋体" w:cs="宋体" w:eastAsia="宋体" w:hint="default"/>
          <w:spacing w:val="-50"/>
          <w:w w:val="100"/>
        </w:rPr>
        <w:t> </w:t>
      </w:r>
      <w:r>
        <w:rPr>
          <w:spacing w:val="-2"/>
          <w:w w:val="100"/>
        </w:rPr>
        <w:t>通过查阅有关文件评估应收款项的账龄，账龄超过信用期而于报告日期后并未收回款项，与管理层</w:t>
      </w:r>
      <w:r>
        <w:rPr>
          <w:w w:val="100"/>
        </w:rPr>
        <w:t> </w:t>
      </w:r>
      <w:r>
        <w:rPr/>
        <w:t>讨论其可收回金额的估计，包括以往这些客户的付款历史；</w:t>
      </w:r>
    </w:p>
    <w:p>
      <w:pPr>
        <w:spacing w:after="0" w:line="350"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ind w:right="982" w:firstLine="420"/>
        <w:jc w:val="left"/>
      </w:pPr>
      <w:r>
        <w:rPr>
          <w:spacing w:val="-80"/>
          <w:w w:val="100"/>
        </w:rPr>
        <w:t>○</w:t>
      </w:r>
      <w:r>
        <w:rPr>
          <w:rFonts w:ascii="宋体" w:hAnsi="宋体" w:cs="宋体" w:eastAsia="宋体" w:hint="default"/>
          <w:spacing w:val="-80"/>
          <w:w w:val="100"/>
        </w:rPr>
        <w:t>3</w:t>
      </w:r>
      <w:r>
        <w:rPr>
          <w:rFonts w:ascii="宋体" w:hAnsi="宋体" w:cs="宋体" w:eastAsia="宋体" w:hint="default"/>
          <w:spacing w:val="-50"/>
          <w:w w:val="100"/>
        </w:rPr>
        <w:t> </w:t>
      </w:r>
      <w:r>
        <w:rPr>
          <w:spacing w:val="-2"/>
          <w:w w:val="100"/>
        </w:rPr>
        <w:t>结合历史收款记录、历史损失率、行业平均坏账准备计提比例评估管理层所采用的坏账准备计提比</w:t>
      </w:r>
      <w:r>
        <w:rPr>
          <w:w w:val="100"/>
        </w:rPr>
        <w:t> </w:t>
      </w:r>
      <w:r>
        <w:rPr/>
        <w:t>例是否适当。</w:t>
      </w:r>
    </w:p>
    <w:p>
      <w:pPr>
        <w:pStyle w:val="BodyText"/>
        <w:spacing w:line="240" w:lineRule="auto" w:before="27"/>
        <w:ind w:left="573" w:right="1133"/>
        <w:jc w:val="left"/>
      </w:pPr>
      <w:r>
        <w:rPr/>
        <w:t>（</w:t>
      </w:r>
      <w:r>
        <w:rPr>
          <w:rFonts w:ascii="宋体" w:hAnsi="宋体" w:cs="宋体" w:eastAsia="宋体" w:hint="default"/>
        </w:rPr>
        <w:t>6</w:t>
      </w:r>
      <w:r>
        <w:rPr/>
        <w:t>）我们抽样检查了期后回款情况。</w:t>
      </w:r>
    </w:p>
    <w:p>
      <w:pPr>
        <w:pStyle w:val="BodyText"/>
        <w:spacing w:line="350" w:lineRule="auto" w:before="126"/>
        <w:ind w:left="573" w:right="1133"/>
        <w:jc w:val="left"/>
      </w:pPr>
      <w:r>
        <w:rPr/>
        <w:t>（</w:t>
      </w:r>
      <w:r>
        <w:rPr>
          <w:rFonts w:ascii="宋体" w:hAnsi="宋体" w:cs="宋体" w:eastAsia="宋体" w:hint="default"/>
        </w:rPr>
        <w:t>7</w:t>
      </w:r>
      <w:r>
        <w:rPr/>
        <w:t>）我们评估了管理层于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日对应收款项坏账准备的会计处理及披露。</w:t>
      </w:r>
      <w:r>
        <w:rPr>
          <w:w w:val="100"/>
        </w:rPr>
        <w:t> </w:t>
      </w:r>
      <w:r>
        <w:rPr>
          <w:spacing w:val="-2"/>
        </w:rPr>
        <w:t>基于已执行的审计工作，我们认为，管理层对应收款项的可收回性的相关判断及估计是合理的。</w:t>
      </w:r>
    </w:p>
    <w:p>
      <w:pPr>
        <w:pStyle w:val="BodyText"/>
        <w:spacing w:line="350" w:lineRule="auto" w:before="27"/>
        <w:ind w:left="573" w:right="8870"/>
        <w:jc w:val="left"/>
      </w:pPr>
      <w:r>
        <w:rPr>
          <w:spacing w:val="-1"/>
        </w:rPr>
        <w:t>（二）商誉减值</w:t>
      </w:r>
      <w:r>
        <w:rPr>
          <w:spacing w:val="-96"/>
        </w:rPr>
        <w:t> </w:t>
      </w:r>
      <w:r>
        <w:rPr>
          <w:spacing w:val="-96"/>
        </w:rPr>
      </w:r>
      <w:r>
        <w:rPr>
          <w:rFonts w:ascii="宋体" w:hAnsi="宋体" w:cs="宋体" w:eastAsia="宋体" w:hint="default"/>
        </w:rPr>
        <w:t>1.</w:t>
      </w:r>
      <w:r>
        <w:rPr/>
        <w:t>事项描述</w:t>
      </w:r>
    </w:p>
    <w:p>
      <w:pPr>
        <w:pStyle w:val="BodyText"/>
        <w:spacing w:line="350" w:lineRule="auto" w:before="29"/>
        <w:ind w:right="982" w:firstLine="420"/>
        <w:jc w:val="left"/>
      </w:pPr>
      <w:r>
        <w:rPr>
          <w:spacing w:val="-4"/>
        </w:rPr>
        <w:t>如财务报表附注六、注释</w:t>
      </w:r>
      <w:r>
        <w:rPr>
          <w:spacing w:val="-45"/>
        </w:rPr>
        <w:t> </w:t>
      </w:r>
      <w:r>
        <w:rPr>
          <w:rFonts w:ascii="宋体" w:hAnsi="宋体" w:cs="宋体" w:eastAsia="宋体" w:hint="default"/>
          <w:spacing w:val="-4"/>
        </w:rPr>
        <w:t>18.</w:t>
      </w:r>
      <w:r>
        <w:rPr>
          <w:spacing w:val="-4"/>
        </w:rPr>
        <w:t>商誉所述，截止</w:t>
      </w:r>
      <w:r>
        <w:rPr>
          <w:spacing w:val="-48"/>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3"/>
        </w:rPr>
        <w:t>日，蓝盾股份合并财务报表中商誉的账</w:t>
      </w:r>
      <w:r>
        <w:rPr>
          <w:w w:val="100"/>
        </w:rPr>
        <w:t> </w:t>
      </w:r>
      <w:r>
        <w:rPr/>
        <w:t>面价值为</w:t>
      </w:r>
      <w:r>
        <w:rPr>
          <w:spacing w:val="-45"/>
        </w:rPr>
        <w:t> </w:t>
      </w:r>
      <w:r>
        <w:rPr>
          <w:rFonts w:ascii="宋体" w:hAnsi="宋体" w:cs="宋体" w:eastAsia="宋体" w:hint="default"/>
        </w:rPr>
        <w:t>493,586,016.88</w:t>
      </w:r>
      <w:r>
        <w:rPr>
          <w:rFonts w:ascii="宋体" w:hAnsi="宋体" w:cs="宋体" w:eastAsia="宋体" w:hint="default"/>
          <w:spacing w:val="-48"/>
        </w:rPr>
        <w:t> </w:t>
      </w:r>
      <w:r>
        <w:rPr/>
        <w:t>元。商誉账面价值占总资产的比例为</w:t>
      </w:r>
      <w:r>
        <w:rPr>
          <w:spacing w:val="-47"/>
        </w:rPr>
        <w:t> </w:t>
      </w:r>
      <w:r>
        <w:rPr>
          <w:rFonts w:ascii="宋体" w:hAnsi="宋体" w:cs="宋体" w:eastAsia="宋体" w:hint="default"/>
        </w:rPr>
        <w:t>5.71%,</w:t>
      </w:r>
      <w:r>
        <w:rPr/>
        <w:t>商誉系蓝盾股份非同一控制下合并</w:t>
      </w:r>
      <w:r>
        <w:rPr>
          <w:w w:val="100"/>
        </w:rPr>
        <w:t> </w:t>
      </w:r>
      <w:r>
        <w:rPr>
          <w:spacing w:val="-13"/>
          <w:w w:val="100"/>
        </w:rPr>
        <w:t>广州华炜科技有限公司（以下简称“华炜科技”）、中经汇通电子商务有限公司（以下简称“中经电商”）、</w:t>
      </w:r>
      <w:r>
        <w:rPr>
          <w:spacing w:val="-74"/>
          <w:w w:val="100"/>
        </w:rPr>
        <w:t> </w:t>
      </w:r>
      <w:r>
        <w:rPr>
          <w:spacing w:val="-74"/>
          <w:w w:val="100"/>
        </w:rPr>
      </w:r>
      <w:r>
        <w:rPr>
          <w:spacing w:val="-7"/>
          <w:w w:val="100"/>
        </w:rPr>
        <w:t>汇通宝支付有限责任公司（以下简称“汇通宝”）、广州天锐锋信息科技有限公司（以下简称“天锐锋”）</w:t>
      </w:r>
      <w:r>
        <w:rPr>
          <w:spacing w:val="-65"/>
          <w:w w:val="100"/>
        </w:rPr>
        <w:t> </w:t>
      </w:r>
      <w:r>
        <w:rPr>
          <w:spacing w:val="-65"/>
          <w:w w:val="100"/>
        </w:rPr>
      </w:r>
      <w:r>
        <w:rPr>
          <w:spacing w:val="-2"/>
          <w:w w:val="100"/>
        </w:rPr>
        <w:t>和深圳市蓝盾满泰科技发展有限公司（以下简称“满泰科技”）所形成。管理层在进行商誉减值测试时作</w:t>
      </w:r>
      <w:r>
        <w:rPr>
          <w:spacing w:val="-92"/>
          <w:w w:val="100"/>
        </w:rPr>
        <w:t> </w:t>
      </w:r>
      <w:r>
        <w:rPr>
          <w:spacing w:val="-92"/>
          <w:w w:val="100"/>
        </w:rPr>
      </w:r>
      <w:r>
        <w:rPr>
          <w:spacing w:val="-2"/>
        </w:rPr>
        <w:t>出了估值判断，计算中采用的关键指标包括：报告期收入增长率及后续预测期收入增长率、毛利率、折现</w:t>
      </w:r>
      <w:r>
        <w:rPr>
          <w:spacing w:val="-47"/>
        </w:rPr>
        <w:t> </w:t>
      </w:r>
      <w:r>
        <w:rPr>
          <w:spacing w:val="-47"/>
        </w:rPr>
      </w:r>
      <w:r>
        <w:rPr>
          <w:spacing w:val="-2"/>
        </w:rPr>
        <w:t>率等涉及管理层的重大判断。该等估计均存在固有不确定性，受管理层对未来市场以及对经济环境判断的</w:t>
      </w:r>
      <w:r>
        <w:rPr>
          <w:spacing w:val="-43"/>
        </w:rPr>
        <w:t> </w:t>
      </w:r>
      <w:r>
        <w:rPr>
          <w:spacing w:val="-43"/>
        </w:rPr>
      </w:r>
      <w:r>
        <w:rPr>
          <w:spacing w:val="-2"/>
        </w:rPr>
        <w:t>影响，采用不同的估计和假设会对评估的商誉可收回价值有很大的影响。由于商誉金额较大，且减值测试</w:t>
      </w:r>
      <w:r>
        <w:rPr>
          <w:spacing w:val="-45"/>
        </w:rPr>
        <w:t> </w:t>
      </w:r>
      <w:r>
        <w:rPr>
          <w:spacing w:val="-45"/>
        </w:rPr>
      </w:r>
      <w:r>
        <w:rPr/>
        <w:t>需要管理层的重大判断，我们将商誉减值确定为关键审计事项。</w:t>
      </w:r>
    </w:p>
    <w:p>
      <w:pPr>
        <w:pStyle w:val="BodyText"/>
        <w:spacing w:line="240" w:lineRule="auto" w:before="29"/>
        <w:ind w:left="573" w:right="1133"/>
        <w:jc w:val="left"/>
      </w:pPr>
      <w:r>
        <w:rPr>
          <w:rFonts w:ascii="宋体" w:hAnsi="宋体" w:cs="宋体" w:eastAsia="宋体" w:hint="default"/>
        </w:rPr>
        <w:t>2.</w:t>
      </w:r>
      <w:r>
        <w:rPr/>
        <w:t>审计应对</w:t>
      </w:r>
    </w:p>
    <w:p>
      <w:pPr>
        <w:pStyle w:val="BodyText"/>
        <w:spacing w:line="240" w:lineRule="auto" w:before="123"/>
        <w:ind w:left="573" w:right="1133"/>
        <w:jc w:val="left"/>
      </w:pPr>
      <w:r>
        <w:rPr/>
        <w:t>（</w:t>
      </w:r>
      <w:r>
        <w:rPr>
          <w:rFonts w:ascii="宋体" w:hAnsi="宋体" w:cs="宋体" w:eastAsia="宋体" w:hint="default"/>
        </w:rPr>
        <w:t>1</w:t>
      </w:r>
      <w:r>
        <w:rPr/>
        <w:t>）评价与管理层确定商誉可收回金额相关的关键内部控制的设计和运行有效性。</w:t>
      </w:r>
    </w:p>
    <w:p>
      <w:pPr>
        <w:pStyle w:val="BodyText"/>
        <w:spacing w:line="240" w:lineRule="auto" w:before="126"/>
        <w:ind w:left="573" w:right="1133"/>
        <w:jc w:val="left"/>
      </w:pPr>
      <w:r>
        <w:rPr/>
        <w:t>（</w:t>
      </w:r>
      <w:r>
        <w:rPr>
          <w:rFonts w:ascii="宋体" w:hAnsi="宋体" w:cs="宋体" w:eastAsia="宋体" w:hint="default"/>
        </w:rPr>
        <w:t>2</w:t>
      </w:r>
      <w:r>
        <w:rPr/>
        <w:t>）复核管理层对资产组的认定和商誉的分摊方法。</w:t>
      </w:r>
    </w:p>
    <w:p>
      <w:pPr>
        <w:pStyle w:val="BodyText"/>
        <w:spacing w:line="348" w:lineRule="auto" w:before="126"/>
        <w:ind w:right="1133" w:firstLine="420"/>
        <w:jc w:val="left"/>
      </w:pPr>
      <w:r>
        <w:rPr/>
        <w:t>（</w:t>
      </w:r>
      <w:r>
        <w:rPr>
          <w:rFonts w:ascii="宋体" w:hAnsi="宋体" w:cs="宋体" w:eastAsia="宋体" w:hint="default"/>
        </w:rPr>
        <w:t>3</w:t>
      </w:r>
      <w:r>
        <w:rPr/>
        <w:t>）与公司管理层聘请的外部评估机构专家等讨论商誉减值测试过程中所使用的方法、关键评估的</w:t>
      </w:r>
      <w:r>
        <w:rPr>
          <w:w w:val="100"/>
        </w:rPr>
        <w:t> </w:t>
      </w:r>
      <w:r>
        <w:rPr/>
        <w:t>假设、参数的选择、预测未来收入及现金流折现率等的合理性；</w:t>
      </w:r>
    </w:p>
    <w:p>
      <w:pPr>
        <w:pStyle w:val="BodyText"/>
        <w:spacing w:line="350" w:lineRule="auto" w:before="31"/>
        <w:ind w:right="1133" w:firstLine="420"/>
        <w:jc w:val="left"/>
      </w:pPr>
      <w:r>
        <w:rPr/>
        <w:t>（</w:t>
      </w:r>
      <w:r>
        <w:rPr>
          <w:rFonts w:ascii="宋体" w:hAnsi="宋体" w:cs="宋体" w:eastAsia="宋体" w:hint="default"/>
        </w:rPr>
        <w:t>4</w:t>
      </w:r>
      <w:r>
        <w:rPr/>
        <w:t>）将公司管理层在商誉减值测试过程中使用的关键假设和参数与公司董事会批准的财务预算和报</w:t>
      </w:r>
      <w:r>
        <w:rPr>
          <w:w w:val="100"/>
        </w:rPr>
        <w:t> </w:t>
      </w:r>
      <w:r>
        <w:rPr/>
        <w:t>告日期后签订的协议作对比。</w:t>
      </w:r>
    </w:p>
    <w:p>
      <w:pPr>
        <w:pStyle w:val="BodyText"/>
        <w:spacing w:line="350" w:lineRule="auto" w:before="27"/>
        <w:ind w:right="1126" w:firstLine="420"/>
        <w:jc w:val="both"/>
      </w:pPr>
      <w:r>
        <w:rPr/>
        <w:t>（</w:t>
      </w:r>
      <w:r>
        <w:rPr>
          <w:rFonts w:ascii="宋体" w:hAnsi="宋体" w:cs="宋体" w:eastAsia="宋体" w:hint="default"/>
        </w:rPr>
        <w:t>5</w:t>
      </w:r>
      <w:r>
        <w:rPr/>
        <w:t>）将公司管理层在以往年度商誉减值测试过程中所使用的关键假设和参数、预测的未来收入及现</w:t>
      </w:r>
      <w:r>
        <w:rPr>
          <w:w w:val="100"/>
        </w:rPr>
        <w:t> </w:t>
      </w:r>
      <w:r>
        <w:rPr>
          <w:spacing w:val="-2"/>
        </w:rPr>
        <w:t>金流量等，与本年度所使用的关键假设和参数、本年经营业绩等作对比，以评估管理层预测过程的可靠性</w:t>
      </w:r>
      <w:r>
        <w:rPr>
          <w:spacing w:val="-45"/>
        </w:rPr>
        <w:t> </w:t>
      </w:r>
      <w:r>
        <w:rPr>
          <w:spacing w:val="-45"/>
        </w:rPr>
      </w:r>
      <w:r>
        <w:rPr/>
        <w:t>和历史准确性。</w:t>
      </w:r>
    </w:p>
    <w:p>
      <w:pPr>
        <w:pStyle w:val="BodyText"/>
        <w:spacing w:line="350" w:lineRule="auto" w:before="27"/>
        <w:ind w:right="1133" w:firstLine="420"/>
        <w:jc w:val="left"/>
      </w:pPr>
      <w:r>
        <w:rPr/>
        <w:t>（</w:t>
      </w:r>
      <w:r>
        <w:rPr>
          <w:rFonts w:ascii="宋体" w:hAnsi="宋体" w:cs="宋体" w:eastAsia="宋体" w:hint="default"/>
        </w:rPr>
        <w:t>6</w:t>
      </w:r>
      <w:r>
        <w:rPr/>
        <w:t>）结合同行业标准、宏观经济和所属行业的发展趋势等，评估商誉减值测试过程中所使用的关键</w:t>
      </w:r>
      <w:r>
        <w:rPr>
          <w:w w:val="100"/>
        </w:rPr>
        <w:t> </w:t>
      </w:r>
      <w:r>
        <w:rPr/>
        <w:t>假设和参数的合理性。</w:t>
      </w:r>
    </w:p>
    <w:p>
      <w:pPr>
        <w:pStyle w:val="BodyText"/>
        <w:spacing w:line="348" w:lineRule="auto" w:before="29"/>
        <w:ind w:right="1133" w:firstLine="420"/>
        <w:jc w:val="left"/>
      </w:pPr>
      <w:r>
        <w:rPr/>
        <w:t>（</w:t>
      </w:r>
      <w:r>
        <w:rPr>
          <w:rFonts w:ascii="宋体" w:hAnsi="宋体" w:cs="宋体" w:eastAsia="宋体" w:hint="default"/>
        </w:rPr>
        <w:t>7</w:t>
      </w:r>
      <w:r>
        <w:rPr/>
        <w:t>）取得管理层在商誉减值测试过程中对所采用的关键假设指标的敏感性分析，并考虑由此对各年</w:t>
      </w:r>
      <w:r>
        <w:rPr>
          <w:w w:val="100"/>
        </w:rPr>
        <w:t> </w:t>
      </w:r>
      <w:r>
        <w:rPr/>
        <w:t>度减值数额所产生的影响以及是否存在管理层偏向的迹象。</w:t>
      </w:r>
    </w:p>
    <w:p>
      <w:pPr>
        <w:pStyle w:val="BodyText"/>
        <w:spacing w:line="240" w:lineRule="auto" w:before="31"/>
        <w:ind w:left="573" w:right="1133"/>
        <w:jc w:val="left"/>
      </w:pPr>
      <w:r>
        <w:rPr/>
        <w:t>（</w:t>
      </w:r>
      <w:r>
        <w:rPr>
          <w:rFonts w:ascii="宋体" w:hAnsi="宋体" w:cs="宋体" w:eastAsia="宋体" w:hint="default"/>
        </w:rPr>
        <w:t>8</w:t>
      </w:r>
      <w:r>
        <w:rPr/>
        <w:t>）评价由公司管理层聘请的外部评估机构的独立性、客观性、经验和资质。</w:t>
      </w:r>
    </w:p>
    <w:p>
      <w:pPr>
        <w:pStyle w:val="BodyText"/>
        <w:spacing w:line="240" w:lineRule="auto" w:before="126"/>
        <w:ind w:left="573" w:right="1133"/>
        <w:jc w:val="left"/>
      </w:pPr>
      <w:r>
        <w:rPr/>
        <w:t>（</w:t>
      </w:r>
      <w:r>
        <w:rPr>
          <w:rFonts w:ascii="宋体" w:hAnsi="宋体" w:cs="宋体" w:eastAsia="宋体" w:hint="default"/>
        </w:rPr>
        <w:t>9</w:t>
      </w:r>
      <w:r>
        <w:rPr/>
        <w:t>）测试未来现金流量净现值的计算是否准确。</w:t>
      </w:r>
    </w:p>
    <w:p>
      <w:pPr>
        <w:pStyle w:val="BodyText"/>
        <w:spacing w:line="350" w:lineRule="auto" w:before="123"/>
        <w:ind w:left="573" w:right="1627"/>
        <w:jc w:val="left"/>
      </w:pPr>
      <w:r>
        <w:rPr/>
        <w:t>（</w:t>
      </w:r>
      <w:r>
        <w:rPr>
          <w:rFonts w:ascii="宋体" w:hAnsi="宋体" w:cs="宋体" w:eastAsia="宋体" w:hint="default"/>
        </w:rPr>
        <w:t>10</w:t>
      </w:r>
      <w:r>
        <w:rPr/>
        <w:t>）评估管理层于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日对商誉及其减值估计结果、财务报表的披露是否恰当。</w:t>
      </w:r>
      <w:r>
        <w:rPr>
          <w:w w:val="100"/>
        </w:rPr>
        <w:t> </w:t>
      </w:r>
      <w:r>
        <w:rPr/>
        <w:t>基于已执行的审计工作，我们认为，管理层对商誉减值的相关判断是合理的。</w:t>
      </w:r>
    </w:p>
    <w:p>
      <w:pPr>
        <w:spacing w:after="0" w:line="35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ind w:left="575" w:right="1133"/>
        <w:jc w:val="left"/>
        <w:rPr>
          <w:b w:val="0"/>
          <w:bCs w:val="0"/>
        </w:rPr>
      </w:pPr>
      <w:r>
        <w:rPr/>
        <w:t>五、其他信息</w:t>
      </w:r>
      <w:r>
        <w:rPr>
          <w:b w:val="0"/>
          <w:bCs w:val="0"/>
        </w:rPr>
      </w:r>
    </w:p>
    <w:p>
      <w:pPr>
        <w:pStyle w:val="BodyText"/>
        <w:spacing w:line="348" w:lineRule="auto" w:before="126"/>
        <w:ind w:right="1126" w:firstLine="420"/>
        <w:jc w:val="both"/>
      </w:pPr>
      <w:r>
        <w:rPr/>
        <w:t>蓝盾股份管理层对其他信息负责。其他信息包括蓝盾股份 </w:t>
      </w:r>
      <w:r>
        <w:rPr>
          <w:rFonts w:ascii="宋体" w:hAnsi="宋体" w:cs="宋体" w:eastAsia="宋体" w:hint="default"/>
        </w:rPr>
        <w:t>2019</w:t>
      </w:r>
      <w:r>
        <w:rPr>
          <w:rFonts w:ascii="宋体" w:hAnsi="宋体" w:cs="宋体" w:eastAsia="宋体" w:hint="default"/>
          <w:spacing w:val="-28"/>
        </w:rPr>
        <w:t> </w:t>
      </w:r>
      <w:r>
        <w:rPr/>
        <w:t>年度报告中涵盖的信息，但不包括财</w:t>
      </w:r>
      <w:r>
        <w:rPr>
          <w:w w:val="100"/>
        </w:rPr>
        <w:t> </w:t>
      </w:r>
      <w:r>
        <w:rPr/>
        <w:t>务报表和我们的审计报告。</w:t>
      </w:r>
    </w:p>
    <w:p>
      <w:pPr>
        <w:pStyle w:val="BodyText"/>
        <w:spacing w:line="350" w:lineRule="auto" w:before="31"/>
        <w:ind w:left="573" w:right="1133"/>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350" w:lineRule="auto" w:before="27"/>
        <w:ind w:left="573" w:right="1133" w:hanging="421"/>
        <w:jc w:val="left"/>
      </w:pPr>
      <w:r>
        <w:rPr/>
        <w:t>表或我们在审计过程中了解的情况存在重大不一致或者似乎存在重大错报。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348" w:lineRule="auto" w:before="29"/>
        <w:ind w:left="575" w:right="4917"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六、管理层和治理层对财务报表的责任</w:t>
      </w:r>
      <w:r>
        <w:rPr>
          <w:rFonts w:ascii="宋体" w:hAnsi="宋体" w:cs="宋体" w:eastAsia="宋体" w:hint="default"/>
          <w:spacing w:val="-1"/>
          <w:sz w:val="21"/>
          <w:szCs w:val="21"/>
        </w:rPr>
      </w:r>
    </w:p>
    <w:p>
      <w:pPr>
        <w:pStyle w:val="BodyText"/>
        <w:spacing w:line="350" w:lineRule="auto" w:before="32"/>
        <w:ind w:right="1126" w:firstLine="420"/>
        <w:jc w:val="both"/>
      </w:pPr>
      <w:r>
        <w:rPr>
          <w:spacing w:val="-2"/>
        </w:rPr>
        <w:t>蓝盾股份管理层负责按照企业会计准则的规定编制财务报表，使其实现公允反映，并设计、执行和维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240" w:lineRule="auto" w:before="27"/>
        <w:ind w:left="573" w:right="982"/>
        <w:jc w:val="left"/>
      </w:pPr>
      <w:r>
        <w:rPr/>
        <w:t>在编制财务报表时，蓝盾股份管理层负责评估蓝盾股份的持续经营能力，披露与持续经营相关的事项</w:t>
      </w:r>
    </w:p>
    <w:p>
      <w:pPr>
        <w:pStyle w:val="BodyText"/>
        <w:spacing w:line="350" w:lineRule="auto" w:before="126"/>
        <w:ind w:left="573" w:right="1133" w:hanging="421"/>
        <w:jc w:val="left"/>
      </w:pPr>
      <w:r>
        <w:rPr>
          <w:spacing w:val="-4"/>
          <w:w w:val="100"/>
        </w:rPr>
        <w:t>（如适用），并运用持续经营假设，除非管理层计划清算蓝盾股份、终止运营或别无其他现实的选择。</w:t>
      </w:r>
      <w:r>
        <w:rPr>
          <w:spacing w:val="-91"/>
          <w:w w:val="100"/>
        </w:rPr>
        <w:t> </w:t>
      </w:r>
      <w:r>
        <w:rPr>
          <w:spacing w:val="-91"/>
          <w:w w:val="100"/>
        </w:rPr>
      </w:r>
      <w:r>
        <w:rPr/>
        <w:t>治理层负责监督蓝盾股份的财务报告过程。</w:t>
      </w:r>
    </w:p>
    <w:p>
      <w:pPr>
        <w:spacing w:line="350" w:lineRule="auto" w:before="27"/>
        <w:ind w:left="573" w:right="1133" w:firstLine="2"/>
        <w:jc w:val="left"/>
        <w:rPr>
          <w:rFonts w:ascii="宋体" w:hAnsi="宋体" w:cs="宋体" w:eastAsia="宋体" w:hint="default"/>
          <w:sz w:val="21"/>
          <w:szCs w:val="21"/>
        </w:rPr>
      </w:pPr>
      <w:r>
        <w:rPr>
          <w:rFonts w:ascii="宋体" w:hAnsi="宋体" w:cs="宋体" w:eastAsia="宋体" w:hint="default"/>
          <w:b/>
          <w:bCs/>
          <w:sz w:val="21"/>
          <w:szCs w:val="21"/>
        </w:rPr>
        <w:t>七、注册会计师对财务报表审计的责任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348" w:lineRule="auto" w:before="29"/>
        <w:ind w:right="112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348" w:lineRule="auto" w:before="31"/>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350" w:lineRule="auto" w:before="31"/>
        <w:ind w:right="1104" w:firstLine="420"/>
        <w:jc w:val="both"/>
      </w:pPr>
      <w:r>
        <w:rPr>
          <w:rFonts w:ascii="宋体" w:hAnsi="宋体" w:cs="宋体" w:eastAsia="宋体" w:hint="default"/>
          <w:spacing w:val="-2"/>
        </w:rPr>
        <w:t>1.</w:t>
      </w:r>
      <w:r>
        <w:rPr>
          <w:spacing w:val="-2"/>
        </w:rPr>
        <w:t>识别和评估由于舞弊或错误导致的财务报表重大错报风险，设计和实施审计程序以应对这些风险，</w:t>
      </w:r>
      <w:r>
        <w:rPr>
          <w:w w:val="100"/>
        </w:rPr>
        <w:t> </w:t>
      </w:r>
      <w:r>
        <w:rPr>
          <w:spacing w:val="-2"/>
        </w:rPr>
        <w:t>并获取充分、适当的审计证据，作为发表审计意见的基础。由于舞弊可能涉及串通、伪造、故意遗漏、虚</w:t>
      </w:r>
      <w:r>
        <w:rPr>
          <w:spacing w:val="-45"/>
        </w:rPr>
        <w:t> </w:t>
      </w:r>
      <w:r>
        <w:rPr>
          <w:spacing w:val="-45"/>
        </w:rPr>
      </w:r>
      <w:r>
        <w:rPr>
          <w:spacing w:val="-2"/>
        </w:rPr>
        <w:t>假陈述或凌驾于内部控制之上，未能发现由于舞弊导致的重大错报的风险高于未能发现由于错误导致的重</w:t>
      </w:r>
      <w:r>
        <w:rPr>
          <w:spacing w:val="-43"/>
        </w:rPr>
        <w:t> </w:t>
      </w:r>
      <w:r>
        <w:rPr>
          <w:spacing w:val="-43"/>
        </w:rPr>
      </w:r>
      <w:r>
        <w:rPr/>
        <w:t>大错报的风险。</w:t>
      </w:r>
    </w:p>
    <w:p>
      <w:pPr>
        <w:pStyle w:val="BodyText"/>
        <w:spacing w:line="240" w:lineRule="auto" w:before="29"/>
        <w:ind w:left="573" w:right="982"/>
        <w:jc w:val="left"/>
      </w:pP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123"/>
        <w:ind w:left="573" w:right="1133"/>
        <w:jc w:val="left"/>
      </w:pPr>
      <w:r>
        <w:rPr>
          <w:rFonts w:ascii="宋体" w:hAnsi="宋体" w:cs="宋体" w:eastAsia="宋体" w:hint="default"/>
        </w:rPr>
        <w:t>3.</w:t>
      </w:r>
      <w:r>
        <w:rPr/>
        <w:t>评价管理层选用会计政策的恰当性和作出会计估计及相关披露的合理性。</w:t>
      </w:r>
    </w:p>
    <w:p>
      <w:pPr>
        <w:pStyle w:val="BodyText"/>
        <w:spacing w:line="350" w:lineRule="auto" w:before="126"/>
        <w:ind w:right="1126" w:firstLine="420"/>
        <w:jc w:val="both"/>
      </w:pPr>
      <w:r>
        <w:rPr>
          <w:rFonts w:ascii="宋体" w:hAnsi="宋体" w:cs="宋体" w:eastAsia="宋体" w:hint="default"/>
          <w:spacing w:val="-2"/>
        </w:rPr>
        <w:t>4.</w:t>
      </w:r>
      <w:r>
        <w:rPr>
          <w:spacing w:val="-2"/>
        </w:rPr>
        <w:t>对管理层使用持续经营假设的恰当性得出结论。同时，根据获取的审计证据，就可能导致对蓝盾股</w:t>
      </w:r>
      <w:r>
        <w:rPr>
          <w:w w:val="100"/>
        </w:rPr>
        <w:t> </w:t>
      </w:r>
      <w:r>
        <w:rPr>
          <w:spacing w:val="-2"/>
        </w:rPr>
        <w:t>份持续经营能力产生重大疑虑的事项或情况是否存在重大不确定性得出结论。如果我们得出结论认为存在</w:t>
      </w:r>
      <w:r>
        <w:rPr>
          <w:spacing w:val="-43"/>
        </w:rPr>
        <w:t> </w:t>
      </w:r>
      <w:r>
        <w:rPr>
          <w:spacing w:val="-43"/>
        </w:rPr>
      </w:r>
      <w:r>
        <w:rPr>
          <w:spacing w:val="-2"/>
        </w:rPr>
        <w:t>重大不确定性，审计准则要求我们在审计报告中提请报告使用者注意财务报表中的相关披露；如果披露不</w:t>
      </w:r>
      <w:r>
        <w:rPr>
          <w:spacing w:val="-42"/>
        </w:rPr>
        <w:t> </w:t>
      </w:r>
      <w:r>
        <w:rPr>
          <w:spacing w:val="-42"/>
        </w:rPr>
      </w:r>
      <w:r>
        <w:rPr>
          <w:spacing w:val="-2"/>
        </w:rPr>
        <w:t>充分，我们应当发表非无保留意见。我们的结论基于截至审计报告日可获得的信息。然而，未来的事项或</w:t>
      </w:r>
      <w:r>
        <w:rPr>
          <w:spacing w:val="-47"/>
        </w:rPr>
        <w:t> </w:t>
      </w:r>
      <w:r>
        <w:rPr>
          <w:spacing w:val="-47"/>
        </w:rPr>
      </w:r>
      <w:r>
        <w:rPr/>
        <w:t>情况可能导致蓝盾股份不能持续经营。</w:t>
      </w:r>
    </w:p>
    <w:p>
      <w:pPr>
        <w:pStyle w:val="BodyText"/>
        <w:spacing w:line="240" w:lineRule="auto" w:before="27"/>
        <w:ind w:left="573" w:right="1133"/>
        <w:jc w:val="left"/>
      </w:pPr>
      <w:r>
        <w:rPr>
          <w:rFonts w:ascii="宋体" w:hAnsi="宋体" w:cs="宋体" w:eastAsia="宋体" w:hint="default"/>
        </w:rPr>
        <w:t>5.</w:t>
      </w:r>
      <w:r>
        <w:rPr/>
        <w:t>评价财务报表的总体列报、结构和内容，并评价财务报表是否公允反映相关交易和事项。</w:t>
      </w:r>
    </w:p>
    <w:p>
      <w:pPr>
        <w:pStyle w:val="BodyText"/>
        <w:spacing w:line="240" w:lineRule="auto" w:before="126"/>
        <w:ind w:left="573" w:right="982"/>
        <w:jc w:val="left"/>
      </w:pPr>
      <w:r>
        <w:rPr>
          <w:rFonts w:ascii="宋体" w:hAnsi="宋体" w:cs="宋体" w:eastAsia="宋体" w:hint="default"/>
        </w:rPr>
        <w:t>6.</w:t>
      </w:r>
      <w:r>
        <w:rPr/>
        <w:t>就蓝盾股份中实体或业务活动的财务信息获取充分、适当的审计证据，以对财务报表发表意见。我</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ind w:left="573" w:right="1133" w:hanging="421"/>
        <w:jc w:val="left"/>
      </w:pPr>
      <w:r>
        <w:rPr/>
        <w:t>们负责指导、监督和执行集团审计。我们对审计意见承担全部责任。</w:t>
      </w:r>
      <w:r>
        <w:rPr>
          <w:w w:val="100"/>
        </w:rPr>
        <w:t> </w:t>
      </w:r>
      <w:r>
        <w:rPr>
          <w:spacing w:val="-2"/>
        </w:rPr>
        <w:t>我们与治理层就计划的审计范围、时间安排和重大审计发现等事项进行沟通，包括沟通我们在审计中</w:t>
      </w:r>
    </w:p>
    <w:p>
      <w:pPr>
        <w:pStyle w:val="BodyText"/>
        <w:spacing w:line="350" w:lineRule="auto" w:before="27"/>
        <w:ind w:left="573" w:right="1133" w:hanging="421"/>
        <w:jc w:val="left"/>
      </w:pPr>
      <w:r>
        <w:rPr/>
        <w:t>识别出的值得关注的内部控制缺陷。</w:t>
      </w:r>
      <w:r>
        <w:rPr>
          <w:w w:val="100"/>
        </w:rPr>
        <w:t> </w:t>
      </w:r>
      <w:r>
        <w:rPr>
          <w:spacing w:val="-2"/>
        </w:rPr>
        <w:t>我们还就已遵守与独立性相关的职业道德要求向治理层提供声明，并与治理层沟通可能被合理认为影</w:t>
      </w:r>
    </w:p>
    <w:p>
      <w:pPr>
        <w:pStyle w:val="BodyText"/>
        <w:spacing w:line="348" w:lineRule="auto" w:before="29"/>
        <w:ind w:left="573" w:right="1133" w:hanging="421"/>
        <w:jc w:val="left"/>
      </w:pPr>
      <w:r>
        <w:rPr>
          <w:spacing w:val="-5"/>
          <w:w w:val="100"/>
        </w:rPr>
        <w:t>响我们独立性的所有关系和其他事项，以及相关的防范措施（如适用）。</w:t>
      </w:r>
      <w:r>
        <w:rPr>
          <w:spacing w:val="-93"/>
          <w:w w:val="100"/>
        </w:rPr>
        <w:t> </w:t>
      </w:r>
      <w:r>
        <w:rPr>
          <w:spacing w:val="-93"/>
          <w:w w:val="100"/>
        </w:rPr>
      </w:r>
      <w:r>
        <w:rPr>
          <w:spacing w:val="-2"/>
        </w:rPr>
        <w:t>从与治理层沟通过的事项中，我们确定哪些事项对本期财务报表审计最为重要，因而构成关键审计事</w:t>
      </w:r>
    </w:p>
    <w:p>
      <w:pPr>
        <w:pStyle w:val="BodyText"/>
        <w:spacing w:line="348" w:lineRule="auto" w:before="31"/>
        <w:ind w:right="1126"/>
        <w:jc w:val="both"/>
      </w:pP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874" w:type="dxa"/>
        <w:tblLayout w:type="fixed"/>
        <w:tblCellMar>
          <w:top w:w="0" w:type="dxa"/>
          <w:left w:w="0" w:type="dxa"/>
          <w:bottom w:w="0" w:type="dxa"/>
          <w:right w:w="0" w:type="dxa"/>
        </w:tblCellMar>
        <w:tblLook w:val="01E0"/>
      </w:tblPr>
      <w:tblGrid>
        <w:gridCol w:w="4342"/>
        <w:gridCol w:w="3232"/>
        <w:gridCol w:w="1452"/>
      </w:tblGrid>
      <w:tr>
        <w:trPr>
          <w:trHeight w:val="292"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11" w:lineRule="exact"/>
              <w:ind w:right="788"/>
              <w:jc w:val="center"/>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3232" w:type="dxa"/>
            <w:tcBorders>
              <w:top w:val="nil" w:sz="6" w:space="0" w:color="auto"/>
              <w:left w:val="nil" w:sz="6" w:space="0" w:color="auto"/>
              <w:bottom w:val="nil" w:sz="6" w:space="0" w:color="auto"/>
              <w:right w:val="nil" w:sz="6" w:space="0" w:color="auto"/>
            </w:tcBorders>
          </w:tcPr>
          <w:p>
            <w:pPr>
              <w:pStyle w:val="TableParagraph"/>
              <w:spacing w:line="211" w:lineRule="exact"/>
              <w:ind w:right="557"/>
              <w:jc w:val="right"/>
              <w:rPr>
                <w:rFonts w:ascii="宋体" w:hAnsi="宋体" w:cs="宋体" w:eastAsia="宋体" w:hint="default"/>
                <w:sz w:val="21"/>
                <w:szCs w:val="21"/>
              </w:rPr>
            </w:pPr>
            <w:r>
              <w:rPr>
                <w:rFonts w:ascii="宋体" w:hAnsi="宋体" w:cs="宋体" w:eastAsia="宋体" w:hint="default"/>
                <w:spacing w:val="-2"/>
                <w:sz w:val="21"/>
                <w:szCs w:val="21"/>
              </w:rPr>
              <w:t>中国注册会计师：</w:t>
            </w:r>
          </w:p>
        </w:tc>
        <w:tc>
          <w:tcPr>
            <w:tcW w:w="1452" w:type="dxa"/>
            <w:tcBorders>
              <w:top w:val="nil" w:sz="6" w:space="0" w:color="auto"/>
              <w:left w:val="nil" w:sz="6" w:space="0" w:color="auto"/>
              <w:bottom w:val="single" w:sz="4" w:space="0" w:color="000000"/>
              <w:right w:val="nil" w:sz="6" w:space="0" w:color="auto"/>
            </w:tcBorders>
          </w:tcPr>
          <w:p>
            <w:pPr/>
          </w:p>
        </w:tc>
      </w:tr>
      <w:tr>
        <w:trPr>
          <w:trHeight w:val="819" w:hRule="exact"/>
        </w:trPr>
        <w:tc>
          <w:tcPr>
            <w:tcW w:w="4342" w:type="dxa"/>
            <w:tcBorders>
              <w:top w:val="nil" w:sz="6" w:space="0" w:color="auto"/>
              <w:left w:val="nil" w:sz="6" w:space="0" w:color="auto"/>
              <w:bottom w:val="nil" w:sz="6" w:space="0" w:color="auto"/>
              <w:right w:val="nil" w:sz="6" w:space="0" w:color="auto"/>
            </w:tcBorders>
          </w:tcPr>
          <w:p>
            <w:pP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60"/>
              <w:jc w:val="right"/>
              <w:rPr>
                <w:rFonts w:ascii="宋体" w:hAnsi="宋体" w:cs="宋体" w:eastAsia="宋体" w:hint="default"/>
                <w:sz w:val="21"/>
                <w:szCs w:val="21"/>
              </w:rPr>
            </w:pPr>
            <w:r>
              <w:rPr>
                <w:rFonts w:ascii="宋体" w:hAnsi="宋体" w:cs="宋体" w:eastAsia="宋体" w:hint="default"/>
                <w:spacing w:val="-1"/>
                <w:sz w:val="21"/>
                <w:szCs w:val="21"/>
              </w:rPr>
              <w:t>（项目合伙人）</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张晓辉</w:t>
            </w:r>
          </w:p>
        </w:tc>
      </w:tr>
      <w:tr>
        <w:trPr>
          <w:trHeight w:val="599"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88"/>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57"/>
              <w:jc w:val="right"/>
              <w:rPr>
                <w:rFonts w:ascii="宋体" w:hAnsi="宋体" w:cs="宋体" w:eastAsia="宋体" w:hint="default"/>
                <w:sz w:val="21"/>
                <w:szCs w:val="21"/>
              </w:rPr>
            </w:pPr>
            <w:r>
              <w:rPr>
                <w:rFonts w:ascii="宋体" w:hAnsi="宋体" w:cs="宋体" w:eastAsia="宋体" w:hint="default"/>
                <w:spacing w:val="-2"/>
                <w:sz w:val="21"/>
                <w:szCs w:val="21"/>
              </w:rPr>
              <w:t>中国注册会计师：</w:t>
            </w:r>
          </w:p>
        </w:tc>
        <w:tc>
          <w:tcPr>
            <w:tcW w:w="1452" w:type="dxa"/>
            <w:tcBorders>
              <w:top w:val="nil" w:sz="6" w:space="0" w:color="auto"/>
              <w:left w:val="nil" w:sz="6" w:space="0" w:color="auto"/>
              <w:bottom w:val="single" w:sz="4" w:space="0" w:color="000000"/>
              <w:right w:val="nil" w:sz="6" w:space="0" w:color="auto"/>
            </w:tcBorders>
          </w:tcPr>
          <w:p>
            <w:pPr/>
          </w:p>
        </w:tc>
      </w:tr>
      <w:tr>
        <w:trPr>
          <w:trHeight w:val="848" w:hRule="exact"/>
        </w:trPr>
        <w:tc>
          <w:tcPr>
            <w:tcW w:w="4342" w:type="dxa"/>
            <w:tcBorders>
              <w:top w:val="nil" w:sz="6" w:space="0" w:color="auto"/>
              <w:left w:val="nil" w:sz="6" w:space="0" w:color="auto"/>
              <w:bottom w:val="nil" w:sz="6" w:space="0" w:color="auto"/>
              <w:right w:val="nil" w:sz="6" w:space="0" w:color="auto"/>
            </w:tcBorders>
          </w:tcPr>
          <w:p>
            <w:pPr/>
          </w:p>
        </w:tc>
        <w:tc>
          <w:tcPr>
            <w:tcW w:w="3232"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熊玲</w:t>
            </w:r>
          </w:p>
        </w:tc>
      </w:tr>
      <w:tr>
        <w:trPr>
          <w:trHeight w:val="545" w:hRule="exact"/>
        </w:trPr>
        <w:tc>
          <w:tcPr>
            <w:tcW w:w="4342" w:type="dxa"/>
            <w:tcBorders>
              <w:top w:val="nil" w:sz="6" w:space="0" w:color="auto"/>
              <w:left w:val="nil" w:sz="6" w:space="0" w:color="auto"/>
              <w:bottom w:val="nil" w:sz="6" w:space="0" w:color="auto"/>
              <w:right w:val="nil" w:sz="6" w:space="0" w:color="auto"/>
            </w:tcBorders>
          </w:tcPr>
          <w:p>
            <w:pPr/>
          </w:p>
        </w:tc>
        <w:tc>
          <w:tcPr>
            <w:tcW w:w="4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00" w:right="0"/>
              <w:jc w:val="left"/>
              <w:rPr>
                <w:rFonts w:ascii="宋体" w:hAnsi="宋体" w:cs="宋体" w:eastAsia="宋体" w:hint="default"/>
                <w:sz w:val="21"/>
                <w:szCs w:val="21"/>
              </w:rPr>
            </w:pPr>
            <w:r>
              <w:rPr>
                <w:rFonts w:ascii="宋体" w:hAnsi="宋体" w:cs="宋体" w:eastAsia="宋体" w:hint="default"/>
                <w:sz w:val="21"/>
                <w:szCs w:val="21"/>
              </w:rPr>
              <w:t>二〇二〇年四月二十九日</w:t>
            </w:r>
          </w:p>
        </w:tc>
      </w:tr>
    </w:tbl>
    <w:p>
      <w:pPr>
        <w:spacing w:line="240" w:lineRule="auto" w:before="3"/>
        <w:rPr>
          <w:rFonts w:ascii="宋体" w:hAnsi="宋体" w:cs="宋体" w:eastAsia="宋体" w:hint="default"/>
          <w:sz w:val="28"/>
          <w:szCs w:val="28"/>
        </w:rPr>
      </w:pPr>
    </w:p>
    <w:p>
      <w:pPr>
        <w:pStyle w:val="Heading2"/>
        <w:spacing w:line="240" w:lineRule="auto" w:before="26"/>
        <w:ind w:right="1133"/>
        <w:jc w:val="left"/>
        <w:rPr>
          <w:b w:val="0"/>
          <w:bCs w:val="0"/>
        </w:rPr>
      </w:pPr>
      <w:bookmarkStart w:name="二、财务报表" w:id="179"/>
      <w:bookmarkEnd w:id="17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合并资产负债表" w:id="180"/>
      <w:bookmarkEnd w:id="18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3" w:space="503"/>
            <w:col w:w="1642" w:space="3202"/>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275,044,709.06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1,128,396,441.27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12,664,211.51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4,313,288.55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2,939,498,025.89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2,755,683,225.01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1,290,699,572.81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880,010,885.14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42,079,533.37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43,681,680.91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220,824,023.43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245,078,433.40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175,200,955.48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2,095,374.76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81,358,816.77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107,176,183.30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5,039,465,223.08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5,164,340,137.58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41,190,230.00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38,496,731.98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29,858,063.65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10,409,196.20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23,216,135.14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26,585,470.00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767,617,444.95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1,011,936,841.91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1,303,940,905.12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1,193,607,497.90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388,997,804.89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491,022,782.83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8,520,564.46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14,567,265.10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493,586,016.88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1,244,668,581.69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6,705,599.34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11,794,707.77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156,112,624.66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70,293,459.62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349,586,607.56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592,674,910.20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3,601,058,966.04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4,724,830,475.81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8,640,524,189.12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9,889,170,613.39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2,047,447,425.36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2,121,835,910.00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61,598,600.00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69,314,221.84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446,384,916.80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372,218,154.07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376,719,352.99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759,512,890.14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37,698,281.31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31,218,916.76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117,218,775.65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85,710,234.47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279,568,629.13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213,445,358.49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8,159,382.67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18,306,326.43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10,062,791.91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536,399,690.65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385,758,545.09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3,913,098,463.80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4,039,014,230.86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412,531,000.53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609,038,381.61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87,097,076.87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442,418,873.41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106,771,186.78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104,712,532.88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96,936,512.20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101,289,566.53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19,224,930.88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18,782,989.35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722,560,707.26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1,276,242,343.78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4,635,659,171.06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5,315,256,574.64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1,249,796,194.00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1,175,061,904.00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17,218,791.88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92,184,474.55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2,244,302,653.21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1,894,935,407.47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18,058,641.81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35,173,620.00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16,143,420.00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1,047,409.26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44,032,250.37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42,345,939.65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295,249,512.49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1,273,386,271.35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3,848,684,180.14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4,443,787,786.28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156,180,837.92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130,126,252.47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4,004,865,018.06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4,573,914,038.75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8,640,524,189.12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9,889,170,613.39</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718" w:val="left" w:leader="none"/>
        </w:tabs>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r>
      <w:r>
        <w:rPr>
          <w:rFonts w:ascii="宋体" w:hAnsi="宋体" w:cs="宋体" w:eastAsia="宋体" w:hint="default"/>
          <w:spacing w:val="-1"/>
          <w:sz w:val="18"/>
          <w:szCs w:val="18"/>
        </w:rPr>
        <w:t>主管会计工作负责人：景丽</w:t>
        <w:tab/>
      </w:r>
      <w:r>
        <w:rPr>
          <w:rFonts w:ascii="宋体" w:hAnsi="宋体" w:cs="宋体" w:eastAsia="宋体" w:hint="default"/>
          <w:sz w:val="18"/>
          <w:szCs w:val="18"/>
        </w:rPr>
        <w:t>会计机构负责人：陈晓生</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母公司资产负债表" w:id="181"/>
      <w:bookmarkEnd w:id="18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9,166,604.78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462,335,944.65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233,186,209.03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36,520,175.06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83,903,382.67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63,527,011.37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252,196,173.95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138,773,542.55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5,240,773.27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50,845,697.37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177,161,592.49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9,298.94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2,168,496.35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781,114,035.13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851,670,867.35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17,024,738.20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12,399,474.49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3,737,310,432.00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3,742,489,404.92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167,623,819.28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318,578,032.11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393,541,134.26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351,739,374.87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30,649,128.76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40,390,720.78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3,023,003.50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4,177,723.96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19,515,039.80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9,192,957.33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36,807,600.00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154,596,223.62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4,411,494,895.80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4,634,563,912.08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5,192,608,930.93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5,486,234,779.43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10,219,960.34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19,063,484.15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22,979,501.49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172,440,201.63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796,139.08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2,601,575.51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2,916,274.31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18,699,789.24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422,248.90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200,076,713.92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446,714,363.39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244,714,704.55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284,755,715.19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1,095,596,469.00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1,236,304,202.70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262,531,000.53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369,038,381.61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87,097,076.87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442,418,873.41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26,288,299.70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47,638,253.75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12,754,999.53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25,675,296.31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388,671,376.63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884,770,805.08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1,484,267,845.63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2,121,075,007.78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1,249,796,194.00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1,175,061,904.00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17,218,791.88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92,184,474.55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2,230,767,963.95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1,881,400,718.21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18,058,641.81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35,173,620.00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44,032,250.37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42,345,939.65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184,584,526.91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209,340,355.24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3,708,341,085.30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3,365,159,771.65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5,192,608,930.93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5,486,234,779.43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82"/>
      <w:bookmarkEnd w:id="18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1,919,439,845.55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2,281,935,557.26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1,919,439,845.55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2,281,935,557.26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1,642,250,659.95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1,659,597,666.52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1,014,624,183.44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927,237,911.95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96.209991pt;width:158.9pt;height:20.65pt;mso-position-horizontal-relative:page;mso-position-vertical-relative:page;z-index:-1431952" coordorigin="4220,9924" coordsize="3178,413">
            <v:group style="position:absolute;left:4231;top:9935;width:2;height:392" coordorigin="4231,9935" coordsize="2,392">
              <v:shape style="position:absolute;left:4231;top:9935;width:2;height:392" coordorigin="4231,9935" coordsize="0,392" path="m4231,9935l4231,10326e" filled="false" stroked="true" strokeweight="1.08pt" strokecolor="#ffffff">
                <v:path arrowok="t"/>
              </v:shape>
            </v:group>
            <v:group style="position:absolute;left:4242;top:9935;width:3157;height:392" coordorigin="4242,9935" coordsize="3157,392">
              <v:shape style="position:absolute;left:4242;top:9935;width:3157;height:392" coordorigin="4242,9935" coordsize="3157,392" path="m4242,10326l7398,10326,7398,9935,4242,9935,4242,103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12,828,729.73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21,708,206.00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74,092,921.56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144,333,059.23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146,852,245.10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182,960,769.62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211,649,046.70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218,457,099.91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182,203,533.42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164,900,619.81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175,314,668.13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154,607,694.71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6,338,419.52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5,208,784.60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88,149,613.25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74,321,503.72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644,869.95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-584,945.99</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226,492.69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-1,046,685.03</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-435,027,793.19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-850,695,950.94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-219,644,989.90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18,331,083.25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-919,742,748.45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494,760,541.82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595,933.64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115,426.69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30,810,892.12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6,669,210.84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5982pt;width:158.9pt;height:20.7pt;mso-position-horizontal-relative:page;mso-position-vertical-relative:page;z-index:-1431928" coordorigin="4220,1439" coordsize="3178,414">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41"/>
        <w:gridCol w:w="218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4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-949,957,706.93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488,206,757.67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87" w:right="0"/>
              <w:jc w:val="left"/>
              <w:rPr>
                <w:rFonts w:ascii="Times New Roman" w:hAnsi="Times New Roman" w:cs="Times New Roman" w:eastAsia="Times New Roman" w:hint="default"/>
                <w:sz w:val="18"/>
                <w:szCs w:val="18"/>
              </w:rPr>
            </w:pPr>
            <w:r>
              <w:rPr>
                <w:rFonts w:ascii="Times New Roman"/>
                <w:sz w:val="18"/>
              </w:rPr>
              <w:t>-39,781,974.91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66,365,131.33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-910,175,732.02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421,841,626.34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-910,169,749.10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421,841,626.34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-5,982.92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5" w:right="0"/>
              <w:jc w:val="left"/>
              <w:rPr>
                <w:rFonts w:ascii="Times New Roman" w:hAnsi="Times New Roman" w:cs="Times New Roman" w:eastAsia="Times New Roman" w:hint="default"/>
                <w:sz w:val="18"/>
                <w:szCs w:val="18"/>
              </w:rPr>
            </w:pPr>
            <w:r>
              <w:rPr>
                <w:rFonts w:ascii="Times New Roman"/>
                <w:sz w:val="18"/>
              </w:rPr>
              <w:t>-936,517,823.35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397,943,111.27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26,342,091.33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23,898,515.07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16,143,420.00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20,542.00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16,143,420.00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20,542.00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16,125,000.00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16,125,000.00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20,542.00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20,542.00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-894,032,312.02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421,862,168.34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-920,374,403.35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397,963,653.27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26,342,091.33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23,898,515.07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bl>
    <w:p>
      <w:pPr>
        <w:tabs>
          <w:tab w:pos="3667" w:val="left" w:leader="none"/>
          <w:tab w:pos="7718" w:val="left" w:leader="none"/>
        </w:tabs>
        <w:spacing w:line="595" w:lineRule="auto" w:before="49"/>
        <w:ind w:left="152" w:right="1225"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法定代表人：柯宗贵</w:t>
        <w:tab/>
      </w:r>
      <w:r>
        <w:rPr>
          <w:rFonts w:ascii="宋体" w:hAnsi="宋体" w:cs="宋体" w:eastAsia="宋体" w:hint="default"/>
          <w:spacing w:val="-1"/>
          <w:sz w:val="18"/>
          <w:szCs w:val="18"/>
        </w:rPr>
        <w:t>主管会计工作负责人：景丽</w:t>
        <w:tab/>
      </w:r>
      <w:r>
        <w:rPr>
          <w:rFonts w:ascii="宋体" w:hAnsi="宋体" w:cs="宋体" w:eastAsia="宋体" w:hint="default"/>
          <w:sz w:val="18"/>
          <w:szCs w:val="18"/>
        </w:rPr>
        <w:t>会计机构负责人：陈晓生</w:t>
      </w:r>
      <w:r>
        <w:rPr>
          <w:rFonts w:ascii="宋体" w:hAnsi="宋体" w:cs="宋体" w:eastAsia="宋体" w:hint="default"/>
          <w:sz w:val="18"/>
          <w:szCs w:val="18"/>
        </w:rPr>
        <w:t> </w:t>
      </w:r>
      <w:bookmarkStart w:name="4、母公司利润表" w:id="183"/>
      <w:bookmarkEnd w:id="18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405,822,019.50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257,183,154.21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236,010,355.04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73,310,502.82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3,525,044.85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5,391,479.09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1,533,190.79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3,706,508.40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21,942,827.02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30,863,712.13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66,285,719.12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66,855,618.47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59,561,216.91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70,847,646.71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57,424,341.70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65,403,974.48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1,790,929.17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1,093,609.68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28,649,068.58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45,155,204.73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40,005,717.16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5,717.16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67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0"/>
              <w:jc w:val="left"/>
              <w:rPr>
                <w:rFonts w:ascii="宋体" w:hAnsi="宋体" w:cs="宋体" w:eastAsia="宋体" w:hint="default"/>
                <w:sz w:val="18"/>
                <w:szCs w:val="18"/>
              </w:rPr>
            </w:pP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-9,211,907.01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-6,111,120.61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18,329,062.18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36,381,743.82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103,586,550.05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20,587,950.21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4,353,169.56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16,327,206.61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99,233,588.57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-535,900.57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1,261,047.41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16,863,107.18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97,972,541.16</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16,863,107.18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97,972,541.16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16,863,107.18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97,972,541.16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84"/>
      <w:bookmarkEnd w:id="18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2,886,790,331.26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6" w:right="0"/>
              <w:jc w:val="left"/>
              <w:rPr>
                <w:rFonts w:ascii="Times New Roman" w:hAnsi="Times New Roman" w:cs="Times New Roman" w:eastAsia="Times New Roman" w:hint="default"/>
                <w:sz w:val="18"/>
                <w:szCs w:val="18"/>
              </w:rPr>
            </w:pPr>
            <w:r>
              <w:rPr>
                <w:rFonts w:ascii="Times New Roman"/>
                <w:sz w:val="18"/>
              </w:rPr>
              <w:t>4,954,315,701.11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48,086,783.33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26,586,651.17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258,788,466.93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268,670,327.72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3,193,665,581.52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5,249,572,680.00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2,802,660,446.32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4,269,841,655.17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175,895,924.91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302,451,491.08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148,198,406.60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232,834,324.21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355,369,747.75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275,190,760.07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3,482,124,525.58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5,080,318,230.53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-288,458,944.06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169,254,449.47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10,029,170.32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422,878.38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416,481.04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86,191.77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46,043,465.43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50,538,241.47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222,159,946.47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272,716,226.19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1,716,952,237.49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185,700,000.00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285,046.69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313,001,272.88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1,902,652,237.49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-262,463,031.41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-1,680,492,291.02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1"/>
          <w:pgSz w:w="11910" w:h="16840"/>
          <w:pgMar w:footer="980" w:header="8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2,138,068,379.87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3,327,918,110.14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133,542,929.50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84,963,840.00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2,271,611,309.37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3,412,881,950.14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2,234,868,864.63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2,101,003,286.40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231,348,966.10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218,310,803.15</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215,485,825.77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131,996,785.43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2,681,703,656.50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2,451,310,874.98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-410,092,347.13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961,571,075.16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-961,014,313.86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-549,666,180.94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1,031,747,914.75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1,581,414,095.69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70,733,600.89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1,031,747,914.75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6、母公司现金流量表" w:id="185"/>
      <w:bookmarkEnd w:id="18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400,236,423.01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230,537,960.08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11,045,271.80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18,587,794.78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423,337,015.30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708,392,166.34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834,618,710.11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957,517,921.20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204,449,061.39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192,815,946.69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13,188,386.63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24,211,920.38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23,667,401.08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30,664,700.15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821,203,867.80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254,380,114.09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1,062,508,716.90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502,072,681.31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-227,890,006.79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455,445,239.89</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80" w:header="87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46,007,388.32</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40,328,241.00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86,007,388.32</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35,450,698.00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271,271,362.30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429,550,000.00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35,450,698.00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700,821,362.30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4,877,543.00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-614,813,973.98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187,219,305.56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1,089,843,536.12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18,073,445.47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3,170,124.89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205,292,751.03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1,093,013,661.01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290,798,112.32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321,434,635.64</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111,253,878.89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111,612,868.56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29,605,850.00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223,421,621.58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431,657,841.21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656,469,125.78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-226,365,090.18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436,544,535.23</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-449,377,553.97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277,175,801.14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458,525,144.23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181,349,343.09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9,147,590.26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458,525,144.23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pStyle w:val="Heading3"/>
        <w:spacing w:line="272" w:lineRule="exact"/>
        <w:ind w:left="1400" w:right="0"/>
        <w:jc w:val="left"/>
        <w:rPr>
          <w:b w:val="0"/>
          <w:bCs w:val="0"/>
        </w:rPr>
      </w:pPr>
      <w:r>
        <w:rPr/>
        <w:pict>
          <v:group style="position:absolute;margin-left:70.559998pt;margin-top:2.202064pt;width:700.9pt;height:.1pt;mso-position-horizontal-relative:page;mso-position-vertical-relative:paragraph;z-index:-1431904" coordorigin="1411,44" coordsize="14018,2">
            <v:shape style="position:absolute;left:1411;top:44;width:14018;height:2" coordorigin="1411,44" coordsize="14018,0" path="m1411,44l15429,44e" filled="false" stroked="true" strokeweight=".72pt" strokecolor="#000000">
              <v:path arrowok="t"/>
            </v:shape>
            <w10:wrap type="none"/>
          </v:group>
        </w:pict>
      </w:r>
      <w:bookmarkStart w:name="7、合并所有者权益变动表" w:id="186"/>
      <w:bookmarkEnd w:id="18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13"/>
          <w:szCs w:val="13"/>
        </w:rPr>
      </w:pPr>
    </w:p>
    <w:p>
      <w:pPr>
        <w:spacing w:line="227" w:lineRule="exact" w:before="44"/>
        <w:ind w:left="140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27" w:lineRule="exact" w:before="0"/>
        <w:ind w:left="0" w:right="1434" w:firstLine="0"/>
        <w:jc w:val="right"/>
        <w:rPr>
          <w:rFonts w:ascii="宋体" w:hAnsi="宋体" w:cs="宋体" w:eastAsia="宋体" w:hint="default"/>
          <w:sz w:val="18"/>
          <w:szCs w:val="18"/>
        </w:rPr>
      </w:pPr>
      <w:r>
        <w:rPr/>
        <w:pict>
          <v:shape style="position:absolute;margin-left:7.92pt;margin-top:14.04304pt;width:823.1pt;height:431.4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850"/>
                    <w:gridCol w:w="566"/>
                    <w:gridCol w:w="569"/>
                    <w:gridCol w:w="992"/>
                    <w:gridCol w:w="1133"/>
                    <w:gridCol w:w="994"/>
                    <w:gridCol w:w="994"/>
                    <w:gridCol w:w="1133"/>
                    <w:gridCol w:w="991"/>
                    <w:gridCol w:w="852"/>
                    <w:gridCol w:w="1133"/>
                    <w:gridCol w:w="427"/>
                    <w:gridCol w:w="1133"/>
                    <w:gridCol w:w="1135"/>
                    <w:gridCol w:w="1133"/>
                  </w:tblGrid>
                  <w:tr>
                    <w:trPr>
                      <w:trHeight w:val="403" w:hRule="exact"/>
                    </w:trPr>
                    <w:tc>
                      <w:tcPr>
                        <w:tcW w:w="2412" w:type="dxa"/>
                        <w:vMerge w:val="restart"/>
                        <w:tcBorders>
                          <w:top w:val="single" w:sz="4" w:space="0" w:color="000000"/>
                          <w:left w:val="single" w:sz="4" w:space="0" w:color="000000"/>
                          <w:right w:val="single" w:sz="4" w:space="0" w:color="000000"/>
                        </w:tcBorders>
                        <w:shd w:val="clear" w:color="auto" w:fill="D2D2D2"/>
                      </w:tcPr>
                      <w:p>
                        <w:pPr/>
                      </w:p>
                    </w:tc>
                    <w:tc>
                      <w:tcPr>
                        <w:tcW w:w="1403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6" w:hRule="exact"/>
                    </w:trPr>
                    <w:tc>
                      <w:tcPr>
                        <w:tcW w:w="2412" w:type="dxa"/>
                        <w:vMerge/>
                        <w:tcBorders>
                          <w:left w:val="single" w:sz="4" w:space="0" w:color="000000"/>
                          <w:bottom w:val="nil" w:sz="6" w:space="0" w:color="auto"/>
                          <w:right w:val="single" w:sz="4" w:space="0" w:color="000000"/>
                        </w:tcBorders>
                        <w:shd w:val="clear" w:color="auto" w:fill="D2D2D2"/>
                      </w:tcPr>
                      <w:p>
                        <w:pPr/>
                      </w:p>
                    </w:tc>
                    <w:tc>
                      <w:tcPr>
                        <w:tcW w:w="1176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1" w:hRule="exact"/>
                    </w:trPr>
                    <w:tc>
                      <w:tcPr>
                        <w:tcW w:w="24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72"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379" w:right="111"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65" w:hRule="exact"/>
                    </w:trPr>
                    <w:tc>
                      <w:tcPr>
                        <w:tcW w:w="241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9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33"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9" w:right="60"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r>
                  <w:tr>
                    <w:trPr>
                      <w:trHeight w:val="197" w:hRule="exact"/>
                    </w:trPr>
                    <w:tc>
                      <w:tcPr>
                        <w:tcW w:w="2412"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3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89" w:right="9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89"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2"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r>
                  <w:tr>
                    <w:trPr>
                      <w:trHeight w:val="179" w:hRule="exact"/>
                    </w:trPr>
                    <w:tc>
                      <w:tcPr>
                        <w:tcW w:w="241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17" w:space="0" w:color="FFFFFF"/>
                          <w:right w:val="single" w:sz="4" w:space="0" w:color="000000"/>
                        </w:tcBorders>
                        <w:shd w:val="clear" w:color="auto" w:fill="D2D2D2"/>
                      </w:tcPr>
                      <w:p>
                        <w:pPr/>
                      </w:p>
                    </w:tc>
                    <w:tc>
                      <w:tcPr>
                        <w:tcW w:w="427" w:type="dxa"/>
                        <w:vMerge/>
                        <w:tcBorders>
                          <w:left w:val="single" w:sz="4" w:space="0" w:color="000000"/>
                          <w:bottom w:val="single" w:sz="17" w:space="0" w:color="FFFFFF"/>
                          <w:right w:val="single" w:sz="4" w:space="0" w:color="000000"/>
                        </w:tcBorders>
                        <w:shd w:val="clear" w:color="auto" w:fill="D2D2D2"/>
                      </w:tcPr>
                      <w:p>
                        <w:pPr/>
                      </w:p>
                    </w:tc>
                    <w:tc>
                      <w:tcPr>
                        <w:tcW w:w="1133" w:type="dxa"/>
                        <w:vMerge/>
                        <w:tcBorders>
                          <w:left w:val="single" w:sz="4" w:space="0" w:color="000000"/>
                          <w:bottom w:val="single" w:sz="17" w:space="0" w:color="FFFFFF"/>
                          <w:right w:val="single" w:sz="4" w:space="0" w:color="000000"/>
                        </w:tcBorders>
                        <w:shd w:val="clear" w:color="auto" w:fill="D2D2D2"/>
                      </w:tcPr>
                      <w:p>
                        <w:pPr/>
                      </w:p>
                    </w:tc>
                    <w:tc>
                      <w:tcPr>
                        <w:tcW w:w="1135" w:type="dxa"/>
                        <w:vMerge/>
                        <w:tcBorders>
                          <w:left w:val="single" w:sz="4" w:space="0" w:color="000000"/>
                          <w:bottom w:val="single" w:sz="17" w:space="0" w:color="FFFFFF"/>
                          <w:right w:val="single" w:sz="4" w:space="0" w:color="000000"/>
                        </w:tcBorders>
                        <w:shd w:val="clear" w:color="auto" w:fill="D2D2D2"/>
                      </w:tcPr>
                      <w:p>
                        <w:pPr/>
                      </w:p>
                    </w:tc>
                    <w:tc>
                      <w:tcPr>
                        <w:tcW w:w="1133" w:type="dxa"/>
                        <w:vMerge/>
                        <w:tcBorders>
                          <w:left w:val="single" w:sz="4" w:space="0" w:color="000000"/>
                          <w:bottom w:val="single" w:sz="17" w:space="0" w:color="FFFFFF"/>
                          <w:right w:val="single" w:sz="4" w:space="0" w:color="000000"/>
                        </w:tcBorders>
                        <w:shd w:val="clear" w:color="auto" w:fill="D2D2D2"/>
                      </w:tcPr>
                      <w:p>
                        <w:pPr/>
                      </w:p>
                    </w:tc>
                  </w:tr>
                  <w:tr>
                    <w:trPr>
                      <w:trHeight w:val="182" w:hRule="exact"/>
                    </w:trPr>
                    <w:tc>
                      <w:tcPr>
                        <w:tcW w:w="2412"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17" w:space="0" w:color="FFFFFF"/>
                          <w:left w:val="single" w:sz="4" w:space="0" w:color="000000"/>
                          <w:right w:val="single" w:sz="4" w:space="0" w:color="000000"/>
                        </w:tcBorders>
                        <w:shd w:val="clear" w:color="auto" w:fill="D2D2D2"/>
                      </w:tcPr>
                      <w:p>
                        <w:pPr/>
                      </w:p>
                    </w:tc>
                    <w:tc>
                      <w:tcPr>
                        <w:tcW w:w="427" w:type="dxa"/>
                        <w:vMerge w:val="restart"/>
                        <w:tcBorders>
                          <w:top w:val="single" w:sz="17" w:space="0" w:color="FFFFFF"/>
                          <w:left w:val="single" w:sz="4" w:space="0" w:color="000000"/>
                          <w:right w:val="single" w:sz="4" w:space="0" w:color="000000"/>
                        </w:tcBorders>
                        <w:shd w:val="clear" w:color="auto" w:fill="D2D2D2"/>
                      </w:tcPr>
                      <w:p>
                        <w:pPr/>
                      </w:p>
                    </w:tc>
                    <w:tc>
                      <w:tcPr>
                        <w:tcW w:w="1133" w:type="dxa"/>
                        <w:vMerge w:val="restart"/>
                        <w:tcBorders>
                          <w:top w:val="single" w:sz="17" w:space="0" w:color="FFFFFF"/>
                          <w:left w:val="single" w:sz="4" w:space="0" w:color="000000"/>
                          <w:right w:val="single" w:sz="4" w:space="0" w:color="000000"/>
                        </w:tcBorders>
                        <w:shd w:val="clear" w:color="auto" w:fill="D2D2D2"/>
                      </w:tcPr>
                      <w:p>
                        <w:pPr/>
                      </w:p>
                    </w:tc>
                    <w:tc>
                      <w:tcPr>
                        <w:tcW w:w="1135" w:type="dxa"/>
                        <w:vMerge w:val="restart"/>
                        <w:tcBorders>
                          <w:top w:val="single" w:sz="17" w:space="0" w:color="FFFFFF"/>
                          <w:left w:val="single" w:sz="4" w:space="0" w:color="000000"/>
                          <w:right w:val="single" w:sz="4" w:space="0" w:color="000000"/>
                        </w:tcBorders>
                        <w:shd w:val="clear" w:color="auto" w:fill="D2D2D2"/>
                      </w:tcPr>
                      <w:p>
                        <w:pPr/>
                      </w:p>
                    </w:tc>
                    <w:tc>
                      <w:tcPr>
                        <w:tcW w:w="1133" w:type="dxa"/>
                        <w:vMerge w:val="restart"/>
                        <w:tcBorders>
                          <w:top w:val="single" w:sz="17" w:space="0" w:color="FFFFFF"/>
                          <w:left w:val="single" w:sz="4" w:space="0" w:color="000000"/>
                          <w:right w:val="single" w:sz="4" w:space="0" w:color="000000"/>
                        </w:tcBorders>
                        <w:shd w:val="clear" w:color="auto" w:fill="D2D2D2"/>
                      </w:tcPr>
                      <w:p>
                        <w:pPr/>
                      </w:p>
                    </w:tc>
                  </w:tr>
                  <w:tr>
                    <w:trPr>
                      <w:trHeight w:val="195" w:hRule="exact"/>
                    </w:trPr>
                    <w:tc>
                      <w:tcPr>
                        <w:tcW w:w="241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1,175,061,</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904.00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1,894,935,407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35,173,620.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1,047,409.26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42,345,939.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1,273,386,271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4,443,787,786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130,126,252.4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4,573,914,038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r>
                  <w:tr>
                    <w:trPr>
                      <w:trHeight w:val="394"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1,175,061,</w:t>
                        </w:r>
                      </w:p>
                      <w:p>
                        <w:pPr>
                          <w:pStyle w:val="TableParagraph"/>
                          <w:spacing w:line="240" w:lineRule="auto" w:before="102"/>
                          <w:ind w:left="315" w:right="0"/>
                          <w:jc w:val="left"/>
                          <w:rPr>
                            <w:rFonts w:ascii="Times New Roman" w:hAnsi="Times New Roman" w:cs="Times New Roman" w:eastAsia="Times New Roman" w:hint="default"/>
                            <w:sz w:val="18"/>
                            <w:szCs w:val="18"/>
                          </w:rPr>
                        </w:pPr>
                        <w:r>
                          <w:rPr>
                            <w:rFonts w:ascii="Times New Roman"/>
                            <w:sz w:val="18"/>
                          </w:rPr>
                          <w:t>904.00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92,184,474.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55</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1,894,935,407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35,173,620.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9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1,047,409.26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42,345,939.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1,273,386,271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.35</w:t>
                        </w: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4,443,787,786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.28</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130,126,252.4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4,573,914,038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.75</w:t>
                        </w:r>
                      </w:p>
                    </w:tc>
                  </w:tr>
                  <w:tr>
                    <w:trPr>
                      <w:trHeight w:val="39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74,734,29</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-74,965,682.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349,367,245.7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-17,114,978.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16,143,420.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-1,047,409.26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-978,136,758.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-595,103,606.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26,054,585.45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-569,049,020.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16,143,420.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00</w:t>
                        </w: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-936,517,823.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-920,374,403.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26,342,091.33</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-894,032,312.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r>
                  <w:tr>
                    <w:trPr>
                      <w:trHeight w:val="39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74,734,29</w:t>
                        </w:r>
                      </w:p>
                      <w:p>
                        <w:pPr>
                          <w:pStyle w:val="TableParagraph"/>
                          <w:spacing w:line="240" w:lineRule="auto" w:before="105"/>
                          <w:ind w:left="495" w:right="0"/>
                          <w:jc w:val="left"/>
                          <w:rPr>
                            <w:rFonts w:ascii="Times New Roman" w:hAnsi="Times New Roman" w:cs="Times New Roman" w:eastAsia="Times New Roman" w:hint="default"/>
                            <w:sz w:val="18"/>
                            <w:szCs w:val="18"/>
                          </w:rPr>
                        </w:pPr>
                        <w:r>
                          <w:rPr>
                            <w:rFonts w:ascii="Times New Roman"/>
                            <w:sz w:val="18"/>
                          </w:rPr>
                          <w:t>0.00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-74,965,682.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349,367,245.7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-17,114,978.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99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366,250,831.2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-287,505.88</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365,963,325.3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4"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75,172,29</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-74,965,682.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352,144,196.1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352,350,803.4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352,350,803.4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股份支付计入所有者权益的</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-438,000.0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-2,776,950.39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-19,314,720.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16,099,769.61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16,099,769.61</w:t>
                        </w:r>
                      </w:p>
                    </w:tc>
                  </w:tr>
                </w:tbl>
                <w:p>
                  <w:pPr/>
                </w:p>
              </w:txbxContent>
            </v:textbox>
            <w10:wrap type="none"/>
          </v:shape>
        </w:pict>
      </w:r>
      <w:r>
        <w:rPr>
          <w:rFonts w:ascii="宋体" w:hAnsi="宋体" w:cs="宋体" w:eastAsia="宋体" w:hint="default"/>
          <w:sz w:val="18"/>
          <w:szCs w:val="18"/>
        </w:rPr>
        <w:t>单位：元</w:t>
      </w:r>
    </w:p>
    <w:p>
      <w:pPr>
        <w:spacing w:after="0" w:line="227" w:lineRule="exact"/>
        <w:jc w:val="right"/>
        <w:rPr>
          <w:rFonts w:ascii="宋体" w:hAnsi="宋体" w:cs="宋体" w:eastAsia="宋体" w:hint="default"/>
          <w:sz w:val="18"/>
          <w:szCs w:val="18"/>
        </w:rPr>
        <w:sectPr>
          <w:headerReference w:type="default" r:id="rId23"/>
          <w:footerReference w:type="default" r:id="rId24"/>
          <w:pgSz w:w="16840" w:h="11910" w:orient="landscape"/>
          <w:pgMar w:header="867" w:footer="980" w:top="1060" w:bottom="1220" w:left="40" w:right="100"/>
          <w:pgNumType w:start="103"/>
        </w:sectPr>
      </w:pPr>
    </w:p>
    <w:p>
      <w:pPr>
        <w:spacing w:line="240" w:lineRule="auto" w:before="2"/>
        <w:rPr>
          <w:rFonts w:ascii="Times New Roman" w:hAnsi="Times New Roman" w:cs="Times New Roman" w:eastAsia="Times New Roman" w:hint="default"/>
          <w:sz w:val="3"/>
          <w:szCs w:val="3"/>
        </w:rPr>
      </w:pPr>
      <w:r>
        <w:rPr/>
        <w:pict>
          <v:group style="position:absolute;margin-left:129.020004pt;margin-top:277.910004pt;width:40.8pt;height:40.85pt;mso-position-horizontal-relative:page;mso-position-vertical-relative:page;z-index:-1431856" coordorigin="2580,5558" coordsize="816,817">
            <v:group style="position:absolute;left:2591;top:5569;width:2;height:392" coordorigin="2591,5569" coordsize="2,392">
              <v:shape style="position:absolute;left:2591;top:5569;width:2;height:392" coordorigin="2591,5569" coordsize="0,392" path="m2591,5569l2591,5960e" filled="false" stroked="true" strokeweight="1.08pt" strokecolor="#ffffff">
                <v:path arrowok="t"/>
              </v:shape>
            </v:group>
            <v:group style="position:absolute;left:2602;top:5569;width:795;height:392" coordorigin="2602,5569" coordsize="795,392">
              <v:shape style="position:absolute;left:2602;top:5569;width:795;height:392" coordorigin="2602,5569" coordsize="795,392" path="m2602,5960l3396,5960,3396,5569,2602,5569,2602,5960xe" filled="true" fillcolor="#ffffff" stroked="false">
                <v:path arrowok="t"/>
                <v:fill type="solid"/>
              </v:shape>
            </v:group>
            <v:group style="position:absolute;left:2591;top:5970;width:2;height:395" coordorigin="2591,5970" coordsize="2,395">
              <v:shape style="position:absolute;left:2591;top:5970;width:2;height:395" coordorigin="2591,5970" coordsize="0,395" path="m2591,5970l2591,6364e" filled="false" stroked="true" strokeweight="1.08pt" strokecolor="#ffffff">
                <v:path arrowok="t"/>
              </v:shape>
            </v:group>
            <v:group style="position:absolute;left:2602;top:5970;width:795;height:395" coordorigin="2602,5970" coordsize="795,395">
              <v:shape style="position:absolute;left:2602;top:5970;width:795;height:395" coordorigin="2602,5970" coordsize="795,395" path="m2602,6364l3396,6364,3396,5970,2602,5970,2602,6364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2411"/>
        <w:gridCol w:w="851"/>
        <w:gridCol w:w="566"/>
        <w:gridCol w:w="569"/>
        <w:gridCol w:w="992"/>
        <w:gridCol w:w="1133"/>
        <w:gridCol w:w="994"/>
        <w:gridCol w:w="994"/>
        <w:gridCol w:w="1133"/>
        <w:gridCol w:w="991"/>
        <w:gridCol w:w="852"/>
        <w:gridCol w:w="1133"/>
        <w:gridCol w:w="427"/>
        <w:gridCol w:w="1133"/>
        <w:gridCol w:w="1135"/>
        <w:gridCol w:w="1133"/>
      </w:tblGrid>
      <w:tr>
        <w:trPr>
          <w:trHeight w:val="377" w:hRule="exact"/>
        </w:trPr>
        <w:tc>
          <w:tcPr>
            <w:tcW w:w="24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2,199,741.8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-287,505.88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-2,487,247.69</w:t>
            </w:r>
          </w:p>
        </w:tc>
      </w:tr>
      <w:tr>
        <w:trPr>
          <w:trHeight w:val="71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-41,618,935.5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-39,932,624.7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-39,932,624.7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-1,686,310.72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-39,932,624.7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-39,932,624.7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-39,932,624.7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．设定受益计划变动额结转留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存收益</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77"/>
                <w:sz w:val="18"/>
                <w:szCs w:val="18"/>
              </w:rPr>
              <w:t>．</w:t>
            </w:r>
            <w:r>
              <w:rPr>
                <w:rFonts w:ascii="宋体" w:hAnsi="宋体" w:cs="宋体" w:eastAsia="宋体" w:hint="default"/>
                <w:sz w:val="18"/>
                <w:szCs w:val="18"/>
              </w:rPr>
              <w:t>其他综合收益结转留存收益</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-1,047,409.26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-1,047,409.26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-1,047,409.26</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1,356,031.50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1,356,031.50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1,356,031.50</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-2,403,440.76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-2,403,440.76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-2,403,440.76</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1,249,796,</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194.00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17,218,791.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2,244,302,653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18,058,641.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16,143,420.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44,032,250.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295,249,512.4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3,848,684,180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156,180,837.9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4,004,865,018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40" w:right="100"/>
        </w:sectPr>
      </w:pPr>
    </w:p>
    <w:p>
      <w:pPr>
        <w:spacing w:line="240" w:lineRule="auto" w:before="2"/>
        <w:rPr>
          <w:rFonts w:ascii="Times New Roman" w:hAnsi="Times New Roman" w:cs="Times New Roman" w:eastAsia="Times New Roman" w:hint="default"/>
          <w:sz w:val="3"/>
          <w:szCs w:val="3"/>
        </w:rPr>
      </w:pPr>
    </w:p>
    <w:p>
      <w:pPr>
        <w:spacing w:line="20" w:lineRule="exact"/>
        <w:ind w:left="13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19"/>
        <w:ind w:left="14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4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412"/>
        <w:gridCol w:w="850"/>
        <w:gridCol w:w="566"/>
        <w:gridCol w:w="569"/>
        <w:gridCol w:w="992"/>
        <w:gridCol w:w="1133"/>
        <w:gridCol w:w="994"/>
        <w:gridCol w:w="994"/>
        <w:gridCol w:w="1133"/>
        <w:gridCol w:w="991"/>
        <w:gridCol w:w="852"/>
        <w:gridCol w:w="1133"/>
        <w:gridCol w:w="427"/>
        <w:gridCol w:w="1133"/>
        <w:gridCol w:w="1135"/>
        <w:gridCol w:w="1133"/>
      </w:tblGrid>
      <w:tr>
        <w:trPr>
          <w:trHeight w:val="401" w:hRule="exact"/>
        </w:trPr>
        <w:tc>
          <w:tcPr>
            <w:tcW w:w="2412" w:type="dxa"/>
            <w:vMerge w:val="restart"/>
            <w:tcBorders>
              <w:top w:val="single" w:sz="4" w:space="0" w:color="000000"/>
              <w:left w:val="single" w:sz="4" w:space="0" w:color="000000"/>
              <w:right w:val="single" w:sz="4" w:space="0" w:color="000000"/>
            </w:tcBorders>
            <w:shd w:val="clear" w:color="auto" w:fill="D2D2D2"/>
          </w:tcPr>
          <w:p>
            <w:pPr/>
          </w:p>
        </w:tc>
        <w:tc>
          <w:tcPr>
            <w:tcW w:w="1403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98" w:hRule="exact"/>
        </w:trPr>
        <w:tc>
          <w:tcPr>
            <w:tcW w:w="2412" w:type="dxa"/>
            <w:vMerge/>
            <w:tcBorders>
              <w:left w:val="single" w:sz="4" w:space="0" w:color="000000"/>
              <w:bottom w:val="nil" w:sz="6" w:space="0" w:color="auto"/>
              <w:right w:val="single" w:sz="4" w:space="0" w:color="000000"/>
            </w:tcBorders>
            <w:shd w:val="clear" w:color="auto" w:fill="D2D2D2"/>
          </w:tcPr>
          <w:p>
            <w:pPr/>
          </w:p>
        </w:tc>
        <w:tc>
          <w:tcPr>
            <w:tcW w:w="1176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1" w:hRule="exact"/>
        </w:trPr>
        <w:tc>
          <w:tcPr>
            <w:tcW w:w="24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72"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379" w:right="111"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64" w:hRule="exact"/>
        </w:trPr>
        <w:tc>
          <w:tcPr>
            <w:tcW w:w="241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9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33"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9" w:right="60"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r>
      <w:tr>
        <w:trPr>
          <w:trHeight w:val="195" w:hRule="exact"/>
        </w:trPr>
        <w:tc>
          <w:tcPr>
            <w:tcW w:w="2412"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3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89" w:right="9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89"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2"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r>
      <w:tr>
        <w:trPr>
          <w:trHeight w:val="181" w:hRule="exact"/>
        </w:trPr>
        <w:tc>
          <w:tcPr>
            <w:tcW w:w="241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single" w:sz="18" w:space="0" w:color="FFFFFF"/>
              <w:right w:val="single" w:sz="4" w:space="0" w:color="000000"/>
            </w:tcBorders>
            <w:shd w:val="clear" w:color="auto" w:fill="D2D2D2"/>
          </w:tcPr>
          <w:p>
            <w:pPr/>
          </w:p>
        </w:tc>
        <w:tc>
          <w:tcPr>
            <w:tcW w:w="427" w:type="dxa"/>
            <w:vMerge/>
            <w:tcBorders>
              <w:left w:val="single" w:sz="4" w:space="0" w:color="000000"/>
              <w:bottom w:val="single" w:sz="18" w:space="0" w:color="FFFFFF"/>
              <w:right w:val="single" w:sz="4" w:space="0" w:color="000000"/>
            </w:tcBorders>
            <w:shd w:val="clear" w:color="auto" w:fill="D2D2D2"/>
          </w:tcPr>
          <w:p>
            <w:pPr/>
          </w:p>
        </w:tc>
        <w:tc>
          <w:tcPr>
            <w:tcW w:w="1133" w:type="dxa"/>
            <w:vMerge/>
            <w:tcBorders>
              <w:left w:val="single" w:sz="4" w:space="0" w:color="000000"/>
              <w:bottom w:val="single" w:sz="18" w:space="0" w:color="FFFFFF"/>
              <w:right w:val="single" w:sz="4" w:space="0" w:color="000000"/>
            </w:tcBorders>
            <w:shd w:val="clear" w:color="auto" w:fill="D2D2D2"/>
          </w:tcPr>
          <w:p>
            <w:pPr/>
          </w:p>
        </w:tc>
        <w:tc>
          <w:tcPr>
            <w:tcW w:w="1135" w:type="dxa"/>
            <w:vMerge/>
            <w:tcBorders>
              <w:left w:val="single" w:sz="4" w:space="0" w:color="000000"/>
              <w:bottom w:val="single" w:sz="18" w:space="0" w:color="FFFFFF"/>
              <w:right w:val="single" w:sz="4" w:space="0" w:color="000000"/>
            </w:tcBorders>
            <w:shd w:val="clear" w:color="auto" w:fill="D2D2D2"/>
          </w:tcPr>
          <w:p>
            <w:pPr/>
          </w:p>
        </w:tc>
        <w:tc>
          <w:tcPr>
            <w:tcW w:w="1133" w:type="dxa"/>
            <w:vMerge/>
            <w:tcBorders>
              <w:left w:val="single" w:sz="4" w:space="0" w:color="000000"/>
              <w:bottom w:val="single" w:sz="18" w:space="0" w:color="FFFFFF"/>
              <w:right w:val="single" w:sz="4" w:space="0" w:color="000000"/>
            </w:tcBorders>
            <w:shd w:val="clear" w:color="auto" w:fill="D2D2D2"/>
          </w:tcPr>
          <w:p>
            <w:pPr/>
          </w:p>
        </w:tc>
      </w:tr>
      <w:tr>
        <w:trPr>
          <w:trHeight w:val="182" w:hRule="exact"/>
        </w:trPr>
        <w:tc>
          <w:tcPr>
            <w:tcW w:w="2412"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18" w:space="0" w:color="FFFFFF"/>
              <w:left w:val="single" w:sz="4" w:space="0" w:color="000000"/>
              <w:right w:val="single" w:sz="4" w:space="0" w:color="000000"/>
            </w:tcBorders>
            <w:shd w:val="clear" w:color="auto" w:fill="D2D2D2"/>
          </w:tcPr>
          <w:p>
            <w:pPr/>
          </w:p>
        </w:tc>
        <w:tc>
          <w:tcPr>
            <w:tcW w:w="427" w:type="dxa"/>
            <w:vMerge w:val="restart"/>
            <w:tcBorders>
              <w:top w:val="single" w:sz="18" w:space="0" w:color="FFFFFF"/>
              <w:left w:val="single" w:sz="4" w:space="0" w:color="000000"/>
              <w:right w:val="single" w:sz="4" w:space="0" w:color="000000"/>
            </w:tcBorders>
            <w:shd w:val="clear" w:color="auto" w:fill="D2D2D2"/>
          </w:tcPr>
          <w:p>
            <w:pPr/>
          </w:p>
        </w:tc>
        <w:tc>
          <w:tcPr>
            <w:tcW w:w="1133" w:type="dxa"/>
            <w:vMerge w:val="restart"/>
            <w:tcBorders>
              <w:top w:val="single" w:sz="18" w:space="0" w:color="FFFFFF"/>
              <w:left w:val="single" w:sz="4" w:space="0" w:color="000000"/>
              <w:right w:val="single" w:sz="4" w:space="0" w:color="000000"/>
            </w:tcBorders>
            <w:shd w:val="clear" w:color="auto" w:fill="D2D2D2"/>
          </w:tcPr>
          <w:p>
            <w:pPr/>
          </w:p>
        </w:tc>
        <w:tc>
          <w:tcPr>
            <w:tcW w:w="1135" w:type="dxa"/>
            <w:vMerge w:val="restart"/>
            <w:tcBorders>
              <w:top w:val="single" w:sz="18" w:space="0" w:color="FFFFFF"/>
              <w:left w:val="single" w:sz="4" w:space="0" w:color="000000"/>
              <w:right w:val="single" w:sz="4" w:space="0" w:color="000000"/>
            </w:tcBorders>
            <w:shd w:val="clear" w:color="auto" w:fill="D2D2D2"/>
          </w:tcPr>
          <w:p>
            <w:pPr/>
          </w:p>
        </w:tc>
        <w:tc>
          <w:tcPr>
            <w:tcW w:w="1133" w:type="dxa"/>
            <w:vMerge w:val="restart"/>
            <w:tcBorders>
              <w:top w:val="single" w:sz="18" w:space="0" w:color="FFFFFF"/>
              <w:left w:val="single" w:sz="4" w:space="0" w:color="000000"/>
              <w:right w:val="single" w:sz="4" w:space="0" w:color="000000"/>
            </w:tcBorders>
            <w:shd w:val="clear" w:color="auto" w:fill="D2D2D2"/>
          </w:tcPr>
          <w:p>
            <w:pPr/>
          </w:p>
        </w:tc>
      </w:tr>
      <w:tr>
        <w:trPr>
          <w:trHeight w:val="195" w:hRule="exact"/>
        </w:trPr>
        <w:tc>
          <w:tcPr>
            <w:tcW w:w="241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1,175,365,</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904.00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1,895,409,563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-20,542.00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1,410,051.23</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32,548,685.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927,544,179.8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3,982,961,122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106,227,737.4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4,089,188,859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r>
      <w:tr>
        <w:trPr>
          <w:trHeight w:val="39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1,175,365,</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904.00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1,895,409,563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-20,542.00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1,410,051.23</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32,548,685.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927,544,179.8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3,982,961,122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106,227,737.4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4,089,188,859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r>
      <w:tr>
        <w:trPr>
          <w:trHeight w:val="394"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-474,156.12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-14,123,100.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20,542.00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-362,641.97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9,797,254.1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345,842,091.4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460,826,664.0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23,898,515.07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484,725,179.1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20,542.00</w:t>
            </w: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397,943,111.2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397,963,653.2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23,898,515.07</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421,862,168.3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94"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1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-474,156.12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-14,123,100.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105,529,418.4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35"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105,529,418.4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85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16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850"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92,184,474.55</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股份支付计入所有者权益的</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-304,000.0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-474,156.12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-14,123,100.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13,344,943.88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13,344,943.88</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40" w:right="100"/>
        </w:sectPr>
      </w:pPr>
    </w:p>
    <w:p>
      <w:pPr>
        <w:spacing w:line="240" w:lineRule="auto" w:before="2"/>
        <w:rPr>
          <w:rFonts w:ascii="Times New Roman" w:hAnsi="Times New Roman" w:cs="Times New Roman" w:eastAsia="Times New Roman" w:hint="default"/>
          <w:sz w:val="3"/>
          <w:szCs w:val="3"/>
        </w:rPr>
      </w:pPr>
      <w:r>
        <w:rPr/>
        <w:pict>
          <v:group style="position:absolute;margin-left:129.020004pt;margin-top:262.309998pt;width:40.8pt;height:40.8pt;mso-position-horizontal-relative:page;mso-position-vertical-relative:page;z-index:-1431808" coordorigin="2580,5246" coordsize="816,816">
            <v:group style="position:absolute;left:2591;top:5257;width:2;height:392" coordorigin="2591,5257" coordsize="2,392">
              <v:shape style="position:absolute;left:2591;top:5257;width:2;height:392" coordorigin="2591,5257" coordsize="0,392" path="m2591,5257l2591,5648e" filled="false" stroked="true" strokeweight="1.08pt" strokecolor="#ffffff">
                <v:path arrowok="t"/>
              </v:shape>
            </v:group>
            <v:group style="position:absolute;left:2602;top:5257;width:795;height:392" coordorigin="2602,5257" coordsize="795,392">
              <v:shape style="position:absolute;left:2602;top:5257;width:795;height:392" coordorigin="2602,5257" coordsize="795,392" path="m2602,5648l3396,5648,3396,5257,2602,5257,2602,5648xe" filled="true" fillcolor="#ffffff" stroked="false">
                <v:path arrowok="t"/>
                <v:fill type="solid"/>
              </v:shape>
            </v:group>
            <v:group style="position:absolute;left:2591;top:5658;width:2;height:394" coordorigin="2591,5658" coordsize="2,394">
              <v:shape style="position:absolute;left:2591;top:5658;width:2;height:394" coordorigin="2591,5658" coordsize="0,394" path="m2591,5658l2591,6051e" filled="false" stroked="true" strokeweight="1.08pt" strokecolor="#ffffff">
                <v:path arrowok="t"/>
              </v:shape>
            </v:group>
            <v:group style="position:absolute;left:2602;top:5658;width:795;height:394" coordorigin="2602,5658" coordsize="795,394">
              <v:shape style="position:absolute;left:2602;top:5658;width:795;height:394" coordorigin="2602,5658" coordsize="795,394" path="m2602,6051l3396,6051,3396,5658,2602,5658,2602,6051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2411"/>
        <w:gridCol w:w="851"/>
        <w:gridCol w:w="566"/>
        <w:gridCol w:w="569"/>
        <w:gridCol w:w="992"/>
        <w:gridCol w:w="1133"/>
        <w:gridCol w:w="994"/>
        <w:gridCol w:w="994"/>
        <w:gridCol w:w="1133"/>
        <w:gridCol w:w="991"/>
        <w:gridCol w:w="852"/>
        <w:gridCol w:w="1133"/>
        <w:gridCol w:w="427"/>
        <w:gridCol w:w="1133"/>
        <w:gridCol w:w="1135"/>
        <w:gridCol w:w="1133"/>
      </w:tblGrid>
      <w:tr>
        <w:trPr>
          <w:trHeight w:val="377" w:hRule="exact"/>
        </w:trPr>
        <w:tc>
          <w:tcPr>
            <w:tcW w:w="24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9,797,254.1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-52,101,019.8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-42,303,765.6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9,797,254.1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-9,797,254.12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-42,303,765.6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-42,303,765.6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．设定受益计划变动额结转留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存收益</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77"/>
                <w:sz w:val="18"/>
                <w:szCs w:val="18"/>
              </w:rPr>
              <w:t>．</w:t>
            </w:r>
            <w:r>
              <w:rPr>
                <w:rFonts w:ascii="宋体" w:hAnsi="宋体" w:cs="宋体" w:eastAsia="宋体" w:hint="default"/>
                <w:sz w:val="18"/>
                <w:szCs w:val="18"/>
              </w:rPr>
              <w:t>其他综合收益结转留存收益</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-362,641.97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-362,641.97</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-362,641.97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-362,641.97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-362,641.97</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362,641.97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362,641.97</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362,641.97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362,641.97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362,641.97</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1,175,061,</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904.00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92,184,474.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1,894,935,407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35,173,620.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1,047,409.26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42,345,939.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1,273,386,271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4,443,787,786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130,126,252.4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4,573,914,038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40" w:right="10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8、母公司所有者权益变动表" w:id="187"/>
      <w:bookmarkEnd w:id="18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9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61"/>
        <w:gridCol w:w="1430"/>
        <w:gridCol w:w="425"/>
        <w:gridCol w:w="567"/>
        <w:gridCol w:w="1135"/>
        <w:gridCol w:w="1416"/>
        <w:gridCol w:w="1136"/>
        <w:gridCol w:w="708"/>
        <w:gridCol w:w="850"/>
        <w:gridCol w:w="1135"/>
        <w:gridCol w:w="1275"/>
        <w:gridCol w:w="569"/>
        <w:gridCol w:w="1418"/>
      </w:tblGrid>
      <w:tr>
        <w:trPr>
          <w:trHeight w:val="397" w:hRule="exact"/>
        </w:trPr>
        <w:tc>
          <w:tcPr>
            <w:tcW w:w="1961" w:type="dxa"/>
            <w:vMerge w:val="restart"/>
            <w:tcBorders>
              <w:top w:val="single" w:sz="4" w:space="0" w:color="000000"/>
              <w:left w:val="single" w:sz="4" w:space="0" w:color="000000"/>
              <w:right w:val="single" w:sz="4" w:space="0" w:color="000000"/>
            </w:tcBorders>
            <w:shd w:val="clear" w:color="auto" w:fill="D2D2D2"/>
          </w:tcPr>
          <w:p>
            <w:pPr/>
          </w:p>
        </w:tc>
        <w:tc>
          <w:tcPr>
            <w:tcW w:w="120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88"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90" w:hRule="exact"/>
        </w:trPr>
        <w:tc>
          <w:tcPr>
            <w:tcW w:w="19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tcBorders>
              <w:left w:val="single" w:sz="4" w:space="0" w:color="000000"/>
              <w:bottom w:val="nil" w:sz="6" w:space="0" w:color="auto"/>
              <w:right w:val="single" w:sz="4" w:space="0" w:color="000000"/>
            </w:tcBorders>
            <w:shd w:val="clear" w:color="auto" w:fill="D2D2D2"/>
          </w:tcPr>
          <w:p>
            <w:pP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76"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0"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15"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90"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961"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961"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1961"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1,175,061,904.00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1,881,400,718.21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35,173,620.00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42,345,939.65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209,340,355.24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3,365,159,771.65</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4"/>
              <w:jc w:val="center"/>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1,175,061,904.00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1,881,400,718.21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35,173,620.00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42,345,939.65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209,340,355.24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3,365,159,771.65</w:t>
            </w:r>
          </w:p>
        </w:tc>
      </w:tr>
      <w:tr>
        <w:trPr>
          <w:trHeight w:val="716"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74,734,290.00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-74,965,682.6</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349,367,245.74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-17,114,978.1</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1,686,310.72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-24,755,828.33</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343,181,313.65</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center"/>
              <w:rPr>
                <w:rFonts w:ascii="Times New Roman" w:hAnsi="Times New Roman" w:cs="Times New Roman" w:eastAsia="Times New Roman" w:hint="default"/>
                <w:sz w:val="18"/>
                <w:szCs w:val="18"/>
              </w:rPr>
            </w:pPr>
            <w:r>
              <w:rPr>
                <w:rFonts w:ascii="Times New Roman"/>
                <w:sz w:val="18"/>
              </w:rPr>
              <w:t>16,863,107.18</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16,863,107.18</w:t>
            </w:r>
          </w:p>
        </w:tc>
      </w:tr>
      <w:tr>
        <w:trPr>
          <w:trHeight w:val="715"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74,734,290.00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-74,965,682.6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349,367,245.74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-17,114,978.1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366,250,831.26</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75,172,290.00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-74,965,682.6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352,144,196.13</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352,350,803.46</w:t>
            </w:r>
          </w:p>
        </w:tc>
      </w:tr>
      <w:tr>
        <w:trPr>
          <w:trHeight w:val="71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-2,776,950.39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-19,314,720.0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16,099,769.61</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2,199,741.81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-2,199,741.81</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1,686,310.72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-41,618,935.51</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-39,932,624.79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8"/>
        <w:gridCol w:w="425"/>
        <w:gridCol w:w="567"/>
        <w:gridCol w:w="1135"/>
        <w:gridCol w:w="1416"/>
        <w:gridCol w:w="1136"/>
        <w:gridCol w:w="708"/>
        <w:gridCol w:w="850"/>
        <w:gridCol w:w="1135"/>
        <w:gridCol w:w="1275"/>
        <w:gridCol w:w="569"/>
        <w:gridCol w:w="1418"/>
      </w:tblGrid>
      <w:tr>
        <w:trPr>
          <w:trHeight w:val="418"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132" w:right="0"/>
              <w:jc w:val="center"/>
              <w:rPr>
                <w:rFonts w:ascii="Times New Roman" w:hAnsi="Times New Roman" w:cs="Times New Roman" w:eastAsia="Times New Roman" w:hint="default"/>
                <w:sz w:val="18"/>
                <w:szCs w:val="18"/>
              </w:rPr>
            </w:pPr>
            <w:r>
              <w:rPr>
                <w:rFonts w:ascii="Times New Roman"/>
                <w:sz w:val="18"/>
              </w:rPr>
              <w:t>1,686,310.72</w:t>
            </w: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11" w:right="0"/>
              <w:jc w:val="center"/>
              <w:rPr>
                <w:rFonts w:ascii="Times New Roman" w:hAnsi="Times New Roman" w:cs="Times New Roman" w:eastAsia="Times New Roman" w:hint="default"/>
                <w:sz w:val="18"/>
                <w:szCs w:val="18"/>
              </w:rPr>
            </w:pPr>
            <w:r>
              <w:rPr>
                <w:rFonts w:ascii="Times New Roman"/>
                <w:sz w:val="18"/>
              </w:rPr>
              <w:t>-1,686,310.72</w:t>
            </w:r>
          </w:p>
        </w:tc>
        <w:tc>
          <w:tcPr>
            <w:tcW w:w="569"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-39,932,624.79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-39,932,624.79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 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4" w:right="0"/>
              <w:jc w:val="left"/>
              <w:rPr>
                <w:rFonts w:ascii="Times New Roman" w:hAnsi="Times New Roman" w:cs="Times New Roman" w:eastAsia="Times New Roman" w:hint="default"/>
                <w:sz w:val="18"/>
                <w:szCs w:val="18"/>
              </w:rPr>
            </w:pPr>
            <w:r>
              <w:rPr>
                <w:rFonts w:ascii="Times New Roman"/>
                <w:sz w:val="18"/>
              </w:rPr>
              <w:t>1,249,796,194.00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 w:right="0"/>
              <w:jc w:val="left"/>
              <w:rPr>
                <w:rFonts w:ascii="Times New Roman" w:hAnsi="Times New Roman" w:cs="Times New Roman" w:eastAsia="Times New Roman" w:hint="default"/>
                <w:sz w:val="18"/>
                <w:szCs w:val="18"/>
              </w:rPr>
            </w:pPr>
            <w:r>
              <w:rPr>
                <w:rFonts w:ascii="Times New Roman"/>
                <w:sz w:val="18"/>
              </w:rPr>
              <w:t>17,218,791.88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2,230,767,963.95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 w:right="0"/>
              <w:jc w:val="left"/>
              <w:rPr>
                <w:rFonts w:ascii="Times New Roman" w:hAnsi="Times New Roman" w:cs="Times New Roman" w:eastAsia="Times New Roman" w:hint="default"/>
                <w:sz w:val="18"/>
                <w:szCs w:val="18"/>
              </w:rPr>
            </w:pPr>
            <w:r>
              <w:rPr>
                <w:rFonts w:ascii="Times New Roman"/>
                <w:sz w:val="18"/>
              </w:rPr>
              <w:t>18,058,641.81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 w:right="0"/>
              <w:jc w:val="center"/>
              <w:rPr>
                <w:rFonts w:ascii="Times New Roman" w:hAnsi="Times New Roman" w:cs="Times New Roman" w:eastAsia="Times New Roman" w:hint="default"/>
                <w:sz w:val="18"/>
                <w:szCs w:val="18"/>
              </w:rPr>
            </w:pPr>
            <w:r>
              <w:rPr>
                <w:rFonts w:ascii="Times New Roman"/>
                <w:sz w:val="18"/>
              </w:rPr>
              <w:t>44,032,250.37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 w:right="0"/>
              <w:jc w:val="center"/>
              <w:rPr>
                <w:rFonts w:ascii="Times New Roman" w:hAnsi="Times New Roman" w:cs="Times New Roman" w:eastAsia="Times New Roman" w:hint="default"/>
                <w:sz w:val="18"/>
                <w:szCs w:val="18"/>
              </w:rPr>
            </w:pPr>
            <w:r>
              <w:rPr>
                <w:rFonts w:ascii="Times New Roman"/>
                <w:sz w:val="18"/>
              </w:rPr>
              <w:t>184,584,526.91</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3,708,341,085.30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40"/>
        </w:sectPr>
      </w:pPr>
    </w:p>
    <w:p>
      <w:pPr>
        <w:spacing w:line="240" w:lineRule="auto" w:before="2"/>
        <w:rPr>
          <w:rFonts w:ascii="Times New Roman" w:hAnsi="Times New Roman" w:cs="Times New Roman" w:eastAsia="Times New Roman" w:hint="default"/>
          <w:sz w:val="3"/>
          <w:szCs w:val="3"/>
        </w:rPr>
      </w:pPr>
      <w:r>
        <w:rPr/>
        <w:pict>
          <v:shape style="position:absolute;margin-left:72.360001pt;margin-top:91.94001pt;width:702pt;height:440.4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1"/>
                    <w:gridCol w:w="1430"/>
                    <w:gridCol w:w="425"/>
                    <w:gridCol w:w="567"/>
                    <w:gridCol w:w="1135"/>
                    <w:gridCol w:w="1416"/>
                    <w:gridCol w:w="1136"/>
                    <w:gridCol w:w="708"/>
                    <w:gridCol w:w="850"/>
                    <w:gridCol w:w="1135"/>
                    <w:gridCol w:w="1275"/>
                    <w:gridCol w:w="569"/>
                    <w:gridCol w:w="1418"/>
                  </w:tblGrid>
                  <w:tr>
                    <w:trPr>
                      <w:trHeight w:val="396" w:hRule="exact"/>
                    </w:trPr>
                    <w:tc>
                      <w:tcPr>
                        <w:tcW w:w="1961" w:type="dxa"/>
                        <w:vMerge w:val="restart"/>
                        <w:tcBorders>
                          <w:top w:val="single" w:sz="4" w:space="0" w:color="000000"/>
                          <w:left w:val="single" w:sz="4" w:space="0" w:color="000000"/>
                          <w:right w:val="single" w:sz="4" w:space="0" w:color="000000"/>
                        </w:tcBorders>
                        <w:shd w:val="clear" w:color="auto" w:fill="D2D2D2"/>
                      </w:tcPr>
                      <w:p>
                        <w:pPr/>
                      </w:p>
                    </w:tc>
                    <w:tc>
                      <w:tcPr>
                        <w:tcW w:w="120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9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tcBorders>
                          <w:left w:val="single" w:sz="4" w:space="0" w:color="000000"/>
                          <w:bottom w:val="single" w:sz="14" w:space="0" w:color="FFFFFF"/>
                          <w:right w:val="single" w:sz="4" w:space="0" w:color="000000"/>
                        </w:tcBorders>
                        <w:shd w:val="clear" w:color="auto" w:fill="D2D2D2"/>
                      </w:tcPr>
                      <w:p>
                        <w:pPr/>
                      </w:p>
                    </w:tc>
                    <w:tc>
                      <w:tcPr>
                        <w:tcW w:w="2127" w:type="dxa"/>
                        <w:gridSpan w:val="3"/>
                        <w:vMerge/>
                        <w:tcBorders>
                          <w:left w:val="single" w:sz="4" w:space="0" w:color="000000"/>
                          <w:bottom w:val="single" w:sz="14" w:space="0" w:color="FFFFFF"/>
                          <w:right w:val="single" w:sz="4" w:space="0" w:color="000000"/>
                        </w:tcBorders>
                        <w:shd w:val="clear" w:color="auto" w:fill="D2D2D2"/>
                      </w:tcPr>
                      <w:p>
                        <w:pPr/>
                      </w:p>
                    </w:tc>
                    <w:tc>
                      <w:tcPr>
                        <w:tcW w:w="1416" w:type="dxa"/>
                        <w:vMerge/>
                        <w:tcBorders>
                          <w:left w:val="single" w:sz="4" w:space="0" w:color="000000"/>
                          <w:bottom w:val="single" w:sz="14" w:space="0" w:color="FFFFFF"/>
                          <w:right w:val="single" w:sz="4" w:space="0" w:color="000000"/>
                        </w:tcBorders>
                        <w:shd w:val="clear" w:color="auto" w:fill="D2D2D2"/>
                      </w:tcPr>
                      <w:p>
                        <w:pPr/>
                      </w:p>
                    </w:tc>
                    <w:tc>
                      <w:tcPr>
                        <w:tcW w:w="1136" w:type="dxa"/>
                        <w:vMerge/>
                        <w:tcBorders>
                          <w:left w:val="single" w:sz="4" w:space="0" w:color="000000"/>
                          <w:bottom w:val="single" w:sz="14" w:space="0" w:color="FFFFFF"/>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76"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0"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15"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7"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90"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3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41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961"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961"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1961"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1,175,365,904.00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1,881,874,874.33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49,296,720.00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32,548,685.53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163,468,833.89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3,203,961,577.75</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4"/>
                          <w:jc w:val="center"/>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1,175,365,904.00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1,881,874,874.33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49,296,720.00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32,548,685.53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163,468,833.89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3,203,961,577.75</w:t>
                        </w:r>
                      </w:p>
                    </w:tc>
                  </w:tr>
                  <w:tr>
                    <w:trPr>
                      <w:trHeight w:val="71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-474,156.12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-14,123,100.0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9,797,254.12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45,871,521.35</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161,198,193.90</w:t>
                        </w:r>
                      </w:p>
                    </w:tc>
                  </w:tr>
                  <w:tr>
                    <w:trPr>
                      <w:trHeight w:val="404"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center"/>
                          <w:rPr>
                            <w:rFonts w:ascii="Times New Roman" w:hAnsi="Times New Roman" w:cs="Times New Roman" w:eastAsia="Times New Roman" w:hint="default"/>
                            <w:sz w:val="18"/>
                            <w:szCs w:val="18"/>
                          </w:rPr>
                        </w:pPr>
                        <w:r>
                          <w:rPr>
                            <w:rFonts w:ascii="Times New Roman"/>
                            <w:sz w:val="18"/>
                          </w:rPr>
                          <w:t>97,972,541.16</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97,972,541.16</w:t>
                        </w:r>
                      </w:p>
                    </w:tc>
                  </w:tr>
                  <w:tr>
                    <w:trPr>
                      <w:trHeight w:val="71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-474,156.12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-14,123,100.0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105,529,418.43</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92,184,474.55</w:t>
                        </w:r>
                      </w:p>
                    </w:tc>
                  </w:tr>
                  <w:tr>
                    <w:trPr>
                      <w:trHeight w:val="716"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-474,156.12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-14,123,100.0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13,344,943.88</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9,797,254.12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-52,101,019.81</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-42,303,765.69</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9,797,254.12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center"/>
                          <w:rPr>
                            <w:rFonts w:ascii="Times New Roman" w:hAnsi="Times New Roman" w:cs="Times New Roman" w:eastAsia="Times New Roman" w:hint="default"/>
                            <w:sz w:val="18"/>
                            <w:szCs w:val="18"/>
                          </w:rPr>
                        </w:pPr>
                        <w:r>
                          <w:rPr>
                            <w:rFonts w:ascii="Times New Roman"/>
                            <w:sz w:val="18"/>
                          </w:rPr>
                          <w:t>-9,797,254.12</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tc>
                    <w:tc>
                      <w:tcPr>
                        <w:tcW w:w="143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-42,303,765.69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-42,303,765.69</w:t>
                        </w:r>
                      </w:p>
                    </w:tc>
                  </w:tr>
                </w:tbl>
                <w:p>
                  <w:pPr/>
                </w:p>
              </w:txbxContent>
            </v:textbox>
            <w10:wrap type="none"/>
          </v:shape>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17"/>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29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6840" w:h="11910" w:orient="landscape"/>
          <w:pgMar w:header="867" w:footer="980" w:top="1060" w:bottom="1280" w:left="130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1418"/>
        <w:gridCol w:w="425"/>
        <w:gridCol w:w="567"/>
        <w:gridCol w:w="1135"/>
        <w:gridCol w:w="1416"/>
        <w:gridCol w:w="1136"/>
        <w:gridCol w:w="708"/>
        <w:gridCol w:w="850"/>
        <w:gridCol w:w="1135"/>
        <w:gridCol w:w="1275"/>
        <w:gridCol w:w="569"/>
        <w:gridCol w:w="1418"/>
      </w:tblGrid>
      <w:tr>
        <w:trPr>
          <w:trHeight w:val="377"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 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1,175,061,904.00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92,184,474.55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1,881,400,718.21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35,173,620.00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42,345,939.65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209,340,355.24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3,365,159,771.65</w:t>
            </w:r>
          </w:p>
        </w:tc>
      </w:tr>
    </w:tbl>
    <w:p>
      <w:pPr>
        <w:spacing w:after="0" w:line="240" w:lineRule="auto"/>
        <w:jc w:val="left"/>
        <w:rPr>
          <w:rFonts w:ascii="Times New Roman" w:hAnsi="Times New Roman" w:cs="Times New Roman" w:eastAsia="Times New Roman" w:hint="default"/>
          <w:sz w:val="18"/>
          <w:szCs w:val="18"/>
        </w:rPr>
        <w:sectPr>
          <w:footerReference w:type="default" r:id="rId25"/>
          <w:pgSz w:w="16840" w:h="11910" w:orient="landscape"/>
          <w:pgMar w:footer="980" w:header="867" w:top="1060" w:bottom="1160" w:left="1320" w:right="1240"/>
          <w:pgNumType w:start="11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33"/>
        <w:jc w:val="left"/>
        <w:rPr>
          <w:b w:val="0"/>
          <w:bCs w:val="0"/>
        </w:rPr>
      </w:pPr>
      <w:bookmarkStart w:name="三、公司基本情况" w:id="188"/>
      <w:bookmarkEnd w:id="188"/>
      <w:r>
        <w:rPr>
          <w:b w:val="0"/>
          <w:bCs w:val="0"/>
        </w:rPr>
      </w:r>
      <w:r>
        <w:rPr/>
        <w:t>三、公司基本情况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left="573" w:right="1133" w:firstLine="2"/>
        <w:jc w:val="left"/>
      </w:pPr>
      <w:r>
        <w:rPr>
          <w:rFonts w:ascii="宋体" w:hAnsi="宋体" w:cs="宋体" w:eastAsia="宋体" w:hint="default"/>
          <w:b/>
          <w:bCs/>
        </w:rPr>
        <w:t>（一）公司历史沿革</w:t>
      </w:r>
      <w:r>
        <w:rPr>
          <w:rFonts w:ascii="宋体" w:hAnsi="宋体" w:cs="宋体" w:eastAsia="宋体" w:hint="default"/>
          <w:b/>
          <w:bCs/>
          <w:w w:val="100"/>
        </w:rPr>
        <w:t> </w:t>
      </w:r>
      <w:r>
        <w:rPr>
          <w:spacing w:val="-2"/>
        </w:rPr>
        <w:t>蓝盾信息安全技术股份有限公司（以下简称公司或蓝盾股份），原名广东天海威数码技术有限公司，</w:t>
      </w:r>
    </w:p>
    <w:p>
      <w:pPr>
        <w:pStyle w:val="BodyText"/>
        <w:spacing w:line="328" w:lineRule="auto" w:before="31"/>
        <w:ind w:right="1133"/>
        <w:jc w:val="left"/>
      </w:pPr>
      <w:r>
        <w:rPr/>
        <w:t>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日由广东省工商行政管理局核准注册成立，目前统一社会信用代码为</w:t>
      </w:r>
      <w:r>
        <w:rPr>
          <w:w w:val="100"/>
        </w:rPr>
        <w:t> </w:t>
      </w:r>
      <w:r>
        <w:rPr>
          <w:rFonts w:ascii="Times New Roman" w:hAnsi="Times New Roman" w:cs="Times New Roman" w:eastAsia="Times New Roman" w:hint="default"/>
          <w:spacing w:val="-3"/>
        </w:rPr>
        <w:t>91440000707689817C</w:t>
      </w:r>
      <w:r>
        <w:rPr>
          <w:spacing w:val="-3"/>
        </w:rPr>
        <w:t>。公司成立时注册资本和实收资本为人民币</w:t>
      </w:r>
      <w:r>
        <w:rPr>
          <w:rFonts w:ascii="Times New Roman" w:hAnsi="Times New Roman" w:cs="Times New Roman" w:eastAsia="Times New Roman" w:hint="default"/>
          <w:spacing w:val="-3"/>
        </w:rPr>
        <w:t>100.00</w:t>
      </w:r>
      <w:r>
        <w:rPr>
          <w:spacing w:val="-3"/>
        </w:rPr>
        <w:t>万元，其中盘绍基以货币出资</w:t>
      </w:r>
      <w:r>
        <w:rPr>
          <w:rFonts w:ascii="Times New Roman" w:hAnsi="Times New Roman" w:cs="Times New Roman" w:eastAsia="Times New Roman" w:hint="default"/>
          <w:spacing w:val="-3"/>
        </w:rPr>
        <w:t>60.00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万元，持股</w:t>
      </w:r>
      <w:r>
        <w:rPr>
          <w:rFonts w:ascii="Times New Roman" w:hAnsi="Times New Roman" w:cs="Times New Roman" w:eastAsia="Times New Roman" w:hint="default"/>
        </w:rPr>
        <w:t>60%</w:t>
      </w:r>
      <w:r>
        <w:rPr/>
        <w:t>，李根森以货币出资</w:t>
      </w:r>
      <w:r>
        <w:rPr>
          <w:rFonts w:ascii="Times New Roman" w:hAnsi="Times New Roman" w:cs="Times New Roman" w:eastAsia="Times New Roman" w:hint="default"/>
        </w:rPr>
        <w:t>40.00</w:t>
      </w:r>
      <w:r>
        <w:rPr/>
        <w:t>万元，持股</w:t>
      </w:r>
      <w:r>
        <w:rPr>
          <w:rFonts w:ascii="Times New Roman" w:hAnsi="Times New Roman" w:cs="Times New Roman" w:eastAsia="Times New Roman" w:hint="default"/>
        </w:rPr>
        <w:t>40%</w:t>
      </w:r>
      <w:r>
        <w:rPr/>
        <w:t>。</w:t>
      </w:r>
    </w:p>
    <w:p>
      <w:pPr>
        <w:pStyle w:val="BodyText"/>
        <w:spacing w:line="240" w:lineRule="auto" w:before="24"/>
        <w:ind w:left="573" w:right="1133"/>
        <w:jc w:val="left"/>
      </w:pPr>
      <w:r>
        <w:rPr>
          <w:rFonts w:ascii="Times New Roman" w:hAnsi="Times New Roman" w:cs="Times New Roman" w:eastAsia="Times New Roman" w:hint="default"/>
        </w:rPr>
        <w:t>1</w:t>
      </w:r>
      <w:r>
        <w:rPr/>
        <w:t>、股份制改制</w:t>
      </w:r>
    </w:p>
    <w:p>
      <w:pPr>
        <w:pStyle w:val="BodyText"/>
        <w:spacing w:line="331" w:lineRule="auto" w:before="110"/>
        <w:ind w:right="1128" w:firstLine="42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日，经公司股东会同意，公司以</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日为基准日整体变更为股份有限公司，更名</w:t>
      </w:r>
      <w:r>
        <w:rPr>
          <w:w w:val="100"/>
        </w:rPr>
        <w:t> </w:t>
      </w:r>
      <w:r>
        <w:rPr>
          <w:spacing w:val="-2"/>
        </w:rPr>
        <w:t>为蓝盾信息安全技术股份有限公司。改制后公司注册资本为人民币</w:t>
      </w:r>
      <w:r>
        <w:rPr>
          <w:rFonts w:ascii="Times New Roman" w:hAnsi="Times New Roman" w:cs="Times New Roman" w:eastAsia="Times New Roman" w:hint="default"/>
          <w:spacing w:val="-2"/>
        </w:rPr>
        <w:t>6,500.00</w:t>
      </w:r>
      <w:r>
        <w:rPr>
          <w:spacing w:val="-2"/>
        </w:rPr>
        <w:t>万元，股本为人民币</w:t>
      </w:r>
      <w:r>
        <w:rPr>
          <w:rFonts w:ascii="Times New Roman" w:hAnsi="Times New Roman" w:cs="Times New Roman" w:eastAsia="Times New Roman" w:hint="default"/>
          <w:spacing w:val="-2"/>
        </w:rPr>
        <w:t>6,500.00</w:t>
      </w:r>
      <w:r>
        <w:rPr>
          <w:spacing w:val="-2"/>
        </w:rPr>
        <w:t>万</w:t>
      </w:r>
      <w:r>
        <w:rPr>
          <w:spacing w:val="-27"/>
        </w:rPr>
        <w:t> </w:t>
      </w:r>
      <w:r>
        <w:rPr/>
        <w:t>元，业经广东正中珠江会计师事务所有限公司广会所验字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09001820055</w:t>
      </w:r>
      <w:r>
        <w:rPr/>
        <w:t>号验资报告验证确认。</w:t>
      </w:r>
    </w:p>
    <w:p>
      <w:pPr>
        <w:pStyle w:val="BodyText"/>
        <w:spacing w:line="240" w:lineRule="auto" w:before="21"/>
        <w:ind w:left="573" w:right="1133"/>
        <w:jc w:val="left"/>
      </w:pPr>
      <w:r>
        <w:rPr>
          <w:rFonts w:ascii="Times New Roman" w:hAnsi="Times New Roman" w:cs="Times New Roman" w:eastAsia="Times New Roman" w:hint="default"/>
        </w:rPr>
        <w:t>2</w:t>
      </w:r>
      <w:r>
        <w:rPr/>
        <w:t>、股份制改制后第一次增资</w:t>
      </w:r>
    </w:p>
    <w:p>
      <w:pPr>
        <w:pStyle w:val="BodyText"/>
        <w:spacing w:line="331" w:lineRule="auto" w:before="107"/>
        <w:ind w:right="1126" w:firstLine="42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日，根据股东大会决议及修改后公司章程的规定，公司新增股东增资扩股</w:t>
      </w:r>
      <w:r>
        <w:rPr>
          <w:rFonts w:ascii="Times New Roman" w:hAnsi="Times New Roman" w:cs="Times New Roman" w:eastAsia="Times New Roman" w:hint="default"/>
          <w:spacing w:val="-2"/>
        </w:rPr>
        <w:t>850</w:t>
      </w:r>
      <w:r>
        <w:rPr>
          <w:spacing w:val="-2"/>
        </w:rPr>
        <w:t>万元，增加</w:t>
      </w:r>
      <w:r>
        <w:rPr>
          <w:w w:val="100"/>
        </w:rPr>
        <w:t> </w:t>
      </w:r>
      <w:r>
        <w:rPr>
          <w:spacing w:val="-2"/>
        </w:rPr>
        <w:t>注册资本人民币</w:t>
      </w:r>
      <w:r>
        <w:rPr>
          <w:rFonts w:ascii="Times New Roman" w:hAnsi="Times New Roman" w:cs="Times New Roman" w:eastAsia="Times New Roman" w:hint="default"/>
          <w:spacing w:val="-2"/>
        </w:rPr>
        <w:t>850.00</w:t>
      </w:r>
      <w:r>
        <w:rPr>
          <w:spacing w:val="-2"/>
        </w:rPr>
        <w:t>万元。变更后注册资本为人民币</w:t>
      </w:r>
      <w:r>
        <w:rPr>
          <w:rFonts w:ascii="Times New Roman" w:hAnsi="Times New Roman" w:cs="Times New Roman" w:eastAsia="Times New Roman" w:hint="default"/>
          <w:spacing w:val="-2"/>
        </w:rPr>
        <w:t>7,350.00</w:t>
      </w:r>
      <w:r>
        <w:rPr>
          <w:spacing w:val="-2"/>
        </w:rPr>
        <w:t>万元，股本为人民币</w:t>
      </w:r>
      <w:r>
        <w:rPr>
          <w:rFonts w:ascii="Times New Roman" w:hAnsi="Times New Roman" w:cs="Times New Roman" w:eastAsia="Times New Roman" w:hint="default"/>
          <w:spacing w:val="-2"/>
        </w:rPr>
        <w:t>7,350.00</w:t>
      </w:r>
      <w:r>
        <w:rPr>
          <w:spacing w:val="-2"/>
        </w:rPr>
        <w:t>万元，业经广</w:t>
      </w:r>
      <w:r>
        <w:rPr>
          <w:spacing w:val="-1"/>
        </w:rPr>
        <w:t> </w:t>
      </w:r>
      <w:r>
        <w:rPr>
          <w:spacing w:val="-1"/>
        </w:rPr>
      </w:r>
      <w:r>
        <w:rPr/>
        <w:t>东正中珠江会计师事务所有限公司广会所验字</w:t>
      </w:r>
      <w:r>
        <w:rPr>
          <w:rFonts w:ascii="Times New Roman" w:hAnsi="Times New Roman" w:cs="Times New Roman" w:eastAsia="Times New Roman" w:hint="default"/>
        </w:rPr>
        <w:t>[2009]09005940018</w:t>
      </w:r>
      <w:r>
        <w:rPr/>
        <w:t>号验资报告验证确认。</w:t>
      </w:r>
    </w:p>
    <w:p>
      <w:pPr>
        <w:pStyle w:val="BodyText"/>
        <w:spacing w:line="240" w:lineRule="auto" w:before="19"/>
        <w:ind w:left="573" w:right="1133"/>
        <w:jc w:val="left"/>
      </w:pPr>
      <w:r>
        <w:rPr>
          <w:rFonts w:ascii="Times New Roman" w:hAnsi="Times New Roman" w:cs="Times New Roman" w:eastAsia="Times New Roman" w:hint="default"/>
        </w:rPr>
        <w:t>3</w:t>
      </w:r>
      <w:r>
        <w:rPr/>
        <w:t>、公司上市</w:t>
      </w:r>
    </w:p>
    <w:p>
      <w:pPr>
        <w:pStyle w:val="BodyText"/>
        <w:spacing w:line="331" w:lineRule="auto" w:before="110"/>
        <w:ind w:right="1130"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日，公司在深圳证券交易所创业板成功上市，共募集资金人民币</w:t>
      </w:r>
      <w:r>
        <w:rPr>
          <w:rFonts w:ascii="Times New Roman" w:hAnsi="Times New Roman" w:cs="Times New Roman" w:eastAsia="Times New Roman" w:hint="default"/>
          <w:spacing w:val="-2"/>
        </w:rPr>
        <w:t>392,000,000.00</w:t>
      </w:r>
      <w:r>
        <w:rPr>
          <w:spacing w:val="-2"/>
        </w:rPr>
        <w:t>元，扣除</w:t>
      </w:r>
      <w:r>
        <w:rPr>
          <w:w w:val="100"/>
        </w:rPr>
        <w:t> </w:t>
      </w:r>
      <w:r>
        <w:rPr/>
        <w:t>发行费用</w:t>
      </w:r>
      <w:r>
        <w:rPr>
          <w:rFonts w:ascii="Times New Roman" w:hAnsi="Times New Roman" w:cs="Times New Roman" w:eastAsia="Times New Roman" w:hint="default"/>
        </w:rPr>
        <w:t>39,243,336.50</w:t>
      </w:r>
      <w:r>
        <w:rPr/>
        <w:t>元，募集资金净额</w:t>
      </w:r>
      <w:r>
        <w:rPr>
          <w:rFonts w:ascii="Times New Roman" w:hAnsi="Times New Roman" w:cs="Times New Roman" w:eastAsia="Times New Roman" w:hint="default"/>
        </w:rPr>
        <w:t>352,756,663.50</w:t>
      </w:r>
      <w:r>
        <w:rPr/>
        <w:t>元。募集资金转增股本人民币</w:t>
      </w:r>
      <w:r>
        <w:rPr>
          <w:rFonts w:ascii="Times New Roman" w:hAnsi="Times New Roman" w:cs="Times New Roman" w:eastAsia="Times New Roman" w:hint="default"/>
        </w:rPr>
        <w:t>2,450.00</w:t>
      </w:r>
      <w:r>
        <w:rPr/>
        <w:t>万元，其余</w:t>
      </w:r>
      <w:r>
        <w:rPr>
          <w:w w:val="100"/>
        </w:rPr>
        <w:t> </w:t>
      </w:r>
      <w:r>
        <w:rPr>
          <w:spacing w:val="-2"/>
        </w:rPr>
        <w:t>资金计入资本公积。变更后的注册资本为人民币</w:t>
      </w:r>
      <w:r>
        <w:rPr>
          <w:rFonts w:ascii="Times New Roman" w:hAnsi="Times New Roman" w:cs="Times New Roman" w:eastAsia="Times New Roman" w:hint="default"/>
          <w:spacing w:val="-2"/>
        </w:rPr>
        <w:t>9,800.00</w:t>
      </w:r>
      <w:r>
        <w:rPr>
          <w:spacing w:val="-2"/>
        </w:rPr>
        <w:t>万元，股本为人民币</w:t>
      </w:r>
      <w:r>
        <w:rPr>
          <w:rFonts w:ascii="Times New Roman" w:hAnsi="Times New Roman" w:cs="Times New Roman" w:eastAsia="Times New Roman" w:hint="default"/>
          <w:spacing w:val="-2"/>
        </w:rPr>
        <w:t>9,800.00</w:t>
      </w:r>
      <w:r>
        <w:rPr>
          <w:spacing w:val="-2"/>
        </w:rPr>
        <w:t>万元，业经北京永拓</w:t>
      </w:r>
      <w:r>
        <w:rPr>
          <w:spacing w:val="-31"/>
        </w:rPr>
        <w:t> </w:t>
      </w:r>
      <w:r>
        <w:rPr>
          <w:spacing w:val="-31"/>
        </w:rPr>
      </w:r>
      <w:r>
        <w:rPr/>
        <w:t>会计师事务所有限责任公司京永验字（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21001</w:t>
      </w:r>
      <w:r>
        <w:rPr/>
        <w:t>号验资报告验证确认。</w:t>
      </w:r>
    </w:p>
    <w:p>
      <w:pPr>
        <w:pStyle w:val="BodyText"/>
        <w:spacing w:line="240" w:lineRule="auto" w:before="21"/>
        <w:ind w:left="573" w:right="1133"/>
        <w:jc w:val="left"/>
      </w:pPr>
      <w:r>
        <w:rPr>
          <w:rFonts w:ascii="Times New Roman" w:hAnsi="Times New Roman" w:cs="Times New Roman" w:eastAsia="Times New Roman" w:hint="default"/>
        </w:rPr>
        <w:t>4</w:t>
      </w:r>
      <w:r>
        <w:rPr/>
        <w:t>、第一次资本公积转增股本</w:t>
      </w:r>
    </w:p>
    <w:p>
      <w:pPr>
        <w:pStyle w:val="BodyText"/>
        <w:spacing w:line="331" w:lineRule="auto" w:before="107"/>
        <w:ind w:right="1133" w:firstLine="42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日，根据股东大会决议及修改后章程的规定，公司申请新增注册资本为人民币</w:t>
      </w:r>
      <w:r>
        <w:rPr>
          <w:rFonts w:ascii="Times New Roman" w:hAnsi="Times New Roman" w:cs="Times New Roman" w:eastAsia="Times New Roman" w:hint="default"/>
          <w:spacing w:val="-2"/>
        </w:rPr>
        <w:t>9,800.00</w:t>
      </w:r>
      <w:r>
        <w:rPr>
          <w:spacing w:val="-2"/>
        </w:rPr>
        <w:t>万</w:t>
      </w:r>
      <w:r>
        <w:rPr>
          <w:w w:val="100"/>
        </w:rPr>
        <w:t> </w:t>
      </w:r>
      <w:r>
        <w:rPr/>
        <w:t>元，以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9,800.00</w:t>
      </w:r>
      <w:r>
        <w:rPr/>
        <w:t>万股为基数，以资本公积向股东每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w:t>
      </w:r>
      <w:r>
        <w:rPr>
          <w:w w:val="100"/>
        </w:rPr>
        <w:t> </w:t>
      </w:r>
      <w:r>
        <w:rPr>
          <w:spacing w:val="-2"/>
        </w:rPr>
        <w:t>本</w:t>
      </w:r>
      <w:r>
        <w:rPr>
          <w:rFonts w:ascii="Times New Roman" w:hAnsi="Times New Roman" w:cs="Times New Roman" w:eastAsia="Times New Roman" w:hint="default"/>
          <w:spacing w:val="-2"/>
        </w:rPr>
        <w:t>9,800.00</w:t>
      </w:r>
      <w:r>
        <w:rPr>
          <w:spacing w:val="-2"/>
        </w:rPr>
        <w:t>万股，每股面值</w:t>
      </w:r>
      <w:r>
        <w:rPr>
          <w:rFonts w:ascii="Times New Roman" w:hAnsi="Times New Roman" w:cs="Times New Roman" w:eastAsia="Times New Roman" w:hint="default"/>
          <w:spacing w:val="-2"/>
        </w:rPr>
        <w:t>1.00</w:t>
      </w:r>
      <w:r>
        <w:rPr>
          <w:spacing w:val="-2"/>
        </w:rPr>
        <w:t>元，合计增加股本</w:t>
      </w:r>
      <w:r>
        <w:rPr>
          <w:rFonts w:ascii="Times New Roman" w:hAnsi="Times New Roman" w:cs="Times New Roman" w:eastAsia="Times New Roman" w:hint="default"/>
          <w:spacing w:val="-2"/>
        </w:rPr>
        <w:t>9,800.00</w:t>
      </w:r>
      <w:r>
        <w:rPr>
          <w:spacing w:val="-2"/>
        </w:rPr>
        <w:t>万元，转增股本后公司总股本变更为</w:t>
      </w:r>
      <w:r>
        <w:rPr>
          <w:rFonts w:ascii="Times New Roman" w:hAnsi="Times New Roman" w:cs="Times New Roman" w:eastAsia="Times New Roman" w:hint="default"/>
          <w:spacing w:val="-2"/>
        </w:rPr>
        <w:t>19,600.00</w:t>
      </w:r>
      <w:r>
        <w:rPr>
          <w:spacing w:val="-2"/>
        </w:rPr>
        <w:t>万</w:t>
      </w:r>
      <w:r>
        <w:rPr>
          <w:spacing w:val="7"/>
        </w:rPr>
        <w:t> </w:t>
      </w:r>
      <w:r>
        <w:rPr/>
        <w:t>元，业经大华会计师事务所（特殊普通合伙）大华验字</w:t>
      </w:r>
      <w:r>
        <w:rPr>
          <w:rFonts w:ascii="Times New Roman" w:hAnsi="Times New Roman" w:cs="Times New Roman" w:eastAsia="Times New Roman" w:hint="default"/>
        </w:rPr>
        <w:t>[2013]000235</w:t>
      </w:r>
      <w:r>
        <w:rPr/>
        <w:t>号验资报告验证确认。</w:t>
      </w:r>
    </w:p>
    <w:p>
      <w:pPr>
        <w:pStyle w:val="BodyText"/>
        <w:spacing w:line="331" w:lineRule="auto" w:before="21"/>
        <w:ind w:left="573" w:right="1133"/>
        <w:jc w:val="left"/>
      </w:pPr>
      <w:r>
        <w:rPr>
          <w:rFonts w:ascii="Times New Roman" w:hAnsi="Times New Roman" w:cs="Times New Roman" w:eastAsia="Times New Roman" w:hint="default"/>
        </w:rPr>
        <w:t>5</w:t>
      </w:r>
      <w:r>
        <w:rPr/>
        <w:t>、第一次发行股份和支付现金购买资产并募集配套资金</w:t>
      </w:r>
      <w:r>
        <w:rPr>
          <w:w w:val="100"/>
        </w:rPr>
        <w:t> </w:t>
      </w:r>
      <w:r>
        <w:rPr>
          <w:spacing w:val="-2"/>
        </w:rPr>
        <w:t>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日召开的第二届董事会第二十二次会议、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日召开的</w:t>
      </w:r>
      <w:r>
        <w:rPr>
          <w:rFonts w:ascii="Times New Roman" w:hAnsi="Times New Roman" w:cs="Times New Roman" w:eastAsia="Times New Roman" w:hint="default"/>
          <w:spacing w:val="-2"/>
        </w:rPr>
        <w:t>2014</w:t>
      </w:r>
      <w:r>
        <w:rPr>
          <w:spacing w:val="-2"/>
        </w:rPr>
        <w:t>年第五次</w:t>
      </w:r>
    </w:p>
    <w:p>
      <w:pPr>
        <w:pStyle w:val="BodyText"/>
        <w:spacing w:line="350" w:lineRule="auto" w:before="19"/>
        <w:ind w:right="1133"/>
        <w:jc w:val="left"/>
      </w:pPr>
      <w:r>
        <w:rPr>
          <w:spacing w:val="-2"/>
        </w:rPr>
        <w:t>临时股东大会通过的《蓝盾信息安全技术股份有限公司发行股份及支付现金购买资产并募集配套资金暨关</w:t>
      </w:r>
      <w:r>
        <w:rPr>
          <w:spacing w:val="-43"/>
        </w:rPr>
        <w:t> </w:t>
      </w:r>
      <w:r>
        <w:rPr>
          <w:spacing w:val="-43"/>
        </w:rPr>
      </w:r>
      <w:r>
        <w:rPr/>
        <w:t>联交易报告书（草案）》及修订稿，公司申请非公开发行股票并增加注册资本人民币</w:t>
      </w:r>
      <w:r>
        <w:rPr>
          <w:rFonts w:ascii="Times New Roman" w:hAnsi="Times New Roman" w:cs="Times New Roman" w:eastAsia="Times New Roman" w:hint="default"/>
        </w:rPr>
        <w:t>24,610,235.00</w:t>
      </w:r>
      <w:r>
        <w:rPr/>
        <w:t>元。</w:t>
      </w:r>
    </w:p>
    <w:p>
      <w:pPr>
        <w:pStyle w:val="BodyText"/>
        <w:spacing w:line="328" w:lineRule="auto" w:before="3"/>
        <w:ind w:right="1133"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日，中国证监会出具《关于核准蓝盾信息安全技术股份有限公司向张远鹏等发行股份购</w:t>
      </w:r>
      <w:r>
        <w:rPr>
          <w:w w:val="100"/>
        </w:rPr>
        <w:t> </w:t>
      </w:r>
      <w:r>
        <w:rPr>
          <w:spacing w:val="-3"/>
        </w:rPr>
        <w:t>买资产并募集配套资金的批复》（证监许可</w:t>
      </w:r>
      <w:r>
        <w:rPr>
          <w:rFonts w:ascii="Times New Roman" w:hAnsi="Times New Roman" w:cs="Times New Roman" w:eastAsia="Times New Roman" w:hint="default"/>
          <w:spacing w:val="-3"/>
        </w:rPr>
        <w:t>[2015]356</w:t>
      </w:r>
      <w:r>
        <w:rPr>
          <w:spacing w:val="-3"/>
        </w:rPr>
        <w:t>号），核准公司发行股份及支付现金购买广州华炜科</w:t>
      </w:r>
      <w:r>
        <w:rPr>
          <w:spacing w:val="-20"/>
        </w:rPr>
        <w:t> </w:t>
      </w:r>
      <w:r>
        <w:rPr>
          <w:spacing w:val="-20"/>
        </w:rPr>
      </w:r>
      <w:r>
        <w:rPr/>
        <w:t>技股份有限公司</w:t>
      </w:r>
      <w:r>
        <w:rPr>
          <w:rFonts w:ascii="Times New Roman" w:hAnsi="Times New Roman" w:cs="Times New Roman" w:eastAsia="Times New Roman" w:hint="default"/>
        </w:rPr>
        <w:t>100.00%</w:t>
      </w:r>
      <w:r>
        <w:rPr/>
        <w:t>股权并募集配套资金，公司本次合计发行</w:t>
      </w:r>
      <w:r>
        <w:rPr>
          <w:rFonts w:ascii="Times New Roman" w:hAnsi="Times New Roman" w:cs="Times New Roman" w:eastAsia="Times New Roman" w:hint="default"/>
        </w:rPr>
        <w:t>24,610,235</w:t>
      </w:r>
      <w:r>
        <w:rPr>
          <w:rFonts w:ascii="Times New Roman" w:hAnsi="Times New Roman" w:cs="Times New Roman" w:eastAsia="Times New Roman" w:hint="default"/>
          <w:spacing w:val="28"/>
        </w:rPr>
        <w:t> </w:t>
      </w:r>
      <w:r>
        <w:rPr/>
        <w:t>股，公司总股本增加至</w:t>
      </w:r>
      <w:r>
        <w:rPr>
          <w:w w:val="100"/>
        </w:rPr>
        <w:t> </w:t>
      </w:r>
      <w:r>
        <w:rPr>
          <w:rFonts w:ascii="Times New Roman" w:hAnsi="Times New Roman" w:cs="Times New Roman" w:eastAsia="Times New Roman" w:hint="default"/>
          <w:spacing w:val="-2"/>
        </w:rPr>
        <w:t>220,610,235</w:t>
      </w:r>
      <w:r>
        <w:rPr>
          <w:spacing w:val="-2"/>
        </w:rPr>
        <w:t>股。以上新增股本业经大华会计师事务所（特殊普通合伙）大华验字</w:t>
      </w:r>
      <w:r>
        <w:rPr>
          <w:rFonts w:ascii="Times New Roman" w:hAnsi="Times New Roman" w:cs="Times New Roman" w:eastAsia="Times New Roman" w:hint="default"/>
          <w:spacing w:val="-2"/>
        </w:rPr>
        <w:t>[2015]000201</w:t>
      </w:r>
      <w:r>
        <w:rPr>
          <w:spacing w:val="-2"/>
        </w:rPr>
        <w:t>号验资报告</w:t>
      </w:r>
      <w:r>
        <w:rPr>
          <w:spacing w:val="4"/>
        </w:rPr>
        <w:t> </w:t>
      </w:r>
      <w:r>
        <w:rPr>
          <w:spacing w:val="4"/>
        </w:rPr>
      </w:r>
      <w:r>
        <w:rPr/>
        <w:t>验证确认。</w:t>
      </w:r>
    </w:p>
    <w:p>
      <w:pPr>
        <w:pStyle w:val="BodyText"/>
        <w:spacing w:line="240" w:lineRule="auto" w:before="48"/>
        <w:ind w:left="573" w:right="1133"/>
        <w:jc w:val="left"/>
      </w:pPr>
      <w:r>
        <w:rPr>
          <w:rFonts w:ascii="Times New Roman" w:hAnsi="Times New Roman" w:cs="Times New Roman" w:eastAsia="Times New Roman" w:hint="default"/>
        </w:rPr>
        <w:t>6</w:t>
      </w:r>
      <w:r>
        <w:rPr/>
        <w:t>、第二次资本公积转增股本</w:t>
      </w:r>
    </w:p>
    <w:p>
      <w:pPr>
        <w:spacing w:after="0" w:line="240" w:lineRule="auto"/>
        <w:jc w:val="left"/>
        <w:sectPr>
          <w:headerReference w:type="default" r:id="rId26"/>
          <w:footerReference w:type="default" r:id="rId27"/>
          <w:pgSz w:w="11910" w:h="16840"/>
          <w:pgMar w:header="877" w:footer="980" w:top="1100" w:bottom="1160" w:left="980" w:right="0"/>
          <w:pgNumType w:start="111"/>
        </w:sectPr>
      </w:pPr>
    </w:p>
    <w:p>
      <w:pPr>
        <w:spacing w:line="240" w:lineRule="auto" w:before="6"/>
        <w:rPr>
          <w:rFonts w:ascii="宋体" w:hAnsi="宋体" w:cs="宋体" w:eastAsia="宋体" w:hint="default"/>
          <w:sz w:val="27"/>
          <w:szCs w:val="27"/>
        </w:rPr>
      </w:pPr>
    </w:p>
    <w:p>
      <w:pPr>
        <w:pStyle w:val="BodyText"/>
        <w:spacing w:line="331" w:lineRule="auto" w:before="36"/>
        <w:ind w:right="982"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年度股东大会，审议通过了《公司</w:t>
      </w:r>
      <w:r>
        <w:rPr>
          <w:rFonts w:ascii="Times New Roman" w:hAnsi="Times New Roman" w:cs="Times New Roman" w:eastAsia="Times New Roman" w:hint="default"/>
        </w:rPr>
        <w:t>2014</w:t>
      </w:r>
      <w:r>
        <w:rPr/>
        <w:t>年年度利润分配预案》，以公司</w:t>
      </w:r>
      <w:r>
        <w:rPr>
          <w:w w:val="100"/>
        </w:rPr>
        <w:t> </w:t>
      </w:r>
      <w:r>
        <w:rPr>
          <w:spacing w:val="-3"/>
        </w:rPr>
        <w:t>分红前总股本</w:t>
      </w:r>
      <w:r>
        <w:rPr>
          <w:rFonts w:ascii="Times New Roman" w:hAnsi="Times New Roman" w:cs="Times New Roman" w:eastAsia="Times New Roman" w:hint="default"/>
          <w:spacing w:val="-3"/>
        </w:rPr>
        <w:t>220,610,235</w:t>
      </w:r>
      <w:r>
        <w:rPr>
          <w:spacing w:val="-3"/>
        </w:rPr>
        <w:t>股为基数，向全体股东每</w:t>
      </w:r>
      <w:r>
        <w:rPr>
          <w:rFonts w:ascii="Times New Roman" w:hAnsi="Times New Roman" w:cs="Times New Roman" w:eastAsia="Times New Roman" w:hint="default"/>
          <w:spacing w:val="-3"/>
        </w:rPr>
        <w:t>10</w:t>
      </w:r>
      <w:r>
        <w:rPr>
          <w:spacing w:val="-3"/>
        </w:rPr>
        <w:t>股派现金股利</w:t>
      </w:r>
      <w:r>
        <w:rPr>
          <w:rFonts w:ascii="Times New Roman" w:hAnsi="Times New Roman" w:cs="Times New Roman" w:eastAsia="Times New Roman" w:hint="default"/>
          <w:spacing w:val="-3"/>
        </w:rPr>
        <w:t>0.1</w:t>
      </w:r>
      <w:r>
        <w:rPr>
          <w:spacing w:val="-3"/>
        </w:rPr>
        <w:t>元人民币（含税），同时，以资本公</w:t>
      </w:r>
      <w:r>
        <w:rPr>
          <w:spacing w:val="-25"/>
        </w:rPr>
        <w:t> </w:t>
      </w:r>
      <w:r>
        <w:rPr>
          <w:spacing w:val="-25"/>
        </w:rPr>
      </w:r>
      <w:r>
        <w:rPr/>
        <w:t>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股。本次利润分配方案实施后，公司总股本变更为</w:t>
      </w:r>
      <w:r>
        <w:rPr>
          <w:rFonts w:ascii="Times New Roman" w:hAnsi="Times New Roman" w:cs="Times New Roman" w:eastAsia="Times New Roman" w:hint="default"/>
        </w:rPr>
        <w:t>485,342,517</w:t>
      </w:r>
      <w:r>
        <w:rPr/>
        <w:t>股。新增股本</w:t>
      </w:r>
      <w:r>
        <w:rPr>
          <w:w w:val="100"/>
        </w:rPr>
        <w:t> </w:t>
      </w:r>
      <w:r>
        <w:rPr/>
        <w:t>业经中审华寅五洲会计师事务所（特殊普通合伙）</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[2015]0097</w:t>
      </w:r>
      <w:r>
        <w:rPr/>
        <w:t>号验资报告验证确认。</w:t>
      </w:r>
    </w:p>
    <w:p>
      <w:pPr>
        <w:pStyle w:val="BodyText"/>
        <w:spacing w:line="240" w:lineRule="auto" w:before="21"/>
        <w:ind w:left="573" w:right="1133"/>
        <w:jc w:val="left"/>
      </w:pPr>
      <w:r>
        <w:rPr>
          <w:rFonts w:ascii="Times New Roman" w:hAnsi="Times New Roman" w:cs="Times New Roman" w:eastAsia="Times New Roman" w:hint="default"/>
        </w:rPr>
        <w:t>7</w:t>
      </w:r>
      <w:r>
        <w:rPr/>
        <w:t>、第三次资本公积转增股本</w:t>
      </w:r>
    </w:p>
    <w:p>
      <w:pPr>
        <w:pStyle w:val="BodyText"/>
        <w:spacing w:line="331" w:lineRule="auto" w:before="107"/>
        <w:ind w:right="982"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2015</w:t>
      </w:r>
      <w:r>
        <w:rPr/>
        <w:t>年第三次临时股东大会，审议通过了《关于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2015</w:t>
      </w:r>
      <w:r>
        <w:rPr>
          <w:rFonts w:ascii="Times New Roman" w:hAnsi="Times New Roman" w:cs="Times New Roman" w:eastAsia="Times New Roman" w:hint="default"/>
          <w:spacing w:val="29"/>
        </w:rPr>
        <w:t> </w:t>
      </w:r>
      <w:r>
        <w:rPr/>
        <w:t>年半年度利润分</w:t>
      </w:r>
      <w:r>
        <w:rPr>
          <w:w w:val="100"/>
        </w:rPr>
        <w:t> </w:t>
      </w:r>
      <w:r>
        <w:rPr>
          <w:spacing w:val="-2"/>
        </w:rPr>
        <w:t>配预案</w:t>
      </w:r>
      <w:r>
        <w:rPr>
          <w:rFonts w:ascii="Times New Roman" w:hAnsi="Times New Roman" w:cs="Times New Roman" w:eastAsia="Times New Roman" w:hint="default"/>
          <w:spacing w:val="-2"/>
        </w:rPr>
        <w:t>&gt;</w:t>
      </w:r>
      <w:r>
        <w:rPr>
          <w:spacing w:val="-2"/>
        </w:rPr>
        <w:t>的议案》，以截至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日公司总股本</w:t>
      </w:r>
      <w:r>
        <w:rPr>
          <w:rFonts w:ascii="Times New Roman" w:hAnsi="Times New Roman" w:cs="Times New Roman" w:eastAsia="Times New Roman" w:hint="default"/>
          <w:spacing w:val="-2"/>
        </w:rPr>
        <w:t>485,342,517</w:t>
      </w:r>
      <w:r>
        <w:rPr>
          <w:spacing w:val="-2"/>
        </w:rPr>
        <w:t>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1</w:t>
      </w:r>
      <w:r>
        <w:rPr>
          <w:spacing w:val="-2"/>
        </w:rPr>
        <w:t>股，</w:t>
      </w:r>
      <w:r>
        <w:rPr>
          <w:spacing w:val="-42"/>
        </w:rPr>
        <w:t> </w:t>
      </w:r>
      <w:r>
        <w:rPr/>
        <w:t>派发现金红利</w:t>
      </w:r>
      <w:r>
        <w:rPr>
          <w:rFonts w:ascii="Times New Roman" w:hAnsi="Times New Roman" w:cs="Times New Roman" w:eastAsia="Times New Roman" w:hint="default"/>
        </w:rPr>
        <w:t>0.25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股，公司送股及转增股本</w:t>
      </w:r>
      <w:r>
        <w:rPr>
          <w:w w:val="100"/>
        </w:rPr>
        <w:t> </w:t>
      </w:r>
      <w:r>
        <w:rPr>
          <w:rFonts w:ascii="Times New Roman" w:hAnsi="Times New Roman" w:cs="Times New Roman" w:eastAsia="Times New Roman" w:hint="default"/>
          <w:spacing w:val="-2"/>
        </w:rPr>
        <w:t>485,342,517</w:t>
      </w:r>
      <w:r>
        <w:rPr>
          <w:spacing w:val="-2"/>
        </w:rPr>
        <w:t>股。以上送股及转增方案实施后，公司总股本将增加至</w:t>
      </w:r>
      <w:r>
        <w:rPr>
          <w:rFonts w:ascii="Times New Roman" w:hAnsi="Times New Roman" w:cs="Times New Roman" w:eastAsia="Times New Roman" w:hint="default"/>
          <w:spacing w:val="-2"/>
        </w:rPr>
        <w:t>970,685,034</w:t>
      </w:r>
      <w:r>
        <w:rPr>
          <w:spacing w:val="-2"/>
        </w:rPr>
        <w:t>股。新增股本业经中审华寅</w:t>
      </w:r>
      <w:r>
        <w:rPr>
          <w:spacing w:val="-23"/>
        </w:rPr>
        <w:t> </w:t>
      </w:r>
      <w:r>
        <w:rPr>
          <w:spacing w:val="-23"/>
        </w:rPr>
      </w:r>
      <w:r>
        <w:rPr/>
        <w:t>五洲会计师事务所（特殊普通合伙）</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[2015]0098</w:t>
      </w:r>
      <w:r>
        <w:rPr/>
        <w:t>号验资报告验证确认。</w:t>
      </w:r>
    </w:p>
    <w:p>
      <w:pPr>
        <w:pStyle w:val="BodyText"/>
        <w:spacing w:line="328" w:lineRule="auto" w:before="21"/>
        <w:ind w:left="573" w:right="1133"/>
        <w:jc w:val="left"/>
      </w:pPr>
      <w:r>
        <w:rPr>
          <w:rFonts w:ascii="Times New Roman" w:hAnsi="Times New Roman" w:cs="Times New Roman" w:eastAsia="Times New Roman" w:hint="default"/>
        </w:rPr>
        <w:t>8</w:t>
      </w:r>
      <w:r>
        <w:rPr/>
        <w:t>、第二次发行股票即实施股权激励授予限制性股票</w:t>
      </w:r>
      <w:r>
        <w:rPr>
          <w:w w:val="100"/>
        </w:rPr>
        <w:t> </w:t>
      </w:r>
      <w:r>
        <w:rPr>
          <w:spacing w:val="-2"/>
        </w:rPr>
        <w:t>根据公司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日召开的</w:t>
      </w:r>
      <w:r>
        <w:rPr>
          <w:rFonts w:ascii="Times New Roman" w:hAnsi="Times New Roman" w:cs="Times New Roman" w:eastAsia="Times New Roman" w:hint="default"/>
          <w:spacing w:val="-2"/>
        </w:rPr>
        <w:t>2016</w:t>
      </w:r>
      <w:r>
        <w:rPr>
          <w:spacing w:val="-2"/>
        </w:rPr>
        <w:t>年度第三次临时股东大会决议、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召开的第三届董事会</w:t>
      </w:r>
    </w:p>
    <w:p>
      <w:pPr>
        <w:pStyle w:val="BodyText"/>
        <w:spacing w:line="333" w:lineRule="auto" w:before="24"/>
        <w:ind w:right="982"/>
        <w:jc w:val="left"/>
      </w:pPr>
      <w:r>
        <w:rPr>
          <w:spacing w:val="-5"/>
        </w:rPr>
        <w:t>第十三次（临时）会议决议，公司已符合《蓝盾信息安全技术股份有限公司限制性股票激励计划（草案）》</w:t>
      </w:r>
      <w:r>
        <w:rPr>
          <w:spacing w:val="-6"/>
        </w:rPr>
        <w:t> </w:t>
      </w:r>
      <w:r>
        <w:rPr>
          <w:spacing w:val="-6"/>
        </w:rPr>
      </w:r>
      <w:r>
        <w:rPr>
          <w:spacing w:val="-2"/>
        </w:rPr>
        <w:t>规定的各项授予条件，以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日作为蓝盾股份限制性股票激励计划的授予日，向蓝盾股份</w:t>
      </w:r>
      <w:r>
        <w:rPr>
          <w:rFonts w:ascii="Times New Roman" w:hAnsi="Times New Roman" w:cs="Times New Roman" w:eastAsia="Times New Roman" w:hint="default"/>
          <w:spacing w:val="-2"/>
        </w:rPr>
        <w:t>290</w:t>
      </w:r>
      <w:r>
        <w:rPr>
          <w:spacing w:val="-2"/>
        </w:rPr>
        <w:t>名激</w:t>
      </w:r>
      <w:r>
        <w:rPr>
          <w:spacing w:val="-40"/>
        </w:rPr>
        <w:t> </w:t>
      </w:r>
      <w:r>
        <w:rPr>
          <w:spacing w:val="-2"/>
        </w:rPr>
        <w:t>励对象授予</w:t>
      </w:r>
      <w:r>
        <w:rPr>
          <w:rFonts w:ascii="Times New Roman" w:hAnsi="Times New Roman" w:cs="Times New Roman" w:eastAsia="Times New Roman" w:hint="default"/>
          <w:spacing w:val="-2"/>
        </w:rPr>
        <w:t>800</w:t>
      </w:r>
      <w:r>
        <w:rPr>
          <w:spacing w:val="-2"/>
        </w:rPr>
        <w:t>万股，限制性股票每股面值为人民币</w:t>
      </w:r>
      <w:r>
        <w:rPr>
          <w:rFonts w:ascii="Times New Roman" w:hAnsi="Times New Roman" w:cs="Times New Roman" w:eastAsia="Times New Roman" w:hint="default"/>
          <w:spacing w:val="-2"/>
        </w:rPr>
        <w:t>1.00</w:t>
      </w:r>
      <w:r>
        <w:rPr>
          <w:spacing w:val="-2"/>
        </w:rPr>
        <w:t>元，发行价格为每股人民币</w:t>
      </w:r>
      <w:r>
        <w:rPr>
          <w:rFonts w:ascii="Times New Roman" w:hAnsi="Times New Roman" w:cs="Times New Roman" w:eastAsia="Times New Roman" w:hint="default"/>
          <w:spacing w:val="-2"/>
        </w:rPr>
        <w:t>7.89</w:t>
      </w:r>
      <w:r>
        <w:rPr>
          <w:spacing w:val="-2"/>
        </w:rPr>
        <w:t>元。公司实际共收</w:t>
      </w:r>
      <w:r>
        <w:rPr>
          <w:spacing w:val="-41"/>
        </w:rPr>
        <w:t> </w:t>
      </w:r>
      <w:r>
        <w:rPr>
          <w:spacing w:val="-41"/>
        </w:rPr>
      </w:r>
      <w:r>
        <w:rPr/>
        <w:t>到</w:t>
      </w:r>
      <w:r>
        <w:rPr>
          <w:rFonts w:ascii="Times New Roman" w:hAnsi="Times New Roman" w:cs="Times New Roman" w:eastAsia="Times New Roman" w:hint="default"/>
        </w:rPr>
        <w:t>214</w:t>
      </w:r>
      <w:r>
        <w:rPr/>
        <w:t>名激励对象认购限制性股票款</w:t>
      </w:r>
      <w:r>
        <w:rPr>
          <w:rFonts w:ascii="Times New Roman" w:hAnsi="Times New Roman" w:cs="Times New Roman" w:eastAsia="Times New Roman" w:hint="default"/>
        </w:rPr>
        <w:t>62,331,000.00</w:t>
      </w:r>
      <w:r>
        <w:rPr/>
        <w:t>元，出资方式为货币资金，本次募集资金新增股本</w:t>
      </w:r>
      <w:r>
        <w:rPr>
          <w:w w:val="100"/>
        </w:rPr>
        <w:t> </w:t>
      </w:r>
      <w:r>
        <w:rPr>
          <w:rFonts w:ascii="Times New Roman" w:hAnsi="Times New Roman" w:cs="Times New Roman" w:eastAsia="Times New Roman" w:hint="default"/>
          <w:spacing w:val="-3"/>
        </w:rPr>
        <w:t>7,900,000.00</w:t>
      </w:r>
      <w:r>
        <w:rPr>
          <w:spacing w:val="-3"/>
        </w:rPr>
        <w:t>元。实际非公开发行限制性股票</w:t>
      </w:r>
      <w:r>
        <w:rPr>
          <w:rFonts w:ascii="Times New Roman" w:hAnsi="Times New Roman" w:cs="Times New Roman" w:eastAsia="Times New Roman" w:hint="default"/>
          <w:spacing w:val="-3"/>
        </w:rPr>
        <w:t>7,900,000</w:t>
      </w:r>
      <w:r>
        <w:rPr>
          <w:spacing w:val="-3"/>
        </w:rPr>
        <w:t>股，公司总股本增加至</w:t>
      </w:r>
      <w:r>
        <w:rPr>
          <w:rFonts w:ascii="Times New Roman" w:hAnsi="Times New Roman" w:cs="Times New Roman" w:eastAsia="Times New Roman" w:hint="default"/>
          <w:spacing w:val="-3"/>
        </w:rPr>
        <w:t>978,585,034</w:t>
      </w:r>
      <w:r>
        <w:rPr>
          <w:spacing w:val="-3"/>
        </w:rPr>
        <w:t>股。以上新增股本</w:t>
      </w:r>
      <w:r>
        <w:rPr>
          <w:spacing w:val="-5"/>
        </w:rPr>
        <w:t> </w:t>
      </w:r>
      <w:r>
        <w:rPr>
          <w:spacing w:val="-5"/>
        </w:rPr>
      </w:r>
      <w:r>
        <w:rPr/>
        <w:t>业经大华会计师事务所（特殊普通合伙）大华验字</w:t>
      </w:r>
      <w:r>
        <w:rPr>
          <w:rFonts w:ascii="Times New Roman" w:hAnsi="Times New Roman" w:cs="Times New Roman" w:eastAsia="Times New Roman" w:hint="default"/>
        </w:rPr>
        <w:t>[2016]000360</w:t>
      </w:r>
      <w:r>
        <w:rPr/>
        <w:t>号验资报告验证确认。</w:t>
      </w:r>
    </w:p>
    <w:p>
      <w:pPr>
        <w:pStyle w:val="BodyText"/>
        <w:spacing w:line="331" w:lineRule="auto" w:before="20"/>
        <w:ind w:left="573" w:right="1133"/>
        <w:jc w:val="left"/>
      </w:pPr>
      <w:r>
        <w:rPr>
          <w:rFonts w:ascii="Times New Roman" w:hAnsi="Times New Roman" w:cs="Times New Roman" w:eastAsia="Times New Roman" w:hint="default"/>
        </w:rPr>
        <w:t>9</w:t>
      </w:r>
      <w:r>
        <w:rPr/>
        <w:t>、第三次发行股份和支付现金购买资产并募集配套资金</w:t>
      </w:r>
      <w:r>
        <w:rPr>
          <w:w w:val="100"/>
        </w:rPr>
        <w:t> </w:t>
      </w: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日召开的第三届董事会第三次（临时）会议决议、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日召开的</w:t>
      </w:r>
      <w:r>
        <w:rPr>
          <w:rFonts w:ascii="Times New Roman" w:hAnsi="Times New Roman" w:cs="Times New Roman" w:eastAsia="Times New Roman" w:hint="default"/>
          <w:spacing w:val="-2"/>
        </w:rPr>
        <w:t>2015</w:t>
      </w:r>
      <w:r>
        <w:rPr>
          <w:spacing w:val="-2"/>
        </w:rPr>
        <w:t>年</w:t>
      </w:r>
    </w:p>
    <w:p>
      <w:pPr>
        <w:pStyle w:val="BodyText"/>
        <w:spacing w:line="350" w:lineRule="auto" w:before="19"/>
        <w:ind w:right="1133"/>
        <w:jc w:val="left"/>
      </w:pPr>
      <w:r>
        <w:rPr>
          <w:spacing w:val="-2"/>
        </w:rPr>
        <w:t>第四次临时股东大会通过的蓝盾信息安全技术股份有限公司发行股份及支付现金购买资产并募集配套资</w:t>
      </w:r>
      <w:r>
        <w:rPr>
          <w:spacing w:val="-21"/>
        </w:rPr>
        <w:t> </w:t>
      </w:r>
      <w:r>
        <w:rPr>
          <w:spacing w:val="-21"/>
        </w:rPr>
      </w:r>
      <w:r>
        <w:rPr/>
        <w:t>金暨关联交易方案，公司申请非公开发行股票并增加注册资本人民币</w:t>
      </w:r>
      <w:r>
        <w:rPr>
          <w:rFonts w:ascii="Times New Roman" w:hAnsi="Times New Roman" w:cs="Times New Roman" w:eastAsia="Times New Roman" w:hint="default"/>
        </w:rPr>
        <w:t>112,515,042.00</w:t>
      </w:r>
      <w:r>
        <w:rPr/>
        <w:t>元。</w:t>
      </w:r>
    </w:p>
    <w:p>
      <w:pPr>
        <w:pStyle w:val="BodyText"/>
        <w:spacing w:line="331" w:lineRule="auto" w:before="3"/>
        <w:ind w:right="1133" w:firstLine="42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spacing w:val="-2"/>
        </w:rPr>
        <w:t>日，中国证监会出具《关于核准蓝盾信息安全技术股份有限公司向中经汇通有限责任公司</w:t>
      </w:r>
      <w:r>
        <w:rPr>
          <w:w w:val="100"/>
        </w:rPr>
        <w:t> </w:t>
      </w:r>
      <w:r>
        <w:rPr>
          <w:spacing w:val="-3"/>
        </w:rPr>
        <w:t>发行股份购买资产并募集配套资金的批复》（证监许可</w:t>
      </w:r>
      <w:r>
        <w:rPr>
          <w:rFonts w:ascii="Times New Roman" w:hAnsi="Times New Roman" w:cs="Times New Roman" w:eastAsia="Times New Roman" w:hint="default"/>
          <w:spacing w:val="-3"/>
        </w:rPr>
        <w:t>[2016]616</w:t>
      </w:r>
      <w:r>
        <w:rPr>
          <w:spacing w:val="-3"/>
        </w:rPr>
        <w:t>号），核准公司向中经汇通有限责任公司</w:t>
      </w:r>
      <w:r>
        <w:rPr>
          <w:spacing w:val="-17"/>
        </w:rPr>
        <w:t> </w:t>
      </w:r>
      <w:r>
        <w:rPr>
          <w:spacing w:val="-17"/>
        </w:rPr>
      </w:r>
      <w:r>
        <w:rPr>
          <w:spacing w:val="-2"/>
        </w:rPr>
        <w:t>发行</w:t>
      </w:r>
      <w:r>
        <w:rPr>
          <w:rFonts w:ascii="Times New Roman" w:hAnsi="Times New Roman" w:cs="Times New Roman" w:eastAsia="Times New Roman" w:hint="default"/>
          <w:spacing w:val="-2"/>
        </w:rPr>
        <w:t>112,515,042</w:t>
      </w:r>
      <w:r>
        <w:rPr>
          <w:spacing w:val="-2"/>
        </w:rPr>
        <w:t>股股份购买相关资产，核准公司非公开发行股份募集配套资金不超过</w:t>
      </w:r>
      <w:r>
        <w:rPr>
          <w:rFonts w:ascii="Times New Roman" w:hAnsi="Times New Roman" w:cs="Times New Roman" w:eastAsia="Times New Roman" w:hint="default"/>
          <w:spacing w:val="-2"/>
        </w:rPr>
        <w:t>11</w:t>
      </w:r>
      <w:r>
        <w:rPr>
          <w:spacing w:val="-2"/>
        </w:rPr>
        <w:t>亿元。公司股份支</w:t>
      </w:r>
      <w:r>
        <w:rPr>
          <w:spacing w:val="-30"/>
        </w:rPr>
        <w:t> </w:t>
      </w:r>
      <w:r>
        <w:rPr>
          <w:spacing w:val="-30"/>
        </w:rPr>
      </w:r>
      <w:r>
        <w:rPr>
          <w:spacing w:val="-2"/>
        </w:rPr>
        <w:t>付发行人民币普通股</w:t>
      </w:r>
      <w:r>
        <w:rPr>
          <w:rFonts w:ascii="Times New Roman" w:hAnsi="Times New Roman" w:cs="Times New Roman" w:eastAsia="Times New Roman" w:hint="default"/>
          <w:spacing w:val="-2"/>
        </w:rPr>
        <w:t>112,515,042</w:t>
      </w:r>
      <w:r>
        <w:rPr>
          <w:spacing w:val="-2"/>
        </w:rPr>
        <w:t>股，同时非公开向鹏华资产管理（深圳）有限公司、西部利得基金管理有</w:t>
      </w:r>
      <w:r>
        <w:rPr>
          <w:spacing w:val="-37"/>
        </w:rPr>
        <w:t> </w:t>
      </w:r>
      <w:r>
        <w:rPr>
          <w:spacing w:val="-37"/>
        </w:rPr>
      </w:r>
      <w:r>
        <w:rPr/>
        <w:t>限公司、财通基金管理有限公司、汇添富基金管理股份有限公司发行股票</w:t>
      </w:r>
      <w:r>
        <w:rPr>
          <w:rFonts w:ascii="Times New Roman" w:hAnsi="Times New Roman" w:cs="Times New Roman" w:eastAsia="Times New Roman" w:hint="default"/>
        </w:rPr>
        <w:t>84,355,828</w:t>
      </w:r>
      <w:r>
        <w:rPr/>
        <w:t>股，本次发行股份使</w:t>
      </w:r>
      <w:r>
        <w:rPr>
          <w:w w:val="100"/>
        </w:rPr>
        <w:t> </w:t>
      </w:r>
      <w:r>
        <w:rPr>
          <w:spacing w:val="-2"/>
        </w:rPr>
        <w:t>公司总股本增加至</w:t>
      </w:r>
      <w:r>
        <w:rPr>
          <w:rFonts w:ascii="Times New Roman" w:hAnsi="Times New Roman" w:cs="Times New Roman" w:eastAsia="Times New Roman" w:hint="default"/>
          <w:spacing w:val="-2"/>
        </w:rPr>
        <w:t>1,175,455,904</w:t>
      </w:r>
      <w:r>
        <w:rPr>
          <w:spacing w:val="-2"/>
        </w:rPr>
        <w:t>股。以上新增股本业经中审华寅五洲会计师事务所（特殊普通合伙）审验</w:t>
      </w:r>
      <w:r>
        <w:rPr>
          <w:spacing w:val="-10"/>
        </w:rPr>
        <w:t> </w:t>
      </w:r>
      <w:r>
        <w:rPr>
          <w:spacing w:val="-10"/>
        </w:rPr>
      </w:r>
      <w:r>
        <w:rPr/>
        <w:t>并分别于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日出具</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[2016]0036</w:t>
      </w:r>
      <w:r>
        <w:rPr/>
        <w:t>号验资报告、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日出具</w:t>
      </w:r>
      <w:r>
        <w:rPr>
          <w:rFonts w:ascii="Times New Roman" w:hAnsi="Times New Roman" w:cs="Times New Roman" w:eastAsia="Times New Roman" w:hint="default"/>
        </w:rPr>
        <w:t>CHW</w:t>
      </w:r>
      <w:r>
        <w:rPr/>
        <w:t>证验字</w:t>
      </w:r>
      <w:r>
        <w:rPr>
          <w:w w:val="100"/>
        </w:rPr>
        <w:t> </w:t>
      </w:r>
      <w:r>
        <w:rPr>
          <w:rFonts w:ascii="Times New Roman" w:hAnsi="Times New Roman" w:cs="Times New Roman" w:eastAsia="Times New Roman" w:hint="default"/>
        </w:rPr>
        <w:t>[2016]0050</w:t>
      </w:r>
      <w:r>
        <w:rPr/>
        <w:t>号验资报告确认。</w:t>
      </w:r>
    </w:p>
    <w:p>
      <w:pPr>
        <w:pStyle w:val="BodyText"/>
        <w:spacing w:line="240" w:lineRule="auto" w:before="21"/>
        <w:ind w:left="573" w:right="1133"/>
        <w:jc w:val="left"/>
      </w:pPr>
      <w:r>
        <w:rPr>
          <w:rFonts w:ascii="Times New Roman" w:hAnsi="Times New Roman" w:cs="Times New Roman" w:eastAsia="Times New Roman" w:hint="default"/>
        </w:rPr>
        <w:t>10</w:t>
      </w:r>
      <w:r>
        <w:rPr/>
        <w:t>、第一次股票回购</w:t>
      </w:r>
    </w:p>
    <w:p>
      <w:pPr>
        <w:pStyle w:val="BodyText"/>
        <w:spacing w:line="328" w:lineRule="auto" w:before="110"/>
        <w:ind w:right="1128"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日公司召开的第三届董事会第三十一次会议决议审议通过的《关于回购注销部分限制性</w:t>
      </w:r>
      <w:r>
        <w:rPr>
          <w:w w:val="100"/>
        </w:rPr>
        <w:t> </w:t>
      </w:r>
      <w:r>
        <w:rPr/>
        <w:t>股票的议案》，因激励对象中徐伟程、陈燕华、段叶华、黄玲、汤琦、胡忠祥、张荣兴、姜林等</w:t>
      </w:r>
      <w:r>
        <w:rPr>
          <w:rFonts w:ascii="Times New Roman" w:hAnsi="Times New Roman" w:cs="Times New Roman" w:eastAsia="Times New Roman" w:hint="default"/>
        </w:rPr>
        <w:t>8</w:t>
      </w:r>
      <w:r>
        <w:rPr/>
        <w:t>人因个</w:t>
      </w:r>
      <w:r>
        <w:rPr>
          <w:spacing w:val="-3"/>
          <w:w w:val="100"/>
        </w:rPr>
        <w:t> </w:t>
      </w:r>
      <w:r>
        <w:rPr>
          <w:spacing w:val="-2"/>
        </w:rPr>
        <w:t>人原因已离职，不符合激励条件，公司对上述</w:t>
      </w:r>
      <w:r>
        <w:rPr>
          <w:rFonts w:ascii="Times New Roman" w:hAnsi="Times New Roman" w:cs="Times New Roman" w:eastAsia="Times New Roman" w:hint="default"/>
          <w:spacing w:val="-2"/>
        </w:rPr>
        <w:t>8</w:t>
      </w:r>
      <w:r>
        <w:rPr>
          <w:spacing w:val="-2"/>
        </w:rPr>
        <w:t>人已获授权但尚未解锁的限制性股票合计</w:t>
      </w:r>
      <w:r>
        <w:rPr>
          <w:rFonts w:ascii="Times New Roman" w:hAnsi="Times New Roman" w:cs="Times New Roman" w:eastAsia="Times New Roman" w:hint="default"/>
          <w:spacing w:val="-2"/>
        </w:rPr>
        <w:t>9</w:t>
      </w:r>
      <w:r>
        <w:rPr>
          <w:spacing w:val="-2"/>
        </w:rPr>
        <w:t>万股进行回购注</w:t>
      </w:r>
    </w:p>
    <w:p>
      <w:pPr>
        <w:spacing w:after="0" w:line="328"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31" w:lineRule="auto" w:before="36"/>
        <w:ind w:right="1133"/>
        <w:jc w:val="left"/>
      </w:pPr>
      <w:r>
        <w:rPr>
          <w:spacing w:val="-2"/>
        </w:rPr>
        <w:t>销。</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日，公司已在中国证券登记结算有限责任公司深圳分公司完成上述限制性股票的回购和注</w:t>
      </w:r>
      <w:r>
        <w:rPr>
          <w:spacing w:val="-39"/>
        </w:rPr>
        <w:t> </w:t>
      </w:r>
      <w:r>
        <w:rPr>
          <w:spacing w:val="-39"/>
        </w:rPr>
      </w:r>
      <w:r>
        <w:rPr/>
        <w:t>销登记手续。本次股票回购注销后，公司总股本减少至</w:t>
      </w:r>
      <w:r>
        <w:rPr>
          <w:rFonts w:ascii="Times New Roman" w:hAnsi="Times New Roman" w:cs="Times New Roman" w:eastAsia="Times New Roman" w:hint="default"/>
        </w:rPr>
        <w:t>1,175,365,904</w:t>
      </w:r>
      <w:r>
        <w:rPr/>
        <w:t>股。</w:t>
      </w:r>
    </w:p>
    <w:p>
      <w:pPr>
        <w:pStyle w:val="BodyText"/>
        <w:spacing w:line="240" w:lineRule="auto" w:before="19"/>
        <w:ind w:left="573" w:right="1133"/>
        <w:jc w:val="left"/>
      </w:pPr>
      <w:r>
        <w:rPr>
          <w:rFonts w:ascii="Times New Roman" w:hAnsi="Times New Roman" w:cs="Times New Roman" w:eastAsia="Times New Roman" w:hint="default"/>
        </w:rPr>
        <w:t>11</w:t>
      </w:r>
      <w:r>
        <w:rPr/>
        <w:t>、第二次股票回购</w:t>
      </w:r>
    </w:p>
    <w:p>
      <w:pPr>
        <w:pStyle w:val="BodyText"/>
        <w:spacing w:line="336" w:lineRule="auto" w:before="110"/>
        <w:ind w:right="98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日公司召开的第三届董事会第四十二次会议决议审议通过的《关于调整限制性股票回购</w:t>
      </w:r>
      <w:r>
        <w:rPr>
          <w:w w:val="100"/>
        </w:rPr>
        <w:t> </w:t>
      </w:r>
      <w:r>
        <w:rPr>
          <w:spacing w:val="-2"/>
        </w:rPr>
        <w:t>价格及回购注销部分限制性股票的议案》，因激励对象中邹建军、唐兴等</w:t>
      </w:r>
      <w:r>
        <w:rPr>
          <w:rFonts w:ascii="Times New Roman" w:hAnsi="Times New Roman" w:cs="Times New Roman" w:eastAsia="Times New Roman" w:hint="default"/>
          <w:spacing w:val="-2"/>
        </w:rPr>
        <w:t>22</w:t>
      </w:r>
      <w:r>
        <w:rPr>
          <w:spacing w:val="-2"/>
        </w:rPr>
        <w:t>人因个人原因已离职，不符合</w:t>
      </w:r>
      <w:r>
        <w:rPr>
          <w:spacing w:val="-45"/>
        </w:rPr>
        <w:t> </w:t>
      </w:r>
      <w:r>
        <w:rPr>
          <w:spacing w:val="-45"/>
        </w:rPr>
      </w:r>
      <w:r>
        <w:rPr>
          <w:spacing w:val="-2"/>
        </w:rPr>
        <w:t>激励条件，公司对上述</w:t>
      </w:r>
      <w:r>
        <w:rPr>
          <w:rFonts w:ascii="Times New Roman" w:hAnsi="Times New Roman" w:cs="Times New Roman" w:eastAsia="Times New Roman" w:hint="default"/>
          <w:spacing w:val="-2"/>
        </w:rPr>
        <w:t>22</w:t>
      </w:r>
      <w:r>
        <w:rPr>
          <w:spacing w:val="-2"/>
        </w:rPr>
        <w:t>人已获授但尚未解锁的限制性股票合计</w:t>
      </w:r>
      <w:r>
        <w:rPr>
          <w:rFonts w:ascii="Times New Roman" w:hAnsi="Times New Roman" w:cs="Times New Roman" w:eastAsia="Times New Roman" w:hint="default"/>
          <w:spacing w:val="-2"/>
        </w:rPr>
        <w:t>30.40</w:t>
      </w:r>
      <w:r>
        <w:rPr>
          <w:spacing w:val="-2"/>
        </w:rPr>
        <w:t>万股进行回购注销。</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w:t>
      </w:r>
      <w:r>
        <w:rPr>
          <w:spacing w:val="-8"/>
        </w:rPr>
        <w:t> </w:t>
      </w:r>
      <w:r>
        <w:rPr>
          <w:spacing w:val="-2"/>
        </w:rPr>
        <w:t>公司已在中国证券登记结算有限责任公司深圳分公司完成上述限制性股票的回购和注销登记手续。本次股</w:t>
      </w:r>
      <w:r>
        <w:rPr>
          <w:spacing w:val="-43"/>
        </w:rPr>
        <w:t> </w:t>
      </w:r>
      <w:r>
        <w:rPr>
          <w:spacing w:val="-43"/>
        </w:rPr>
      </w:r>
      <w:r>
        <w:rPr/>
        <w:t>票回购注销后，公司总股本减少至</w:t>
      </w:r>
      <w:r>
        <w:rPr>
          <w:rFonts w:ascii="Times New Roman" w:hAnsi="Times New Roman" w:cs="Times New Roman" w:eastAsia="Times New Roman" w:hint="default"/>
        </w:rPr>
        <w:t>1,175,061,904</w:t>
      </w:r>
      <w:r>
        <w:rPr/>
        <w:t>股。</w:t>
      </w:r>
    </w:p>
    <w:p>
      <w:pPr>
        <w:pStyle w:val="BodyText"/>
        <w:spacing w:line="240" w:lineRule="auto" w:before="14"/>
        <w:ind w:left="573" w:right="1133"/>
        <w:jc w:val="left"/>
      </w:pPr>
      <w:r>
        <w:rPr>
          <w:rFonts w:ascii="Times New Roman" w:hAnsi="Times New Roman" w:cs="Times New Roman" w:eastAsia="Times New Roman" w:hint="default"/>
        </w:rPr>
        <w:t>12</w:t>
      </w:r>
      <w:r>
        <w:rPr/>
        <w:t>、第三次股票回购</w:t>
      </w:r>
    </w:p>
    <w:p>
      <w:pPr>
        <w:pStyle w:val="BodyText"/>
        <w:spacing w:line="336" w:lineRule="auto" w:before="110"/>
        <w:ind w:right="113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日公司召开的第四届董事会第十四次会议决议审议通过的《关于调整限制性股票回购价</w:t>
      </w:r>
      <w:r>
        <w:rPr>
          <w:w w:val="100"/>
        </w:rPr>
        <w:t> </w:t>
      </w:r>
      <w:r>
        <w:rPr>
          <w:spacing w:val="-2"/>
        </w:rPr>
        <w:t>格及回购注销部分限制性股票的议案》，因激励对象中高波、李东旭、李代春、韩磊、丁度灏、吕仁宾等</w:t>
      </w:r>
      <w:r>
        <w:rPr>
          <w:spacing w:val="-42"/>
        </w:rPr>
        <w:t> </w:t>
      </w:r>
      <w:r>
        <w:rPr>
          <w:spacing w:val="-42"/>
        </w:rPr>
      </w:r>
      <w:r>
        <w:rPr>
          <w:rFonts w:ascii="Times New Roman" w:hAnsi="Times New Roman" w:cs="Times New Roman" w:eastAsia="Times New Roman" w:hint="default"/>
          <w:spacing w:val="-2"/>
        </w:rPr>
        <w:t>32</w:t>
      </w:r>
      <w:r>
        <w:rPr>
          <w:spacing w:val="-2"/>
        </w:rPr>
        <w:t>人因个人原因已离职，不符合激励条件，公司对上述</w:t>
      </w:r>
      <w:r>
        <w:rPr>
          <w:rFonts w:ascii="Times New Roman" w:hAnsi="Times New Roman" w:cs="Times New Roman" w:eastAsia="Times New Roman" w:hint="default"/>
          <w:spacing w:val="-2"/>
        </w:rPr>
        <w:t>32</w:t>
      </w:r>
      <w:r>
        <w:rPr>
          <w:spacing w:val="-2"/>
        </w:rPr>
        <w:t>人已获授但尚未解锁的限制性股票合计</w:t>
      </w:r>
      <w:r>
        <w:rPr>
          <w:rFonts w:ascii="Times New Roman" w:hAnsi="Times New Roman" w:cs="Times New Roman" w:eastAsia="Times New Roman" w:hint="default"/>
          <w:spacing w:val="-2"/>
        </w:rPr>
        <w:t>43.8</w:t>
      </w:r>
      <w:r>
        <w:rPr>
          <w:spacing w:val="-2"/>
        </w:rPr>
        <w:t>万股</w:t>
      </w:r>
      <w:r>
        <w:rPr>
          <w:spacing w:val="-10"/>
        </w:rPr>
        <w:t> </w:t>
      </w:r>
      <w:r>
        <w:rPr>
          <w:spacing w:val="-2"/>
        </w:rPr>
        <w:t>进行回购注销。</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日，公司已在中国证券登记结算有限责任公司深圳分公司完成了上述限制性股</w:t>
      </w:r>
      <w:r>
        <w:rPr>
          <w:spacing w:val="-40"/>
        </w:rPr>
        <w:t> </w:t>
      </w:r>
      <w:r>
        <w:rPr>
          <w:spacing w:val="-40"/>
        </w:rPr>
      </w:r>
      <w:r>
        <w:rPr/>
        <w:t>票的回购和注销登记手续。本次股票回购注销后，公司总股本减少至</w:t>
      </w:r>
      <w:r>
        <w:rPr>
          <w:rFonts w:ascii="Times New Roman" w:hAnsi="Times New Roman" w:cs="Times New Roman" w:eastAsia="Times New Roman" w:hint="default"/>
        </w:rPr>
        <w:t>1,174,623,904</w:t>
      </w:r>
      <w:r>
        <w:rPr/>
        <w:t>股。</w:t>
      </w:r>
    </w:p>
    <w:p>
      <w:pPr>
        <w:pStyle w:val="BodyText"/>
        <w:spacing w:line="240" w:lineRule="auto" w:before="14"/>
        <w:ind w:left="573" w:right="1133"/>
        <w:jc w:val="left"/>
      </w:pPr>
      <w:r>
        <w:rPr>
          <w:rFonts w:ascii="Times New Roman" w:hAnsi="Times New Roman" w:cs="Times New Roman" w:eastAsia="Times New Roman" w:hint="default"/>
        </w:rPr>
        <w:t>13</w:t>
      </w:r>
      <w:r>
        <w:rPr/>
        <w:t>、可转债转股</w:t>
      </w:r>
    </w:p>
    <w:p>
      <w:pPr>
        <w:pStyle w:val="BodyText"/>
        <w:spacing w:line="338" w:lineRule="auto" w:before="110"/>
        <w:ind w:right="1133"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日中国证券监督管理委员会出具证监许可</w:t>
      </w:r>
      <w:r>
        <w:rPr>
          <w:rFonts w:ascii="Times New Roman" w:hAnsi="Times New Roman" w:cs="Times New Roman" w:eastAsia="Times New Roman" w:hint="default"/>
          <w:spacing w:val="-3"/>
        </w:rPr>
        <w:t>[2018]1063</w:t>
      </w:r>
      <w:r>
        <w:rPr>
          <w:spacing w:val="-3"/>
        </w:rPr>
        <w:t>号《关于核准蓝盾信息安全技术股份</w:t>
      </w:r>
      <w:r>
        <w:rPr>
          <w:w w:val="100"/>
        </w:rPr>
        <w:t> </w:t>
      </w:r>
      <w:r>
        <w:rPr/>
        <w:t>有限公司公开发行可转换公司债券的批复》的核准，同意公司向社会公开发行面值总额不超过人民币</w:t>
      </w:r>
      <w:r>
        <w:rPr>
          <w:w w:val="100"/>
        </w:rPr>
        <w:t> </w:t>
      </w:r>
      <w:r>
        <w:rPr>
          <w:rFonts w:ascii="Times New Roman" w:hAnsi="Times New Roman" w:cs="Times New Roman" w:eastAsia="Times New Roman" w:hint="default"/>
        </w:rPr>
        <w:t>538,000,000</w:t>
      </w:r>
      <w:r>
        <w:rPr/>
        <w:t>元的可转换公司债券，本次可转债转股期自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日止。</w:t>
      </w:r>
    </w:p>
    <w:p>
      <w:pPr>
        <w:pStyle w:val="BodyText"/>
        <w:spacing w:line="240" w:lineRule="auto" w:before="15"/>
        <w:ind w:left="573"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日，公司可转债共计转股</w:t>
      </w:r>
      <w:r>
        <w:rPr>
          <w:rFonts w:ascii="Times New Roman" w:hAnsi="Times New Roman" w:cs="Times New Roman" w:eastAsia="Times New Roman" w:hint="default"/>
        </w:rPr>
        <w:t>75,172,290</w:t>
      </w:r>
      <w:r>
        <w:rPr/>
        <w:t>股，截至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日，公司总股本增加至</w:t>
      </w:r>
    </w:p>
    <w:p>
      <w:pPr>
        <w:pStyle w:val="BodyText"/>
        <w:spacing w:line="240" w:lineRule="auto" w:before="110"/>
        <w:ind w:right="1133"/>
        <w:jc w:val="left"/>
      </w:pPr>
      <w:r>
        <w:rPr>
          <w:rFonts w:ascii="Times New Roman" w:hAnsi="Times New Roman" w:cs="Times New Roman" w:eastAsia="Times New Roman" w:hint="default"/>
        </w:rPr>
        <w:t>1,249,796,194</w:t>
      </w:r>
      <w:r>
        <w:rPr/>
        <w:t>股。</w:t>
      </w:r>
    </w:p>
    <w:p>
      <w:pPr>
        <w:pStyle w:val="BodyText"/>
        <w:spacing w:line="240" w:lineRule="auto" w:before="107"/>
        <w:ind w:left="573" w:right="1133"/>
        <w:jc w:val="left"/>
      </w:pPr>
      <w:r>
        <w:rPr/>
        <w:t>公司法定代表人为柯宗贵，注册地址为广州市天河区天慧路</w:t>
      </w:r>
      <w:r>
        <w:rPr>
          <w:rFonts w:ascii="Times New Roman" w:hAnsi="Times New Roman" w:cs="Times New Roman" w:eastAsia="Times New Roman" w:hint="default"/>
        </w:rPr>
        <w:t>16</w:t>
      </w:r>
      <w:r>
        <w:rPr/>
        <w:t>号。</w:t>
      </w:r>
    </w:p>
    <w:p>
      <w:pPr>
        <w:pStyle w:val="Heading3"/>
        <w:spacing w:line="240" w:lineRule="auto" w:before="110"/>
        <w:ind w:left="575" w:right="1133"/>
        <w:jc w:val="left"/>
        <w:rPr>
          <w:b w:val="0"/>
          <w:bCs w:val="0"/>
        </w:rPr>
      </w:pPr>
      <w:r>
        <w:rPr/>
        <w:t>（二）公司业务性质和主要经营活动</w:t>
      </w:r>
      <w:r>
        <w:rPr>
          <w:b w:val="0"/>
          <w:bCs w:val="0"/>
        </w:rPr>
      </w:r>
    </w:p>
    <w:p>
      <w:pPr>
        <w:pStyle w:val="BodyText"/>
        <w:spacing w:line="240" w:lineRule="auto" w:before="126"/>
        <w:ind w:left="573" w:right="1133"/>
        <w:jc w:val="left"/>
      </w:pPr>
      <w:r>
        <w:rPr>
          <w:rFonts w:ascii="Times New Roman" w:hAnsi="Times New Roman" w:cs="Times New Roman" w:eastAsia="Times New Roman" w:hint="default"/>
        </w:rPr>
        <w:t>1</w:t>
      </w:r>
      <w:r>
        <w:rPr/>
        <w:t>、公司属于信息技术业。</w:t>
      </w:r>
    </w:p>
    <w:p>
      <w:pPr>
        <w:pStyle w:val="BodyText"/>
        <w:spacing w:line="340" w:lineRule="auto" w:before="107"/>
        <w:ind w:right="1133" w:firstLine="420"/>
        <w:jc w:val="left"/>
      </w:pPr>
      <w:r>
        <w:rPr>
          <w:rFonts w:ascii="Times New Roman" w:hAnsi="Times New Roman" w:cs="Times New Roman" w:eastAsia="Times New Roman" w:hint="default"/>
          <w:spacing w:val="-4"/>
        </w:rPr>
        <w:t>2</w:t>
      </w:r>
      <w:r>
        <w:rPr>
          <w:spacing w:val="-4"/>
        </w:rPr>
        <w:t>、经营范围：计算机软、硬件开发</w:t>
      </w:r>
      <w:r>
        <w:rPr>
          <w:rFonts w:ascii="Times New Roman" w:hAnsi="Times New Roman" w:cs="Times New Roman" w:eastAsia="Times New Roman" w:hint="default"/>
          <w:spacing w:val="-4"/>
        </w:rPr>
        <w:t>;</w:t>
      </w:r>
      <w:r>
        <w:rPr>
          <w:spacing w:val="-4"/>
        </w:rPr>
        <w:t>计算机信息系统集成、布线</w:t>
      </w:r>
      <w:r>
        <w:rPr>
          <w:rFonts w:ascii="Times New Roman" w:hAnsi="Times New Roman" w:cs="Times New Roman" w:eastAsia="Times New Roman" w:hint="default"/>
          <w:spacing w:val="-4"/>
        </w:rPr>
        <w:t>,</w:t>
      </w:r>
      <w:r>
        <w:rPr>
          <w:spacing w:val="-4"/>
        </w:rPr>
        <w:t>承接网络工程建设项目</w:t>
      </w:r>
      <w:r>
        <w:rPr>
          <w:rFonts w:ascii="Times New Roman" w:hAnsi="Times New Roman" w:cs="Times New Roman" w:eastAsia="Times New Roman" w:hint="default"/>
          <w:spacing w:val="-4"/>
        </w:rPr>
        <w:t>,</w:t>
      </w:r>
      <w:r>
        <w:rPr>
          <w:spacing w:val="-4"/>
        </w:rPr>
        <w:t>信息技术、数</w:t>
      </w:r>
      <w:r>
        <w:rPr>
          <w:w w:val="100"/>
        </w:rPr>
        <w:t> </w:t>
      </w:r>
      <w:r>
        <w:rPr/>
        <w:t>码技术开发、服务</w:t>
      </w:r>
      <w:r>
        <w:rPr>
          <w:rFonts w:ascii="Times New Roman" w:hAnsi="Times New Roman" w:cs="Times New Roman" w:eastAsia="Times New Roman" w:hint="default"/>
        </w:rPr>
        <w:t>,</w:t>
      </w:r>
      <w:r>
        <w:rPr/>
        <w:t>计算机网络技术服务</w:t>
      </w:r>
      <w:r>
        <w:rPr>
          <w:rFonts w:ascii="Times New Roman" w:hAnsi="Times New Roman" w:cs="Times New Roman" w:eastAsia="Times New Roman" w:hint="default"/>
        </w:rPr>
        <w:t>,</w:t>
      </w:r>
      <w:r>
        <w:rPr/>
        <w:t>网络安全信息咨询；计算机信息安全设备制造；监控系统工程安</w:t>
      </w:r>
      <w:r>
        <w:rPr>
          <w:w w:val="100"/>
        </w:rPr>
        <w:t> </w:t>
      </w:r>
      <w:r>
        <w:rPr>
          <w:spacing w:val="-2"/>
        </w:rPr>
        <w:t>装服务；保安监控及防盗报警系统工程服务；计算机网络系统工程服务；安全技术防范系统设计、施工、</w:t>
      </w:r>
      <w:r>
        <w:rPr>
          <w:spacing w:val="-21"/>
        </w:rPr>
        <w:t> </w:t>
      </w:r>
      <w:r>
        <w:rPr>
          <w:spacing w:val="-21"/>
        </w:rPr>
      </w:r>
      <w:r>
        <w:rPr>
          <w:spacing w:val="-4"/>
        </w:rPr>
        <w:t>维修</w:t>
      </w:r>
      <w:r>
        <w:rPr>
          <w:rFonts w:ascii="Times New Roman" w:hAnsi="Times New Roman" w:cs="Times New Roman" w:eastAsia="Times New Roman" w:hint="default"/>
          <w:spacing w:val="-4"/>
        </w:rPr>
        <w:t>;</w:t>
      </w:r>
      <w:r>
        <w:rPr>
          <w:spacing w:val="-4"/>
        </w:rPr>
        <w:t>安全系统监控服务；科技信息咨询服务；网络技术的研究、开发；计算机整机制造；计算机零部件制</w:t>
      </w:r>
      <w:r>
        <w:rPr>
          <w:spacing w:val="-9"/>
        </w:rPr>
        <w:t> </w:t>
      </w:r>
      <w:r>
        <w:rPr>
          <w:spacing w:val="-9"/>
        </w:rPr>
      </w:r>
      <w:r>
        <w:rPr>
          <w:spacing w:val="-2"/>
        </w:rPr>
        <w:t>造；计算机电源制造；计算机外围设备制造；计算机应用电子设备制造；计算机房维护服务；计算机及通</w:t>
      </w:r>
      <w:r>
        <w:rPr>
          <w:spacing w:val="-42"/>
        </w:rPr>
        <w:t> </w:t>
      </w:r>
      <w:r>
        <w:rPr>
          <w:spacing w:val="-42"/>
        </w:rPr>
      </w:r>
      <w:r>
        <w:rPr>
          <w:spacing w:val="-2"/>
        </w:rPr>
        <w:t>讯设备租赁；计算机技术开发、技术服务；计算机房设计服务；计算机信息安全产品设计；计算机和辅助</w:t>
      </w:r>
      <w:r>
        <w:rPr>
          <w:spacing w:val="-43"/>
        </w:rPr>
        <w:t> </w:t>
      </w:r>
      <w:r>
        <w:rPr>
          <w:spacing w:val="-43"/>
        </w:rPr>
      </w:r>
      <w:r>
        <w:rPr/>
        <w:t>设备修理；电子产品设计服务；安全技术防范产品制造；</w:t>
      </w:r>
      <w:r>
        <w:rPr>
          <w:rFonts w:ascii="Times New Roman" w:hAnsi="Times New Roman" w:cs="Times New Roman" w:eastAsia="Times New Roman" w:hint="default"/>
        </w:rPr>
        <w:t>(</w:t>
      </w:r>
      <w:r>
        <w:rPr/>
        <w:t>具体经营范围以章程内实际记载为准</w:t>
      </w:r>
      <w:r>
        <w:rPr>
          <w:rFonts w:ascii="Times New Roman" w:hAnsi="Times New Roman" w:cs="Times New Roman" w:eastAsia="Times New Roman" w:hint="default"/>
        </w:rPr>
        <w:t>)</w:t>
      </w:r>
      <w:r>
        <w:rPr/>
        <w:t>。</w:t>
      </w:r>
    </w:p>
    <w:p>
      <w:pPr>
        <w:pStyle w:val="BodyText"/>
        <w:spacing w:line="331" w:lineRule="auto" w:before="12"/>
        <w:ind w:left="573" w:right="982"/>
        <w:jc w:val="left"/>
      </w:pPr>
      <w:r>
        <w:rPr>
          <w:rFonts w:ascii="Times New Roman" w:hAnsi="Times New Roman" w:cs="Times New Roman" w:eastAsia="Times New Roman" w:hint="default"/>
        </w:rPr>
        <w:t>3</w:t>
      </w:r>
      <w:r>
        <w:rPr/>
        <w:t>、主要产品和服务</w:t>
      </w:r>
      <w:r>
        <w:rPr>
          <w:w w:val="100"/>
        </w:rPr>
        <w:t> </w:t>
      </w:r>
      <w:r>
        <w:rPr>
          <w:spacing w:val="-5"/>
        </w:rPr>
        <w:t>公司的业务主要涉及信息安全领域，包括：安全产品、安全解决方案、安全服务、电商运营服务四类。</w:t>
      </w:r>
    </w:p>
    <w:p>
      <w:pPr>
        <w:pStyle w:val="BodyText"/>
        <w:spacing w:line="240" w:lineRule="auto" w:before="43"/>
        <w:ind w:right="1133"/>
        <w:jc w:val="left"/>
      </w:pPr>
      <w:r>
        <w:rPr/>
        <w:t>按收入类别细分为：</w:t>
      </w:r>
    </w:p>
    <w:p>
      <w:pPr>
        <w:pStyle w:val="BodyText"/>
        <w:spacing w:line="240" w:lineRule="auto" w:before="126"/>
        <w:ind w:left="573" w:right="1133"/>
        <w:jc w:val="left"/>
      </w:pPr>
      <w:r>
        <w:rPr/>
        <w:t>（</w:t>
      </w:r>
      <w:r>
        <w:rPr>
          <w:rFonts w:ascii="Times New Roman" w:hAnsi="Times New Roman" w:cs="Times New Roman" w:eastAsia="Times New Roman" w:hint="default"/>
        </w:rPr>
        <w:t>1</w:t>
      </w:r>
      <w:r>
        <w:rPr/>
        <w:t>）信息安全产品：应用于计算机网络环境中，能够针对网络和系统提供保护和控制，保证网络和</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33"/>
        <w:jc w:val="left"/>
      </w:pPr>
      <w:r>
        <w:rPr>
          <w:spacing w:val="-2"/>
        </w:rPr>
        <w:t>系统的完整性、可用性的产品。包括防火墙、入侵检测系统、安全扫描系统、安全审计等自行研发的信息</w:t>
      </w:r>
      <w:r>
        <w:rPr>
          <w:spacing w:val="-43"/>
        </w:rPr>
        <w:t> </w:t>
      </w:r>
      <w:r>
        <w:rPr>
          <w:spacing w:val="-43"/>
        </w:rPr>
      </w:r>
      <w:r>
        <w:rPr/>
        <w:t>安全产品。</w:t>
      </w:r>
    </w:p>
    <w:p>
      <w:pPr>
        <w:pStyle w:val="BodyText"/>
        <w:spacing w:line="331" w:lineRule="auto" w:before="27"/>
        <w:ind w:right="1133" w:firstLine="420"/>
        <w:jc w:val="left"/>
      </w:pPr>
      <w:r>
        <w:rPr/>
        <w:t>（</w:t>
      </w:r>
      <w:r>
        <w:rPr>
          <w:rFonts w:ascii="Times New Roman" w:hAnsi="Times New Roman" w:cs="Times New Roman" w:eastAsia="Times New Roman" w:hint="default"/>
        </w:rPr>
        <w:t>2</w:t>
      </w:r>
      <w:r>
        <w:rPr/>
        <w:t>）信息安全集成：基于客户个性化需求，设置或组建信息安全系统。安全集成所需的安全产品及</w:t>
      </w:r>
      <w:r>
        <w:rPr>
          <w:w w:val="100"/>
        </w:rPr>
        <w:t> </w:t>
      </w:r>
      <w:r>
        <w:rPr/>
        <w:t>其配套组件或产品可由公司提供或向第三方采购，安全集成一般需要较长的安装与测试过程。</w:t>
      </w:r>
    </w:p>
    <w:p>
      <w:pPr>
        <w:pStyle w:val="BodyText"/>
        <w:spacing w:line="240" w:lineRule="auto" w:before="46"/>
        <w:ind w:left="573" w:right="1133"/>
        <w:jc w:val="left"/>
      </w:pPr>
      <w:r>
        <w:rPr/>
        <w:t>（</w:t>
      </w:r>
      <w:r>
        <w:rPr>
          <w:rFonts w:ascii="Times New Roman" w:hAnsi="Times New Roman" w:cs="Times New Roman" w:eastAsia="Times New Roman" w:hint="default"/>
        </w:rPr>
        <w:t>3</w:t>
      </w:r>
      <w:r>
        <w:rPr/>
        <w:t>）信息安全服务：安全服务指为客户提供的信息安全培训、信息安全等级测评等服务。</w:t>
      </w:r>
    </w:p>
    <w:p>
      <w:pPr>
        <w:pStyle w:val="BodyText"/>
        <w:spacing w:line="343" w:lineRule="auto" w:before="107"/>
        <w:ind w:right="1133" w:firstLine="420"/>
        <w:jc w:val="left"/>
      </w:pPr>
      <w:r>
        <w:rPr/>
        <w:t>（</w:t>
      </w:r>
      <w:r>
        <w:rPr>
          <w:rFonts w:ascii="Times New Roman" w:hAnsi="Times New Roman" w:cs="Times New Roman" w:eastAsia="Times New Roman" w:hint="default"/>
        </w:rPr>
        <w:t>4</w:t>
      </w:r>
      <w:r>
        <w:rPr/>
        <w:t>）电磁安防产品：由通用电磁防护产品和专业特种电磁防护产品构成。通用电磁防护产品主要针</w:t>
      </w:r>
      <w:r>
        <w:rPr>
          <w:w w:val="100"/>
        </w:rPr>
        <w:t> </w:t>
      </w:r>
      <w:r>
        <w:rPr>
          <w:spacing w:val="-2"/>
        </w:rPr>
        <w:t>对民用领域，在公司全资子公司广州华炜科技有限公司业务板块中占比较低；公司全资子公司广州华炜科</w:t>
      </w:r>
      <w:r>
        <w:rPr>
          <w:spacing w:val="-44"/>
        </w:rPr>
        <w:t> </w:t>
      </w:r>
      <w:r>
        <w:rPr>
          <w:spacing w:val="-44"/>
        </w:rPr>
      </w:r>
      <w:r>
        <w:rPr>
          <w:spacing w:val="-2"/>
        </w:rPr>
        <w:t>技有限公司主要专注于为如军工及航空航天、轨道交通、通信系统等专业特种业领域的特殊应用而开发的</w:t>
      </w:r>
      <w:r>
        <w:rPr>
          <w:spacing w:val="-42"/>
        </w:rPr>
        <w:t> </w:t>
      </w:r>
      <w:r>
        <w:rPr>
          <w:spacing w:val="-42"/>
        </w:rPr>
      </w:r>
      <w:r>
        <w:rPr/>
        <w:t>定制产品。</w:t>
      </w:r>
    </w:p>
    <w:p>
      <w:pPr>
        <w:pStyle w:val="BodyText"/>
        <w:spacing w:line="240" w:lineRule="auto" w:before="36"/>
        <w:ind w:left="573" w:right="1133"/>
        <w:jc w:val="left"/>
      </w:pPr>
      <w:r>
        <w:rPr/>
        <w:t>（</w:t>
      </w:r>
      <w:r>
        <w:rPr>
          <w:rFonts w:ascii="Times New Roman" w:hAnsi="Times New Roman" w:cs="Times New Roman" w:eastAsia="Times New Roman" w:hint="default"/>
        </w:rPr>
        <w:t>5</w:t>
      </w:r>
      <w:r>
        <w:rPr/>
        <w:t>）电磁安防工程：根据专业电磁安防整体解决方案，进行工程施工。</w:t>
      </w:r>
    </w:p>
    <w:p>
      <w:pPr>
        <w:pStyle w:val="BodyText"/>
        <w:spacing w:line="328" w:lineRule="auto" w:before="110"/>
        <w:ind w:right="1133" w:firstLine="420"/>
        <w:jc w:val="left"/>
      </w:pPr>
      <w:r>
        <w:rPr>
          <w:spacing w:val="-2"/>
        </w:rPr>
        <w:t>（</w:t>
      </w:r>
      <w:r>
        <w:rPr>
          <w:rFonts w:ascii="Times New Roman" w:hAnsi="Times New Roman" w:cs="Times New Roman" w:eastAsia="Times New Roman" w:hint="default"/>
          <w:spacing w:val="-2"/>
        </w:rPr>
        <w:t>6</w:t>
      </w:r>
      <w:r>
        <w:rPr>
          <w:spacing w:val="-2"/>
        </w:rPr>
        <w:t>）电磁安防服务：根据专业特种行业领域内客户的特点、个性化需求和特殊应用环境，既提供特</w:t>
      </w:r>
      <w:r>
        <w:rPr>
          <w:w w:val="100"/>
        </w:rPr>
        <w:t> </w:t>
      </w:r>
      <w:r>
        <w:rPr/>
        <w:t>种产品定制，又提供特种工程服务，提供一揽子的电磁安防整体解决方案。</w:t>
      </w:r>
    </w:p>
    <w:p>
      <w:pPr>
        <w:pStyle w:val="BodyText"/>
        <w:spacing w:line="331" w:lineRule="auto" w:before="48"/>
        <w:ind w:right="1133" w:firstLine="420"/>
        <w:jc w:val="left"/>
      </w:pPr>
      <w:r>
        <w:rPr>
          <w:spacing w:val="-2"/>
        </w:rPr>
        <w:t>（</w:t>
      </w:r>
      <w:r>
        <w:rPr>
          <w:rFonts w:ascii="Times New Roman" w:hAnsi="Times New Roman" w:cs="Times New Roman" w:eastAsia="Times New Roman" w:hint="default"/>
          <w:spacing w:val="-2"/>
        </w:rPr>
        <w:t>7</w:t>
      </w:r>
      <w:r>
        <w:rPr>
          <w:spacing w:val="-2"/>
        </w:rPr>
        <w:t>）系统服务：利用自身支付清算技术和平台向客户提供清分结算服务，按照交易金额的一定比例</w:t>
      </w:r>
      <w:r>
        <w:rPr>
          <w:w w:val="100"/>
        </w:rPr>
        <w:t> </w:t>
      </w:r>
      <w:r>
        <w:rPr/>
        <w:t>收取的清分结算手续费。</w:t>
      </w:r>
    </w:p>
    <w:p>
      <w:pPr>
        <w:pStyle w:val="BodyText"/>
        <w:spacing w:line="340" w:lineRule="auto" w:before="43"/>
        <w:ind w:right="982" w:firstLine="420"/>
        <w:jc w:val="left"/>
      </w:pPr>
      <w:r>
        <w:rPr/>
        <w:t>（</w:t>
      </w:r>
      <w:r>
        <w:rPr>
          <w:rFonts w:ascii="Times New Roman" w:hAnsi="Times New Roman" w:cs="Times New Roman" w:eastAsia="Times New Roman" w:hint="default"/>
        </w:rPr>
        <w:t>8</w:t>
      </w:r>
      <w:r>
        <w:rPr/>
        <w:t>）推广运营服务：利用自身电子商务平台，为合作商户进行推广运营收取中间差价形成的佣金服</w:t>
      </w:r>
      <w:r>
        <w:rPr>
          <w:w w:val="100"/>
        </w:rPr>
        <w:t> </w:t>
      </w:r>
      <w:r>
        <w:rPr>
          <w:spacing w:val="-5"/>
        </w:rPr>
        <w:t>务费收入。主要是为油品零售商户进行推广运营获取的服务费收入，除油品零售商户外，还为商场、超市、</w:t>
      </w:r>
      <w:r>
        <w:rPr>
          <w:spacing w:val="-8"/>
        </w:rPr>
        <w:t> </w:t>
      </w:r>
      <w:r>
        <w:rPr>
          <w:spacing w:val="-8"/>
        </w:rPr>
      </w:r>
      <w:r>
        <w:rPr/>
        <w:t>餐饮、汽车等其他商户提供推广运营服务。</w:t>
      </w:r>
    </w:p>
    <w:p>
      <w:pPr>
        <w:pStyle w:val="Heading3"/>
        <w:spacing w:line="224" w:lineRule="exact"/>
        <w:ind w:left="575" w:right="1133"/>
        <w:jc w:val="left"/>
        <w:rPr>
          <w:b w:val="0"/>
          <w:bCs w:val="0"/>
        </w:rPr>
      </w:pPr>
      <w:r>
        <w:rPr/>
        <w:t>（三）财务报表的批准报出</w:t>
      </w:r>
      <w:r>
        <w:rPr>
          <w:b w:val="0"/>
          <w:bCs w:val="0"/>
        </w:rPr>
      </w:r>
    </w:p>
    <w:p>
      <w:pPr>
        <w:pStyle w:val="BodyText"/>
        <w:spacing w:line="331" w:lineRule="auto" w:before="123"/>
        <w:ind w:left="573" w:right="1133"/>
        <w:jc w:val="left"/>
      </w:pPr>
      <w:r>
        <w:rPr/>
        <w:pict>
          <v:shape style="position:absolute;margin-left:56.279999pt;margin-top:42.553677pt;width:483.1pt;height:295.7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2"/>
                    <w:gridCol w:w="1452"/>
                    <w:gridCol w:w="992"/>
                    <w:gridCol w:w="1844"/>
                    <w:gridCol w:w="1841"/>
                  </w:tblGrid>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级次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75.00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55.00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日批准报出。</w:t>
      </w:r>
      <w:r>
        <w:rPr>
          <w:w w:val="100"/>
        </w:rPr>
        <w:t> </w:t>
      </w:r>
      <w:r>
        <w:rPr>
          <w:spacing w:val="-2"/>
        </w:rPr>
        <w:t>本期纳入合并财务报表范围的子公司共</w:t>
      </w:r>
      <w:r>
        <w:rPr>
          <w:rFonts w:ascii="Times New Roman" w:hAnsi="Times New Roman" w:cs="Times New Roman" w:eastAsia="Times New Roman" w:hint="default"/>
          <w:spacing w:val="-2"/>
        </w:rPr>
        <w:t>39</w:t>
      </w:r>
      <w:r>
        <w:rPr>
          <w:spacing w:val="-2"/>
        </w:rPr>
        <w:t>户，除本公司外具体包括：</w:t>
      </w:r>
    </w:p>
    <w:p>
      <w:pPr>
        <w:spacing w:after="0" w:line="331" w:lineRule="auto"/>
        <w:jc w:val="lef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512"/>
        <w:gridCol w:w="1452"/>
        <w:gridCol w:w="992"/>
        <w:gridCol w:w="1844"/>
        <w:gridCol w:w="1841"/>
      </w:tblGrid>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60.00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60.00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0" w:right="0"/>
              <w:jc w:val="left"/>
              <w:rPr>
                <w:rFonts w:ascii="Times New Roman" w:hAnsi="Times New Roman" w:cs="Times New Roman" w:eastAsia="Times New Roman" w:hint="default"/>
                <w:sz w:val="18"/>
                <w:szCs w:val="18"/>
              </w:rPr>
            </w:pPr>
            <w:r>
              <w:rPr>
                <w:rFonts w:ascii="Times New Roman"/>
                <w:sz w:val="18"/>
              </w:rPr>
              <w:t>60.00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0" w:right="0"/>
              <w:jc w:val="left"/>
              <w:rPr>
                <w:rFonts w:ascii="Times New Roman" w:hAnsi="Times New Roman" w:cs="Times New Roman" w:eastAsia="Times New Roman" w:hint="default"/>
                <w:sz w:val="18"/>
                <w:szCs w:val="18"/>
              </w:rPr>
            </w:pPr>
            <w:r>
              <w:rPr>
                <w:rFonts w:ascii="Times New Roman"/>
                <w:sz w:val="18"/>
              </w:rPr>
              <w:t>60.00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广州蓝盾数据安全技术创新中心有限公司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湖北蓝盾网信科技有限公司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广东和诚科技孵化器有限公司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68.00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68.00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60.00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60.00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60.00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始兴县都亨加油站有限公司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0" w:right="0"/>
              <w:jc w:val="left"/>
              <w:rPr>
                <w:rFonts w:ascii="Times New Roman" w:hAnsi="Times New Roman" w:cs="Times New Roman" w:eastAsia="Times New Roman" w:hint="default"/>
                <w:sz w:val="18"/>
                <w:szCs w:val="18"/>
              </w:rPr>
            </w:pPr>
            <w:r>
              <w:rPr>
                <w:rFonts w:ascii="Times New Roman"/>
                <w:sz w:val="18"/>
              </w:rPr>
              <w:t>99.99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广州市汇特慧科技有限公司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48" w:lineRule="auto" w:before="74"/>
        <w:ind w:right="1133" w:firstLine="420"/>
        <w:jc w:val="left"/>
      </w:pPr>
      <w:r>
        <w:rPr>
          <w:spacing w:val="-2"/>
        </w:rPr>
        <w:t>子公司的持股比例不同于表决权比例的原因、以及持有半数或以下表决权但仍控制被投资单位的依据</w:t>
      </w:r>
      <w:r>
        <w:rPr>
          <w:w w:val="100"/>
        </w:rPr>
        <w:t> </w:t>
      </w:r>
      <w:r>
        <w:rPr/>
        <w:t>说明详见本附注九、</w:t>
      </w:r>
      <w:r>
        <w:rPr>
          <w:rFonts w:ascii="Times New Roman" w:hAnsi="Times New Roman" w:cs="Times New Roman" w:eastAsia="Times New Roman" w:hint="default"/>
        </w:rPr>
        <w:t>1</w:t>
      </w:r>
      <w:r>
        <w:rPr/>
        <w:t>、在子公司中权益。</w:t>
      </w:r>
    </w:p>
    <w:p>
      <w:pPr>
        <w:pStyle w:val="BodyText"/>
        <w:spacing w:line="240" w:lineRule="auto" w:before="5"/>
        <w:ind w:left="573" w:right="1133"/>
        <w:jc w:val="left"/>
      </w:pPr>
      <w:r>
        <w:rPr/>
        <w:t>本期纳入合并财务报表范围的主体较上期相比，增加</w:t>
      </w:r>
      <w:r>
        <w:rPr>
          <w:rFonts w:ascii="Times New Roman" w:hAnsi="Times New Roman" w:cs="Times New Roman" w:eastAsia="Times New Roman" w:hint="default"/>
        </w:rPr>
        <w:t>4</w:t>
      </w:r>
      <w:r>
        <w:rPr/>
        <w:t>户，减少</w:t>
      </w:r>
      <w:r>
        <w:rPr>
          <w:rFonts w:ascii="Times New Roman" w:hAnsi="Times New Roman" w:cs="Times New Roman" w:eastAsia="Times New Roman" w:hint="default"/>
        </w:rPr>
        <w:t>3</w:t>
      </w:r>
      <w:r>
        <w:rPr/>
        <w:t>户，其中：</w:t>
      </w:r>
    </w:p>
    <w:p>
      <w:pPr>
        <w:pStyle w:val="BodyText"/>
        <w:spacing w:line="240" w:lineRule="auto" w:before="110"/>
        <w:ind w:left="573" w:right="1133"/>
        <w:jc w:val="left"/>
      </w:pPr>
      <w:r>
        <w:rPr>
          <w:rFonts w:ascii="Times New Roman" w:hAnsi="Times New Roman" w:cs="Times New Roman" w:eastAsia="Times New Roman" w:hint="default"/>
        </w:rPr>
        <w:t>1</w:t>
      </w:r>
      <w:r>
        <w:rPr/>
        <w:t>、本期新纳入合并范围的子公司</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820"/>
        <w:gridCol w:w="4820"/>
      </w:tblGrid>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湖北蓝盾网信科技有限公司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广东和诚科技孵化器有限公司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始兴县都亨加油站有限公司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广州市汇特慧科技有限公司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非同一控制企业合并</w:t>
            </w:r>
          </w:p>
        </w:tc>
      </w:tr>
    </w:tbl>
    <w:p>
      <w:pPr>
        <w:pStyle w:val="BodyText"/>
        <w:spacing w:line="331" w:lineRule="auto" w:before="74"/>
        <w:ind w:right="1133" w:firstLine="420"/>
        <w:jc w:val="left"/>
      </w:pPr>
      <w:r>
        <w:rPr/>
        <w:pict>
          <v:shape style="position:absolute;margin-left:56.279999pt;margin-top:40.083698pt;width:483.1pt;height:70.1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0"/>
                    <w:gridCol w:w="4820"/>
                  </w:tblGrid>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对外转让</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p>
              </w:txbxContent>
            </v:textbox>
            <w10:wrap type="none"/>
          </v:shape>
        </w:pict>
      </w:r>
      <w:r>
        <w:rPr>
          <w:rFonts w:ascii="Times New Roman" w:hAnsi="Times New Roman" w:cs="Times New Roman" w:eastAsia="Times New Roman" w:hint="default"/>
        </w:rPr>
        <w:t>2</w:t>
      </w:r>
      <w:r>
        <w:rPr/>
        <w:t>、本期减少的合并范围内的子公司、特殊目的主体、通过受托经营或承租等方式形成控制权的经营</w:t>
      </w:r>
      <w:r>
        <w:rPr>
          <w:w w:val="100"/>
        </w:rPr>
        <w:t> </w:t>
      </w:r>
      <w:r>
        <w:rPr/>
        <w:t>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6"/>
        <w:ind w:left="573" w:right="1133"/>
        <w:jc w:val="left"/>
      </w:pPr>
      <w:r>
        <w:rPr/>
        <w:t>合并范围变更主体的具体信息详见第十二节</w:t>
      </w:r>
      <w:r>
        <w:rPr>
          <w:spacing w:val="-4"/>
        </w:rPr>
        <w:t> </w:t>
      </w:r>
      <w:r>
        <w:rPr/>
        <w:t>八、合并范围的变更。</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四、财务报表的编制基础" w:id="189"/>
      <w:bookmarkEnd w:id="189"/>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90"/>
      <w:bookmarkEnd w:id="19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31"/>
          <w:szCs w:val="31"/>
        </w:rPr>
      </w:pPr>
    </w:p>
    <w:p>
      <w:pPr>
        <w:pStyle w:val="BodyText"/>
        <w:spacing w:line="331" w:lineRule="auto"/>
        <w:ind w:right="1126" w:firstLine="420"/>
        <w:jc w:val="both"/>
      </w:pPr>
      <w:r>
        <w:rPr>
          <w:spacing w:val="-2"/>
        </w:rPr>
        <w:t>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w:t>
      </w:r>
      <w:r>
        <w:rPr>
          <w:w w:val="100"/>
        </w:rPr>
        <w:t> </w:t>
      </w:r>
      <w:r>
        <w:rPr>
          <w:spacing w:val="-2"/>
        </w:rPr>
        <w:t>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w:t>
      </w:r>
      <w:r>
        <w:rPr>
          <w:spacing w:val="-17"/>
        </w:rPr>
        <w:t> </w:t>
      </w:r>
      <w:r>
        <w:rPr>
          <w:spacing w:val="-17"/>
        </w:rPr>
      </w:r>
      <w:r>
        <w:rPr>
          <w:spacing w:val="-2"/>
        </w:rPr>
        <w:t>和计量，在此基础上，结合中国证监会《公开发行证券的公司信息披露编报规则第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r>
        <w:rPr>
          <w:spacing w:val="-40"/>
        </w:rPr>
        <w:t> </w:t>
      </w:r>
      <w:r>
        <w:rPr>
          <w:spacing w:val="-40"/>
        </w:rPr>
      </w:r>
      <w:r>
        <w:rPr/>
        <w:t>般规定》（</w:t>
      </w:r>
      <w:r>
        <w:rPr>
          <w:rFonts w:ascii="Times New Roman" w:hAnsi="Times New Roman" w:cs="Times New Roman" w:eastAsia="Times New Roman" w:hint="default"/>
        </w:rPr>
        <w:t>2014</w:t>
      </w:r>
      <w:r>
        <w:rPr/>
        <w:t>年修订）的规定，编制财务报表。</w:t>
      </w:r>
    </w:p>
    <w:p>
      <w:pPr>
        <w:spacing w:line="240" w:lineRule="auto" w:before="13"/>
        <w:rPr>
          <w:rFonts w:ascii="宋体" w:hAnsi="宋体" w:cs="宋体" w:eastAsia="宋体" w:hint="default"/>
          <w:sz w:val="17"/>
          <w:szCs w:val="17"/>
        </w:rPr>
      </w:pPr>
    </w:p>
    <w:p>
      <w:pPr>
        <w:pStyle w:val="Heading3"/>
        <w:spacing w:line="240" w:lineRule="auto"/>
        <w:ind w:right="1133"/>
        <w:jc w:val="left"/>
        <w:rPr>
          <w:b w:val="0"/>
          <w:bCs w:val="0"/>
        </w:rPr>
      </w:pPr>
      <w:bookmarkStart w:name="2、持续经营" w:id="191"/>
      <w:bookmarkEnd w:id="19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31"/>
          <w:szCs w:val="31"/>
        </w:rPr>
      </w:pPr>
    </w:p>
    <w:p>
      <w:pPr>
        <w:pStyle w:val="BodyText"/>
        <w:spacing w:line="331" w:lineRule="auto"/>
        <w:ind w:right="1133" w:firstLine="420"/>
        <w:jc w:val="left"/>
      </w:pPr>
      <w:r>
        <w:rPr>
          <w:spacing w:val="-2"/>
        </w:rPr>
        <w:t>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w:t>
      </w:r>
      <w:r>
        <w:rPr>
          <w:w w:val="100"/>
        </w:rPr>
        <w:t> </w:t>
      </w:r>
      <w:r>
        <w:rPr/>
        <w:t>情况。因此，本财务报表系在持续经营假设的基础上编制。</w:t>
      </w:r>
    </w:p>
    <w:p>
      <w:pPr>
        <w:spacing w:line="240" w:lineRule="auto" w:before="12"/>
        <w:rPr>
          <w:rFonts w:ascii="宋体" w:hAnsi="宋体" w:cs="宋体" w:eastAsia="宋体" w:hint="default"/>
          <w:sz w:val="17"/>
          <w:szCs w:val="17"/>
        </w:rPr>
      </w:pPr>
    </w:p>
    <w:p>
      <w:pPr>
        <w:pStyle w:val="Heading2"/>
        <w:spacing w:line="240" w:lineRule="auto"/>
        <w:ind w:right="1133"/>
        <w:jc w:val="left"/>
        <w:rPr>
          <w:b w:val="0"/>
          <w:bCs w:val="0"/>
        </w:rPr>
      </w:pPr>
      <w:bookmarkStart w:name="五、重要会计政策及会计估计" w:id="192"/>
      <w:bookmarkEnd w:id="192"/>
      <w:r>
        <w:rPr>
          <w:b w:val="0"/>
          <w:bCs w:val="0"/>
        </w:rPr>
      </w:r>
      <w:r>
        <w:rPr/>
        <w:t>五、重要会计政策及会计估计</w:t>
      </w:r>
      <w:r>
        <w:rPr>
          <w:b w:val="0"/>
          <w:bCs w:val="0"/>
        </w:rPr>
      </w:r>
    </w:p>
    <w:p>
      <w:pPr>
        <w:spacing w:line="700" w:lineRule="exact" w:before="8"/>
        <w:ind w:left="573" w:right="1133" w:hanging="421"/>
        <w:jc w:val="left"/>
        <w:rPr>
          <w:rFonts w:ascii="宋体" w:hAnsi="宋体" w:cs="宋体" w:eastAsia="宋体" w:hint="default"/>
          <w:sz w:val="21"/>
          <w:szCs w:val="21"/>
        </w:rPr>
      </w:pPr>
      <w:bookmarkStart w:name="1、遵循企业会计准则的声明" w:id="193"/>
      <w:bookmarkEnd w:id="19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pStyle w:val="BodyText"/>
        <w:spacing w:line="240" w:lineRule="auto" w:before="13"/>
        <w:ind w:right="1133"/>
        <w:jc w:val="left"/>
      </w:pPr>
      <w:r>
        <w:rPr/>
        <w:t>成果、现金流量等有关信息。</w:t>
      </w:r>
    </w:p>
    <w:p>
      <w:pPr>
        <w:spacing w:line="240" w:lineRule="auto" w:before="12"/>
        <w:rPr>
          <w:rFonts w:ascii="宋体" w:hAnsi="宋体" w:cs="宋体" w:eastAsia="宋体" w:hint="default"/>
          <w:sz w:val="25"/>
          <w:szCs w:val="25"/>
        </w:rPr>
      </w:pPr>
    </w:p>
    <w:p>
      <w:pPr>
        <w:pStyle w:val="Heading3"/>
        <w:spacing w:line="240" w:lineRule="auto"/>
        <w:ind w:right="1133"/>
        <w:jc w:val="left"/>
        <w:rPr>
          <w:b w:val="0"/>
          <w:bCs w:val="0"/>
        </w:rPr>
      </w:pPr>
      <w:bookmarkStart w:name="2、会计期间" w:id="194"/>
      <w:bookmarkEnd w:id="19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31"/>
          <w:szCs w:val="31"/>
        </w:rPr>
      </w:pPr>
    </w:p>
    <w:p>
      <w:pPr>
        <w:pStyle w:val="BodyText"/>
        <w:spacing w:line="240" w:lineRule="auto"/>
        <w:ind w:left="57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7"/>
        <w:rPr>
          <w:rFonts w:ascii="宋体" w:hAnsi="宋体" w:cs="宋体" w:eastAsia="宋体" w:hint="default"/>
          <w:sz w:val="24"/>
          <w:szCs w:val="24"/>
        </w:rPr>
      </w:pPr>
    </w:p>
    <w:p>
      <w:pPr>
        <w:pStyle w:val="Heading3"/>
        <w:spacing w:line="240" w:lineRule="auto"/>
        <w:ind w:right="1133"/>
        <w:jc w:val="left"/>
        <w:rPr>
          <w:b w:val="0"/>
          <w:bCs w:val="0"/>
        </w:rPr>
      </w:pPr>
      <w:bookmarkStart w:name="3、营业周期" w:id="195"/>
      <w:bookmarkEnd w:id="19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1133"/>
        <w:jc w:val="left"/>
      </w:pPr>
      <w:r>
        <w:rPr/>
        <w:t>本公司营业周期为</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3"/>
        <w:spacing w:line="240" w:lineRule="auto"/>
        <w:ind w:right="1133"/>
        <w:jc w:val="left"/>
        <w:rPr>
          <w:b w:val="0"/>
          <w:bCs w:val="0"/>
        </w:rPr>
      </w:pPr>
      <w:bookmarkStart w:name="4、记账本位币" w:id="196"/>
      <w:bookmarkEnd w:id="19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1133"/>
        <w:jc w:val="left"/>
      </w:pPr>
      <w:r>
        <w:rPr/>
        <w:t>采用人民币为记账本位币。</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同一控制下和非同一控制下企业合并的会计处理方法" w:id="197"/>
      <w:bookmarkEnd w:id="19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31"/>
          <w:szCs w:val="31"/>
        </w:rPr>
      </w:pPr>
    </w:p>
    <w:p>
      <w:pPr>
        <w:pStyle w:val="Heading3"/>
        <w:spacing w:line="331" w:lineRule="auto"/>
        <w:ind w:right="1133" w:firstLine="422"/>
        <w:jc w:val="left"/>
        <w:rPr>
          <w:b w:val="0"/>
          <w:bCs w:val="0"/>
        </w:rPr>
      </w:pPr>
      <w:r>
        <w:rPr>
          <w:rFonts w:ascii="Times New Roman" w:hAnsi="Times New Roman" w:cs="Times New Roman" w:eastAsia="Times New Roman" w:hint="default"/>
          <w:spacing w:val="-1"/>
        </w:rPr>
        <w:t>1.</w:t>
      </w:r>
      <w:r>
        <w:rPr>
          <w:spacing w:val="-1"/>
        </w:rPr>
        <w:t>分步实现企业合并过程中的各项交易的条款、条件以及经济影响符合以下一种或多种情况，将多次</w:t>
      </w:r>
      <w:r>
        <w:rPr>
          <w:w w:val="100"/>
        </w:rPr>
        <w:t> </w:t>
      </w:r>
      <w:r>
        <w:rPr/>
        <w:t>交易事项作为一揽子交易进行会计处理</w:t>
      </w:r>
      <w:r>
        <w:rPr>
          <w:b w:val="0"/>
          <w:bCs w:val="0"/>
        </w:rPr>
      </w:r>
    </w:p>
    <w:p>
      <w:pPr>
        <w:pStyle w:val="BodyText"/>
        <w:spacing w:line="240" w:lineRule="auto" w:before="46"/>
        <w:ind w:left="573"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7"/>
        <w:ind w:left="573"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10"/>
        <w:ind w:left="573" w:right="1133"/>
        <w:jc w:val="left"/>
      </w:pPr>
      <w:r>
        <w:rPr/>
        <w:t>（</w:t>
      </w:r>
      <w:r>
        <w:rPr>
          <w:rFonts w:ascii="Times New Roman" w:hAnsi="Times New Roman" w:cs="Times New Roman" w:eastAsia="Times New Roman" w:hint="default"/>
        </w:rPr>
        <w:t>3</w:t>
      </w:r>
      <w:r>
        <w:rPr/>
        <w:t>）一项交易的发生取决于其他至少一项交易的发生；</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left="573" w:right="1133"/>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28" w:lineRule="auto" w:before="110"/>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公司在企业合并中取得的资产和负债，按照合并日在被合并方资产、负债（包括最终控制方收购被合</w:t>
      </w:r>
    </w:p>
    <w:p>
      <w:pPr>
        <w:pStyle w:val="BodyText"/>
        <w:spacing w:line="348" w:lineRule="auto" w:before="48"/>
        <w:ind w:right="1126"/>
        <w:jc w:val="both"/>
      </w:pPr>
      <w:r>
        <w:rPr>
          <w:spacing w:val="-2"/>
        </w:rPr>
        <w:t>并方而形成的商誉）在最终控制方合并财务报表中的账面价值计量。在合并中取得的净资产账面价值与支</w:t>
      </w:r>
      <w:r>
        <w:rPr>
          <w:spacing w:val="-43"/>
        </w:rPr>
        <w:t> </w:t>
      </w:r>
      <w:r>
        <w:rPr>
          <w:spacing w:val="-43"/>
        </w:rPr>
      </w:r>
      <w:r>
        <w:rPr>
          <w:spacing w:val="-2"/>
        </w:rPr>
        <w:t>付的合并对价账面价值（或发行股份面值总额）的差额，调整资本公积中的股本溢价，资本公积中的股本</w:t>
      </w:r>
      <w:r>
        <w:rPr>
          <w:spacing w:val="-50"/>
        </w:rPr>
        <w:t> </w:t>
      </w:r>
      <w:r>
        <w:rPr>
          <w:spacing w:val="-50"/>
        </w:rPr>
      </w:r>
      <w:r>
        <w:rPr/>
        <w:t>溢价不足冲减的，调整留存收益。</w:t>
      </w:r>
    </w:p>
    <w:p>
      <w:pPr>
        <w:pStyle w:val="BodyText"/>
        <w:spacing w:line="350" w:lineRule="auto" w:before="31"/>
        <w:ind w:right="1133" w:firstLine="420"/>
        <w:jc w:val="left"/>
      </w:pPr>
      <w:r>
        <w:rPr>
          <w:spacing w:val="-2"/>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BodyText"/>
        <w:spacing w:line="350" w:lineRule="auto" w:before="27"/>
        <w:ind w:right="1105" w:firstLine="420"/>
        <w:jc w:val="both"/>
      </w:pPr>
      <w:r>
        <w:rPr>
          <w:spacing w:val="-2"/>
        </w:rPr>
        <w:t>对于通过多次交易最终实现企业合并的，属于一揽子交易的，将各项交易作为一项取得控制权的交易</w:t>
      </w:r>
      <w:r>
        <w:rPr>
          <w:w w:val="100"/>
        </w:rPr>
        <w:t> </w:t>
      </w:r>
      <w:r>
        <w:rPr>
          <w:spacing w:val="-2"/>
        </w:rPr>
        <w:t>进行会计处理；不属于一揽子交易的，在取得控制权日，长期股权投资初始投资成本，与达到合并前的长</w:t>
      </w:r>
      <w:r>
        <w:rPr>
          <w:spacing w:val="-50"/>
        </w:rPr>
        <w:t> </w:t>
      </w:r>
      <w:r>
        <w:rPr>
          <w:spacing w:val="-50"/>
        </w:rPr>
      </w: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r>
        <w:rPr>
          <w:spacing w:val="-44"/>
        </w:rPr>
        <w:t> </w:t>
      </w:r>
      <w:r>
        <w:rPr>
          <w:spacing w:val="-44"/>
        </w:rPr>
      </w:r>
      <w:r>
        <w:rPr>
          <w:spacing w:val="-2"/>
        </w:rPr>
        <w:t>计量准则核算而确认的其他综合收益，暂不进行会计处理，直至处置该项投资时采用与被投资单位直接处</w:t>
      </w:r>
      <w:r>
        <w:rPr>
          <w:spacing w:val="-44"/>
        </w:rPr>
        <w:t> </w:t>
      </w:r>
      <w:r>
        <w:rPr>
          <w:spacing w:val="-44"/>
        </w:rPr>
      </w:r>
      <w:r>
        <w:rPr>
          <w:spacing w:val="-2"/>
        </w:rPr>
        <w:t>置相关资产或负债相同的基础进行会计处理；因采用权益法核算而确认的被投资单位净资产中除净损益、</w:t>
      </w:r>
      <w:r>
        <w:rPr>
          <w:spacing w:val="-21"/>
        </w:rPr>
        <w:t> </w:t>
      </w:r>
      <w:r>
        <w:rPr>
          <w:spacing w:val="-21"/>
        </w:rPr>
      </w:r>
      <w:r>
        <w:rPr>
          <w:spacing w:val="-2"/>
        </w:rPr>
        <w:t>其他综合收益和利润分配以外的所有者权益其他变动，暂不进行会计处理，直至处置该项投资时转入当期</w:t>
      </w:r>
      <w:r>
        <w:rPr>
          <w:spacing w:val="-43"/>
        </w:rPr>
        <w:t> </w:t>
      </w:r>
      <w:r>
        <w:rPr>
          <w:spacing w:val="-43"/>
        </w:rPr>
      </w:r>
      <w:r>
        <w:rPr/>
        <w:t>损益。</w:t>
      </w:r>
    </w:p>
    <w:p>
      <w:pPr>
        <w:spacing w:line="328" w:lineRule="auto" w:before="29"/>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购买日是指公司实际取得对被购买方控制权的日期，即被购买方的净资产或生产经营决策的控制权转</w:t>
      </w:r>
    </w:p>
    <w:p>
      <w:pPr>
        <w:pStyle w:val="BodyText"/>
        <w:spacing w:line="240" w:lineRule="auto" w:before="48"/>
        <w:ind w:right="0"/>
        <w:jc w:val="both"/>
      </w:pPr>
      <w:r>
        <w:rPr/>
        <w:t>移给公司的日期。同时满足下列条件时，公司一般认为实现了控制权的转移：</w:t>
      </w:r>
    </w:p>
    <w:p>
      <w:pPr>
        <w:pStyle w:val="BodyText"/>
        <w:spacing w:line="240" w:lineRule="auto" w:before="126"/>
        <w:ind w:left="573" w:right="1133"/>
        <w:jc w:val="left"/>
      </w:pPr>
      <w:r>
        <w:rPr/>
        <w:t>①企业合并合同或协议已获公司内部权力机构通过。</w:t>
      </w:r>
    </w:p>
    <w:p>
      <w:pPr>
        <w:pStyle w:val="BodyText"/>
        <w:spacing w:line="240" w:lineRule="auto" w:before="123"/>
        <w:ind w:left="573" w:right="1133"/>
        <w:jc w:val="left"/>
      </w:pPr>
      <w:r>
        <w:rPr/>
        <w:t>②企业合并事项需要经过国家有关主管部门审批的，已获得批准。</w:t>
      </w:r>
    </w:p>
    <w:p>
      <w:pPr>
        <w:pStyle w:val="BodyText"/>
        <w:spacing w:line="240" w:lineRule="auto" w:before="126"/>
        <w:ind w:left="573" w:right="1133"/>
        <w:jc w:val="left"/>
      </w:pPr>
      <w:r>
        <w:rPr/>
        <w:t>③已办理了必要的财产权转移手续。</w:t>
      </w:r>
    </w:p>
    <w:p>
      <w:pPr>
        <w:pStyle w:val="BodyText"/>
        <w:spacing w:line="240" w:lineRule="auto" w:before="126"/>
        <w:ind w:left="573" w:right="1133"/>
        <w:jc w:val="left"/>
      </w:pPr>
      <w:r>
        <w:rPr/>
        <w:t>④公司已支付了合并价款的大部分，并且有能力、有计划支付剩余款项。</w:t>
      </w:r>
    </w:p>
    <w:p>
      <w:pPr>
        <w:pStyle w:val="BodyText"/>
        <w:spacing w:line="350" w:lineRule="auto" w:before="123"/>
        <w:ind w:left="573" w:right="1133"/>
        <w:jc w:val="left"/>
      </w:pPr>
      <w:r>
        <w:rPr/>
        <w:t>⑤公司实际上已经控制了被购买方的财务和经营政策，并享有相应的利益、承担相应的风险。</w:t>
      </w:r>
      <w:r>
        <w:rPr>
          <w:w w:val="100"/>
        </w:rPr>
        <w:t> </w:t>
      </w:r>
      <w:r>
        <w:rPr>
          <w:spacing w:val="-2"/>
        </w:rPr>
        <w:t>公司在购买日对作为企业合并对价付出的资产、发生或承担的负债按照公允价值计量，公允价值与其</w:t>
      </w:r>
    </w:p>
    <w:p>
      <w:pPr>
        <w:pStyle w:val="BodyText"/>
        <w:spacing w:line="348" w:lineRule="auto" w:before="29"/>
        <w:ind w:left="573" w:right="1133" w:hanging="421"/>
        <w:jc w:val="left"/>
      </w:pPr>
      <w:r>
        <w:rPr/>
        <w:t>账面价值的差额，计入当期损益。</w:t>
      </w:r>
      <w:r>
        <w:rPr>
          <w:w w:val="100"/>
        </w:rPr>
        <w:t> </w:t>
      </w:r>
      <w:r>
        <w:rPr>
          <w:spacing w:val="-2"/>
        </w:rPr>
        <w:t>公司对合并成本大于合并中取得的被购买方可辨认净资产公允价值份额的差额，确认为商誉；合并成</w:t>
      </w:r>
    </w:p>
    <w:p>
      <w:pPr>
        <w:pStyle w:val="BodyText"/>
        <w:spacing w:line="350" w:lineRule="auto" w:before="32"/>
        <w:ind w:left="573" w:right="1133" w:hanging="421"/>
        <w:jc w:val="left"/>
      </w:pPr>
      <w:r>
        <w:rPr/>
        <w:t>本小于合并中取得的被购买方可辨认净资产公允价值份额的差额，经复核后，计入当期损益。</w:t>
      </w:r>
      <w:r>
        <w:rPr>
          <w:w w:val="100"/>
        </w:rPr>
        <w:t> </w:t>
      </w:r>
      <w:r>
        <w:rPr>
          <w:spacing w:val="-2"/>
        </w:rPr>
        <w:t>通过多次交换交易分步实现的非同一控制下企业合并，属于一揽子交易的，将各项交易作为一项取得</w:t>
      </w:r>
    </w:p>
    <w:p>
      <w:pPr>
        <w:pStyle w:val="BodyText"/>
        <w:spacing w:line="350" w:lineRule="auto" w:before="27"/>
        <w:ind w:right="1126"/>
        <w:jc w:val="both"/>
      </w:pPr>
      <w:r>
        <w:rPr>
          <w:spacing w:val="-2"/>
        </w:rPr>
        <w:t>控制权的交易进行会计处理；不属于一揽子交易的，合并日之前持有的股权投资采用权益法核算的，以购</w:t>
      </w:r>
      <w:r>
        <w:rPr>
          <w:spacing w:val="-43"/>
        </w:rPr>
        <w:t> </w:t>
      </w:r>
      <w:r>
        <w:rPr>
          <w:spacing w:val="-43"/>
        </w:rPr>
      </w:r>
      <w:r>
        <w:rPr>
          <w:spacing w:val="2"/>
        </w:rPr>
        <w:t>买日之前所持被购买方的股权投资的账面价值与购买日新增投资成本之和，作为该项投资的初始投资成</w:t>
      </w:r>
      <w:r>
        <w:rPr>
          <w:spacing w:val="-30"/>
        </w:rPr>
        <w:t> </w:t>
      </w:r>
      <w:r>
        <w:rPr>
          <w:spacing w:val="-30"/>
        </w:rPr>
      </w:r>
      <w:r>
        <w:rPr>
          <w:spacing w:val="-2"/>
        </w:rPr>
        <w:t>本；购买日之前持有的股权投资因采用权益法核算而确认的其他综合收益，在处置该项投资时采用与被投</w:t>
      </w:r>
      <w:r>
        <w:rPr>
          <w:spacing w:val="-43"/>
        </w:rPr>
        <w:t> </w:t>
      </w:r>
      <w:r>
        <w:rPr>
          <w:spacing w:val="-43"/>
        </w:rPr>
      </w:r>
      <w:r>
        <w:rPr>
          <w:spacing w:val="-2"/>
        </w:rPr>
        <w:t>资单位直接处置相关资产或负债相同的基础进行会计处理。合并日之前持有的股权投资采用金融工具确认</w:t>
      </w:r>
      <w:r>
        <w:rPr>
          <w:spacing w:val="-43"/>
        </w:rPr>
        <w:t> </w:t>
      </w:r>
      <w:r>
        <w:rPr>
          <w:spacing w:val="-43"/>
        </w:rPr>
      </w:r>
      <w:r>
        <w:rPr>
          <w:spacing w:val="-2"/>
        </w:rPr>
        <w:t>和计量准则核算的，以该股权投资在合并日的公允价值加上新增投资成本之和，作为合并日的初始投资成</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本。原持有股权的公允价值与账面价值之间的差额以及原计入其他综合收益的累计公允价值变动应全部转</w:t>
      </w:r>
      <w:r>
        <w:rPr>
          <w:spacing w:val="-43"/>
        </w:rPr>
        <w:t> </w:t>
      </w:r>
      <w:r>
        <w:rPr>
          <w:spacing w:val="-43"/>
        </w:rPr>
      </w:r>
      <w:r>
        <w:rPr/>
        <w:t>入合并日当期的投资收益。</w:t>
      </w:r>
    </w:p>
    <w:p>
      <w:pPr>
        <w:spacing w:line="364" w:lineRule="auto" w:before="27"/>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100"/>
          <w:sz w:val="21"/>
          <w:szCs w:val="21"/>
        </w:rPr>
        <w:t> </w:t>
      </w:r>
      <w:r>
        <w:rPr>
          <w:rFonts w:ascii="宋体" w:hAnsi="宋体" w:cs="宋体" w:eastAsia="宋体" w:hint="default"/>
          <w:spacing w:val="-2"/>
          <w:sz w:val="21"/>
          <w:szCs w:val="21"/>
        </w:rPr>
        <w:t>为企业合并发生的审计、法律服务、评估咨询等中介费用以及其他直接相关费用，于发生时计入当期</w:t>
      </w:r>
    </w:p>
    <w:p>
      <w:pPr>
        <w:pStyle w:val="BodyText"/>
        <w:spacing w:line="240" w:lineRule="auto" w:before="14"/>
        <w:ind w:right="0"/>
        <w:jc w:val="both"/>
      </w:pPr>
      <w:r>
        <w:rPr/>
        <w:t>损益；为企业合并而发行权益性证券的交易费用，可直接归属于权益性交易的从权益中扣减。</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6、合并财务报表的编制方法" w:id="198"/>
      <w:bookmarkEnd w:id="19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31"/>
          <w:szCs w:val="31"/>
        </w:rPr>
      </w:pPr>
    </w:p>
    <w:p>
      <w:pPr>
        <w:pStyle w:val="BodyText"/>
        <w:spacing w:line="328" w:lineRule="auto"/>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公司合并财务报表的合并范围以控制为基础确定，所有子公司（包括公司所控制的单独主体）均纳入</w:t>
      </w:r>
    </w:p>
    <w:p>
      <w:pPr>
        <w:pStyle w:val="BodyText"/>
        <w:spacing w:line="240" w:lineRule="auto" w:before="49"/>
        <w:ind w:right="0"/>
        <w:jc w:val="both"/>
      </w:pPr>
      <w:r>
        <w:rPr/>
        <w:t>合并财务报表。</w:t>
      </w:r>
    </w:p>
    <w:p>
      <w:pPr>
        <w:pStyle w:val="BodyText"/>
        <w:spacing w:line="328" w:lineRule="auto" w:before="126"/>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公司以自身和各子公司的财务报表为基础，根据其他有关资料，编制合并财务报表。公司编制合并财</w:t>
      </w:r>
    </w:p>
    <w:p>
      <w:pPr>
        <w:pStyle w:val="BodyText"/>
        <w:spacing w:line="350" w:lineRule="auto" w:before="48"/>
        <w:ind w:right="1129"/>
        <w:jc w:val="both"/>
      </w:pPr>
      <w:r>
        <w:rPr>
          <w:spacing w:val="-2"/>
        </w:rPr>
        <w:t>务报表，将整个企业集团视为一个会计主体，依据相关企业会计准则的确认、计量和列报要求，按照统一</w:t>
      </w:r>
      <w:r>
        <w:rPr>
          <w:spacing w:val="-47"/>
        </w:rPr>
        <w:t> </w:t>
      </w:r>
      <w:r>
        <w:rPr>
          <w:spacing w:val="-47"/>
        </w:rPr>
      </w:r>
      <w:r>
        <w:rPr/>
        <w:t>的会计政策，反映本企业集团整体财务状况、经营成果和现金流量。</w:t>
      </w:r>
    </w:p>
    <w:p>
      <w:pPr>
        <w:pStyle w:val="BodyText"/>
        <w:spacing w:line="350" w:lineRule="auto" w:before="27"/>
        <w:ind w:right="1126" w:firstLine="420"/>
        <w:jc w:val="both"/>
      </w:pPr>
      <w:r>
        <w:rPr>
          <w:spacing w:val="-2"/>
        </w:rPr>
        <w:t>所有纳入合并财务报表合并范围的子公司所采用的会计政策、会计期间与公司一致，如子公司采用的</w:t>
      </w:r>
      <w:r>
        <w:rPr>
          <w:w w:val="100"/>
        </w:rPr>
        <w:t> </w:t>
      </w:r>
      <w:r>
        <w:rPr>
          <w:spacing w:val="-2"/>
        </w:rPr>
        <w:t>会计政策、会计期间与公司不一致的，在编制合并财务报表时，按公司的会计政策、会计期间进行必要的</w:t>
      </w:r>
      <w:r>
        <w:rPr>
          <w:spacing w:val="-50"/>
        </w:rPr>
        <w:t> </w:t>
      </w:r>
      <w:r>
        <w:rPr>
          <w:spacing w:val="-50"/>
        </w:rPr>
      </w:r>
      <w:r>
        <w:rPr/>
        <w:t>调整。</w:t>
      </w:r>
    </w:p>
    <w:p>
      <w:pPr>
        <w:pStyle w:val="BodyText"/>
        <w:spacing w:line="350" w:lineRule="auto" w:before="27"/>
        <w:ind w:right="1126" w:firstLine="420"/>
        <w:jc w:val="both"/>
      </w:pPr>
      <w:r>
        <w:rPr>
          <w:spacing w:val="-2"/>
        </w:rPr>
        <w:t>合并财务报表时抵销公司与各子公司、各子公司相互之间发生的内部交易对合并资产负债表、合并利</w:t>
      </w:r>
      <w:r>
        <w:rPr>
          <w:w w:val="100"/>
        </w:rPr>
        <w:t> </w:t>
      </w:r>
      <w:r>
        <w:rPr>
          <w:spacing w:val="-2"/>
        </w:rPr>
        <w:t>润表、合并现金流量表、合并股东权益变动表的影响。如果站在企业集团合并财务报表角度与以公司或子</w:t>
      </w:r>
      <w:r>
        <w:rPr>
          <w:spacing w:val="-42"/>
        </w:rPr>
        <w:t> </w:t>
      </w:r>
      <w:r>
        <w:rPr>
          <w:spacing w:val="-42"/>
        </w:rPr>
      </w:r>
      <w:r>
        <w:rPr/>
        <w:t>公司为会计主体对同一交易的认定不同时，从企业集团的角度对该交易予以调整。</w:t>
      </w:r>
    </w:p>
    <w:p>
      <w:pPr>
        <w:pStyle w:val="BodyText"/>
        <w:spacing w:line="350" w:lineRule="auto" w:before="27"/>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350" w:lineRule="auto" w:before="27"/>
        <w:ind w:right="1126" w:firstLine="420"/>
        <w:jc w:val="both"/>
      </w:pPr>
      <w:r>
        <w:rPr>
          <w:spacing w:val="-2"/>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BodyText"/>
        <w:spacing w:line="348" w:lineRule="auto" w:before="29"/>
        <w:ind w:right="1126" w:firstLine="420"/>
        <w:jc w:val="both"/>
      </w:pPr>
      <w:r>
        <w:rPr>
          <w:spacing w:val="-2"/>
        </w:rPr>
        <w:t>对于非同一控制下企业合并取得的子公司，以购买日可辨认净资产公允价值为基础对其财务报表进行</w:t>
      </w:r>
      <w:r>
        <w:rPr>
          <w:w w:val="100"/>
        </w:rPr>
        <w:t> </w:t>
      </w:r>
      <w:r>
        <w:rPr/>
        <w:t>调整。</w:t>
      </w:r>
    </w:p>
    <w:p>
      <w:pPr>
        <w:pStyle w:val="BodyText"/>
        <w:spacing w:line="331" w:lineRule="auto" w:before="32"/>
        <w:ind w:left="573" w:right="1133"/>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350" w:lineRule="auto" w:before="43"/>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350" w:lineRule="auto" w:before="27"/>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350" w:lineRule="auto" w:before="27"/>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350" w:lineRule="auto" w:before="27"/>
        <w:ind w:right="982" w:firstLine="420"/>
        <w:jc w:val="left"/>
      </w:pPr>
      <w:r>
        <w:rPr/>
        <w:t>因追加投资等原因能够对非同一控制下的被投资方实施控制的，对于购买日之前持有的被购买方的股</w:t>
      </w:r>
      <w:r>
        <w:rPr>
          <w:w w:val="100"/>
        </w:rPr>
        <w:t> </w:t>
      </w:r>
      <w:r>
        <w:rPr>
          <w:spacing w:val="-5"/>
        </w:rPr>
        <w:t>权，公司按照该股权在购买日的公允价值进行重新计量，公允价值与其账面价值的差额计入当期投资收益。 </w:t>
      </w:r>
      <w:r>
        <w:rPr>
          <w:spacing w:val="-5"/>
        </w:rPr>
      </w:r>
      <w:r>
        <w:rPr>
          <w:spacing w:val="-2"/>
        </w:rPr>
        <w:t>购买日之前持有的被购买方的股权涉及权益法核算下的其他综合收益以及除净损益、其他综合收益和利润</w:t>
      </w:r>
      <w:r>
        <w:rPr>
          <w:spacing w:val="-43"/>
        </w:rPr>
        <w:t> </w:t>
      </w:r>
      <w:r>
        <w:rPr>
          <w:spacing w:val="-43"/>
        </w:rPr>
      </w:r>
      <w:r>
        <w:rPr>
          <w:spacing w:val="-2"/>
        </w:rPr>
        <w:t>分配之外的其他所有者权益变动的，与其相关的其他综合收益、其他所有者权益变动转为购买日所属当期</w:t>
      </w:r>
      <w:r>
        <w:rPr>
          <w:spacing w:val="-43"/>
        </w:rPr>
        <w:t> </w:t>
      </w:r>
      <w:r>
        <w:rPr>
          <w:spacing w:val="-43"/>
        </w:rPr>
      </w:r>
      <w:r>
        <w:rPr/>
        <w:t>投资收益，由于被投资方重新计量设定受益计划净负债或净资产变动而产生的其他综合收益除外。</w:t>
      </w:r>
    </w:p>
    <w:p>
      <w:pPr>
        <w:pStyle w:val="BodyText"/>
        <w:spacing w:line="240" w:lineRule="auto" w:before="29"/>
        <w:ind w:left="573" w:right="1133"/>
        <w:jc w:val="left"/>
      </w:pPr>
      <w:r>
        <w:rPr/>
        <w:t>（</w:t>
      </w:r>
      <w:r>
        <w:rPr>
          <w:rFonts w:ascii="Times New Roman" w:hAnsi="Times New Roman" w:cs="Times New Roman" w:eastAsia="Times New Roman" w:hint="default"/>
        </w:rPr>
        <w:t>2</w:t>
      </w:r>
      <w:r>
        <w:rPr/>
        <w:t>）处置子公司或业务</w:t>
      </w:r>
    </w:p>
    <w:p>
      <w:pPr>
        <w:pStyle w:val="BodyText"/>
        <w:spacing w:line="331" w:lineRule="auto" w:before="107"/>
        <w:ind w:left="573" w:right="1133"/>
        <w:jc w:val="left"/>
      </w:pPr>
      <w:r>
        <w:rPr>
          <w:rFonts w:ascii="Times New Roman" w:hAnsi="Times New Roman" w:cs="Times New Roman" w:eastAsia="Times New Roman" w:hint="default"/>
        </w:rPr>
        <w:t>1</w:t>
      </w:r>
      <w:r>
        <w:rPr/>
        <w:t>）一般处理方法</w:t>
      </w:r>
      <w:r>
        <w:rPr>
          <w:w w:val="100"/>
        </w:rPr>
        <w:t> </w:t>
      </w:r>
      <w:r>
        <w:rPr>
          <w:spacing w:val="-2"/>
        </w:rPr>
        <w:t>在报告期内，公司处置子公司或业务，则该子公司或业务期初至处置日的收入、费用、利润纳入合并</w:t>
      </w:r>
    </w:p>
    <w:p>
      <w:pPr>
        <w:pStyle w:val="BodyText"/>
        <w:spacing w:line="348" w:lineRule="auto" w:before="46"/>
        <w:ind w:left="573" w:right="1133" w:hanging="421"/>
        <w:jc w:val="left"/>
      </w:pPr>
      <w:r>
        <w:rPr/>
        <w:t>利润表；该子公司或业务期初至处置日的现金流量纳入合并现金流量表。</w:t>
      </w:r>
      <w:r>
        <w:rPr>
          <w:w w:val="100"/>
        </w:rPr>
        <w:t> </w:t>
      </w:r>
      <w:r>
        <w:rPr>
          <w:spacing w:val="-2"/>
        </w:rPr>
        <w:t>因处置部分股权投资或其他原因丧失了对被投资方控制权时，对于处置后的剩余股权投资，公司按照</w:t>
      </w:r>
    </w:p>
    <w:p>
      <w:pPr>
        <w:pStyle w:val="BodyText"/>
        <w:spacing w:line="350" w:lineRule="auto" w:before="31"/>
        <w:ind w:right="1126"/>
        <w:jc w:val="both"/>
      </w:pPr>
      <w:r>
        <w:rPr>
          <w:spacing w:val="-2"/>
        </w:rPr>
        <w:t>其在丧失控制权日的公允价值进行重新计量。处置股权取得的对价与剩余股权公允价值之和，减去按原持</w:t>
      </w:r>
      <w:r>
        <w:rPr>
          <w:spacing w:val="-43"/>
        </w:rPr>
        <w:t> </w:t>
      </w:r>
      <w:r>
        <w:rPr>
          <w:spacing w:val="-43"/>
        </w:rPr>
      </w:r>
      <w:r>
        <w:rPr>
          <w:spacing w:val="-2"/>
        </w:rPr>
        <w:t>股比例计算应享有原有子公司自购买日或合并日开始持续计算的净资产的份额与商誉之和的差额，计入丧</w:t>
      </w:r>
      <w:r>
        <w:rPr>
          <w:spacing w:val="-43"/>
        </w:rPr>
        <w:t> </w:t>
      </w:r>
      <w:r>
        <w:rPr>
          <w:spacing w:val="-43"/>
        </w:rPr>
      </w:r>
      <w:r>
        <w:rPr>
          <w:spacing w:val="-2"/>
        </w:rPr>
        <w:t>失控制权当期的投资收益。与原有子公司股权投资相关的其他综合收益或除净损益、其他综合收益及利润</w:t>
      </w:r>
      <w:r>
        <w:rPr>
          <w:spacing w:val="-44"/>
        </w:rPr>
        <w:t> </w:t>
      </w:r>
      <w:r>
        <w:rPr>
          <w:spacing w:val="-44"/>
        </w:rPr>
      </w:r>
      <w:r>
        <w:rPr>
          <w:spacing w:val="-2"/>
        </w:rPr>
        <w:t>分配之外的其他所有者权益变动，在丧失控制权时转为当期投资收益，由于被投资方重新计量设定受益计</w:t>
      </w:r>
      <w:r>
        <w:rPr>
          <w:spacing w:val="-42"/>
        </w:rPr>
        <w:t> </w:t>
      </w:r>
      <w:r>
        <w:rPr>
          <w:spacing w:val="-42"/>
        </w:rPr>
      </w:r>
      <w:r>
        <w:rPr/>
        <w:t>划净负债或净资产变动而产生的其他综合收益除外。</w:t>
      </w:r>
    </w:p>
    <w:p>
      <w:pPr>
        <w:pStyle w:val="BodyText"/>
        <w:spacing w:line="331" w:lineRule="auto" w:before="27"/>
        <w:ind w:left="573" w:right="1133"/>
        <w:jc w:val="left"/>
      </w:pPr>
      <w:r>
        <w:rPr>
          <w:rFonts w:ascii="Times New Roman" w:hAnsi="Times New Roman" w:cs="Times New Roman" w:eastAsia="Times New Roman" w:hint="default"/>
        </w:rPr>
        <w:t>2</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348" w:lineRule="auto" w:before="46"/>
        <w:ind w:right="112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331" w:lineRule="auto" w:before="31"/>
        <w:ind w:left="573" w:right="2602"/>
        <w:jc w:val="left"/>
      </w:pPr>
      <w:r>
        <w:rPr>
          <w:rFonts w:ascii="Times New Roman" w:hAnsi="Times New Roman" w:cs="Times New Roman" w:eastAsia="Times New Roman" w:hint="default"/>
        </w:rPr>
        <w:t>A.</w:t>
      </w:r>
      <w:r>
        <w:rPr/>
        <w:t>这些交易是同时或者在考虑了彼此影响的情况下订立的；</w:t>
      </w:r>
      <w:r>
        <w:rPr>
          <w:w w:val="100"/>
        </w:rPr>
        <w:t> </w:t>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spacing w:val="-2"/>
        </w:rPr>
        <w:t>D.</w:t>
      </w:r>
      <w:r>
        <w:rPr>
          <w:spacing w:val="-2"/>
        </w:rPr>
        <w:t>一项交易单独看是不经济的，但是和其他交易一并考虑时是经济的。</w:t>
      </w:r>
    </w:p>
    <w:p>
      <w:pPr>
        <w:pStyle w:val="BodyText"/>
        <w:spacing w:line="350" w:lineRule="auto" w:before="21"/>
        <w:ind w:right="1126" w:firstLine="420"/>
        <w:jc w:val="both"/>
      </w:pPr>
      <w:r>
        <w:rPr>
          <w:spacing w:val="-2"/>
        </w:rPr>
        <w:t>处置对子公司股权投资直至丧失控制权的各项交易属于一揽子交易的，公司将各项交易作为一项处置</w:t>
      </w:r>
      <w:r>
        <w:rPr>
          <w:w w:val="100"/>
        </w:rPr>
        <w:t> </w:t>
      </w:r>
      <w:r>
        <w:rPr>
          <w:spacing w:val="-2"/>
        </w:rPr>
        <w:t>子公司并丧失控制权的交易进行会计处理；但是，在丧失控制权之前每一次处置价款与处置投资对应的享</w:t>
      </w:r>
      <w:r>
        <w:rPr>
          <w:spacing w:val="-43"/>
        </w:rPr>
        <w:t> </w:t>
      </w:r>
      <w:r>
        <w:rPr>
          <w:spacing w:val="-43"/>
        </w:rPr>
      </w:r>
      <w:r>
        <w:rPr>
          <w:spacing w:val="-2"/>
        </w:rPr>
        <w:t>有该子公司净资产份额的差额，在合并财务报表中确认为其他综合收益，在丧失控制权时一并转入丧失控</w:t>
      </w:r>
      <w:r>
        <w:rPr>
          <w:spacing w:val="-43"/>
        </w:rPr>
        <w:t> </w:t>
      </w:r>
      <w:r>
        <w:rPr>
          <w:spacing w:val="-43"/>
        </w:rPr>
      </w:r>
      <w:r>
        <w:rPr/>
        <w:t>制权当期的损益。</w:t>
      </w:r>
    </w:p>
    <w:p>
      <w:pPr>
        <w:pStyle w:val="BodyText"/>
        <w:spacing w:line="350" w:lineRule="auto" w:before="27"/>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right="1133"/>
        <w:jc w:val="left"/>
      </w:pPr>
      <w:r>
        <w:rPr/>
        <w:t>司一般处理方法进行会计处理。</w:t>
      </w:r>
    </w:p>
    <w:p>
      <w:pPr>
        <w:pStyle w:val="BodyText"/>
        <w:spacing w:line="328" w:lineRule="auto" w:before="126"/>
        <w:ind w:left="573" w:right="1133"/>
        <w:jc w:val="left"/>
      </w:pPr>
      <w:r>
        <w:rPr/>
        <w:t>（</w:t>
      </w:r>
      <w:r>
        <w:rPr>
          <w:rFonts w:ascii="Times New Roman" w:hAnsi="Times New Roman" w:cs="Times New Roman" w:eastAsia="Times New Roman" w:hint="default"/>
        </w:rPr>
        <w:t>3</w:t>
      </w:r>
      <w:r>
        <w:rPr/>
        <w:t>）购买子公司少数股权</w:t>
      </w:r>
      <w:r>
        <w:rPr>
          <w:w w:val="100"/>
        </w:rPr>
        <w:t> </w:t>
      </w:r>
      <w:r>
        <w:rPr>
          <w:spacing w:val="-2"/>
        </w:rPr>
        <w:t>公司因购买少数股权新取得的长期股权投资与按照新增持股比例计算应享有子公司自购买日（或合并</w:t>
      </w:r>
    </w:p>
    <w:p>
      <w:pPr>
        <w:pStyle w:val="BodyText"/>
        <w:spacing w:line="350" w:lineRule="auto" w:before="48"/>
        <w:ind w:right="1133"/>
        <w:jc w:val="left"/>
      </w:pPr>
      <w:r>
        <w:rPr>
          <w:spacing w:val="-2"/>
        </w:rPr>
        <w:t>日）开始持续计算的净资产份额之间的差额，调整合并资产负债表中的资本公积中的股本溢价，资本公积</w:t>
      </w:r>
      <w:r>
        <w:rPr>
          <w:spacing w:val="-42"/>
        </w:rPr>
        <w:t> </w:t>
      </w:r>
      <w:r>
        <w:rPr>
          <w:spacing w:val="-42"/>
        </w:rPr>
      </w:r>
      <w:r>
        <w:rPr/>
        <w:t>中的股本溢价不足冲减的，调整留存收益。</w:t>
      </w:r>
    </w:p>
    <w:p>
      <w:pPr>
        <w:pStyle w:val="BodyText"/>
        <w:spacing w:line="331" w:lineRule="auto" w:before="27"/>
        <w:ind w:left="573" w:right="1133"/>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348" w:lineRule="auto" w:before="46"/>
        <w:ind w:right="1133"/>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bookmarkStart w:name="7、合营安排分类及共同经营会计处理方法" w:id="199"/>
      <w:bookmarkEnd w:id="19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31"/>
          <w:szCs w:val="31"/>
        </w:rPr>
      </w:pPr>
    </w:p>
    <w:p>
      <w:pPr>
        <w:pStyle w:val="BodyText"/>
        <w:spacing w:line="328" w:lineRule="auto"/>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100"/>
        </w:rPr>
        <w:t> </w:t>
      </w:r>
      <w:r>
        <w:rPr>
          <w:spacing w:val="-2"/>
        </w:rPr>
        <w:t>公司根据合营安排的结构、法律形式以及合营安排中约定的条款、其他相关事实和情况等因素，将合</w:t>
      </w:r>
    </w:p>
    <w:p>
      <w:pPr>
        <w:pStyle w:val="BodyText"/>
        <w:spacing w:line="350" w:lineRule="auto" w:before="48"/>
        <w:ind w:left="573" w:right="1133" w:hanging="421"/>
        <w:jc w:val="left"/>
      </w:pPr>
      <w:r>
        <w:rPr/>
        <w:t>营安排分为共同经营和合营企业。</w:t>
      </w:r>
      <w:r>
        <w:rPr>
          <w:w w:val="100"/>
        </w:rPr>
        <w:t> </w:t>
      </w:r>
      <w:r>
        <w:rPr>
          <w:spacing w:val="-2"/>
        </w:rPr>
        <w:t>未通过单独主体达成的合营安排，划分为共同经营；通过单独主体达成的合营安排，通常划分为合营</w:t>
      </w:r>
    </w:p>
    <w:p>
      <w:pPr>
        <w:pStyle w:val="BodyText"/>
        <w:spacing w:line="240" w:lineRule="auto" w:before="27"/>
        <w:ind w:right="1133"/>
        <w:jc w:val="left"/>
      </w:pPr>
      <w:r>
        <w:rPr/>
        <w:t>企业；但有确凿证据表明满足下列任一条件并且符合相关法律法规规定的合营安排划分为共同经营：</w:t>
      </w:r>
    </w:p>
    <w:p>
      <w:pPr>
        <w:pStyle w:val="BodyText"/>
        <w:spacing w:line="240" w:lineRule="auto" w:before="126"/>
        <w:ind w:left="573" w:right="1133"/>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10"/>
        <w:ind w:left="573" w:right="1133"/>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31" w:lineRule="auto" w:before="108"/>
        <w:ind w:right="1133" w:firstLine="420"/>
        <w:jc w:val="left"/>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w:t>
      </w:r>
      <w:r>
        <w:rPr>
          <w:w w:val="100"/>
        </w:rPr>
        <w:t> </w:t>
      </w:r>
      <w:r>
        <w:rPr/>
        <w:t>合营方享有与合营安排相关的几乎所有产出，并且该安排中负债的清偿持续依赖于合营方的支持。</w:t>
      </w:r>
    </w:p>
    <w:p>
      <w:pPr>
        <w:spacing w:line="328" w:lineRule="auto" w:before="46"/>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公司确认共同经营中利益份额中与公司相关的下列项目，并按照相关企业会计准则的规定进行会计处</w:t>
      </w:r>
    </w:p>
    <w:p>
      <w:pPr>
        <w:pStyle w:val="BodyText"/>
        <w:spacing w:line="240" w:lineRule="auto" w:before="48"/>
        <w:ind w:right="1133"/>
        <w:jc w:val="left"/>
      </w:pPr>
      <w:r>
        <w:rPr/>
        <w:t>理：</w:t>
      </w:r>
    </w:p>
    <w:p>
      <w:pPr>
        <w:pStyle w:val="BodyText"/>
        <w:spacing w:line="240" w:lineRule="auto" w:before="126"/>
        <w:ind w:left="573" w:right="1133"/>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7"/>
        <w:ind w:left="573" w:right="1133"/>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10"/>
        <w:ind w:left="573" w:right="1133"/>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10"/>
        <w:ind w:left="573" w:right="1133"/>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31" w:lineRule="auto" w:before="108"/>
        <w:ind w:left="573" w:right="1133"/>
        <w:jc w:val="left"/>
      </w:pPr>
      <w:r>
        <w:rPr/>
        <w:t>（</w:t>
      </w: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2"/>
        </w:rPr>
        <w:t>公司向共同经营投出或出售资产等（该资产构成业务的除外），在该资产等由共同经营出售给第三方</w:t>
      </w:r>
    </w:p>
    <w:p>
      <w:pPr>
        <w:pStyle w:val="BodyText"/>
        <w:spacing w:line="348" w:lineRule="auto" w:before="46"/>
        <w:ind w:right="1133"/>
        <w:jc w:val="left"/>
      </w:pPr>
      <w:r>
        <w:rPr>
          <w:spacing w:val="-2"/>
        </w:rPr>
        <w:t>之前，仅确认因该交易产生的损益中归属于共同经营其他参与方的部分。投出或出售的资产发生符合《企</w:t>
      </w:r>
      <w:r>
        <w:rPr>
          <w:spacing w:val="-44"/>
        </w:rPr>
        <w:t> </w:t>
      </w:r>
      <w:r>
        <w:rPr>
          <w:spacing w:val="-44"/>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资产减值》等规定的资产减值损失的，公司全额确认该损失。</w:t>
      </w:r>
    </w:p>
    <w:p>
      <w:pPr>
        <w:pStyle w:val="BodyText"/>
        <w:spacing w:line="338" w:lineRule="auto" w:before="5"/>
        <w:ind w:right="1128" w:firstLine="420"/>
        <w:jc w:val="both"/>
      </w:pPr>
      <w:r>
        <w:rPr>
          <w:spacing w:val="-2"/>
        </w:rPr>
        <w:t>公司自共同经营购买资产等（该资产构成业务的除外），在将该资产等出售给第三方之前，仅确认因</w:t>
      </w:r>
      <w:r>
        <w:rPr>
          <w:w w:val="100"/>
        </w:rPr>
        <w:t> </w:t>
      </w:r>
      <w:r>
        <w:rPr/>
        <w:t>该交易产生的损益中归属于共同经营其他参与方的部分。购入的资产发生符合《企业会计准则第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资产减值》等规定的资产减值损失的，公司按承担的份额确认该部分损失。</w:t>
      </w:r>
    </w:p>
    <w:p>
      <w:pPr>
        <w:spacing w:after="0" w:line="338" w:lineRule="auto"/>
        <w:jc w:val="both"/>
        <w:sectPr>
          <w:footerReference w:type="default" r:id="rId28"/>
          <w:pgSz w:w="11910" w:h="16840"/>
          <w:pgMar w:footer="980" w:header="877" w:top="1100" w:bottom="1160" w:left="980" w:right="0"/>
          <w:pgNumType w:start="120"/>
        </w:sectPr>
      </w:pPr>
    </w:p>
    <w:p>
      <w:pPr>
        <w:spacing w:line="240" w:lineRule="auto" w:before="6"/>
        <w:rPr>
          <w:rFonts w:ascii="宋体" w:hAnsi="宋体" w:cs="宋体" w:eastAsia="宋体" w:hint="default"/>
          <w:sz w:val="27"/>
          <w:szCs w:val="27"/>
        </w:rPr>
      </w:pPr>
    </w:p>
    <w:p>
      <w:pPr>
        <w:pStyle w:val="BodyText"/>
        <w:spacing w:line="350" w:lineRule="auto" w:before="36"/>
        <w:ind w:right="1104" w:firstLine="420"/>
        <w:jc w:val="both"/>
      </w:pPr>
      <w:r>
        <w:rPr>
          <w:spacing w:val="-2"/>
        </w:rPr>
        <w:t>公司对共同经营不享有共同控制，如果公司享有该共同经营相关资产且承担该共同经营相关负债的，</w:t>
      </w:r>
      <w:r>
        <w:rPr>
          <w:w w:val="100"/>
        </w:rPr>
        <w:t> </w:t>
      </w:r>
      <w:r>
        <w:rPr/>
        <w:t>仍按上述原则进行会计处理，否则，应当按照相关企业会计准则的规定进行会计处理。</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8、现金及现金等价物的确定标准" w:id="200"/>
      <w:bookmarkEnd w:id="20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982"/>
        <w:jc w:val="left"/>
      </w:pPr>
      <w:r>
        <w:rPr/>
        <w:t>在编制现金流量表时，将公司库存现金以及可以随时用于支付的存款确认为现金。将同时具备期限短</w:t>
      </w:r>
    </w:p>
    <w:p>
      <w:pPr>
        <w:pStyle w:val="BodyText"/>
        <w:spacing w:line="348" w:lineRule="auto" w:before="126"/>
        <w:ind w:right="1126"/>
        <w:jc w:val="both"/>
      </w:pPr>
      <w:r>
        <w:rPr>
          <w:spacing w:val="-2"/>
        </w:rPr>
        <w:t>（一般从购买日起三个月内到期）、流动性强、易于转换为已知金额的现金、价值变动风险很小四个条件</w:t>
      </w:r>
      <w:r>
        <w:rPr>
          <w:spacing w:val="-43"/>
        </w:rPr>
        <w:t> </w:t>
      </w:r>
      <w:r>
        <w:rPr>
          <w:spacing w:val="-43"/>
        </w:rPr>
      </w:r>
      <w:r>
        <w:rPr/>
        <w:t>的投资，确定为现金等价物。</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bookmarkStart w:name="9、外币业务和外币报表折算" w:id="201"/>
      <w:bookmarkEnd w:id="20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31"/>
          <w:szCs w:val="31"/>
        </w:rPr>
      </w:pPr>
    </w:p>
    <w:p>
      <w:pPr>
        <w:pStyle w:val="BodyText"/>
        <w:spacing w:line="340" w:lineRule="auto"/>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pStyle w:val="BodyText"/>
        <w:spacing w:line="350" w:lineRule="auto" w:before="35"/>
        <w:ind w:right="112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350" w:lineRule="auto" w:before="27"/>
        <w:ind w:right="1126" w:firstLine="420"/>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spacing w:line="331" w:lineRule="auto" w:before="27"/>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28" w:lineRule="auto" w:before="21"/>
        <w:ind w:right="1137"/>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18"/>
        </w:rPr>
        <w:t> </w:t>
      </w:r>
      <w:r>
        <w:rPr>
          <w:spacing w:val="-18"/>
        </w:rPr>
      </w:r>
      <w:r>
        <w:rPr/>
        <w:t>汇率折算。按照上述折算产生的外币财务报表折算差额计入其他综合收益。</w:t>
      </w:r>
    </w:p>
    <w:p>
      <w:pPr>
        <w:pStyle w:val="BodyText"/>
        <w:spacing w:line="348" w:lineRule="auto" w:before="89"/>
        <w:ind w:right="1126" w:firstLine="420"/>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43"/>
        </w:rPr>
        <w:t> </w:t>
      </w:r>
      <w:r>
        <w:rPr>
          <w:spacing w:val="-43"/>
        </w:rPr>
      </w:r>
      <w:r>
        <w:rPr>
          <w:spacing w:val="-2"/>
        </w:rPr>
        <w:t>比例降低但不丧失对境外经营控制权时，与该境外经营处置部分相关的外币报表折算差额将归属于少数股</w:t>
      </w:r>
      <w:r>
        <w:rPr>
          <w:spacing w:val="-43"/>
        </w:rPr>
        <w:t> </w:t>
      </w:r>
      <w:r>
        <w:rPr>
          <w:spacing w:val="-43"/>
        </w:rPr>
      </w:r>
      <w:r>
        <w:rPr>
          <w:spacing w:val="-2"/>
        </w:rPr>
        <w:t>东权益，不转入当期损益。在处置境外经营为联营企业或合营企业的部分股权时，与该境外经营相关的外</w:t>
      </w:r>
      <w:r>
        <w:rPr>
          <w:spacing w:val="-44"/>
        </w:rPr>
        <w:t> </w:t>
      </w:r>
      <w:r>
        <w:rPr>
          <w:spacing w:val="-44"/>
        </w:rPr>
      </w:r>
      <w:r>
        <w:rPr/>
        <w:t>币报表折算差额，按处置该境外经营的比例转入处置当期损益。</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bookmarkStart w:name="10、金融工具" w:id="202"/>
      <w:bookmarkEnd w:id="20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31"/>
          <w:szCs w:val="31"/>
        </w:rPr>
      </w:pPr>
    </w:p>
    <w:p>
      <w:pPr>
        <w:pStyle w:val="BodyText"/>
        <w:spacing w:line="348" w:lineRule="auto"/>
        <w:ind w:left="573" w:right="1133"/>
        <w:jc w:val="left"/>
      </w:pPr>
      <w:r>
        <w:rPr/>
        <w:t>在公司成为金融工具合同的一方时确认一项金融资产或金融负债。</w:t>
      </w:r>
      <w:r>
        <w:rPr>
          <w:w w:val="100"/>
        </w:rPr>
        <w:t> </w:t>
      </w:r>
      <w:r>
        <w:rPr>
          <w:spacing w:val="2"/>
        </w:rPr>
        <w:t>实际利率法是指计算金融资产或金融负债的摊余成本以及将利息收入或利息费用分摊计入各会计期</w:t>
      </w:r>
    </w:p>
    <w:p>
      <w:pPr>
        <w:pStyle w:val="BodyText"/>
        <w:spacing w:line="240" w:lineRule="auto" w:before="31"/>
        <w:ind w:right="0"/>
        <w:jc w:val="both"/>
      </w:pPr>
      <w:r>
        <w:rPr/>
        <w:t>间的方法。</w:t>
      </w:r>
    </w:p>
    <w:p>
      <w:pPr>
        <w:pStyle w:val="BodyText"/>
        <w:spacing w:line="240" w:lineRule="auto" w:before="126"/>
        <w:ind w:left="573" w:right="982"/>
        <w:jc w:val="left"/>
      </w:pPr>
      <w:r>
        <w:rPr/>
        <w:t>实际利率，是指将金融资产或金融负债在预计存续期的估计未来现金流量，折现为该金融资产账面余</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31" w:lineRule="auto" w:before="36"/>
        <w:ind w:right="1128"/>
        <w:jc w:val="both"/>
      </w:pPr>
      <w:r>
        <w:rPr>
          <w:spacing w:val="-4"/>
        </w:rPr>
        <w:t>额或该金融负债摊余成本所使用的利率。在确定实际利率时，在考虑金融资产或金融负债所有合同条款</w:t>
      </w:r>
      <w:r>
        <w:rPr>
          <w:rFonts w:ascii="Times New Roman" w:hAnsi="Times New Roman" w:cs="Times New Roman" w:eastAsia="Times New Roman" w:hint="default"/>
          <w:spacing w:val="-4"/>
        </w:rPr>
        <w:t>(</w:t>
      </w:r>
      <w:r>
        <w:rPr>
          <w:spacing w:val="-4"/>
        </w:rPr>
        <w:t>如</w:t>
      </w:r>
      <w:r>
        <w:rPr>
          <w:spacing w:val="-21"/>
        </w:rPr>
        <w:t> </w:t>
      </w:r>
      <w:r>
        <w:rPr/>
        <w:t>提前还款、展期、看涨期权或其他类似期权等</w:t>
      </w:r>
      <w:r>
        <w:rPr>
          <w:rFonts w:ascii="Times New Roman" w:hAnsi="Times New Roman" w:cs="Times New Roman" w:eastAsia="Times New Roman" w:hint="default"/>
        </w:rPr>
        <w:t>)</w:t>
      </w:r>
      <w:r>
        <w:rPr/>
        <w:t>的基础上估计预期现金流量，但不考虑预期信用损失。</w:t>
      </w:r>
    </w:p>
    <w:p>
      <w:pPr>
        <w:pStyle w:val="BodyText"/>
        <w:spacing w:line="350" w:lineRule="auto" w:before="19"/>
        <w:ind w:right="1126" w:firstLine="420"/>
        <w:jc w:val="both"/>
      </w:pPr>
      <w:r>
        <w:rPr>
          <w:spacing w:val="-2"/>
        </w:rPr>
        <w:t>金融资产或金融负债的摊余成本是以该金融资产或金融负债的初始确认金额扣除已偿还的本金，加上</w:t>
      </w:r>
      <w:r>
        <w:rPr>
          <w:w w:val="100"/>
        </w:rPr>
        <w:t> </w:t>
      </w:r>
      <w:r>
        <w:rPr>
          <w:spacing w:val="-2"/>
        </w:rPr>
        <w:t>或减去采用实际利率法将该初始确认金额与到期日金额之间的差额进行摊销形成的累计摊销额，再扣除累</w:t>
      </w:r>
      <w:r>
        <w:rPr>
          <w:spacing w:val="-43"/>
        </w:rPr>
        <w:t> </w:t>
      </w:r>
      <w:r>
        <w:rPr>
          <w:spacing w:val="-43"/>
        </w:rPr>
      </w:r>
      <w:r>
        <w:rPr/>
        <w:t>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spacing w:line="331" w:lineRule="auto" w:before="0"/>
        <w:ind w:left="573" w:right="1133" w:firstLine="2"/>
        <w:jc w:val="left"/>
        <w:rPr>
          <w:rFonts w:ascii="宋体" w:hAnsi="宋体" w:cs="宋体" w:eastAsia="宋体" w:hint="default"/>
          <w:sz w:val="21"/>
          <w:szCs w:val="21"/>
        </w:rPr>
      </w:pPr>
      <w:bookmarkStart w:name="1.金融资产分类和计量" w:id="203"/>
      <w:bookmarkEnd w:id="20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金融资产分类和计量</w:t>
      </w:r>
      <w:r>
        <w:rPr>
          <w:rFonts w:ascii="宋体" w:hAnsi="宋体" w:cs="宋体" w:eastAsia="宋体" w:hint="default"/>
          <w:b/>
          <w:bCs/>
          <w:w w:val="100"/>
          <w:sz w:val="21"/>
          <w:szCs w:val="21"/>
        </w:rPr>
        <w:t> </w:t>
      </w:r>
      <w:r>
        <w:rPr>
          <w:rFonts w:ascii="宋体" w:hAnsi="宋体" w:cs="宋体" w:eastAsia="宋体" w:hint="default"/>
          <w:spacing w:val="-2"/>
          <w:sz w:val="21"/>
          <w:szCs w:val="21"/>
        </w:rPr>
        <w:t>公司根据所管理金融资产的业务模式和金融资产的合同现金流量特征，将金融资产划分为以下三类：</w:t>
      </w:r>
    </w:p>
    <w:p>
      <w:pPr>
        <w:pStyle w:val="BodyText"/>
        <w:spacing w:line="240" w:lineRule="auto" w:before="46"/>
        <w:ind w:left="772" w:right="1133"/>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107"/>
        <w:ind w:left="352" w:right="1133"/>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331" w:lineRule="auto" w:before="110"/>
        <w:ind w:left="573" w:right="1133" w:hanging="221"/>
        <w:jc w:val="left"/>
      </w:pPr>
      <w:r>
        <w:rPr/>
        <w:t>（</w:t>
      </w:r>
      <w:r>
        <w:rPr>
          <w:rFonts w:ascii="Times New Roman" w:hAnsi="Times New Roman" w:cs="Times New Roman" w:eastAsia="Times New Roman"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金融资产在初始确认时以公允价值计量，但是因销售商品或提供服务等产生的应收账款或应收票据未</w:t>
      </w:r>
    </w:p>
    <w:p>
      <w:pPr>
        <w:pStyle w:val="BodyText"/>
        <w:spacing w:line="350" w:lineRule="auto" w:before="43"/>
        <w:ind w:left="573" w:right="1133" w:hanging="421"/>
        <w:jc w:val="left"/>
      </w:pPr>
      <w:r>
        <w:rPr/>
        <w:t>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对于以公允价值计量且其变动计入当期损益的金融资产，相关交易费用直接计入当期损益，其他类别</w:t>
      </w:r>
    </w:p>
    <w:p>
      <w:pPr>
        <w:pStyle w:val="BodyText"/>
        <w:spacing w:line="348" w:lineRule="auto" w:before="29"/>
        <w:ind w:left="573" w:right="1133" w:hanging="421"/>
        <w:jc w:val="left"/>
      </w:pPr>
      <w:r>
        <w:rPr/>
        <w:t>的金融资产相关交易费用计入其初始确认金额。</w:t>
      </w:r>
      <w:r>
        <w:rPr>
          <w:w w:val="100"/>
        </w:rPr>
        <w:t> </w:t>
      </w:r>
      <w:r>
        <w:rPr>
          <w:spacing w:val="-2"/>
        </w:rPr>
        <w:t>金融资产的后续计量取决于其分类，当且仅当公司改变管理金融资产的业务模式时，才对所有受影响</w:t>
      </w:r>
    </w:p>
    <w:p>
      <w:pPr>
        <w:pStyle w:val="BodyText"/>
        <w:spacing w:line="240" w:lineRule="auto" w:before="31"/>
        <w:ind w:right="1133"/>
        <w:jc w:val="left"/>
      </w:pPr>
      <w:r>
        <w:rPr/>
        <w:t>的相关金融资产进行重分类。</w:t>
      </w:r>
    </w:p>
    <w:p>
      <w:pPr>
        <w:pStyle w:val="BodyText"/>
        <w:spacing w:line="328" w:lineRule="auto" w:before="126"/>
        <w:ind w:left="573" w:right="1133" w:firstLine="199"/>
        <w:jc w:val="left"/>
      </w:pPr>
      <w:r>
        <w:rPr/>
        <w:t>（</w:t>
      </w:r>
      <w:r>
        <w:rPr>
          <w:rFonts w:ascii="Times New Roman" w:hAnsi="Times New Roman" w:cs="Times New Roman" w:eastAsia="Times New Roman" w:hint="default"/>
        </w:rPr>
        <w:t>1</w:t>
      </w:r>
      <w:r>
        <w:rPr/>
        <w:t>）分类为以摊余成本计量的金融资产</w:t>
      </w:r>
      <w:r>
        <w:rPr>
          <w:w w:val="100"/>
        </w:rPr>
        <w:t> </w:t>
      </w:r>
      <w:r>
        <w:rPr>
          <w:spacing w:val="2"/>
        </w:rPr>
        <w:t>金融资产的合同条款规定在特定日期产生的现金流量仅为对本金和以未偿付本金金额为基础的利息</w:t>
      </w:r>
    </w:p>
    <w:p>
      <w:pPr>
        <w:pStyle w:val="BodyText"/>
        <w:spacing w:line="348" w:lineRule="auto" w:before="48"/>
        <w:ind w:right="1126"/>
        <w:jc w:val="both"/>
      </w:pPr>
      <w:r>
        <w:rPr>
          <w:spacing w:val="-2"/>
        </w:rPr>
        <w:t>的支付，且管理该金融资产的业务模式是以收取合同现金流量为目标，则公司将该金融资产分类为以摊余</w:t>
      </w:r>
      <w:r>
        <w:rPr>
          <w:spacing w:val="-43"/>
        </w:rPr>
        <w:t> </w:t>
      </w:r>
      <w:r>
        <w:rPr>
          <w:spacing w:val="-43"/>
        </w:rPr>
      </w:r>
      <w:r>
        <w:rPr>
          <w:spacing w:val="-2"/>
        </w:rPr>
        <w:t>成本计量的金融资产。公司分类为以摊余成本计量的金融资产包括货币资金、应收票据及应收账款、其他</w:t>
      </w:r>
      <w:r>
        <w:rPr>
          <w:spacing w:val="-44"/>
        </w:rPr>
        <w:t> </w:t>
      </w:r>
      <w:r>
        <w:rPr>
          <w:spacing w:val="-44"/>
        </w:rPr>
      </w:r>
      <w:r>
        <w:rPr/>
        <w:t>应收款、长期应收款、债权投资等。</w:t>
      </w:r>
    </w:p>
    <w:p>
      <w:pPr>
        <w:pStyle w:val="BodyText"/>
        <w:spacing w:line="348" w:lineRule="auto" w:before="31"/>
        <w:ind w:right="1126" w:firstLine="420"/>
        <w:jc w:val="both"/>
      </w:pPr>
      <w:r>
        <w:rPr>
          <w:spacing w:val="-2"/>
        </w:rPr>
        <w:t>公司对此类金融资产采用实际利率法确认利息收入，按摊余成本进行后续计量，其发生减值时或终止</w:t>
      </w:r>
      <w:r>
        <w:rPr>
          <w:w w:val="100"/>
        </w:rPr>
        <w:t> </w:t>
      </w:r>
      <w:r>
        <w:rPr>
          <w:spacing w:val="-2"/>
        </w:rPr>
        <w:t>确认、修改产生的利得或损失，计入当期损益。除下列情况外，公司根据金融资产账面余额乘以实际利率</w:t>
      </w:r>
      <w:r>
        <w:rPr>
          <w:spacing w:val="-47"/>
        </w:rPr>
        <w:t> </w:t>
      </w:r>
      <w:r>
        <w:rPr>
          <w:spacing w:val="-47"/>
        </w:rPr>
      </w:r>
      <w:r>
        <w:rPr/>
        <w:t>计算确定利息收入：</w:t>
      </w:r>
    </w:p>
    <w:p>
      <w:pPr>
        <w:pStyle w:val="BodyText"/>
        <w:spacing w:line="331" w:lineRule="auto" w:before="31"/>
        <w:ind w:right="1136" w:firstLine="420"/>
        <w:jc w:val="both"/>
      </w:pPr>
      <w:r>
        <w:rPr>
          <w:rFonts w:ascii="Times New Roman" w:hAnsi="Times New Roman" w:cs="Times New Roman" w:eastAsia="Times New Roman" w:hint="default"/>
        </w:rPr>
        <w:t>1</w:t>
      </w:r>
      <w:r>
        <w:rPr/>
        <w:t>）对于购入或源生的已发生信用减值的金融资产，公司自初始确认起，按照该金融资产的摊余成本</w:t>
      </w:r>
      <w:r>
        <w:rPr>
          <w:w w:val="100"/>
        </w:rPr>
        <w:t> </w:t>
      </w:r>
      <w:r>
        <w:rPr/>
        <w:t>和经信用调整的实际利率计算确定其利息收入。</w:t>
      </w:r>
    </w:p>
    <w:p>
      <w:pPr>
        <w:pStyle w:val="BodyText"/>
        <w:spacing w:line="340" w:lineRule="auto" w:before="43"/>
        <w:ind w:right="1126" w:firstLine="420"/>
        <w:jc w:val="both"/>
      </w:pPr>
      <w:r>
        <w:rPr>
          <w:rFonts w:ascii="Times New Roman" w:hAnsi="Times New Roman" w:cs="Times New Roman" w:eastAsia="Times New Roman" w:hint="default"/>
        </w:rPr>
        <w:t>2</w:t>
      </w:r>
      <w:r>
        <w:rPr/>
        <w:t>）对于购入或源生的未发生信用减值、但在后续期间成为已发生信用减值的金融资产，公司在后续</w:t>
      </w:r>
      <w:r>
        <w:rPr>
          <w:w w:val="100"/>
        </w:rPr>
        <w:t> </w:t>
      </w:r>
      <w:r>
        <w:rPr>
          <w:spacing w:val="-2"/>
        </w:rPr>
        <w:t>期间，按照该金融资产的摊余成本和实际利率计算确定其利息收入。若该金融工具在后续期间因其信用风</w:t>
      </w:r>
      <w:r>
        <w:rPr>
          <w:spacing w:val="-43"/>
        </w:rPr>
        <w:t> </w:t>
      </w:r>
      <w:r>
        <w:rPr>
          <w:spacing w:val="-43"/>
        </w:rPr>
      </w:r>
      <w:r>
        <w:rPr/>
        <w:t>险有所改善而不再存在信用减值，公司转按实际利率乘以该金融资产账面余额来计算确定利息收入。</w:t>
      </w:r>
    </w:p>
    <w:p>
      <w:pPr>
        <w:pStyle w:val="BodyText"/>
        <w:spacing w:line="331" w:lineRule="auto" w:before="35"/>
        <w:ind w:left="573" w:right="1133" w:firstLine="199"/>
        <w:jc w:val="left"/>
      </w:pPr>
      <w:r>
        <w:rPr/>
        <w:t>（</w:t>
      </w:r>
      <w:r>
        <w:rPr>
          <w:rFonts w:ascii="Times New Roman" w:hAnsi="Times New Roman" w:cs="Times New Roman" w:eastAsia="Times New Roman"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金融资产的合同条款规定在特定日期产生的现金流量仅为对本金和以未偿付本金金额为基础的利息</w:t>
      </w:r>
    </w:p>
    <w:p>
      <w:pPr>
        <w:pStyle w:val="BodyText"/>
        <w:spacing w:line="348" w:lineRule="auto" w:before="46"/>
        <w:ind w:right="1126"/>
        <w:jc w:val="both"/>
      </w:pPr>
      <w:r>
        <w:rPr>
          <w:spacing w:val="-2"/>
        </w:rPr>
        <w:t>的支付，且管理该金融资产的业务模式既以收取合同现金流量为目标又以出售该金融资产为目标，则公司</w:t>
      </w:r>
      <w:r>
        <w:rPr>
          <w:spacing w:val="-44"/>
        </w:rPr>
        <w:t> </w:t>
      </w:r>
      <w:r>
        <w:rPr>
          <w:spacing w:val="-44"/>
        </w:rPr>
      </w:r>
      <w:r>
        <w:rPr/>
        <w:t>将该金融资产分类为以公允价值计量且其变动计入其他综合收益的金融资产。</w:t>
      </w:r>
    </w:p>
    <w:p>
      <w:pPr>
        <w:pStyle w:val="BodyText"/>
        <w:spacing w:line="240" w:lineRule="auto" w:before="31"/>
        <w:ind w:left="573" w:right="982"/>
        <w:jc w:val="left"/>
      </w:pPr>
      <w:r>
        <w:rPr/>
        <w:t>公司对此类金融资产采用实际利率法确认利息收入。除利息收入、减值损失及汇兑差额确认为当期损</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益外，其余公允价值变动计入其他综合收益。当该金融资产终止确认时，之前计入其他综合收益的累计利</w:t>
      </w:r>
      <w:r>
        <w:rPr>
          <w:spacing w:val="-44"/>
        </w:rPr>
        <w:t> </w:t>
      </w:r>
      <w:r>
        <w:rPr>
          <w:spacing w:val="-44"/>
        </w:rPr>
      </w:r>
      <w:r>
        <w:rPr/>
        <w:t>得或损失从其他综合收益中转出，计入当期损益。</w:t>
      </w:r>
    </w:p>
    <w:p>
      <w:pPr>
        <w:pStyle w:val="BodyText"/>
        <w:spacing w:line="350" w:lineRule="auto" w:before="27"/>
        <w:ind w:right="1126" w:firstLine="420"/>
        <w:jc w:val="both"/>
      </w:pPr>
      <w:r>
        <w:rPr>
          <w:spacing w:val="-2"/>
        </w:rPr>
        <w:t>以公允价值计量且变动计入其他综合收益的应收票据及应收账款列报为应收款项融资，其他此类金融</w:t>
      </w:r>
      <w:r>
        <w:rPr>
          <w:w w:val="100"/>
        </w:rPr>
        <w:t> </w:t>
      </w:r>
      <w:r>
        <w:rPr>
          <w:spacing w:val="-2"/>
        </w:rPr>
        <w:t>资产列报为其他债权投资，其中：自资产负债表日起一年内到期的其他债权投资列报为一年内到期的非流</w:t>
      </w:r>
      <w:r>
        <w:rPr>
          <w:spacing w:val="-43"/>
        </w:rPr>
        <w:t> </w:t>
      </w:r>
      <w:r>
        <w:rPr>
          <w:spacing w:val="-43"/>
        </w:rPr>
      </w:r>
      <w:r>
        <w:rPr/>
        <w:t>动资产，原到期日在一年以内的其他债权投资列报为其他流动资产。</w:t>
      </w:r>
    </w:p>
    <w:p>
      <w:pPr>
        <w:pStyle w:val="BodyText"/>
        <w:spacing w:line="331" w:lineRule="auto" w:before="27"/>
        <w:ind w:left="573" w:right="1133" w:firstLine="199"/>
        <w:jc w:val="left"/>
      </w:pPr>
      <w:r>
        <w:rPr/>
        <w:t>（</w:t>
      </w:r>
      <w:r>
        <w:rPr>
          <w:rFonts w:ascii="Times New Roman" w:hAnsi="Times New Roman" w:cs="Times New Roman" w:eastAsia="Times New Roman" w:hint="default"/>
        </w:rPr>
        <w:t>3</w:t>
      </w:r>
      <w:r>
        <w:rPr/>
        <w:t>）指定为以公允价值计量且其变动计入其他综合收益的金融资产</w:t>
      </w:r>
      <w:r>
        <w:rPr>
          <w:w w:val="100"/>
        </w:rPr>
        <w:t> </w:t>
      </w:r>
      <w:r>
        <w:rPr>
          <w:spacing w:val="-2"/>
        </w:rPr>
        <w:t>在初始确认时，公司可以单项金融资产为基础不可撤销地将非交易性权益工具投资指定为以公允价值</w:t>
      </w:r>
    </w:p>
    <w:p>
      <w:pPr>
        <w:pStyle w:val="BodyText"/>
        <w:spacing w:line="348" w:lineRule="auto" w:before="46"/>
        <w:ind w:left="573" w:right="1133" w:hanging="421"/>
        <w:jc w:val="left"/>
      </w:pPr>
      <w:r>
        <w:rPr/>
        <w:t>计量且其变动计入其他综合收益的金融资产。</w:t>
      </w:r>
      <w:r>
        <w:rPr>
          <w:w w:val="100"/>
        </w:rPr>
        <w:t> </w:t>
      </w:r>
      <w:r>
        <w:rPr>
          <w:spacing w:val="-2"/>
        </w:rPr>
        <w:t>此类金融资产的公允价值变动计入其他综合收益，不需计提减值准备。该金融资产终止确认时，之前</w:t>
      </w:r>
    </w:p>
    <w:p>
      <w:pPr>
        <w:pStyle w:val="BodyText"/>
        <w:spacing w:line="348" w:lineRule="auto" w:before="32"/>
        <w:ind w:right="1126"/>
        <w:jc w:val="both"/>
      </w:pPr>
      <w:r>
        <w:rPr>
          <w:spacing w:val="-2"/>
        </w:rPr>
        <w:t>计入其他综合收益的累计利得或损失从其他综合收益中转出，计入留存收益。公司持有该权益工具投资期</w:t>
      </w:r>
      <w:r>
        <w:rPr>
          <w:spacing w:val="-43"/>
        </w:rPr>
        <w:t> </w:t>
      </w:r>
      <w:r>
        <w:rPr>
          <w:spacing w:val="-43"/>
        </w:rPr>
      </w:r>
      <w:r>
        <w:rPr>
          <w:spacing w:val="-2"/>
        </w:rPr>
        <w:t>间，在公司收取股利的权利已经确立，与股利相关的经济利益很可能流入公司，且股利的金额能够可靠计</w:t>
      </w:r>
      <w:r>
        <w:rPr>
          <w:spacing w:val="-42"/>
        </w:rPr>
        <w:t> </w:t>
      </w:r>
      <w:r>
        <w:rPr>
          <w:spacing w:val="-42"/>
        </w:rPr>
      </w:r>
      <w:r>
        <w:rPr/>
        <w:t>量时，确认股利收入并计入当期损益。公司对此类金融资产在其他权益工具投资项目下列报。</w:t>
      </w:r>
    </w:p>
    <w:p>
      <w:pPr>
        <w:pStyle w:val="BodyText"/>
        <w:spacing w:line="350" w:lineRule="auto" w:before="31"/>
        <w:ind w:right="1126" w:firstLine="420"/>
        <w:jc w:val="both"/>
      </w:pPr>
      <w:r>
        <w:rPr>
          <w:spacing w:val="-2"/>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44"/>
        </w:rPr>
        <w:t> </w:t>
      </w:r>
      <w:r>
        <w:rPr>
          <w:spacing w:val="-44"/>
        </w:rPr>
      </w:r>
      <w:r>
        <w:rPr>
          <w:spacing w:val="-2"/>
        </w:rPr>
        <w:t>有客观证据表明近期实际存在短期获利模式；属于衍生工具（符合财务担保合同定义的以及被指定为有效</w:t>
      </w:r>
      <w:r>
        <w:rPr>
          <w:spacing w:val="-43"/>
        </w:rPr>
        <w:t> </w:t>
      </w:r>
      <w:r>
        <w:rPr>
          <w:spacing w:val="-43"/>
        </w:rPr>
      </w:r>
      <w:r>
        <w:rPr>
          <w:spacing w:val="-10"/>
          <w:w w:val="100"/>
        </w:rPr>
        <w:t>套期工具的衍生工具除外）。</w:t>
      </w:r>
    </w:p>
    <w:p>
      <w:pPr>
        <w:pStyle w:val="BodyText"/>
        <w:spacing w:line="328" w:lineRule="auto" w:before="29"/>
        <w:ind w:left="573" w:right="1133" w:firstLine="199"/>
        <w:jc w:val="left"/>
      </w:pPr>
      <w:r>
        <w:rPr/>
        <w:t>（</w:t>
      </w:r>
      <w:r>
        <w:rPr>
          <w:rFonts w:ascii="Times New Roman" w:hAnsi="Times New Roman" w:cs="Times New Roman" w:eastAsia="Times New Roman" w:hint="default"/>
        </w:rPr>
        <w:t>4</w:t>
      </w:r>
      <w:r>
        <w:rPr/>
        <w:t>）分类为以公允价值计量且其变动计入当期损益的金融资产</w:t>
      </w:r>
      <w:r>
        <w:rPr>
          <w:w w:val="100"/>
        </w:rPr>
        <w:t> </w:t>
      </w:r>
      <w:r>
        <w:rPr>
          <w:spacing w:val="-2"/>
        </w:rPr>
        <w:t>不符合分类为以摊余成本计量或以公允价值计量且其变动计入其他综合收益的金融资产条件、亦不指</w:t>
      </w:r>
    </w:p>
    <w:p>
      <w:pPr>
        <w:pStyle w:val="BodyText"/>
        <w:spacing w:line="350" w:lineRule="auto" w:before="48"/>
        <w:ind w:right="1144"/>
        <w:jc w:val="both"/>
      </w:pPr>
      <w:r>
        <w:rPr>
          <w:spacing w:val="2"/>
        </w:rPr>
        <w:t>定为以公允价值计量且其变动计入其他综合收益的金融资产均分类为以公允价值计量且其变动计入当期</w:t>
      </w:r>
      <w:r>
        <w:rPr>
          <w:spacing w:val="-30"/>
        </w:rPr>
        <w:t> </w:t>
      </w:r>
      <w:r>
        <w:rPr>
          <w:spacing w:val="-30"/>
        </w:rPr>
      </w:r>
      <w:r>
        <w:rPr/>
        <w:t>损益的金融资产。</w:t>
      </w:r>
    </w:p>
    <w:p>
      <w:pPr>
        <w:pStyle w:val="BodyText"/>
        <w:spacing w:line="350" w:lineRule="auto" w:before="27"/>
        <w:ind w:right="1126" w:firstLine="420"/>
        <w:jc w:val="both"/>
      </w:pPr>
      <w:r>
        <w:rPr>
          <w:spacing w:val="-2"/>
        </w:rPr>
        <w:t>公司对此类金融资产采用公允价值进行后续计量，将公允价值变动形成的利得或损失以及与此类金融</w:t>
      </w:r>
      <w:r>
        <w:rPr>
          <w:w w:val="100"/>
        </w:rPr>
        <w:t> </w:t>
      </w:r>
      <w:r>
        <w:rPr/>
        <w:t>资产相关的股利和利息收入计入当期损益。</w:t>
      </w:r>
    </w:p>
    <w:p>
      <w:pPr>
        <w:pStyle w:val="BodyText"/>
        <w:spacing w:line="240" w:lineRule="auto" w:before="29"/>
        <w:ind w:left="573" w:right="1133"/>
        <w:jc w:val="left"/>
      </w:pPr>
      <w:r>
        <w:rPr/>
        <w:t>公司对此类金融资产根据其流动性在交易性金融资产、其他非流动金融资产项目列报。</w:t>
      </w:r>
    </w:p>
    <w:p>
      <w:pPr>
        <w:pStyle w:val="BodyText"/>
        <w:spacing w:line="331" w:lineRule="auto" w:before="123"/>
        <w:ind w:left="573" w:right="1133" w:firstLine="204"/>
        <w:jc w:val="left"/>
      </w:pPr>
      <w:r>
        <w:rPr/>
        <w:t>（</w:t>
      </w:r>
      <w:r>
        <w:rPr>
          <w:rFonts w:ascii="Times New Roman" w:hAnsi="Times New Roman" w:cs="Times New Roman" w:eastAsia="Times New Roman" w:hint="default"/>
        </w:rPr>
        <w:t>5</w:t>
      </w:r>
      <w:r>
        <w:rPr/>
        <w:t>）指定为以公允价值计量且其变动计入当期损益的金融资产</w:t>
      </w:r>
      <w:r>
        <w:rPr>
          <w:w w:val="100"/>
        </w:rPr>
        <w:t> </w:t>
      </w:r>
      <w:r>
        <w:rPr>
          <w:spacing w:val="-2"/>
        </w:rPr>
        <w:t>在初始确认时，公司为了消除或显著减少会计错配，可以单项金融资产为基础不可撤销地将金融资产</w:t>
      </w:r>
    </w:p>
    <w:p>
      <w:pPr>
        <w:pStyle w:val="BodyText"/>
        <w:spacing w:line="348" w:lineRule="auto" w:before="46"/>
        <w:ind w:left="573" w:right="1133" w:hanging="421"/>
        <w:jc w:val="left"/>
      </w:pPr>
      <w:r>
        <w:rPr/>
        <w:t>指定为以公允价值计量且其变动计入当期损益的金融资产。</w:t>
      </w:r>
      <w:r>
        <w:rPr>
          <w:w w:val="100"/>
        </w:rPr>
        <w:t> </w:t>
      </w:r>
      <w:r>
        <w:rPr>
          <w:spacing w:val="-2"/>
        </w:rPr>
        <w:t>混合合同包含一项或多项嵌入衍生工具，且其主合同不属于以上金融资产的，公司可以将其整体指定</w:t>
      </w:r>
    </w:p>
    <w:p>
      <w:pPr>
        <w:pStyle w:val="BodyText"/>
        <w:spacing w:line="240" w:lineRule="auto" w:before="32"/>
        <w:ind w:right="1133"/>
        <w:jc w:val="left"/>
      </w:pPr>
      <w:r>
        <w:rPr/>
        <w:t>为以公允价值计量且其变动计入当期损益的金融工具。但下列情况除外：</w:t>
      </w:r>
    </w:p>
    <w:p>
      <w:pPr>
        <w:pStyle w:val="BodyText"/>
        <w:spacing w:line="240" w:lineRule="auto" w:before="126"/>
        <w:ind w:left="352" w:right="1133"/>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340" w:lineRule="auto" w:before="107"/>
        <w:ind w:right="1126" w:firstLine="199"/>
        <w:jc w:val="both"/>
      </w:pPr>
      <w:r>
        <w:rPr>
          <w:rFonts w:ascii="Times New Roman" w:hAnsi="Times New Roman" w:cs="Times New Roman" w:eastAsia="Times New Roman" w:hint="default"/>
        </w:rPr>
        <w:t>2</w:t>
      </w:r>
      <w:r>
        <w:rPr/>
        <w:t>）在初次确定类似的混合合同是否需要分拆时，几乎不需分析就能明确其包含的嵌入衍生工具不应分</w:t>
      </w:r>
      <w:r>
        <w:rPr>
          <w:w w:val="100"/>
        </w:rPr>
        <w:t> </w:t>
      </w:r>
      <w:r>
        <w:rPr>
          <w:spacing w:val="-2"/>
        </w:rPr>
        <w:t>拆。如嵌入贷款的提前还款权，允许持有人以接近摊余成本的金额提前偿还贷款，该提前还款权不需要分</w:t>
      </w:r>
      <w:r>
        <w:rPr>
          <w:spacing w:val="-44"/>
        </w:rPr>
        <w:t> </w:t>
      </w:r>
      <w:r>
        <w:rPr>
          <w:spacing w:val="-44"/>
        </w:rPr>
      </w:r>
      <w:r>
        <w:rPr/>
        <w:t>拆。</w:t>
      </w:r>
    </w:p>
    <w:p>
      <w:pPr>
        <w:pStyle w:val="BodyText"/>
        <w:spacing w:line="350" w:lineRule="auto" w:before="35"/>
        <w:ind w:right="1126" w:firstLine="420"/>
        <w:jc w:val="both"/>
      </w:pPr>
      <w:r>
        <w:rPr>
          <w:spacing w:val="-2"/>
        </w:rPr>
        <w:t>公司对此类金融资产采用公允价值进行后续计量，将公允价值变动形成的利得或损失以及与此类金融</w:t>
      </w:r>
      <w:r>
        <w:rPr>
          <w:w w:val="100"/>
        </w:rPr>
        <w:t> </w:t>
      </w:r>
      <w:r>
        <w:rPr/>
        <w:t>资产相关的股利和利息收入计入当期损益。</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0" w:lineRule="auto" w:before="36"/>
        <w:ind w:left="573" w:right="1133"/>
        <w:jc w:val="left"/>
      </w:pPr>
      <w:r>
        <w:rPr/>
        <w:t>公司对此类金融资产根据其流动性在交易性金融资产、其他非流动金融资产项目列报。</w:t>
      </w:r>
      <w:r>
        <w:rPr>
          <w:w w:val="100"/>
        </w:rPr>
        <w:t> </w:t>
      </w:r>
      <w:bookmarkStart w:name="2.金融负债分类和计量" w:id="204"/>
      <w:bookmarkEnd w:id="204"/>
      <w:r>
        <w:rPr>
          <w:w w:val="100"/>
        </w:rPr>
      </w:r>
      <w:r>
        <w:rPr>
          <w:rFonts w:ascii="Times New Roman" w:hAnsi="Times New Roman" w:cs="Times New Roman" w:eastAsia="Times New Roman" w:hint="default"/>
          <w:b/>
          <w:bCs/>
        </w:rPr>
        <w:t>2.</w:t>
      </w:r>
      <w:r>
        <w:rPr>
          <w:rFonts w:ascii="宋体" w:hAnsi="宋体" w:cs="宋体" w:eastAsia="宋体" w:hint="default"/>
          <w:b/>
          <w:bCs/>
        </w:rPr>
        <w:t>金融负债分类和计量</w:t>
      </w:r>
      <w:r>
        <w:rPr>
          <w:rFonts w:ascii="宋体" w:hAnsi="宋体" w:cs="宋体" w:eastAsia="宋体" w:hint="default"/>
          <w:b/>
          <w:bCs/>
          <w:w w:val="100"/>
        </w:rPr>
        <w:t> </w:t>
      </w:r>
      <w:r>
        <w:rPr>
          <w:spacing w:val="-2"/>
        </w:rPr>
        <w:t>公司根据所发行金融工具的合同条款及其所反映的经济实质而非仅以法律形式，结合金融负债和权益</w:t>
      </w:r>
    </w:p>
    <w:p>
      <w:pPr>
        <w:pStyle w:val="BodyText"/>
        <w:spacing w:line="348" w:lineRule="auto" w:before="37"/>
        <w:ind w:right="1126"/>
        <w:jc w:val="both"/>
      </w:pPr>
      <w:r>
        <w:rPr>
          <w:spacing w:val="-2"/>
        </w:rPr>
        <w:t>工具的定义，在初始确认时将该金融工具或其组成部分分类为金融负债或权益工具。金融负债在初始确认</w:t>
      </w:r>
      <w:r>
        <w:rPr>
          <w:spacing w:val="-44"/>
        </w:rPr>
        <w:t> </w:t>
      </w:r>
      <w:r>
        <w:rPr>
          <w:spacing w:val="-44"/>
        </w:rPr>
      </w:r>
      <w:r>
        <w:rPr>
          <w:spacing w:val="-2"/>
        </w:rPr>
        <w:t>时分类为：以公允价值计量且其变动计入当期损益的金融负债、其他金融负债、被指定为有效套期工具的</w:t>
      </w:r>
      <w:r>
        <w:rPr>
          <w:spacing w:val="-43"/>
        </w:rPr>
        <w:t> </w:t>
      </w:r>
      <w:r>
        <w:rPr>
          <w:spacing w:val="-43"/>
        </w:rPr>
      </w:r>
      <w:r>
        <w:rPr/>
        <w:t>衍生工具。</w:t>
      </w:r>
    </w:p>
    <w:p>
      <w:pPr>
        <w:pStyle w:val="BodyText"/>
        <w:spacing w:line="350" w:lineRule="auto" w:before="31"/>
        <w:ind w:right="1133" w:firstLine="420"/>
        <w:jc w:val="left"/>
      </w:pPr>
      <w:r>
        <w:rPr>
          <w:spacing w:val="-2"/>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BodyText"/>
        <w:spacing w:line="240" w:lineRule="auto" w:before="27"/>
        <w:ind w:left="573" w:right="1133"/>
        <w:jc w:val="left"/>
      </w:pPr>
      <w:r>
        <w:rPr/>
        <w:t>金融负债的后续计量取决于其分类：</w:t>
      </w:r>
    </w:p>
    <w:p>
      <w:pPr>
        <w:pStyle w:val="BodyText"/>
        <w:spacing w:line="331" w:lineRule="auto" w:before="126"/>
        <w:ind w:left="573" w:right="1133" w:hanging="221"/>
        <w:jc w:val="left"/>
      </w:pPr>
      <w:r>
        <w:rPr/>
        <w:t>（</w:t>
      </w:r>
      <w:r>
        <w:rPr>
          <w:rFonts w:ascii="Times New Roman" w:hAnsi="Times New Roman" w:cs="Times New Roman" w:eastAsia="Times New Roman"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此类金融负债包括交易性金融负债（含属于金融负债的衍生工具）和初始确认时指定为以公允价值计</w:t>
      </w:r>
    </w:p>
    <w:p>
      <w:pPr>
        <w:pStyle w:val="BodyText"/>
        <w:spacing w:line="350" w:lineRule="auto" w:before="43"/>
        <w:ind w:left="573" w:right="1133" w:hanging="421"/>
        <w:jc w:val="left"/>
      </w:pPr>
      <w:r>
        <w:rPr/>
        <w:t>量且其变动计入当期损益的金融负债。</w:t>
      </w:r>
      <w:r>
        <w:rPr>
          <w:w w:val="100"/>
        </w:rPr>
        <w:t> </w:t>
      </w:r>
      <w:r>
        <w:rPr>
          <w:spacing w:val="-2"/>
        </w:rPr>
        <w:t>满足下列条件之一的，属于交易性金融负债：承担相关金融负债的目的主要是为了在近期内出售或回</w:t>
      </w:r>
    </w:p>
    <w:p>
      <w:pPr>
        <w:pStyle w:val="BodyText"/>
        <w:spacing w:line="350" w:lineRule="auto" w:before="29"/>
        <w:ind w:right="1105"/>
        <w:jc w:val="both"/>
      </w:pPr>
      <w:r>
        <w:rPr>
          <w:spacing w:val="-2"/>
        </w:rPr>
        <w:t>购；属于集中管理的可辨认金融工具组合的一部分，且有客观证据表明企业近期采用短期获利方式模式；</w:t>
      </w:r>
      <w:r>
        <w:rPr>
          <w:spacing w:val="-21"/>
        </w:rPr>
        <w:t> </w:t>
      </w:r>
      <w:r>
        <w:rPr>
          <w:spacing w:val="-21"/>
        </w:rPr>
      </w:r>
      <w:r>
        <w:rPr>
          <w:spacing w:val="-2"/>
        </w:rPr>
        <w:t>属于衍生工具，但是，被指定且为有效套期工具的衍生工具、符合财务担保合同的衍生工具除外。交易性</w:t>
      </w:r>
      <w:r>
        <w:rPr>
          <w:spacing w:val="-47"/>
        </w:rPr>
        <w:t> </w:t>
      </w:r>
      <w:r>
        <w:rPr>
          <w:spacing w:val="-47"/>
        </w:rPr>
      </w:r>
      <w:r>
        <w:rPr>
          <w:spacing w:val="-2"/>
          <w:w w:val="100"/>
        </w:rPr>
        <w:t>金融负债（含属于金融负债的衍生工具），按照公允价值进行后续计量，除与套期会计有关外，所有公允</w:t>
      </w:r>
      <w:r>
        <w:rPr>
          <w:spacing w:val="-94"/>
          <w:w w:val="100"/>
        </w:rPr>
        <w:t> </w:t>
      </w:r>
      <w:r>
        <w:rPr>
          <w:spacing w:val="-94"/>
          <w:w w:val="100"/>
        </w:rPr>
      </w:r>
      <w:r>
        <w:rPr/>
        <w:t>价值变动均计入当期损益。</w:t>
      </w:r>
    </w:p>
    <w:p>
      <w:pPr>
        <w:pStyle w:val="BodyText"/>
        <w:spacing w:line="350" w:lineRule="auto" w:before="27"/>
        <w:ind w:right="1133" w:firstLine="420"/>
        <w:jc w:val="left"/>
      </w:pPr>
      <w:r>
        <w:rPr>
          <w:spacing w:val="-2"/>
        </w:rPr>
        <w:t>在初始确认时，为了提供更相关的会计信息，公司将满足下列条件之一的金融负债不可撤销地指定为</w:t>
      </w:r>
      <w:r>
        <w:rPr>
          <w:w w:val="100"/>
        </w:rPr>
        <w:t> </w:t>
      </w:r>
      <w:r>
        <w:rPr/>
        <w:t>以公允价值计量且其变动计入当期损益的金融负债：</w:t>
      </w:r>
    </w:p>
    <w:p>
      <w:pPr>
        <w:pStyle w:val="BodyText"/>
        <w:spacing w:line="240" w:lineRule="auto" w:before="29"/>
        <w:ind w:left="573" w:right="1133"/>
        <w:jc w:val="left"/>
      </w:pPr>
      <w:r>
        <w:rPr>
          <w:rFonts w:ascii="Times New Roman" w:hAnsi="Times New Roman" w:cs="Times New Roman" w:eastAsia="Times New Roman" w:hint="default"/>
        </w:rPr>
        <w:t>1</w:t>
      </w:r>
      <w:r>
        <w:rPr/>
        <w:t>）能够消除或显著减少会计错配。</w:t>
      </w:r>
    </w:p>
    <w:p>
      <w:pPr>
        <w:pStyle w:val="BodyText"/>
        <w:spacing w:line="331" w:lineRule="auto" w:before="107"/>
        <w:ind w:right="1133" w:firstLine="199"/>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w:t>
      </w:r>
      <w:r>
        <w:rPr>
          <w:w w:val="100"/>
        </w:rPr>
        <w:t> </w:t>
      </w:r>
      <w:r>
        <w:rPr/>
        <w:t>和金融负债组合进行管理和业绩评价，并在企业内部以此为基础向关键管理人员报告。</w:t>
      </w:r>
    </w:p>
    <w:p>
      <w:pPr>
        <w:pStyle w:val="BodyText"/>
        <w:spacing w:line="350" w:lineRule="auto" w:before="46"/>
        <w:ind w:right="1126" w:firstLine="420"/>
        <w:jc w:val="both"/>
      </w:pPr>
      <w:r>
        <w:rPr>
          <w:spacing w:val="-2"/>
        </w:rPr>
        <w:t>公司对此类金融负债采用公允价值进行后续计量，除由公司自身信用风险变动引起的公允价值变动计</w:t>
      </w:r>
      <w:r>
        <w:rPr>
          <w:w w:val="100"/>
        </w:rPr>
        <w:t> </w:t>
      </w:r>
      <w:r>
        <w:rPr>
          <w:spacing w:val="-2"/>
        </w:rPr>
        <w:t>入其他综合收益之外，其他公允价值变动计入当期损益。除非由公司自身信用风险变动引起的公允价值变</w:t>
      </w:r>
      <w:r>
        <w:rPr>
          <w:spacing w:val="-43"/>
        </w:rPr>
        <w:t> </w:t>
      </w:r>
      <w:r>
        <w:rPr>
          <w:spacing w:val="-43"/>
        </w:rPr>
      </w:r>
      <w:r>
        <w:rPr>
          <w:spacing w:val="-2"/>
        </w:rPr>
        <w:t>动计入其他综合收益会造成或扩大损益中的会计错配，公司将所有公允价值变动（包括自身信用风险变动</w:t>
      </w:r>
      <w:r>
        <w:rPr>
          <w:spacing w:val="-44"/>
        </w:rPr>
        <w:t> </w:t>
      </w:r>
      <w:r>
        <w:rPr>
          <w:spacing w:val="-44"/>
        </w:rPr>
      </w:r>
      <w:r>
        <w:rPr/>
        <w:t>的影响金额）计入当期损益。</w:t>
      </w:r>
    </w:p>
    <w:p>
      <w:pPr>
        <w:pStyle w:val="BodyText"/>
        <w:spacing w:line="331" w:lineRule="auto" w:before="27"/>
        <w:ind w:left="573" w:right="982" w:firstLine="199"/>
        <w:jc w:val="left"/>
      </w:pPr>
      <w:r>
        <w:rPr/>
        <w:t>（</w:t>
      </w:r>
      <w:r>
        <w:rPr>
          <w:rFonts w:ascii="Times New Roman" w:hAnsi="Times New Roman" w:cs="Times New Roman" w:eastAsia="Times New Roman" w:hint="default"/>
        </w:rPr>
        <w:t>2</w:t>
      </w:r>
      <w:r>
        <w:rPr/>
        <w:t>）其他金融负债</w:t>
      </w:r>
      <w:r>
        <w:rPr>
          <w:w w:val="100"/>
        </w:rPr>
        <w:t> </w:t>
      </w:r>
      <w:r>
        <w:rPr>
          <w:spacing w:val="-5"/>
        </w:rPr>
        <w:t>除下列各项外，公司将金融负债分类为以摊余成本计量的金融负债，对此类金融负债采用实际利率法，</w:t>
      </w:r>
    </w:p>
    <w:p>
      <w:pPr>
        <w:pStyle w:val="BodyText"/>
        <w:spacing w:line="240" w:lineRule="auto" w:before="46"/>
        <w:ind w:right="0"/>
        <w:jc w:val="both"/>
      </w:pPr>
      <w:r>
        <w:rPr/>
        <w:t>按照摊余成本进行后续计量，终止确认或摊销产生的利得或损失计入当期损益：</w:t>
      </w:r>
    </w:p>
    <w:p>
      <w:pPr>
        <w:pStyle w:val="BodyText"/>
        <w:spacing w:line="240" w:lineRule="auto" w:before="123"/>
        <w:ind w:left="573" w:right="1133"/>
        <w:jc w:val="left"/>
      </w:pPr>
      <w:r>
        <w:rPr>
          <w:rFonts w:ascii="Times New Roman" w:hAnsi="Times New Roman" w:cs="Times New Roman" w:eastAsia="Times New Roman" w:hint="default"/>
        </w:rPr>
        <w:t>1</w:t>
      </w:r>
      <w:r>
        <w:rPr/>
        <w:t>）以公允价值计量且其变动计入当期损益的金融负债。</w:t>
      </w:r>
    </w:p>
    <w:p>
      <w:pPr>
        <w:pStyle w:val="BodyText"/>
        <w:spacing w:line="240" w:lineRule="auto" w:before="110"/>
        <w:ind w:left="573" w:right="1133"/>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328" w:lineRule="auto" w:before="110"/>
        <w:ind w:right="1133" w:firstLine="420"/>
        <w:jc w:val="left"/>
      </w:pPr>
      <w:r>
        <w:rPr>
          <w:rFonts w:ascii="Times New Roman" w:hAnsi="Times New Roman" w:cs="Times New Roman" w:eastAsia="Times New Roman" w:hint="default"/>
          <w:spacing w:val="-4"/>
        </w:rPr>
        <w:t>3</w:t>
      </w:r>
      <w:r>
        <w:rPr>
          <w:spacing w:val="-4"/>
        </w:rPr>
        <w:t>）不属于本条前两类情形的财务担保合同，以及不属于本条第</w:t>
      </w:r>
      <w:r>
        <w:rPr>
          <w:spacing w:val="-1"/>
        </w:rPr>
        <w:t> </w:t>
      </w:r>
      <w:r>
        <w:rPr>
          <w:rFonts w:ascii="Times New Roman" w:hAnsi="Times New Roman" w:cs="Times New Roman" w:eastAsia="Times New Roman" w:hint="default"/>
          <w:spacing w:val="-3"/>
        </w:rPr>
        <w:t>1</w:t>
      </w:r>
      <w:r>
        <w:rPr>
          <w:spacing w:val="-3"/>
        </w:rPr>
        <w:t>）类情形的以低于市场利率贷款的贷</w:t>
      </w:r>
      <w:r>
        <w:rPr>
          <w:w w:val="100"/>
        </w:rPr>
        <w:t> </w:t>
      </w:r>
      <w:r>
        <w:rPr/>
        <w:t>款承诺。</w:t>
      </w:r>
    </w:p>
    <w:p>
      <w:pPr>
        <w:pStyle w:val="BodyText"/>
        <w:spacing w:line="240" w:lineRule="auto" w:before="48"/>
        <w:ind w:left="573" w:right="982"/>
        <w:jc w:val="left"/>
      </w:pPr>
      <w:r>
        <w:rPr/>
        <w:t>财务担保合同是指当特定债务人到期不能按照最初或修改后的债务工具条款偿付债务时，要求发行方</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8" w:lineRule="auto" w:before="36"/>
        <w:ind w:right="1126"/>
        <w:jc w:val="both"/>
      </w:pPr>
      <w:r>
        <w:rPr>
          <w:spacing w:val="-2"/>
        </w:rPr>
        <w:t>向蒙受损失的合同持有人赔付特定金额的合同。不属于指定为以公允价值计量且其变动计入当期损益的金</w:t>
      </w:r>
      <w:r>
        <w:rPr>
          <w:spacing w:val="-43"/>
        </w:rPr>
        <w:t> </w:t>
      </w:r>
      <w:r>
        <w:rPr>
          <w:spacing w:val="-43"/>
        </w:rPr>
      </w:r>
      <w:r>
        <w:rPr>
          <w:spacing w:val="-2"/>
        </w:rPr>
        <w:t>融负债的财务担保合同，在初始确认后按照损失准备金额以及初始确认金额扣除担保期内的累计摊销额后</w:t>
      </w:r>
      <w:r>
        <w:rPr>
          <w:spacing w:val="-43"/>
        </w:rPr>
        <w:t> </w:t>
      </w:r>
      <w:r>
        <w:rPr>
          <w:spacing w:val="-43"/>
        </w:rPr>
      </w:r>
      <w:r>
        <w:rPr/>
        <w:t>的余额孰高进行计量。</w:t>
      </w:r>
    </w:p>
    <w:p>
      <w:pPr>
        <w:pStyle w:val="Heading3"/>
        <w:spacing w:line="240" w:lineRule="auto" w:before="31"/>
        <w:ind w:left="575" w:right="1133"/>
        <w:jc w:val="left"/>
        <w:rPr>
          <w:b w:val="0"/>
          <w:bCs w:val="0"/>
        </w:rPr>
      </w:pPr>
      <w:bookmarkStart w:name="3.金融资产和金融负债的终止确认" w:id="205"/>
      <w:bookmarkEnd w:id="205"/>
      <w:r>
        <w:rPr>
          <w:b w:val="0"/>
          <w:bCs w:val="0"/>
        </w:rPr>
      </w:r>
      <w:r>
        <w:rPr>
          <w:rFonts w:ascii="Times New Roman" w:hAnsi="Times New Roman" w:cs="Times New Roman" w:eastAsia="Times New Roman" w:hint="default"/>
        </w:rPr>
        <w:t>3.</w:t>
      </w:r>
      <w:r>
        <w:rPr/>
        <w:t>金融资产和金融负债的终止确认</w:t>
      </w:r>
      <w:r>
        <w:rPr>
          <w:b w:val="0"/>
          <w:bCs w:val="0"/>
        </w:rPr>
      </w:r>
    </w:p>
    <w:p>
      <w:pPr>
        <w:pStyle w:val="BodyText"/>
        <w:spacing w:line="240" w:lineRule="auto" w:before="110"/>
        <w:ind w:left="573" w:right="1133"/>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107"/>
        <w:ind w:left="573" w:right="1133"/>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110"/>
        <w:ind w:left="352" w:right="1133"/>
        <w:jc w:val="left"/>
      </w:pPr>
      <w:r>
        <w:rPr>
          <w:rFonts w:ascii="Times New Roman" w:hAnsi="Times New Roman" w:cs="Times New Roman" w:eastAsia="Times New Roman" w:hint="default"/>
        </w:rPr>
        <w:t>2</w:t>
      </w:r>
      <w:r>
        <w:rPr/>
        <w:t>）该金融资产已转移，且该转移满足金融资产终止确认的规定。</w:t>
      </w:r>
    </w:p>
    <w:p>
      <w:pPr>
        <w:pStyle w:val="BodyText"/>
        <w:spacing w:line="340" w:lineRule="auto" w:before="110"/>
        <w:ind w:left="573" w:right="1133"/>
        <w:jc w:val="left"/>
      </w:pPr>
      <w:r>
        <w:rPr/>
        <w:t>（</w:t>
      </w:r>
      <w:r>
        <w:rPr>
          <w:rFonts w:ascii="Times New Roman" w:hAnsi="Times New Roman" w:cs="Times New Roman" w:eastAsia="Times New Roman" w:hint="default"/>
        </w:rPr>
        <w:t>2</w:t>
      </w:r>
      <w:r>
        <w:rPr/>
        <w:t>）金融负债终止确认条件</w:t>
      </w:r>
      <w:r>
        <w:rPr>
          <w:w w:val="100"/>
        </w:rPr>
        <w:t> </w:t>
      </w:r>
      <w:r>
        <w:rPr>
          <w:spacing w:val="-4"/>
          <w:w w:val="100"/>
        </w:rPr>
        <w:t>金融负债（或其一部分）的现时义务已经解除的，则终止确认该金融负债（或该部分金融负债）。</w:t>
      </w:r>
      <w:r>
        <w:rPr>
          <w:spacing w:val="-96"/>
          <w:w w:val="100"/>
        </w:rPr>
        <w:t> </w:t>
      </w:r>
      <w:r>
        <w:rPr>
          <w:spacing w:val="-96"/>
          <w:w w:val="100"/>
        </w:rPr>
      </w:r>
      <w:r>
        <w:rPr>
          <w:spacing w:val="-2"/>
        </w:rPr>
        <w:t>公司与借出方之间签订协议，以承担新金融负债方式替换原金融负债，且新金融负债与原金融负债的</w:t>
      </w:r>
    </w:p>
    <w:p>
      <w:pPr>
        <w:pStyle w:val="BodyText"/>
        <w:spacing w:line="348" w:lineRule="auto" w:before="37"/>
        <w:ind w:right="1131"/>
        <w:jc w:val="both"/>
      </w:pPr>
      <w:r>
        <w:rPr>
          <w:spacing w:val="-2"/>
        </w:rPr>
        <w:t>合同条款实质上不同的，或对原金融负债（或其一部分）的合同条款做出实质性修改的，则终止确认原金</w:t>
      </w:r>
      <w:r>
        <w:rPr>
          <w:spacing w:val="-50"/>
        </w:rPr>
        <w:t> </w:t>
      </w:r>
      <w:r>
        <w:rPr>
          <w:spacing w:val="-50"/>
        </w:rPr>
      </w:r>
      <w:r>
        <w:rPr>
          <w:spacing w:val="-2"/>
        </w:rPr>
        <w:t>融负债，同时确认一项新金融负债，账面价值与支付的对价（包括转出的非现金资产或承担的负债）之间</w:t>
      </w:r>
      <w:r>
        <w:rPr>
          <w:spacing w:val="-50"/>
        </w:rPr>
        <w:t> </w:t>
      </w:r>
      <w:r>
        <w:rPr>
          <w:spacing w:val="-50"/>
        </w:rPr>
      </w:r>
      <w:r>
        <w:rPr/>
        <w:t>的差额，计入当期损益。</w:t>
      </w:r>
    </w:p>
    <w:p>
      <w:pPr>
        <w:pStyle w:val="BodyText"/>
        <w:spacing w:line="348" w:lineRule="auto" w:before="31"/>
        <w:ind w:right="1126" w:firstLine="420"/>
        <w:jc w:val="both"/>
      </w:pPr>
      <w:r>
        <w:rPr>
          <w:spacing w:val="-2"/>
        </w:rPr>
        <w:t>公司回购金融负债一部分的，按照继续确认部分和终止确认部分在回购日各自的公允价值占整体公允</w:t>
      </w:r>
      <w:r>
        <w:rPr>
          <w:w w:val="100"/>
        </w:rPr>
        <w:t> </w:t>
      </w:r>
      <w:r>
        <w:rPr>
          <w:spacing w:val="-2"/>
        </w:rPr>
        <w:t>价值的比例，对该金融负债整体的账面价值进行分配。分配给终止确认部分的账面价值与支付的对价（包</w:t>
      </w:r>
      <w:r>
        <w:rPr>
          <w:spacing w:val="-41"/>
        </w:rPr>
        <w:t> </w:t>
      </w:r>
      <w:r>
        <w:rPr>
          <w:spacing w:val="-41"/>
        </w:rPr>
      </w:r>
      <w:r>
        <w:rPr/>
        <w:t>括转出的非现金资产或承担的负债）之间的差额，应当计入当期损益。</w:t>
      </w:r>
    </w:p>
    <w:p>
      <w:pPr>
        <w:spacing w:line="328" w:lineRule="auto" w:before="31"/>
        <w:ind w:left="573" w:right="1133" w:firstLine="2"/>
        <w:jc w:val="left"/>
        <w:rPr>
          <w:rFonts w:ascii="宋体" w:hAnsi="宋体" w:cs="宋体" w:eastAsia="宋体" w:hint="default"/>
          <w:sz w:val="21"/>
          <w:szCs w:val="21"/>
        </w:rPr>
      </w:pPr>
      <w:bookmarkStart w:name="4.金融资产转移的确认依据和计量方法" w:id="206"/>
      <w:bookmarkEnd w:id="20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公司在发生金融资产转移时，评估其保留金融资产所有权上的风险和报酬的程度，并分别下列情形处</w:t>
      </w:r>
    </w:p>
    <w:p>
      <w:pPr>
        <w:pStyle w:val="BodyText"/>
        <w:spacing w:line="240" w:lineRule="auto" w:before="48"/>
        <w:ind w:right="0"/>
        <w:jc w:val="both"/>
      </w:pPr>
      <w:r>
        <w:rPr/>
        <w:t>理：</w:t>
      </w:r>
    </w:p>
    <w:p>
      <w:pPr>
        <w:pStyle w:val="BodyText"/>
        <w:spacing w:line="328" w:lineRule="auto" w:before="126"/>
        <w:ind w:right="1136" w:firstLine="420"/>
        <w:jc w:val="both"/>
      </w:pPr>
      <w:r>
        <w:rPr/>
        <w:t>（</w:t>
      </w:r>
      <w:r>
        <w:rPr>
          <w:rFonts w:ascii="Times New Roman" w:hAnsi="Times New Roman" w:cs="Times New Roman" w:eastAsia="Times New Roman" w:hint="default"/>
        </w:rPr>
        <w:t>1</w:t>
      </w:r>
      <w:r>
        <w:rPr/>
        <w:t>）转移了金融资产所有权上几乎所有风险和报酬的，则终止确认该金融资产，并将转移中产生或</w:t>
      </w:r>
      <w:r>
        <w:rPr>
          <w:w w:val="100"/>
        </w:rPr>
        <w:t> </w:t>
      </w:r>
      <w:r>
        <w:rPr/>
        <w:t>保留的权利和义务单独确认为资产或负债。</w:t>
      </w:r>
    </w:p>
    <w:p>
      <w:pPr>
        <w:pStyle w:val="BodyText"/>
        <w:spacing w:line="240" w:lineRule="auto" w:before="48"/>
        <w:ind w:left="573" w:right="1133"/>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328" w:lineRule="auto" w:before="110"/>
        <w:ind w:right="1126" w:firstLine="420"/>
        <w:jc w:val="both"/>
      </w:pPr>
      <w:r>
        <w:rPr>
          <w:spacing w:val="2"/>
          <w:w w:val="100"/>
        </w:rPr>
        <w:t>（</w:t>
      </w:r>
      <w:r>
        <w:rPr>
          <w:rFonts w:ascii="Times New Roman" w:hAnsi="Times New Roman" w:cs="Times New Roman" w:eastAsia="Times New Roman" w:hint="default"/>
          <w:w w:val="100"/>
        </w:rPr>
        <w:t>3</w:t>
      </w:r>
      <w:r>
        <w:rPr>
          <w:w w:val="100"/>
        </w:rPr>
        <w:t>）</w:t>
      </w:r>
      <w:r>
        <w:rPr>
          <w:spacing w:val="2"/>
          <w:w w:val="100"/>
        </w:rPr>
        <w:t>既</w:t>
      </w:r>
      <w:r>
        <w:rPr>
          <w:w w:val="100"/>
        </w:rPr>
        <w:t>没有转</w:t>
      </w:r>
      <w:r>
        <w:rPr>
          <w:spacing w:val="2"/>
          <w:w w:val="100"/>
        </w:rPr>
        <w:t>移</w:t>
      </w:r>
      <w:r>
        <w:rPr>
          <w:w w:val="100"/>
        </w:rPr>
        <w:t>也没</w:t>
      </w:r>
      <w:r>
        <w:rPr>
          <w:spacing w:val="2"/>
          <w:w w:val="100"/>
        </w:rPr>
        <w:t>有</w:t>
      </w:r>
      <w:r>
        <w:rPr>
          <w:w w:val="100"/>
        </w:rPr>
        <w:t>保</w:t>
      </w:r>
      <w:r>
        <w:rPr>
          <w:spacing w:val="2"/>
          <w:w w:val="100"/>
        </w:rPr>
        <w:t>留</w:t>
      </w:r>
      <w:r>
        <w:rPr>
          <w:w w:val="100"/>
        </w:rPr>
        <w:t>金融资</w:t>
      </w:r>
      <w:r>
        <w:rPr>
          <w:spacing w:val="2"/>
          <w:w w:val="100"/>
        </w:rPr>
        <w:t>产</w:t>
      </w:r>
      <w:r>
        <w:rPr>
          <w:w w:val="100"/>
        </w:rPr>
        <w:t>所有权</w:t>
      </w:r>
      <w:r>
        <w:rPr>
          <w:spacing w:val="2"/>
          <w:w w:val="100"/>
        </w:rPr>
        <w:t>上</w:t>
      </w:r>
      <w:r>
        <w:rPr>
          <w:w w:val="100"/>
        </w:rPr>
        <w:t>几乎</w:t>
      </w:r>
      <w:r>
        <w:rPr>
          <w:spacing w:val="2"/>
          <w:w w:val="100"/>
        </w:rPr>
        <w:t>所</w:t>
      </w:r>
      <w:r>
        <w:rPr>
          <w:w w:val="100"/>
        </w:rPr>
        <w:t>有风险</w:t>
      </w:r>
      <w:r>
        <w:rPr>
          <w:spacing w:val="2"/>
          <w:w w:val="100"/>
        </w:rPr>
        <w:t>和</w:t>
      </w:r>
      <w:r>
        <w:rPr>
          <w:w w:val="100"/>
        </w:rPr>
        <w:t>报酬的</w:t>
      </w:r>
      <w:r>
        <w:rPr>
          <w:spacing w:val="2"/>
          <w:w w:val="100"/>
        </w:rPr>
        <w:t>（</w:t>
      </w:r>
      <w:r>
        <w:rPr>
          <w:w w:val="100"/>
        </w:rPr>
        <w:t>即除</w:t>
      </w:r>
      <w:r>
        <w:rPr>
          <w:spacing w:val="2"/>
          <w:w w:val="100"/>
        </w:rPr>
        <w:t>本</w:t>
      </w:r>
      <w:r>
        <w:rPr>
          <w:w w:val="100"/>
        </w:rPr>
        <w:t>条</w:t>
      </w:r>
      <w:r>
        <w:rPr>
          <w:spacing w:val="4"/>
          <w:w w:val="100"/>
        </w:rPr>
        <w:t>（</w:t>
      </w:r>
      <w:r>
        <w:rPr>
          <w:rFonts w:ascii="Times New Roman" w:hAnsi="Times New Roman" w:cs="Times New Roman" w:eastAsia="Times New Roman" w:hint="default"/>
          <w:spacing w:val="2"/>
          <w:w w:val="100"/>
        </w:rPr>
        <w:t>1</w:t>
      </w:r>
      <w:r>
        <w:rPr>
          <w:spacing w:val="-106"/>
          <w:w w:val="100"/>
        </w:rPr>
        <w:t>）</w:t>
      </w:r>
      <w:r>
        <w:rPr>
          <w:spacing w:val="-104"/>
          <w:w w:val="100"/>
        </w:rPr>
        <w:t>、</w:t>
      </w:r>
      <w:r>
        <w:rPr>
          <w:w w:val="100"/>
        </w:rPr>
        <w:t>（</w:t>
      </w:r>
      <w:r>
        <w:rPr>
          <w:rFonts w:ascii="Times New Roman" w:hAnsi="Times New Roman" w:cs="Times New Roman" w:eastAsia="Times New Roman" w:hint="default"/>
          <w:w w:val="100"/>
        </w:rPr>
        <w:t>2</w:t>
      </w:r>
      <w:r>
        <w:rPr>
          <w:spacing w:val="2"/>
          <w:w w:val="100"/>
        </w:rPr>
        <w:t>）</w:t>
      </w:r>
      <w:r>
        <w:rPr>
          <w:w w:val="100"/>
        </w:rPr>
        <w:t>之</w:t>
      </w:r>
      <w:r>
        <w:rPr>
          <w:spacing w:val="2"/>
          <w:w w:val="100"/>
        </w:rPr>
        <w:t>外</w:t>
      </w:r>
      <w:r>
        <w:rPr>
          <w:w w:val="100"/>
        </w:rPr>
        <w:t>的</w:t>
      </w:r>
      <w:r>
        <w:rPr>
          <w:w w:val="100"/>
        </w:rPr>
        <w:t> 其他</w:t>
      </w:r>
      <w:r>
        <w:rPr>
          <w:spacing w:val="-3"/>
          <w:w w:val="100"/>
        </w:rPr>
        <w:t>情</w:t>
      </w:r>
      <w:r>
        <w:rPr>
          <w:w w:val="100"/>
        </w:rPr>
        <w:t>形</w:t>
      </w:r>
      <w:r>
        <w:rPr>
          <w:spacing w:val="-108"/>
          <w:w w:val="100"/>
        </w:rPr>
        <w:t>）</w:t>
      </w:r>
      <w:r>
        <w:rPr>
          <w:w w:val="100"/>
        </w:rPr>
        <w:t>，</w:t>
      </w:r>
      <w:r>
        <w:rPr>
          <w:spacing w:val="-3"/>
          <w:w w:val="100"/>
        </w:rPr>
        <w:t>则</w:t>
      </w:r>
      <w:r>
        <w:rPr>
          <w:w w:val="100"/>
        </w:rPr>
        <w:t>根</w:t>
      </w:r>
      <w:r>
        <w:rPr>
          <w:spacing w:val="-3"/>
          <w:w w:val="100"/>
        </w:rPr>
        <w:t>据</w:t>
      </w:r>
      <w:r>
        <w:rPr>
          <w:w w:val="100"/>
        </w:rPr>
        <w:t>其</w:t>
      </w:r>
      <w:r>
        <w:rPr>
          <w:spacing w:val="-3"/>
          <w:w w:val="100"/>
        </w:rPr>
        <w:t>是否</w:t>
      </w:r>
      <w:r>
        <w:rPr>
          <w:w w:val="100"/>
        </w:rPr>
        <w:t>保留</w:t>
      </w:r>
      <w:r>
        <w:rPr>
          <w:spacing w:val="-3"/>
          <w:w w:val="100"/>
        </w:rPr>
        <w:t>了</w:t>
      </w:r>
      <w:r>
        <w:rPr>
          <w:w w:val="100"/>
        </w:rPr>
        <w:t>对</w:t>
      </w:r>
      <w:r>
        <w:rPr>
          <w:spacing w:val="-3"/>
          <w:w w:val="100"/>
        </w:rPr>
        <w:t>金</w:t>
      </w:r>
      <w:r>
        <w:rPr>
          <w:w w:val="100"/>
        </w:rPr>
        <w:t>融</w:t>
      </w:r>
      <w:r>
        <w:rPr>
          <w:spacing w:val="-3"/>
          <w:w w:val="100"/>
        </w:rPr>
        <w:t>资</w:t>
      </w:r>
      <w:r>
        <w:rPr>
          <w:w w:val="100"/>
        </w:rPr>
        <w:t>产</w:t>
      </w:r>
      <w:r>
        <w:rPr>
          <w:spacing w:val="-3"/>
          <w:w w:val="100"/>
        </w:rPr>
        <w:t>的</w:t>
      </w:r>
      <w:r>
        <w:rPr>
          <w:w w:val="100"/>
        </w:rPr>
        <w:t>控</w:t>
      </w:r>
      <w:r>
        <w:rPr>
          <w:spacing w:val="-3"/>
          <w:w w:val="100"/>
        </w:rPr>
        <w:t>制</w:t>
      </w:r>
      <w:r>
        <w:rPr>
          <w:w w:val="100"/>
        </w:rPr>
        <w:t>，分</w:t>
      </w:r>
      <w:r>
        <w:rPr>
          <w:spacing w:val="-3"/>
          <w:w w:val="100"/>
        </w:rPr>
        <w:t>别</w:t>
      </w:r>
      <w:r>
        <w:rPr>
          <w:w w:val="100"/>
        </w:rPr>
        <w:t>下</w:t>
      </w:r>
      <w:r>
        <w:rPr>
          <w:spacing w:val="-3"/>
          <w:w w:val="100"/>
        </w:rPr>
        <w:t>列</w:t>
      </w:r>
      <w:r>
        <w:rPr>
          <w:w w:val="100"/>
        </w:rPr>
        <w:t>情</w:t>
      </w:r>
      <w:r>
        <w:rPr>
          <w:spacing w:val="-3"/>
          <w:w w:val="100"/>
        </w:rPr>
        <w:t>形</w:t>
      </w:r>
      <w:r>
        <w:rPr>
          <w:w w:val="100"/>
        </w:rPr>
        <w:t>处</w:t>
      </w:r>
      <w:r>
        <w:rPr>
          <w:spacing w:val="-3"/>
          <w:w w:val="100"/>
        </w:rPr>
        <w:t>理</w:t>
      </w:r>
      <w:r>
        <w:rPr>
          <w:w w:val="100"/>
        </w:rPr>
        <w:t>：</w:t>
      </w:r>
    </w:p>
    <w:p>
      <w:pPr>
        <w:pStyle w:val="BodyText"/>
        <w:spacing w:line="331" w:lineRule="auto" w:before="48"/>
        <w:ind w:right="1136" w:firstLine="420"/>
        <w:jc w:val="both"/>
      </w:pPr>
      <w:r>
        <w:rPr>
          <w:rFonts w:ascii="Times New Roman" w:hAnsi="Times New Roman" w:cs="Times New Roman" w:eastAsia="Times New Roman" w:hint="default"/>
        </w:rPr>
        <w:t>1</w:t>
      </w:r>
      <w:r>
        <w:rPr/>
        <w:t>）未保留对该金融资产控制的，则终止确认该金融资产，并将转移中产生或保留的权利和义务单独</w:t>
      </w:r>
      <w:r>
        <w:rPr>
          <w:w w:val="100"/>
        </w:rPr>
        <w:t> </w:t>
      </w:r>
      <w:r>
        <w:rPr/>
        <w:t>确认为资产或负债。</w:t>
      </w:r>
    </w:p>
    <w:p>
      <w:pPr>
        <w:pStyle w:val="BodyText"/>
        <w:spacing w:line="350" w:lineRule="auto" w:before="43"/>
        <w:ind w:right="1126" w:firstLine="420"/>
        <w:jc w:val="both"/>
      </w:pPr>
      <w:r>
        <w:rPr>
          <w:spacing w:val="-2"/>
        </w:rPr>
        <w:t>保留了对该金融资产控制的，则按照其继续涉入被转移金融资产的程度继续确认有关金融资产，并相</w:t>
      </w:r>
      <w:r>
        <w:rPr>
          <w:w w:val="100"/>
        </w:rPr>
        <w:t> </w:t>
      </w:r>
      <w:r>
        <w:rPr>
          <w:spacing w:val="-2"/>
        </w:rPr>
        <w:t>应确认相关负债。继续涉入被转移金融资产的程度，是指公司承担的被转移金融资产价值变动风险或报酬</w:t>
      </w:r>
      <w:r>
        <w:rPr>
          <w:spacing w:val="-44"/>
        </w:rPr>
        <w:t> </w:t>
      </w:r>
      <w:r>
        <w:rPr>
          <w:spacing w:val="-44"/>
        </w:rPr>
      </w:r>
      <w:r>
        <w:rPr/>
        <w:t>的程度。</w:t>
      </w:r>
    </w:p>
    <w:p>
      <w:pPr>
        <w:pStyle w:val="BodyText"/>
        <w:spacing w:line="350" w:lineRule="auto" w:before="27"/>
        <w:ind w:right="1126" w:firstLine="420"/>
        <w:jc w:val="both"/>
      </w:pPr>
      <w:r>
        <w:rPr>
          <w:spacing w:val="-2"/>
        </w:rPr>
        <w:t>在判断金融资产转移是否满足上述金融资产终止确认条件时，采用实质重于形式的原则。公司将金融</w:t>
      </w:r>
      <w:r>
        <w:rPr>
          <w:w w:val="100"/>
        </w:rPr>
        <w:t> </w:t>
      </w:r>
      <w:r>
        <w:rPr/>
        <w:t>资产转移区分为金融资产整体转移和部分转移。</w:t>
      </w:r>
    </w:p>
    <w:p>
      <w:pPr>
        <w:pStyle w:val="BodyText"/>
        <w:spacing w:line="240" w:lineRule="auto" w:before="29"/>
        <w:ind w:left="573" w:right="1133"/>
        <w:jc w:val="left"/>
      </w:pPr>
      <w:r>
        <w:rPr/>
        <w:t>（</w:t>
      </w:r>
      <w:r>
        <w:rPr>
          <w:rFonts w:ascii="Times New Roman" w:hAnsi="Times New Roman" w:cs="Times New Roman" w:eastAsia="Times New Roman" w:hint="default"/>
        </w:rPr>
        <w:t>4</w:t>
      </w:r>
      <w:r>
        <w:rPr/>
        <w:t>）金融资产整体转移满足终止确认条件的，将下列两项金额的差额计入当期损益：</w:t>
      </w:r>
    </w:p>
    <w:p>
      <w:pPr>
        <w:pStyle w:val="BodyText"/>
        <w:spacing w:line="240" w:lineRule="auto" w:before="107"/>
        <w:ind w:left="573" w:right="1133"/>
        <w:jc w:val="left"/>
      </w:pPr>
      <w:r>
        <w:rPr>
          <w:rFonts w:ascii="Times New Roman" w:hAnsi="Times New Roman" w:cs="Times New Roman" w:eastAsia="Times New Roman" w:hint="default"/>
        </w:rPr>
        <w:t>1</w:t>
      </w:r>
      <w:r>
        <w:rPr/>
        <w:t>）被转移金融资产在终止确认日的账面价值。</w:t>
      </w:r>
    </w:p>
    <w:p>
      <w:pPr>
        <w:pStyle w:val="BodyText"/>
        <w:spacing w:line="240" w:lineRule="auto" w:before="110"/>
        <w:ind w:left="573" w:right="1133"/>
        <w:jc w:val="left"/>
      </w:pPr>
      <w:r>
        <w:rPr/>
        <w:t>（</w:t>
      </w:r>
      <w:r>
        <w:rPr>
          <w:rFonts w:ascii="Times New Roman" w:hAnsi="Times New Roman" w:cs="Times New Roman" w:eastAsia="Times New Roman" w:hint="default"/>
        </w:rPr>
        <w:t>5</w:t>
      </w:r>
      <w:r>
        <w:rPr/>
        <w:t>）因转移金融资产而收到的对价，与原直接计入其他综合收益的公允价值变动累计额中对应终止</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right="0"/>
        <w:jc w:val="both"/>
      </w:pPr>
      <w:r>
        <w:rPr/>
        <w:t>确认部分的金额（涉及转移的金融资产为以公允价值计量且其变动计入其他综合收益的金融资产）之和。</w:t>
      </w:r>
    </w:p>
    <w:p>
      <w:pPr>
        <w:pStyle w:val="BodyText"/>
        <w:spacing w:line="338" w:lineRule="auto" w:before="126"/>
        <w:ind w:right="1126" w:firstLine="420"/>
        <w:jc w:val="both"/>
      </w:pPr>
      <w:r>
        <w:rPr/>
        <w:t>（</w:t>
      </w:r>
      <w:r>
        <w:rPr>
          <w:rFonts w:ascii="Times New Roman" w:hAnsi="Times New Roman" w:cs="Times New Roman" w:eastAsia="Times New Roman" w:hint="default"/>
        </w:rPr>
        <w:t>6</w:t>
      </w:r>
      <w:r>
        <w:rPr/>
        <w:t>）金融资产部分转移且该被转移部分整体满足终止确认条件的，将转移前金融资产整体的账面价</w:t>
      </w:r>
      <w:r>
        <w:rPr>
          <w:w w:val="100"/>
        </w:rPr>
        <w:t> </w:t>
      </w:r>
      <w:r>
        <w:rPr>
          <w:spacing w:val="-2"/>
        </w:rPr>
        <w:t>值，在终止确认部分和继续确认部分（在此种情形下，所保留的服务资产应当视同继续确认金融资产的一</w:t>
      </w:r>
      <w:r>
        <w:rPr>
          <w:spacing w:val="-42"/>
        </w:rPr>
        <w:t> </w:t>
      </w:r>
      <w:r>
        <w:rPr>
          <w:spacing w:val="-42"/>
        </w:rPr>
      </w:r>
      <w:r>
        <w:rPr/>
        <w:t>部分）之间，按照转移日各自的相对公允价值进行分摊，并将下列两项金额的差额计入当期损益：</w:t>
      </w:r>
    </w:p>
    <w:p>
      <w:pPr>
        <w:pStyle w:val="BodyText"/>
        <w:spacing w:line="240" w:lineRule="auto" w:before="40"/>
        <w:ind w:left="573" w:right="1133"/>
        <w:jc w:val="left"/>
      </w:pPr>
      <w:r>
        <w:rPr>
          <w:rFonts w:ascii="Times New Roman" w:hAnsi="Times New Roman" w:cs="Times New Roman" w:eastAsia="Times New Roman" w:hint="default"/>
        </w:rPr>
        <w:t>1</w:t>
      </w:r>
      <w:r>
        <w:rPr/>
        <w:t>）终止确认部分在终止确认日的账面价值。</w:t>
      </w:r>
    </w:p>
    <w:p>
      <w:pPr>
        <w:pStyle w:val="BodyText"/>
        <w:spacing w:line="331" w:lineRule="auto" w:before="107"/>
        <w:ind w:right="1136" w:firstLine="420"/>
        <w:jc w:val="both"/>
      </w:pPr>
      <w:r>
        <w:rPr>
          <w:rFonts w:ascii="Times New Roman" w:hAnsi="Times New Roman" w:cs="Times New Roman" w:eastAsia="Times New Roman" w:hint="default"/>
        </w:rPr>
        <w:t>2</w:t>
      </w:r>
      <w:r>
        <w:rPr/>
        <w:t>）终止确认部分收到的对价，与原计入其他综合收益的公允价值变动累计额中对应终止确认部分的</w:t>
      </w:r>
      <w:r>
        <w:rPr>
          <w:w w:val="100"/>
        </w:rPr>
        <w:t> </w:t>
      </w:r>
      <w:r>
        <w:rPr/>
        <w:t>金额（涉及转移的金融资产为以公允价值计量且其变动计入其他综合收益的金融资产）之和。</w:t>
      </w:r>
    </w:p>
    <w:p>
      <w:pPr>
        <w:pStyle w:val="BodyText"/>
        <w:spacing w:line="340" w:lineRule="auto" w:before="46"/>
        <w:ind w:left="573" w:right="1133"/>
        <w:jc w:val="left"/>
      </w:pPr>
      <w:r>
        <w:rPr/>
        <w:t>金融资产转移不满足终止确认条件的，继续确认该金融资产，所收到的对价确认为一项金融负债。</w:t>
      </w:r>
      <w:r>
        <w:rPr>
          <w:w w:val="100"/>
        </w:rPr>
        <w:t> </w:t>
      </w:r>
      <w:r>
        <w:rPr>
          <w:rFonts w:ascii="Times New Roman" w:hAnsi="Times New Roman" w:cs="Times New Roman" w:eastAsia="Times New Roman"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100"/>
        </w:rPr>
        <w:t> </w:t>
      </w:r>
      <w:r>
        <w:rPr>
          <w:spacing w:val="-2"/>
        </w:rPr>
        <w:t>存在活跃市场的金融资产或金融负债，以活跃市场的报价确定其公允价值，除非该项金融资产存在针</w:t>
      </w:r>
    </w:p>
    <w:p>
      <w:pPr>
        <w:pStyle w:val="BodyText"/>
        <w:spacing w:line="350" w:lineRule="auto" w:before="37"/>
        <w:ind w:right="982"/>
        <w:jc w:val="left"/>
      </w:pPr>
      <w:r>
        <w:rPr>
          <w:spacing w:val="-2"/>
        </w:rPr>
        <w:t>对资产本身的限售期。对于针对资产本身的限售的金融资产，按照活跃市场的报价扣除市场参与者因承担</w:t>
      </w:r>
      <w:r>
        <w:rPr>
          <w:spacing w:val="-43"/>
        </w:rPr>
        <w:t> </w:t>
      </w:r>
      <w:r>
        <w:rPr>
          <w:spacing w:val="-43"/>
        </w:rPr>
      </w:r>
      <w:r>
        <w:rPr>
          <w:spacing w:val="-2"/>
        </w:rPr>
        <w:t>指定期间内无法在公开市场上出售该金融资产的风险而要求获得的补偿金额后确定。活跃市场的报价包括</w:t>
      </w:r>
      <w:r>
        <w:rPr>
          <w:spacing w:val="-43"/>
        </w:rPr>
        <w:t> </w:t>
      </w:r>
      <w:r>
        <w:rPr>
          <w:spacing w:val="-43"/>
        </w:rPr>
      </w:r>
      <w:r>
        <w:rPr>
          <w:spacing w:val="-5"/>
        </w:rPr>
        <w:t>易于且可定期从交易所、交易商、经纪人、行业集团、定价机构或监管机构等获得相关资产或负债的报价，</w:t>
      </w:r>
      <w:r>
        <w:rPr>
          <w:spacing w:val="-7"/>
        </w:rPr>
        <w:t> </w:t>
      </w:r>
      <w:r>
        <w:rPr>
          <w:spacing w:val="-7"/>
        </w:rPr>
      </w:r>
      <w:r>
        <w:rPr/>
        <w:t>且能代表在公平交易基础上实际并经常发生的市场交易。</w:t>
      </w:r>
    </w:p>
    <w:p>
      <w:pPr>
        <w:pStyle w:val="BodyText"/>
        <w:spacing w:line="350" w:lineRule="auto" w:before="27"/>
        <w:ind w:left="573" w:right="1133"/>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不存在活跃市场的金融资产或金融负债，采用估值技术确定其公允价值。在估值时，公司采用在当前</w:t>
      </w:r>
    </w:p>
    <w:p>
      <w:pPr>
        <w:pStyle w:val="BodyText"/>
        <w:spacing w:line="348" w:lineRule="auto" w:before="29"/>
        <w:ind w:right="1126"/>
        <w:jc w:val="both"/>
      </w:pPr>
      <w:r>
        <w:rPr>
          <w:spacing w:val="-2"/>
        </w:rPr>
        <w:t>情况下适用并且有足够可利用数据和其他信息支持的估值技术，选择与市场参与者在相关资产或负债的交</w:t>
      </w:r>
      <w:r>
        <w:rPr>
          <w:spacing w:val="-42"/>
        </w:rPr>
        <w:t> </w:t>
      </w:r>
      <w:r>
        <w:rPr>
          <w:spacing w:val="-42"/>
        </w:rPr>
      </w:r>
      <w:r>
        <w:rPr>
          <w:spacing w:val="-2"/>
        </w:rPr>
        <w:t>易中所考虑的资产或负债特征相一致的输入值，并尽可能优先使用相关可观察输入值。在相关可观察输入</w:t>
      </w:r>
      <w:r>
        <w:rPr>
          <w:spacing w:val="-43"/>
        </w:rPr>
        <w:t> </w:t>
      </w:r>
      <w:r>
        <w:rPr>
          <w:spacing w:val="-43"/>
        </w:rPr>
      </w:r>
      <w:r>
        <w:rPr/>
        <w:t>值无法取得或取得不切实可行的情况下，使用不可观察输入值。</w:t>
      </w:r>
    </w:p>
    <w:p>
      <w:pPr>
        <w:pStyle w:val="BodyText"/>
        <w:spacing w:line="328" w:lineRule="auto" w:before="31"/>
        <w:ind w:left="573" w:right="1133" w:firstLine="2"/>
        <w:jc w:val="left"/>
      </w:pP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w w:val="100"/>
        </w:rPr>
        <w:t> </w:t>
      </w:r>
      <w:r>
        <w:rPr>
          <w:spacing w:val="-2"/>
        </w:rPr>
        <w:t>公司以预期信用损失为基础，对分类为以摊余成本计量的金融资产、分类为以公允价值计量且其变动</w:t>
      </w:r>
    </w:p>
    <w:p>
      <w:pPr>
        <w:pStyle w:val="BodyText"/>
        <w:spacing w:line="350" w:lineRule="auto" w:before="48"/>
        <w:ind w:left="573" w:right="1133" w:hanging="421"/>
        <w:jc w:val="left"/>
      </w:pPr>
      <w:r>
        <w:rPr/>
        <w:t>计入其他综合收益的金融资产以及财务担保合同，进行减值会计处理并确认损失准备。</w:t>
      </w:r>
      <w:r>
        <w:rPr>
          <w:w w:val="100"/>
        </w:rPr>
        <w:t> </w:t>
      </w:r>
      <w:r>
        <w:rPr>
          <w:spacing w:val="-2"/>
        </w:rPr>
        <w:t>预期信用损失，是指以发生违约的风险为权重的金融工具信用损失的加权平均值。信用损失，是指公</w:t>
      </w:r>
    </w:p>
    <w:p>
      <w:pPr>
        <w:pStyle w:val="BodyText"/>
        <w:spacing w:line="350" w:lineRule="auto" w:before="27"/>
        <w:ind w:right="1126"/>
        <w:jc w:val="both"/>
      </w:pPr>
      <w:r>
        <w:rPr>
          <w:spacing w:val="-2"/>
        </w:rPr>
        <w:t>司按照原实际利率折现的、根据合同应收的所有合同现金流量与预期收取的所有现金流量之间的差额，即</w:t>
      </w:r>
      <w:r>
        <w:rPr>
          <w:spacing w:val="-44"/>
        </w:rPr>
        <w:t> </w:t>
      </w:r>
      <w:r>
        <w:rPr>
          <w:spacing w:val="-44"/>
        </w:rPr>
      </w:r>
      <w:r>
        <w:rPr>
          <w:spacing w:val="-2"/>
        </w:rPr>
        <w:t>全部现金短缺的现值。其中，对于公司购买或源生的已发生信用减值的金融资产，应按照该金融资产经信</w:t>
      </w:r>
      <w:r>
        <w:rPr>
          <w:spacing w:val="-44"/>
        </w:rPr>
        <w:t> </w:t>
      </w:r>
      <w:r>
        <w:rPr>
          <w:spacing w:val="-44"/>
        </w:rPr>
      </w:r>
      <w:r>
        <w:rPr/>
        <w:t>用调整的实际利率折现。</w:t>
      </w:r>
    </w:p>
    <w:p>
      <w:pPr>
        <w:pStyle w:val="BodyText"/>
        <w:spacing w:line="350" w:lineRule="auto" w:before="27"/>
        <w:ind w:right="1126" w:firstLine="420"/>
        <w:jc w:val="both"/>
      </w:pPr>
      <w:r>
        <w:rPr>
          <w:spacing w:val="-2"/>
        </w:rPr>
        <w:t>对由收入准则规范的交易形成的应收款项，公司运用简化计量方法，按照相当于整个存续期内预期信</w:t>
      </w:r>
      <w:r>
        <w:rPr>
          <w:w w:val="100"/>
        </w:rPr>
        <w:t> </w:t>
      </w:r>
      <w:r>
        <w:rPr/>
        <w:t>用损失的金额计量损失准备。</w:t>
      </w:r>
    </w:p>
    <w:p>
      <w:pPr>
        <w:pStyle w:val="BodyText"/>
        <w:spacing w:line="350" w:lineRule="auto" w:before="29"/>
        <w:ind w:right="1126" w:firstLine="420"/>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43"/>
        </w:rPr>
        <w:t> </w:t>
      </w:r>
      <w:r>
        <w:rPr>
          <w:spacing w:val="-43"/>
        </w:rPr>
      </w:r>
      <w:r>
        <w:rPr>
          <w:spacing w:val="-2"/>
        </w:rPr>
        <w:t>为减值损失或利得计入当期损益。即使该资产负债表日确定的整个存续期内预期信用损失小于初始确认时</w:t>
      </w:r>
      <w:r>
        <w:rPr>
          <w:spacing w:val="-43"/>
        </w:rPr>
        <w:t> </w:t>
      </w:r>
      <w:r>
        <w:rPr>
          <w:spacing w:val="-43"/>
        </w:rPr>
      </w:r>
      <w:r>
        <w:rPr/>
        <w:t>估计现金流量所反映的预期信用损失的金额，也将预期信用损失的有利变动确认为减值利得。</w:t>
      </w:r>
    </w:p>
    <w:p>
      <w:pPr>
        <w:pStyle w:val="BodyText"/>
        <w:spacing w:line="350" w:lineRule="auto" w:before="27"/>
        <w:ind w:right="1105" w:firstLine="420"/>
        <w:jc w:val="both"/>
      </w:pPr>
      <w:r>
        <w:rPr>
          <w:spacing w:val="-2"/>
        </w:rPr>
        <w:t>除上述采用简化计量方法和购买或源生的已发生信用减值以外的其他金融资产，公司在每个资产负债</w:t>
      </w:r>
      <w:r>
        <w:rPr>
          <w:w w:val="100"/>
        </w:rPr>
        <w:t> </w:t>
      </w:r>
      <w:r>
        <w:rPr>
          <w:spacing w:val="-2"/>
        </w:rPr>
        <w:t>表日评估相关金融工具的信用风险自初始确认后是否已显著增加，并按照下列情形分别计量其损失准备、</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right="0"/>
        <w:jc w:val="both"/>
      </w:pPr>
      <w:r>
        <w:rPr/>
        <w:t>确认预期信用损失及其变动：</w:t>
      </w:r>
    </w:p>
    <w:p>
      <w:pPr>
        <w:pStyle w:val="BodyText"/>
        <w:spacing w:line="328" w:lineRule="auto" w:before="126"/>
        <w:ind w:right="1137" w:firstLine="199"/>
        <w:jc w:val="both"/>
      </w:pPr>
      <w:r>
        <w:rPr/>
        <w:t>（</w:t>
      </w:r>
      <w:r>
        <w:rPr>
          <w:rFonts w:ascii="Times New Roman" w:hAnsi="Times New Roman" w:cs="Times New Roman" w:eastAsia="Times New Roman" w:hint="default"/>
        </w:rPr>
        <w:t>1</w:t>
      </w:r>
      <w:r>
        <w:rPr/>
        <w:t>）如果该金融工具的信用风险自初始确认后并未显著增加，处于第一阶段，则按照相当于该金融工</w:t>
      </w:r>
      <w:r>
        <w:rPr>
          <w:w w:val="100"/>
        </w:rPr>
        <w:t> </w:t>
      </w:r>
      <w:r>
        <w:rPr/>
        <w:t>具未来 </w:t>
      </w:r>
      <w:r>
        <w:rPr>
          <w:rFonts w:ascii="Times New Roman" w:hAnsi="Times New Roman" w:cs="Times New Roman" w:eastAsia="Times New Roman" w:hint="default"/>
        </w:rPr>
        <w:t>12</w:t>
      </w:r>
      <w:r>
        <w:rPr>
          <w:rFonts w:ascii="Times New Roman" w:hAnsi="Times New Roman" w:cs="Times New Roman" w:eastAsia="Times New Roman" w:hint="default"/>
          <w:spacing w:val="49"/>
        </w:rPr>
        <w:t> </w:t>
      </w:r>
      <w:r>
        <w:rPr/>
        <w:t>个月内预期信用损失的金额计量其损失准备，并按照账面余额和实际利率计算利息收入。</w:t>
      </w:r>
    </w:p>
    <w:p>
      <w:pPr>
        <w:pStyle w:val="BodyText"/>
        <w:spacing w:line="338" w:lineRule="auto" w:before="24"/>
        <w:ind w:right="1126" w:firstLine="199"/>
        <w:jc w:val="both"/>
      </w:pPr>
      <w:r>
        <w:rPr/>
        <w:t>（</w:t>
      </w:r>
      <w:r>
        <w:rPr>
          <w:rFonts w:ascii="Times New Roman" w:hAnsi="Times New Roman" w:cs="Times New Roman" w:eastAsia="Times New Roman" w:hint="default"/>
        </w:rPr>
        <w:t>2</w:t>
      </w:r>
      <w:r>
        <w:rPr/>
        <w:t>）如果该金融工具的信用风险自初始确认后已显著增加但尚未发生信用减值的，处于第二阶段，则</w:t>
      </w:r>
      <w:r>
        <w:rPr>
          <w:w w:val="100"/>
        </w:rPr>
        <w:t> </w:t>
      </w:r>
      <w:r>
        <w:rPr>
          <w:spacing w:val="-2"/>
        </w:rPr>
        <w:t>按照相当于该金融工具整个存续期内预期信用损失的金额计量其损失准备，并按照账面余额和实际利率计</w:t>
      </w:r>
      <w:r>
        <w:rPr>
          <w:spacing w:val="-43"/>
        </w:rPr>
        <w:t> </w:t>
      </w:r>
      <w:r>
        <w:rPr>
          <w:spacing w:val="-43"/>
        </w:rPr>
      </w:r>
      <w:r>
        <w:rPr/>
        <w:t>算利息收入。</w:t>
      </w:r>
    </w:p>
    <w:p>
      <w:pPr>
        <w:pStyle w:val="BodyText"/>
        <w:spacing w:line="331" w:lineRule="auto" w:before="40"/>
        <w:ind w:right="1137" w:firstLine="199"/>
        <w:jc w:val="both"/>
      </w:pPr>
      <w:r>
        <w:rPr/>
        <w:t>（</w:t>
      </w:r>
      <w:r>
        <w:rPr>
          <w:rFonts w:ascii="Times New Roman" w:hAnsi="Times New Roman" w:cs="Times New Roman" w:eastAsia="Times New Roman" w:hint="default"/>
        </w:rPr>
        <w:t>3</w:t>
      </w:r>
      <w:r>
        <w:rPr/>
        <w:t>）如果该金融工具自初始确认后已经发生信用减值的，处于第三阶段，公司按照相当于该金融工具</w:t>
      </w:r>
      <w:r>
        <w:rPr>
          <w:w w:val="100"/>
        </w:rPr>
        <w:t> </w:t>
      </w:r>
      <w:r>
        <w:rPr/>
        <w:t>整个存续期内预期信用损失的金额计量其损失准备，并按照摊余成本和实际利率计算利息收入。</w:t>
      </w:r>
    </w:p>
    <w:p>
      <w:pPr>
        <w:pStyle w:val="BodyText"/>
        <w:spacing w:line="350" w:lineRule="auto" w:before="43"/>
        <w:ind w:right="1126" w:firstLine="420"/>
        <w:jc w:val="both"/>
      </w:pPr>
      <w:r>
        <w:rPr>
          <w:spacing w:val="-2"/>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44"/>
        </w:rPr>
        <w:t> </w:t>
      </w:r>
      <w:r>
        <w:rPr>
          <w:spacing w:val="-44"/>
        </w:rPr>
      </w:r>
      <w:r>
        <w:rPr>
          <w:spacing w:val="-2"/>
        </w:rPr>
        <w:t>允价值计量且其变动计入其他综合收益的金融资产，公司在其他综合收益中确认其信用损失准备，不减少</w:t>
      </w:r>
      <w:r>
        <w:rPr>
          <w:spacing w:val="-44"/>
        </w:rPr>
        <w:t> </w:t>
      </w:r>
      <w:r>
        <w:rPr>
          <w:spacing w:val="-44"/>
        </w:rPr>
      </w:r>
      <w:r>
        <w:rPr/>
        <w:t>该金融资产在资产负债表中列示的账面价值。</w:t>
      </w:r>
    </w:p>
    <w:p>
      <w:pPr>
        <w:pStyle w:val="BodyText"/>
        <w:spacing w:line="343" w:lineRule="auto" w:before="29"/>
        <w:ind w:right="1126" w:firstLine="420"/>
        <w:jc w:val="both"/>
      </w:pPr>
      <w:r>
        <w:rPr>
          <w:spacing w:val="-2"/>
        </w:rPr>
        <w:t>公司在前一会计期间已经按照相当于金融工具整个存续期内预期信用损失的金额计量了损失准备，但</w:t>
      </w:r>
      <w:r>
        <w:rPr>
          <w:w w:val="100"/>
        </w:rPr>
        <w:t> </w:t>
      </w:r>
      <w:r>
        <w:rPr>
          <w:spacing w:val="-2"/>
        </w:rPr>
        <w:t>在当期资产负债表日，该金融工具已不再属于自初始确认后信用风险显著增加的情形的，公司在当期资产</w:t>
      </w:r>
      <w:r>
        <w:rPr>
          <w:spacing w:val="-44"/>
        </w:rPr>
        <w:t> </w:t>
      </w:r>
      <w:r>
        <w:rPr>
          <w:spacing w:val="-44"/>
        </w:rPr>
      </w:r>
      <w:r>
        <w:rPr/>
        <w:t>负债表日按照相当于未来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个月内预期信用损失的金额计量该金融工具的损失准备，由此形成的损失准</w:t>
      </w:r>
      <w:r>
        <w:rPr>
          <w:w w:val="100"/>
        </w:rPr>
        <w:t> </w:t>
      </w:r>
      <w:r>
        <w:rPr/>
        <w:t>备的转回金额作为减值利得计入当期损益。</w:t>
      </w:r>
    </w:p>
    <w:p>
      <w:pPr>
        <w:pStyle w:val="BodyText"/>
        <w:spacing w:line="328" w:lineRule="auto" w:before="35"/>
        <w:ind w:left="573" w:right="1133"/>
        <w:jc w:val="left"/>
      </w:pPr>
      <w:r>
        <w:rPr/>
        <w:t>（</w:t>
      </w:r>
      <w:r>
        <w:rPr>
          <w:rFonts w:ascii="Times New Roman" w:hAnsi="Times New Roman" w:cs="Times New Roman" w:eastAsia="Times New Roman" w:hint="default"/>
        </w:rPr>
        <w:t>1</w:t>
      </w:r>
      <w:r>
        <w:rPr/>
        <w:t>）信用风险显著增加</w:t>
      </w:r>
      <w:r>
        <w:rPr>
          <w:w w:val="100"/>
        </w:rPr>
        <w:t> </w:t>
      </w:r>
      <w:r>
        <w:rPr>
          <w:spacing w:val="-2"/>
        </w:rPr>
        <w:t>公司利用可获得的合理且有依据的前瞻性信息，通过比较金融工具在资产负债表日发生违约的风险与</w:t>
      </w:r>
    </w:p>
    <w:p>
      <w:pPr>
        <w:pStyle w:val="BodyText"/>
        <w:spacing w:line="350" w:lineRule="auto" w:before="48"/>
        <w:ind w:right="1126"/>
        <w:jc w:val="both"/>
      </w:pPr>
      <w:r>
        <w:rPr>
          <w:spacing w:val="-2"/>
        </w:rPr>
        <w:t>在初始确认日发生违约的风险，以确定金融工具的信用风险自初始确认后是否已显著增加。对于财务担保</w:t>
      </w:r>
      <w:r>
        <w:rPr>
          <w:spacing w:val="-42"/>
        </w:rPr>
        <w:t> </w:t>
      </w:r>
      <w:r>
        <w:rPr>
          <w:spacing w:val="-42"/>
        </w:rPr>
      </w:r>
      <w:r>
        <w:rPr/>
        <w:t>合同，公司在应用金融工具减值规定时，将公司成为做出不可撤销承诺的一方之日作为初始确认日。</w:t>
      </w:r>
    </w:p>
    <w:p>
      <w:pPr>
        <w:pStyle w:val="BodyText"/>
        <w:spacing w:line="240" w:lineRule="auto" w:before="27"/>
        <w:ind w:left="573" w:right="1133"/>
        <w:jc w:val="left"/>
      </w:pPr>
      <w:r>
        <w:rPr/>
        <w:t>公司在评估信用风险是否显著增加时会考虑如下因素：</w:t>
      </w:r>
    </w:p>
    <w:p>
      <w:pPr>
        <w:pStyle w:val="BodyText"/>
        <w:spacing w:line="240" w:lineRule="auto" w:before="126"/>
        <w:ind w:left="573" w:right="1133"/>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110"/>
        <w:ind w:left="573" w:right="1133"/>
        <w:jc w:val="left"/>
      </w:pPr>
      <w:r>
        <w:rPr>
          <w:rFonts w:ascii="Times New Roman" w:hAnsi="Times New Roman" w:cs="Times New Roman" w:eastAsia="Times New Roman" w:hint="default"/>
        </w:rPr>
        <w:t>2</w:t>
      </w:r>
      <w:r>
        <w:rPr/>
        <w:t>）债务人所处的监管、经济或技术环境是否发生显著不利变化；</w:t>
      </w:r>
    </w:p>
    <w:p>
      <w:pPr>
        <w:pStyle w:val="BodyText"/>
        <w:spacing w:line="331" w:lineRule="auto" w:before="107"/>
        <w:ind w:right="1136" w:firstLine="420"/>
        <w:jc w:val="both"/>
      </w:pPr>
      <w:r>
        <w:rPr>
          <w:rFonts w:ascii="Times New Roman" w:hAnsi="Times New Roman" w:cs="Times New Roman" w:eastAsia="Times New Roman" w:hint="default"/>
        </w:rPr>
        <w:t>3</w:t>
      </w:r>
      <w:r>
        <w:rPr/>
        <w:t>）作为债务抵押的担保物价值或第三方提供的担保或信用增级质量是否发生显著变化，这些变化预</w:t>
      </w:r>
      <w:r>
        <w:rPr>
          <w:w w:val="100"/>
        </w:rPr>
        <w:t> </w:t>
      </w:r>
      <w:r>
        <w:rPr/>
        <w:t>期将降低债务人按合同规定期限还款的经济动机或者影响违约概率；</w:t>
      </w:r>
    </w:p>
    <w:p>
      <w:pPr>
        <w:pStyle w:val="BodyText"/>
        <w:spacing w:line="240" w:lineRule="auto" w:before="46"/>
        <w:ind w:left="573" w:right="1133"/>
        <w:jc w:val="left"/>
      </w:pPr>
      <w:r>
        <w:rPr>
          <w:rFonts w:ascii="Times New Roman" w:hAnsi="Times New Roman" w:cs="Times New Roman" w:eastAsia="Times New Roman" w:hint="default"/>
        </w:rPr>
        <w:t>4</w:t>
      </w:r>
      <w:r>
        <w:rPr/>
        <w:t>）债务人预期表现和还款行为是否发生显著变化；</w:t>
      </w:r>
    </w:p>
    <w:p>
      <w:pPr>
        <w:pStyle w:val="BodyText"/>
        <w:spacing w:line="331" w:lineRule="auto" w:before="107"/>
        <w:ind w:left="573" w:right="1133"/>
        <w:jc w:val="left"/>
      </w:pPr>
      <w:r>
        <w:rPr>
          <w:rFonts w:ascii="Times New Roman" w:hAnsi="Times New Roman" w:cs="Times New Roman" w:eastAsia="Times New Roman" w:hint="default"/>
        </w:rPr>
        <w:t>5</w:t>
      </w:r>
      <w:r>
        <w:rPr/>
        <w:t>）公司对金融工具信用管理方法是否发生变化等。</w:t>
      </w:r>
      <w:r>
        <w:rPr>
          <w:w w:val="100"/>
        </w:rPr>
        <w:t> </w:t>
      </w:r>
      <w:r>
        <w:rPr>
          <w:spacing w:val="-2"/>
        </w:rPr>
        <w:t>于资产负债表日，若公司判断金融工具只具有较低的信用风险，则公司假定该金融工具的信用风险自</w:t>
      </w:r>
    </w:p>
    <w:p>
      <w:pPr>
        <w:pStyle w:val="BodyText"/>
        <w:spacing w:line="348" w:lineRule="auto" w:before="46"/>
        <w:ind w:right="1126"/>
        <w:jc w:val="both"/>
      </w:pPr>
      <w:r>
        <w:rPr>
          <w:spacing w:val="-2"/>
        </w:rPr>
        <w:t>初始确认后并未显著增加。如果金融工具的违约风险较低，借款人在短期内履行其合同现金流量义务的能</w:t>
      </w:r>
      <w:r>
        <w:rPr>
          <w:spacing w:val="-44"/>
        </w:rPr>
        <w:t> </w:t>
      </w:r>
      <w:r>
        <w:rPr>
          <w:spacing w:val="-44"/>
        </w:rPr>
      </w:r>
      <w:r>
        <w:rPr>
          <w:spacing w:val="-2"/>
        </w:rPr>
        <w:t>力很强，并且即使较长时期内经济形势和经营环境存在不利变化，但未必一定降低借款人履行其合同现金</w:t>
      </w:r>
      <w:r>
        <w:rPr>
          <w:spacing w:val="-43"/>
        </w:rPr>
        <w:t> </w:t>
      </w:r>
      <w:r>
        <w:rPr>
          <w:spacing w:val="-43"/>
        </w:rPr>
      </w:r>
      <w:r>
        <w:rPr/>
        <w:t>流量义务的能力，则该金融工具被视为具有较低的信用风险。</w:t>
      </w:r>
    </w:p>
    <w:p>
      <w:pPr>
        <w:pStyle w:val="BodyText"/>
        <w:spacing w:line="328" w:lineRule="auto" w:before="31"/>
        <w:ind w:left="573" w:right="1133"/>
        <w:jc w:val="left"/>
      </w:pPr>
      <w:r>
        <w:rPr/>
        <w:t>（</w:t>
      </w:r>
      <w:r>
        <w:rPr>
          <w:rFonts w:ascii="Times New Roman" w:hAnsi="Times New Roman" w:cs="Times New Roman" w:eastAsia="Times New Roman" w:hint="default"/>
        </w:rPr>
        <w:t>2</w:t>
      </w:r>
      <w:r>
        <w:rPr/>
        <w:t>）已发生信用减值的金融资产</w:t>
      </w:r>
      <w:r>
        <w:rPr>
          <w:w w:val="100"/>
        </w:rPr>
        <w:t> </w:t>
      </w:r>
      <w:r>
        <w:rPr>
          <w:spacing w:val="-2"/>
        </w:rPr>
        <w:t>当对金融资产预期未来现金流量具有不利影响的一项或多项事件发生时，该金融资产成为已发生信用</w:t>
      </w:r>
    </w:p>
    <w:p>
      <w:pPr>
        <w:pStyle w:val="BodyText"/>
        <w:spacing w:line="240" w:lineRule="auto" w:before="48"/>
        <w:ind w:right="0"/>
        <w:jc w:val="both"/>
      </w:pPr>
      <w:r>
        <w:rPr/>
        <w:t>减值的金融资产。金融资产已发生信用减值的证据包括下列可观察信息：</w:t>
      </w:r>
    </w:p>
    <w:p>
      <w:pPr>
        <w:spacing w:after="0" w:line="24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left="573" w:right="1133"/>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110"/>
        <w:ind w:left="573" w:right="1133"/>
        <w:jc w:val="left"/>
      </w:pPr>
      <w:r>
        <w:rPr>
          <w:rFonts w:ascii="Times New Roman" w:hAnsi="Times New Roman" w:cs="Times New Roman" w:eastAsia="Times New Roman" w:hint="default"/>
        </w:rPr>
        <w:t>2</w:t>
      </w:r>
      <w:r>
        <w:rPr/>
        <w:t>）债务人违反合同，如偿付利息或本金违约或逾期等；</w:t>
      </w:r>
    </w:p>
    <w:p>
      <w:pPr>
        <w:pStyle w:val="BodyText"/>
        <w:spacing w:line="331" w:lineRule="auto" w:before="107"/>
        <w:ind w:right="1133" w:firstLine="420"/>
        <w:jc w:val="left"/>
      </w:pPr>
      <w:r>
        <w:rPr>
          <w:rFonts w:ascii="Times New Roman" w:hAnsi="Times New Roman" w:cs="Times New Roman" w:eastAsia="Times New Roman" w:hint="default"/>
        </w:rPr>
        <w:t>3</w:t>
      </w:r>
      <w:r>
        <w:rPr/>
        <w:t>）债权人出于与债务人财务困难有关的经济或合同考虑，给予债务人在任何其他情况下都不会做出</w:t>
      </w:r>
      <w:r>
        <w:rPr>
          <w:w w:val="100"/>
        </w:rPr>
        <w:t> </w:t>
      </w:r>
      <w:r>
        <w:rPr/>
        <w:t>的让步；</w:t>
      </w:r>
    </w:p>
    <w:p>
      <w:pPr>
        <w:pStyle w:val="BodyText"/>
        <w:spacing w:line="240" w:lineRule="auto" w:before="46"/>
        <w:ind w:left="573" w:right="1133"/>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107"/>
        <w:ind w:left="573" w:right="1133"/>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331" w:lineRule="auto" w:before="110"/>
        <w:ind w:left="573" w:right="1133"/>
        <w:jc w:val="left"/>
      </w:pPr>
      <w:r>
        <w:rPr>
          <w:rFonts w:ascii="Times New Roman" w:hAnsi="Times New Roman" w:cs="Times New Roman" w:eastAsia="Times New Roman" w:hint="default"/>
        </w:rPr>
        <w:t>6</w:t>
      </w:r>
      <w:r>
        <w:rPr/>
        <w:t>）以大幅折扣购买或源生一项金融资产，该折扣反映了发生信用损失的事实。</w:t>
      </w:r>
      <w:r>
        <w:rPr>
          <w:spacing w:val="-3"/>
          <w:w w:val="100"/>
        </w:rPr>
        <w:t> </w:t>
      </w:r>
      <w:r>
        <w:rPr>
          <w:spacing w:val="-2"/>
        </w:rPr>
        <w:t>金融资产发生信用减值，有可能是多个事件的共同作用所致，未必是可单独识别的事件所致。</w:t>
      </w:r>
    </w:p>
    <w:p>
      <w:pPr>
        <w:pStyle w:val="BodyText"/>
        <w:spacing w:line="331" w:lineRule="auto" w:before="43"/>
        <w:ind w:left="573" w:right="1133"/>
        <w:jc w:val="left"/>
      </w:pPr>
      <w:r>
        <w:rPr/>
        <w:t>（</w:t>
      </w:r>
      <w:r>
        <w:rPr>
          <w:rFonts w:ascii="Times New Roman" w:hAnsi="Times New Roman" w:cs="Times New Roman" w:eastAsia="Times New Roman" w:hint="default"/>
        </w:rPr>
        <w:t>3</w:t>
      </w:r>
      <w:r>
        <w:rPr/>
        <w:t>）预期信用损失的确定</w:t>
      </w:r>
      <w:r>
        <w:rPr>
          <w:w w:val="100"/>
        </w:rPr>
        <w:t> </w:t>
      </w:r>
      <w:r>
        <w:rPr>
          <w:spacing w:val="-2"/>
        </w:rPr>
        <w:t>公司基于单项和组合评估金融工具的预期信用损失，在评估预期信用损失时，考虑有关过去事项、当</w:t>
      </w:r>
    </w:p>
    <w:p>
      <w:pPr>
        <w:pStyle w:val="BodyText"/>
        <w:spacing w:line="348" w:lineRule="auto" w:before="46"/>
        <w:ind w:left="573" w:right="1133" w:hanging="421"/>
        <w:jc w:val="left"/>
      </w:pPr>
      <w:r>
        <w:rPr/>
        <w:t>前状况以及未来经济状况预测的合理且有依据的信息。</w:t>
      </w:r>
      <w:r>
        <w:rPr>
          <w:w w:val="100"/>
        </w:rPr>
        <w:t> </w:t>
      </w:r>
      <w:r>
        <w:rPr>
          <w:spacing w:val="-2"/>
        </w:rPr>
        <w:t>公司以共同信用风险特征为依据，将金融工具分为不同组合。公司采用的共同信用风险特征包括：金</w:t>
      </w:r>
    </w:p>
    <w:p>
      <w:pPr>
        <w:pStyle w:val="BodyText"/>
        <w:spacing w:line="350" w:lineRule="auto" w:before="31"/>
        <w:ind w:right="1133"/>
        <w:jc w:val="left"/>
      </w:pPr>
      <w:r>
        <w:rPr>
          <w:spacing w:val="-2"/>
        </w:rPr>
        <w:t>融工具类型、信用风险评级、账龄组合等。相关金融工具的单项评估标准和组合信用风险特征详见相关金</w:t>
      </w:r>
      <w:r>
        <w:rPr>
          <w:spacing w:val="-42"/>
        </w:rPr>
        <w:t> </w:t>
      </w:r>
      <w:r>
        <w:rPr>
          <w:spacing w:val="-42"/>
        </w:rPr>
      </w:r>
      <w:r>
        <w:rPr/>
        <w:t>融工具的会计政策。</w:t>
      </w:r>
    </w:p>
    <w:p>
      <w:pPr>
        <w:pStyle w:val="BodyText"/>
        <w:spacing w:line="240" w:lineRule="auto" w:before="27"/>
        <w:ind w:left="573" w:right="1133"/>
        <w:jc w:val="left"/>
      </w:pPr>
      <w:r>
        <w:rPr/>
        <w:t>公司按照下列方法确定相关金融工具的预期信用损失：</w:t>
      </w:r>
    </w:p>
    <w:p>
      <w:pPr>
        <w:pStyle w:val="BodyText"/>
        <w:spacing w:line="240" w:lineRule="auto" w:before="126"/>
        <w:ind w:left="573" w:right="1133"/>
        <w:jc w:val="left"/>
      </w:pPr>
      <w:r>
        <w:rPr>
          <w:rFonts w:ascii="Times New Roman" w:hAnsi="Times New Roman" w:cs="Times New Roman" w:eastAsia="Times New Roman" w:hint="default"/>
        </w:rPr>
        <w:t>1</w:t>
      </w:r>
      <w:r>
        <w:rPr/>
        <w:t>）对于金融资产，信用损失为公司应收取的合同现金流量与预期收取的现金流量之间差额的现值。</w:t>
      </w:r>
    </w:p>
    <w:p>
      <w:pPr>
        <w:pStyle w:val="BodyText"/>
        <w:spacing w:line="328" w:lineRule="auto" w:before="110"/>
        <w:ind w:right="982" w:firstLine="420"/>
        <w:jc w:val="left"/>
      </w:pPr>
      <w:r>
        <w:rPr>
          <w:rFonts w:ascii="Times New Roman" w:hAnsi="Times New Roman" w:cs="Times New Roman" w:eastAsia="Times New Roman" w:hint="default"/>
        </w:rPr>
        <w:t>2</w:t>
      </w:r>
      <w:r>
        <w:rPr/>
        <w:t>）</w:t>
      </w:r>
      <w:r>
        <w:rPr>
          <w:spacing w:val="-26"/>
        </w:rPr>
        <w:t> </w:t>
      </w:r>
      <w:r>
        <w:rPr>
          <w:spacing w:val="-3"/>
        </w:rPr>
        <w:t>对于财务担保合同，信用损失为公司就该合同持有人发生的信用损失向其做出赔付的预计付款额，</w:t>
      </w:r>
      <w:r>
        <w:rPr>
          <w:w w:val="100"/>
        </w:rPr>
        <w:t> </w:t>
      </w:r>
      <w:r>
        <w:rPr/>
        <w:t>减去公司预期向该合同持有人、债务人或任何其他方收取的金额之间差额的现值。</w:t>
      </w:r>
    </w:p>
    <w:p>
      <w:pPr>
        <w:pStyle w:val="BodyText"/>
        <w:spacing w:line="331" w:lineRule="auto" w:before="48"/>
        <w:ind w:right="1133" w:firstLine="420"/>
        <w:jc w:val="left"/>
      </w:pPr>
      <w:r>
        <w:rPr>
          <w:rFonts w:ascii="Times New Roman" w:hAnsi="Times New Roman" w:cs="Times New Roman" w:eastAsia="Times New Roman" w:hint="default"/>
        </w:rPr>
        <w:t>3</w:t>
      </w:r>
      <w:r>
        <w:rPr/>
        <w:t>）对于资产负债表日已发生信用减值但并非购买或源生已发生信用减值的金融资产，信用损失为该</w:t>
      </w:r>
      <w:r>
        <w:rPr>
          <w:w w:val="100"/>
        </w:rPr>
        <w:t> </w:t>
      </w:r>
      <w:r>
        <w:rPr/>
        <w:t>金融资产账面余额与按原实际利率折现的估计未来现金流量的现值之间的差额。</w:t>
      </w:r>
    </w:p>
    <w:p>
      <w:pPr>
        <w:pStyle w:val="BodyText"/>
        <w:spacing w:line="350" w:lineRule="auto" w:before="43"/>
        <w:ind w:right="1126" w:firstLine="420"/>
        <w:jc w:val="both"/>
      </w:pPr>
      <w:r>
        <w:rPr>
          <w:spacing w:val="-2"/>
        </w:rPr>
        <w:t>公司计量金融工具预期信用损失的方法反映的因素包括：通过评价一系列可能的结果而确定的无偏概</w:t>
      </w:r>
      <w:r>
        <w:rPr>
          <w:w w:val="100"/>
        </w:rPr>
        <w:t> </w:t>
      </w:r>
      <w:r>
        <w:rPr>
          <w:spacing w:val="-2"/>
        </w:rPr>
        <w:t>率加权平均金额；货币时间价值；在资产负债表日无须付出不必要的额外成本或努力即可获得的有关过去</w:t>
      </w:r>
      <w:r>
        <w:rPr>
          <w:spacing w:val="-43"/>
        </w:rPr>
        <w:t> </w:t>
      </w:r>
      <w:r>
        <w:rPr>
          <w:spacing w:val="-43"/>
        </w:rPr>
      </w:r>
      <w:r>
        <w:rPr/>
        <w:t>事项、当前状况以及未来经济状况预测的合理且有依据的信息。</w:t>
      </w:r>
    </w:p>
    <w:p>
      <w:pPr>
        <w:pStyle w:val="BodyText"/>
        <w:spacing w:line="331" w:lineRule="auto" w:before="27"/>
        <w:ind w:left="573" w:right="1133"/>
        <w:jc w:val="left"/>
      </w:pPr>
      <w:r>
        <w:rPr/>
        <w:t>（</w:t>
      </w:r>
      <w:r>
        <w:rPr>
          <w:rFonts w:ascii="Times New Roman" w:hAnsi="Times New Roman" w:cs="Times New Roman" w:eastAsia="Times New Roman" w:hint="default"/>
        </w:rPr>
        <w:t>4</w:t>
      </w:r>
      <w:r>
        <w:rPr/>
        <w:t>）减记金融资产</w:t>
      </w:r>
      <w:r>
        <w:rPr>
          <w:w w:val="100"/>
        </w:rPr>
        <w:t> </w:t>
      </w:r>
      <w:r>
        <w:rPr>
          <w:spacing w:val="2"/>
        </w:rPr>
        <w:t>当公司不再合理预期金融资产合同现金流量能够全部或部分收回的，直接减记该金融资产的账面余</w:t>
      </w:r>
    </w:p>
    <w:p>
      <w:pPr>
        <w:pStyle w:val="BodyText"/>
        <w:spacing w:line="240" w:lineRule="auto" w:before="46"/>
        <w:ind w:right="1133"/>
        <w:jc w:val="left"/>
      </w:pPr>
      <w:r>
        <w:rPr/>
        <w:t>额。这种减记构成相关金融资产的终止确认。</w:t>
      </w:r>
    </w:p>
    <w:p>
      <w:pPr>
        <w:spacing w:line="331" w:lineRule="auto" w:before="123"/>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BodyText"/>
        <w:spacing w:line="240" w:lineRule="auto" w:before="46"/>
        <w:ind w:right="1133"/>
        <w:jc w:val="left"/>
      </w:pPr>
      <w:r>
        <w:rPr/>
        <w:t>抵销后的净额在资产负债表内列示：</w:t>
      </w:r>
    </w:p>
    <w:p>
      <w:pPr>
        <w:pStyle w:val="BodyText"/>
        <w:spacing w:line="240" w:lineRule="auto" w:before="123"/>
        <w:ind w:left="573" w:right="1133"/>
        <w:jc w:val="left"/>
      </w:pPr>
      <w:r>
        <w:rPr/>
        <w:t>（</w:t>
      </w:r>
      <w:r>
        <w:rPr>
          <w:rFonts w:ascii="Times New Roman" w:hAnsi="Times New Roman" w:cs="Times New Roman" w:eastAsia="Times New Roman" w:hint="default"/>
        </w:rPr>
        <w:t>1</w:t>
      </w:r>
      <w:r>
        <w:rPr/>
        <w:t>）公司具有抵销已确认金额的法定权利，且该种法定权利是当前可执行的；</w:t>
      </w:r>
    </w:p>
    <w:p>
      <w:pPr>
        <w:pStyle w:val="BodyText"/>
        <w:spacing w:line="240" w:lineRule="auto" w:before="110"/>
        <w:ind w:left="573" w:right="1133"/>
        <w:jc w:val="left"/>
      </w:pPr>
      <w:r>
        <w:rPr/>
        <w:t>（</w:t>
      </w:r>
      <w:r>
        <w:rPr>
          <w:rFonts w:ascii="Times New Roman" w:hAnsi="Times New Roman" w:cs="Times New Roman" w:eastAsia="Times New Roman" w:hint="default"/>
        </w:rPr>
        <w:t>2</w:t>
      </w:r>
      <w:r>
        <w:rPr/>
        <w:t>）公司计划以净额结算，或同时变现该金融资产和清偿该金融负债。</w:t>
      </w:r>
    </w:p>
    <w:p>
      <w:pPr>
        <w:spacing w:line="240" w:lineRule="auto" w:before="10"/>
        <w:rPr>
          <w:rFonts w:ascii="宋体" w:hAnsi="宋体" w:cs="宋体" w:eastAsia="宋体" w:hint="default"/>
          <w:sz w:val="24"/>
          <w:szCs w:val="24"/>
        </w:rPr>
      </w:pPr>
    </w:p>
    <w:p>
      <w:pPr>
        <w:pStyle w:val="Heading3"/>
        <w:spacing w:line="240" w:lineRule="auto"/>
        <w:ind w:right="1133"/>
        <w:jc w:val="left"/>
        <w:rPr>
          <w:b w:val="0"/>
          <w:bCs w:val="0"/>
        </w:rPr>
      </w:pPr>
      <w:bookmarkStart w:name="11、应收票据" w:id="207"/>
      <w:bookmarkEnd w:id="207"/>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73" w:right="982"/>
        <w:jc w:val="left"/>
      </w:pPr>
      <w:r>
        <w:rPr/>
        <w:t>公司对应收票据的预期信用损失的确定方法及会计处理方法详见本附注四／（九）</w:t>
      </w:r>
      <w:r>
        <w:rPr>
          <w:rFonts w:ascii="Times New Roman" w:hAnsi="Times New Roman" w:cs="Times New Roman" w:eastAsia="Times New Roman" w:hint="default"/>
        </w:rPr>
        <w:t>6.</w:t>
      </w:r>
      <w:r>
        <w:rPr/>
        <w:t>金融工具减值。</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8" w:lineRule="auto" w:before="36"/>
        <w:ind w:right="1107" w:firstLine="420"/>
        <w:jc w:val="right"/>
      </w:pPr>
      <w:r>
        <w:rPr>
          <w:spacing w:val="-2"/>
        </w:rPr>
        <w:t>公司对在单项工具层面能以合理成本评估预期信用损失的充分证据的应收票据单独确定其信用损失。</w:t>
      </w:r>
      <w:r>
        <w:rPr>
          <w:w w:val="100"/>
        </w:rPr>
        <w:t> </w:t>
      </w:r>
      <w:r>
        <w:rPr>
          <w:spacing w:val="-2"/>
        </w:rPr>
        <w:t>当在单项工具层面无法以合理成本评估预期信用损失的充分证据时，公司参考历史信用损失经验，结</w:t>
      </w:r>
      <w:r>
        <w:rPr>
          <w:w w:val="100"/>
        </w:rPr>
        <w:t> </w:t>
      </w:r>
      <w:r>
        <w:rPr>
          <w:spacing w:val="-2"/>
        </w:rPr>
        <w:t>合当前状况以及对未来经济状况的判断，依据信用风险特征将应收票据划分为若干组合，在组合基础上计</w:t>
      </w:r>
    </w:p>
    <w:p>
      <w:pPr>
        <w:pStyle w:val="BodyText"/>
        <w:spacing w:line="240" w:lineRule="auto" w:before="31"/>
        <w:ind w:right="1133"/>
        <w:jc w:val="left"/>
      </w:pPr>
      <w:r>
        <w:rPr/>
        <w:t>算预期信用损失。确定组合的依据如下：</w:t>
      </w:r>
    </w:p>
    <w:p>
      <w:pPr>
        <w:spacing w:line="240" w:lineRule="auto" w:before="13"/>
        <w:rPr>
          <w:rFonts w:ascii="宋体" w:hAnsi="宋体" w:cs="宋体" w:eastAsia="宋体" w:hint="default"/>
          <w:sz w:val="3"/>
          <w:szCs w:val="3"/>
        </w:rPr>
      </w:pPr>
    </w:p>
    <w:tbl>
      <w:tblPr>
        <w:tblW w:w="0" w:type="auto"/>
        <w:jc w:val="left"/>
        <w:tblInd w:w="167" w:type="dxa"/>
        <w:tblLayout w:type="fixed"/>
        <w:tblCellMar>
          <w:top w:w="0" w:type="dxa"/>
          <w:left w:w="0" w:type="dxa"/>
          <w:bottom w:w="0" w:type="dxa"/>
          <w:right w:w="0" w:type="dxa"/>
        </w:tblCellMar>
        <w:tblLook w:val="01E0"/>
      </w:tblPr>
      <w:tblGrid>
        <w:gridCol w:w="1306"/>
        <w:gridCol w:w="3855"/>
        <w:gridCol w:w="4460"/>
      </w:tblGrid>
      <w:tr>
        <w:trPr>
          <w:trHeight w:val="34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5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3"/>
                <w:sz w:val="18"/>
                <w:szCs w:val="18"/>
              </w:rPr>
              <w:t>无风险银行承兑</w:t>
            </w:r>
            <w:r>
              <w:rPr>
                <w:rFonts w:ascii="宋体" w:hAnsi="宋体" w:cs="宋体" w:eastAsia="宋体" w:hint="default"/>
                <w:sz w:val="18"/>
                <w:szCs w:val="18"/>
              </w:rPr>
              <w:t> 票据组合</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2"/>
                <w:sz w:val="18"/>
                <w:szCs w:val="18"/>
              </w:rPr>
              <w:t>承兑人为违约风险较小的银行，信用评级较高，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历史上未发生票据违约，信用损失风险极低。</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参考历史信用损失经验，结合当前状况以及对未来经济状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况的预期计量坏账准备</w:t>
            </w:r>
          </w:p>
        </w:tc>
      </w:tr>
      <w:tr>
        <w:trPr>
          <w:trHeight w:val="96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其他票据组合</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包括除上述组合之外的其他票据。</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参考历史信用损失经验，结合当前状况以及对未来经济状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况的预测，编制应收票据账龄与整个存续期预期信用损失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率对照表，计算预期信用损失。</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2、应收账款" w:id="208"/>
      <w:bookmarkEnd w:id="208"/>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31"/>
          <w:szCs w:val="31"/>
        </w:rPr>
      </w:pPr>
    </w:p>
    <w:p>
      <w:pPr>
        <w:pStyle w:val="BodyText"/>
        <w:spacing w:line="343" w:lineRule="auto"/>
        <w:ind w:right="1107" w:firstLine="420"/>
        <w:jc w:val="right"/>
      </w:pPr>
      <w:r>
        <w:rPr>
          <w:spacing w:val="-2"/>
        </w:rPr>
        <w:t>公司对应收账款的预期信用损失的确定方法及会计处理方法详见本附注四／（九）</w:t>
      </w:r>
      <w:r>
        <w:rPr>
          <w:rFonts w:ascii="Times New Roman" w:hAnsi="Times New Roman" w:cs="Times New Roman" w:eastAsia="Times New Roman" w:hint="default"/>
          <w:spacing w:val="-2"/>
        </w:rPr>
        <w:t>6.</w:t>
      </w:r>
      <w:r>
        <w:rPr>
          <w:spacing w:val="-2"/>
        </w:rPr>
        <w:t>金融工具减值。</w:t>
      </w:r>
      <w:r>
        <w:rPr>
          <w:w w:val="100"/>
        </w:rPr>
        <w:t> </w:t>
      </w:r>
      <w:r>
        <w:rPr>
          <w:spacing w:val="-2"/>
        </w:rPr>
        <w:t>公司对在单项工具层面能以合理成本评估预期信用损失的充分证据的应收账款单独确定其信用损失。</w:t>
      </w:r>
      <w:r>
        <w:rPr>
          <w:w w:val="100"/>
        </w:rPr>
        <w:t> </w:t>
      </w:r>
      <w:r>
        <w:rPr>
          <w:spacing w:val="-2"/>
        </w:rPr>
        <w:t>当在单项工具层面无法以合理成本评估预期信用损失的充分证据时，公司参考历史信用损失经验，结</w:t>
      </w:r>
      <w:r>
        <w:rPr>
          <w:w w:val="100"/>
        </w:rPr>
        <w:t> </w:t>
      </w:r>
      <w:r>
        <w:rPr>
          <w:spacing w:val="-2"/>
        </w:rPr>
        <w:t>合当前状况以及对未来经济状况的判断，依据信用风险特征将应收账款划分为若干组合，在组合基础上计</w:t>
      </w:r>
    </w:p>
    <w:p>
      <w:pPr>
        <w:pStyle w:val="BodyText"/>
        <w:spacing w:line="240" w:lineRule="auto" w:before="35"/>
        <w:ind w:right="1133"/>
        <w:jc w:val="left"/>
      </w:pPr>
      <w:r>
        <w:rPr/>
        <w:t>算预期信用损失。确定组合的依据如下：</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232"/>
        <w:gridCol w:w="4021"/>
        <w:gridCol w:w="4383"/>
      </w:tblGrid>
      <w:tr>
        <w:trPr>
          <w:trHeight w:val="343"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53"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纳入合并范围的关联方组合</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状况的预期计量坏账准备</w:t>
            </w:r>
          </w:p>
        </w:tc>
      </w:tr>
      <w:tr>
        <w:trPr>
          <w:trHeight w:val="65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宋体" w:hAnsi="宋体" w:cs="宋体" w:eastAsia="宋体" w:hint="default"/>
                <w:sz w:val="18"/>
                <w:szCs w:val="18"/>
              </w:rPr>
              <w:t>款在途的应收账款</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状况的预期计量坏账准备</w:t>
            </w:r>
          </w:p>
        </w:tc>
      </w:tr>
      <w:tr>
        <w:trPr>
          <w:trHeight w:val="96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both"/>
              <w:rPr>
                <w:rFonts w:ascii="宋体" w:hAnsi="宋体" w:cs="宋体" w:eastAsia="宋体" w:hint="default"/>
                <w:sz w:val="18"/>
                <w:szCs w:val="18"/>
              </w:rPr>
            </w:pPr>
            <w:r>
              <w:rPr>
                <w:rFonts w:ascii="宋体" w:hAnsi="宋体" w:cs="宋体" w:eastAsia="宋体" w:hint="default"/>
                <w:sz w:val="18"/>
                <w:szCs w:val="18"/>
              </w:rPr>
              <w:t>除上述组合之外的应收账款，公司根据以往的历史</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经验对应收账款计提比例做出最佳估计，以应收账</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款的账龄作为信用风险特征进行分类</w:t>
            </w:r>
          </w:p>
        </w:tc>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both"/>
              <w:rPr>
                <w:rFonts w:ascii="宋体" w:hAnsi="宋体" w:cs="宋体" w:eastAsia="宋体" w:hint="default"/>
                <w:sz w:val="18"/>
                <w:szCs w:val="18"/>
              </w:rPr>
            </w:pPr>
            <w:r>
              <w:rPr>
                <w:rFonts w:ascii="宋体" w:hAnsi="宋体" w:cs="宋体" w:eastAsia="宋体" w:hint="default"/>
                <w:sz w:val="18"/>
                <w:szCs w:val="18"/>
              </w:rPr>
              <w:t>考历史信用损失经验，结合当前状况以及对未来经济状</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况的预测，编制应收账款账龄与整个存续期预期信用损</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失率对照表，计算预期信用损失。</w:t>
            </w:r>
          </w:p>
        </w:tc>
      </w:tr>
    </w:tbl>
    <w:p>
      <w:pPr>
        <w:spacing w:line="240" w:lineRule="auto" w:before="3"/>
        <w:rPr>
          <w:rFonts w:ascii="宋体" w:hAnsi="宋体" w:cs="宋体" w:eastAsia="宋体" w:hint="default"/>
          <w:sz w:val="19"/>
          <w:szCs w:val="19"/>
        </w:rPr>
      </w:pPr>
    </w:p>
    <w:p>
      <w:pPr>
        <w:spacing w:line="506" w:lineRule="auto" w:before="36"/>
        <w:ind w:left="152" w:right="1133" w:firstLine="0"/>
        <w:jc w:val="left"/>
        <w:rPr>
          <w:rFonts w:ascii="宋体" w:hAnsi="宋体" w:cs="宋体" w:eastAsia="宋体" w:hint="default"/>
          <w:sz w:val="21"/>
          <w:szCs w:val="21"/>
        </w:rPr>
      </w:pPr>
      <w:bookmarkStart w:name="13、应收款项融资" w:id="209"/>
      <w:bookmarkEnd w:id="20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公司对应收款项融资的预期信用损失的确定方法及会计处理方法详见本附注四／（九）</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金融工具减值。</w:t>
      </w:r>
      <w:r>
        <w:rPr>
          <w:rFonts w:ascii="宋体" w:hAnsi="宋体" w:cs="宋体" w:eastAsia="宋体" w:hint="default"/>
          <w:spacing w:val="-15"/>
          <w:sz w:val="21"/>
          <w:szCs w:val="21"/>
        </w:rPr>
        <w:t> </w:t>
      </w:r>
      <w:r>
        <w:rPr>
          <w:rFonts w:ascii="宋体" w:hAnsi="宋体" w:cs="宋体" w:eastAsia="宋体" w:hint="default"/>
          <w:spacing w:val="-15"/>
          <w:sz w:val="21"/>
          <w:szCs w:val="21"/>
        </w:rPr>
      </w:r>
      <w:bookmarkStart w:name="14、其他应收款" w:id="210"/>
      <w:bookmarkEnd w:id="210"/>
      <w:r>
        <w:rPr>
          <w:rFonts w:ascii="宋体" w:hAnsi="宋体" w:cs="宋体" w:eastAsia="宋体" w:hint="default"/>
          <w:spacing w:val="-15"/>
          <w:sz w:val="21"/>
          <w:szCs w:val="21"/>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8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273" w:lineRule="auto" w:before="96"/>
        <w:ind w:left="573" w:right="982" w:firstLine="2"/>
        <w:jc w:val="left"/>
      </w:pPr>
      <w:r>
        <w:rPr>
          <w:spacing w:val="-5"/>
        </w:rPr>
        <w:t>公司对其他应收款的预期信用损失的确定方法及会计处理方法详见本附注四／（九）</w:t>
      </w:r>
      <w:r>
        <w:rPr>
          <w:rFonts w:ascii="宋体" w:hAnsi="宋体" w:cs="宋体" w:eastAsia="宋体" w:hint="default"/>
          <w:spacing w:val="-5"/>
        </w:rPr>
        <w:t>6.</w:t>
      </w:r>
      <w:r>
        <w:rPr>
          <w:spacing w:val="-5"/>
        </w:rPr>
        <w:t>金融工具减值。</w:t>
      </w:r>
      <w:r>
        <w:rPr>
          <w:spacing w:val="-17"/>
        </w:rPr>
        <w:t> </w:t>
      </w:r>
      <w:r>
        <w:rPr>
          <w:spacing w:val="-17"/>
        </w:rPr>
      </w:r>
      <w:r>
        <w:rPr>
          <w:spacing w:val="2"/>
        </w:rPr>
        <w:t>公司对在单项工具层面能以合理成本评估预期信用损失的充分证据的其他应收款单独确定其信用损</w:t>
      </w:r>
    </w:p>
    <w:p>
      <w:pPr>
        <w:pStyle w:val="BodyText"/>
        <w:spacing w:line="273" w:lineRule="auto" w:before="7"/>
        <w:ind w:right="1133"/>
        <w:jc w:val="left"/>
      </w:pPr>
      <w:r>
        <w:rPr/>
        <w:t>失。</w:t>
      </w:r>
      <w:r>
        <w:rPr>
          <w:spacing w:val="-103"/>
        </w:rPr>
        <w:t> </w:t>
      </w:r>
      <w:r>
        <w:rPr>
          <w:spacing w:val="-2"/>
        </w:rPr>
        <w:t>当在单项工具层面无法以合理成本评估预期信用损失的充分证据时，公司参考历史信用损失经验，结合当</w:t>
      </w:r>
      <w:r>
        <w:rPr>
          <w:spacing w:val="-44"/>
        </w:rPr>
        <w:t> </w:t>
      </w:r>
      <w:r>
        <w:rPr>
          <w:spacing w:val="-44"/>
        </w:rPr>
      </w:r>
      <w:r>
        <w:rPr>
          <w:spacing w:val="-2"/>
        </w:rPr>
        <w:t>前状况以及对未来经济状况的判断，依据信用风险特征将其他应收款划分为若干组合，在组合基础上计算</w:t>
      </w:r>
      <w:r>
        <w:rPr>
          <w:spacing w:val="-42"/>
        </w:rPr>
        <w:t> </w:t>
      </w:r>
      <w:r>
        <w:rPr>
          <w:spacing w:val="-42"/>
        </w:rPr>
      </w:r>
      <w:r>
        <w:rPr/>
        <w:t>预期信用损失。确定组合的依据如下：</w:t>
      </w:r>
    </w:p>
    <w:tbl>
      <w:tblPr>
        <w:tblW w:w="0" w:type="auto"/>
        <w:jc w:val="left"/>
        <w:tblInd w:w="152" w:type="dxa"/>
        <w:tblLayout w:type="fixed"/>
        <w:tblCellMar>
          <w:top w:w="0" w:type="dxa"/>
          <w:left w:w="0" w:type="dxa"/>
          <w:bottom w:w="0" w:type="dxa"/>
          <w:right w:w="0" w:type="dxa"/>
        </w:tblCellMar>
        <w:tblLook w:val="01E0"/>
      </w:tblPr>
      <w:tblGrid>
        <w:gridCol w:w="1232"/>
        <w:gridCol w:w="4472"/>
        <w:gridCol w:w="3932"/>
      </w:tblGrid>
      <w:tr>
        <w:trPr>
          <w:trHeight w:val="343"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计提方法</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1232"/>
        <w:gridCol w:w="4472"/>
        <w:gridCol w:w="3932"/>
      </w:tblGrid>
      <w:tr>
        <w:trPr>
          <w:trHeight w:val="653"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纳入合并范围的关联方组合</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经济状况的预期计量坏账准备</w:t>
            </w:r>
          </w:p>
        </w:tc>
      </w:tr>
      <w:tr>
        <w:trPr>
          <w:trHeight w:val="65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支付宝账户余额的其他应收款</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经济状况的预期计量坏账准备</w:t>
            </w:r>
          </w:p>
        </w:tc>
      </w:tr>
      <w:tr>
        <w:trPr>
          <w:trHeight w:val="1279"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both"/>
              <w:rPr>
                <w:rFonts w:ascii="宋体" w:hAnsi="宋体" w:cs="宋体" w:eastAsia="宋体" w:hint="default"/>
                <w:sz w:val="18"/>
                <w:szCs w:val="18"/>
              </w:rPr>
            </w:pPr>
            <w:r>
              <w:rPr>
                <w:rFonts w:ascii="宋体" w:hAnsi="宋体" w:cs="宋体" w:eastAsia="宋体" w:hint="default"/>
                <w:spacing w:val="-2"/>
                <w:sz w:val="18"/>
                <w:szCs w:val="18"/>
              </w:rPr>
              <w:t>除上述组合之外的应收账款，公司根据以往的历史经验对</w:t>
            </w:r>
            <w:r>
              <w:rPr>
                <w:rFonts w:ascii="宋体" w:hAnsi="宋体" w:cs="宋体" w:eastAsia="宋体" w:hint="default"/>
                <w:sz w:val="18"/>
                <w:szCs w:val="18"/>
              </w:rPr>
              <w:t> </w:t>
            </w:r>
            <w:r>
              <w:rPr>
                <w:rFonts w:ascii="宋体" w:hAnsi="宋体" w:cs="宋体" w:eastAsia="宋体" w:hint="default"/>
                <w:spacing w:val="-2"/>
                <w:sz w:val="18"/>
                <w:szCs w:val="18"/>
              </w:rPr>
              <w:t>其他应收款计提比例做出最佳估计，以其他应收款的账龄</w:t>
            </w:r>
            <w:r>
              <w:rPr>
                <w:rFonts w:ascii="宋体" w:hAnsi="宋体" w:cs="宋体" w:eastAsia="宋体" w:hint="default"/>
                <w:sz w:val="18"/>
                <w:szCs w:val="18"/>
              </w:rPr>
              <w:t> 作为信用风险特征进行分类</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7"/>
              <w:ind w:left="7" w:right="-1"/>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参考历史信用损失经验，结合当期状况以及对未来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经济状况的预测，通过违约风险敞口和未来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w:t>
            </w:r>
            <w:r>
              <w:rPr>
                <w:rFonts w:ascii="宋体" w:hAnsi="宋体" w:cs="宋体" w:eastAsia="宋体" w:hint="default"/>
                <w:spacing w:val="-68"/>
                <w:sz w:val="18"/>
                <w:szCs w:val="18"/>
              </w:rPr>
              <w:t> </w:t>
            </w:r>
            <w:r>
              <w:rPr>
                <w:rFonts w:ascii="宋体" w:hAnsi="宋体" w:cs="宋体" w:eastAsia="宋体" w:hint="default"/>
                <w:spacing w:val="-3"/>
                <w:sz w:val="18"/>
                <w:szCs w:val="18"/>
              </w:rPr>
              <w:t>内或整个存续期预期信用损失率，计算预期信用损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失</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5、存货" w:id="211"/>
      <w:bookmarkEnd w:id="211"/>
      <w:r>
        <w:rPr>
          <w:b w:val="0"/>
          <w:bCs w:val="0"/>
        </w:rPr>
      </w:r>
      <w:r>
        <w:rPr>
          <w:rFonts w:ascii="Times New Roman" w:hAnsi="Times New Roman" w:cs="Times New Roman" w:eastAsia="Times New Roman" w:hint="default"/>
        </w:rPr>
        <w:t>15</w:t>
      </w:r>
      <w:r>
        <w:rPr/>
        <w:t>、存货</w:t>
      </w:r>
      <w:r>
        <w:rPr>
          <w:b w:val="0"/>
          <w:bCs w:val="0"/>
        </w:rPr>
      </w:r>
    </w:p>
    <w:p>
      <w:pPr>
        <w:spacing w:line="240" w:lineRule="auto" w:before="2"/>
        <w:rPr>
          <w:rFonts w:ascii="宋体" w:hAnsi="宋体" w:cs="宋体" w:eastAsia="宋体" w:hint="default"/>
          <w:b/>
          <w:bCs/>
          <w:sz w:val="31"/>
          <w:szCs w:val="31"/>
        </w:rPr>
      </w:pPr>
    </w:p>
    <w:p>
      <w:pPr>
        <w:pStyle w:val="BodyText"/>
        <w:spacing w:line="331" w:lineRule="auto"/>
        <w:ind w:left="573" w:right="1133"/>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存货是指公司在日常活动中持有以备出售的产成品或商品、处在生产过程中的在产品、在生产过程或</w:t>
      </w:r>
    </w:p>
    <w:p>
      <w:pPr>
        <w:pStyle w:val="BodyText"/>
        <w:spacing w:line="338" w:lineRule="auto" w:before="46"/>
        <w:ind w:left="573" w:right="1133" w:hanging="421"/>
        <w:jc w:val="left"/>
      </w:pPr>
      <w:r>
        <w:rPr/>
        <w:t>提供劳务过程中耗用的材料和物料等。主要包括原材料、在产品、库存商品、发出商品等。</w:t>
      </w:r>
      <w:r>
        <w:rPr>
          <w:w w:val="100"/>
        </w:rPr>
        <w:t> </w:t>
      </w: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100"/>
        </w:rPr>
        <w:t> </w:t>
      </w:r>
      <w:r>
        <w:rPr>
          <w:spacing w:val="-3"/>
        </w:rPr>
        <w:t>存货在取得时，按成本进行初始计量，包括采购成本、加工成本和其他成本。存货发出时按月末一次</w:t>
      </w:r>
    </w:p>
    <w:p>
      <w:pPr>
        <w:pStyle w:val="BodyText"/>
        <w:spacing w:line="240" w:lineRule="auto" w:before="40"/>
        <w:ind w:right="1133"/>
        <w:jc w:val="left"/>
      </w:pPr>
      <w:r>
        <w:rPr/>
        <w:t>加权平均法计价。</w:t>
      </w:r>
    </w:p>
    <w:p>
      <w:pPr>
        <w:spacing w:line="331" w:lineRule="auto" w:before="123"/>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期末对存货进行全面清查后，按存货的成本与可变现净值孰低提取或调整存货跌价准备。产成品、库</w:t>
      </w:r>
    </w:p>
    <w:p>
      <w:pPr>
        <w:pStyle w:val="BodyText"/>
        <w:spacing w:line="350" w:lineRule="auto" w:before="46"/>
        <w:ind w:right="1126"/>
        <w:jc w:val="both"/>
      </w:pPr>
      <w:r>
        <w:rPr>
          <w:spacing w:val="-2"/>
        </w:rPr>
        <w:t>存商品和用于出售的材料等直接用于出售的商品存货，在正常生产经营过程中，以该存货的估计售价减去</w:t>
      </w:r>
      <w:r>
        <w:rPr>
          <w:spacing w:val="-44"/>
        </w:rPr>
        <w:t> </w:t>
      </w:r>
      <w:r>
        <w:rPr>
          <w:spacing w:val="-44"/>
        </w:rPr>
      </w:r>
      <w:r>
        <w:rPr>
          <w:spacing w:val="-2"/>
        </w:rPr>
        <w:t>估计的销售费用和相关税费后的金额，确定其可变现净值；需要经过加工的材料存货，在正常生产经营过</w:t>
      </w:r>
      <w:r>
        <w:rPr>
          <w:spacing w:val="-43"/>
        </w:rPr>
        <w:t> </w:t>
      </w:r>
      <w:r>
        <w:rPr>
          <w:spacing w:val="-43"/>
        </w:rPr>
      </w:r>
      <w:r>
        <w:rPr>
          <w:spacing w:val="-2"/>
        </w:rPr>
        <w:t>程中，以所生产的产成品的估计售价减去至完工时估计将要发生的成本、估计的销售费用和相关税费后的</w:t>
      </w:r>
      <w:r>
        <w:rPr>
          <w:spacing w:val="-43"/>
        </w:rPr>
        <w:t> </w:t>
      </w:r>
      <w:r>
        <w:rPr>
          <w:spacing w:val="-43"/>
        </w:rPr>
      </w:r>
      <w:r>
        <w:rPr>
          <w:spacing w:val="-2"/>
        </w:rPr>
        <w:t>金额，确定其可变现净值；为执行销售合同或者劳务合同而持有的存货，其可变现净值以合同价格为基础</w:t>
      </w:r>
      <w:r>
        <w:rPr>
          <w:spacing w:val="-45"/>
        </w:rPr>
        <w:t> </w:t>
      </w:r>
      <w:r>
        <w:rPr>
          <w:spacing w:val="-45"/>
        </w:rPr>
      </w:r>
      <w:r>
        <w:rPr>
          <w:spacing w:val="-2"/>
        </w:rPr>
        <w:t>计算，若持有存货的数量多于销售合同订购数量的，超出部分的存货的可变现净值以一般销售价格为基础</w:t>
      </w:r>
      <w:r>
        <w:rPr>
          <w:spacing w:val="-43"/>
        </w:rPr>
        <w:t> </w:t>
      </w:r>
      <w:r>
        <w:rPr>
          <w:spacing w:val="-43"/>
        </w:rPr>
      </w:r>
      <w:r>
        <w:rPr/>
        <w:t>计算。</w:t>
      </w:r>
    </w:p>
    <w:p>
      <w:pPr>
        <w:pStyle w:val="BodyText"/>
        <w:spacing w:line="348" w:lineRule="auto" w:before="29"/>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348" w:lineRule="auto" w:before="31"/>
        <w:ind w:right="1126"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331" w:lineRule="auto" w:before="32"/>
        <w:ind w:left="573" w:right="982"/>
        <w:jc w:val="left"/>
      </w:pPr>
      <w:r>
        <w:rPr>
          <w:rFonts w:ascii="Times New Roman" w:hAnsi="Times New Roman" w:cs="Times New Roman" w:eastAsia="Times New Roman" w:hint="default"/>
          <w:b/>
          <w:bCs/>
        </w:rPr>
        <w:t>4.</w:t>
      </w:r>
      <w:r>
        <w:rPr>
          <w:rFonts w:ascii="宋体" w:hAnsi="宋体" w:cs="宋体" w:eastAsia="宋体" w:hint="default"/>
          <w:b/>
          <w:bCs/>
        </w:rPr>
        <w:t>存货的盘存制度</w:t>
      </w:r>
      <w:r>
        <w:rPr>
          <w:rFonts w:ascii="宋体" w:hAnsi="宋体" w:cs="宋体" w:eastAsia="宋体" w:hint="default"/>
          <w:b/>
          <w:bCs/>
          <w:w w:val="100"/>
        </w:rPr>
        <w:t> </w:t>
      </w:r>
      <w:r>
        <w:rPr>
          <w:spacing w:val="-2"/>
        </w:rPr>
        <w:t>采用永续盘存制，并且定期对存货进行盘点</w:t>
      </w:r>
      <w:r>
        <w:rPr>
          <w:rFonts w:ascii="Times New Roman" w:hAnsi="Times New Roman" w:cs="Times New Roman" w:eastAsia="Times New Roman" w:hint="default"/>
          <w:spacing w:val="-2"/>
        </w:rPr>
        <w:t>,</w:t>
      </w:r>
      <w:r>
        <w:rPr>
          <w:spacing w:val="-2"/>
        </w:rPr>
        <w:t>盘点结果如与账面记录不符，根据管理权限报经批准后，</w:t>
      </w:r>
    </w:p>
    <w:p>
      <w:pPr>
        <w:pStyle w:val="BodyText"/>
        <w:spacing w:line="240" w:lineRule="auto" w:before="19"/>
        <w:ind w:right="1133"/>
        <w:jc w:val="left"/>
      </w:pPr>
      <w:r>
        <w:rPr/>
        <w:t>在年终结账前处理完毕，计入当期损益。</w:t>
      </w:r>
    </w:p>
    <w:p>
      <w:pPr>
        <w:pStyle w:val="Heading3"/>
        <w:spacing w:line="240" w:lineRule="auto" w:before="126"/>
        <w:ind w:left="573" w:right="1133"/>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10"/>
        <w:ind w:left="573" w:right="113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7"/>
        <w:ind w:left="573" w:right="1133"/>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16、持有待售资产" w:id="212"/>
      <w:bookmarkEnd w:id="212"/>
      <w:r>
        <w:rPr>
          <w:b w:val="0"/>
          <w:bCs w:val="0"/>
        </w:rPr>
      </w:r>
      <w:r>
        <w:rPr>
          <w:rFonts w:ascii="Times New Roman" w:hAnsi="Times New Roman" w:cs="Times New Roman" w:eastAsia="Times New Roman" w:hint="default"/>
        </w:rPr>
        <w:t>16</w:t>
      </w:r>
      <w:r>
        <w:rPr/>
        <w:t>、持有待售资产</w:t>
      </w:r>
      <w:r>
        <w:rPr>
          <w:b w:val="0"/>
          <w:bCs w:val="0"/>
        </w:rPr>
      </w:r>
    </w:p>
    <w:p>
      <w:pPr>
        <w:spacing w:line="240" w:lineRule="auto" w:before="5"/>
        <w:rPr>
          <w:rFonts w:ascii="宋体" w:hAnsi="宋体" w:cs="宋体" w:eastAsia="宋体" w:hint="default"/>
          <w:b/>
          <w:bCs/>
          <w:sz w:val="31"/>
          <w:szCs w:val="31"/>
        </w:rPr>
      </w:pPr>
    </w:p>
    <w:p>
      <w:pPr>
        <w:spacing w:line="328" w:lineRule="auto" w:before="0"/>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公司将同时满足下列条件的非流动资产或处置组确认为持有待售组成部分：</w:t>
      </w:r>
    </w:p>
    <w:p>
      <w:pPr>
        <w:pStyle w:val="BodyText"/>
        <w:spacing w:line="240" w:lineRule="auto" w:before="48"/>
        <w:ind w:left="57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28" w:lineRule="auto" w:before="110"/>
        <w:ind w:right="1133" w:firstLine="420"/>
        <w:jc w:val="left"/>
      </w:pPr>
      <w:r>
        <w:rPr>
          <w:spacing w:val="-2"/>
        </w:rPr>
        <w:t>（</w:t>
      </w:r>
      <w:r>
        <w:rPr>
          <w:rFonts w:ascii="Times New Roman" w:hAnsi="Times New Roman" w:cs="Times New Roman" w:eastAsia="Times New Roman" w:hint="default"/>
          <w:spacing w:val="-2"/>
        </w:rPr>
        <w:t>2</w:t>
      </w:r>
      <w:r>
        <w:rPr>
          <w:spacing w:val="-2"/>
        </w:rPr>
        <w:t>）出售极可能发生，即公司已经就一项出售计划作出决议，且获得确定的购买承诺，预计出售将</w:t>
      </w:r>
      <w:r>
        <w:rPr>
          <w:w w:val="100"/>
        </w:rPr>
        <w:t> </w:t>
      </w:r>
      <w:r>
        <w:rPr/>
        <w:t>在一年内完成。有关规定要求公司相关权力机构或者监管部门批准后方可出售的，应当已经获得批准。</w:t>
      </w:r>
    </w:p>
    <w:p>
      <w:pPr>
        <w:pStyle w:val="BodyText"/>
        <w:spacing w:line="350" w:lineRule="auto" w:before="48"/>
        <w:ind w:right="1133" w:firstLine="420"/>
        <w:jc w:val="left"/>
      </w:pPr>
      <w:r>
        <w:rPr>
          <w:spacing w:val="-2"/>
        </w:rPr>
        <w:t>确定的购买承诺，是指公司与其他方签订的具有法律约束力的购买协议，该协议包含交易价格、时间</w:t>
      </w:r>
      <w:r>
        <w:rPr>
          <w:w w:val="100"/>
        </w:rPr>
        <w:t> </w:t>
      </w:r>
      <w:r>
        <w:rPr/>
        <w:t>和足够严厉的违约惩罚等重要条款，使协议出现重大调整或者撤销的可能性极小。</w:t>
      </w:r>
    </w:p>
    <w:p>
      <w:pPr>
        <w:pStyle w:val="BodyText"/>
        <w:spacing w:line="331" w:lineRule="auto" w:before="27"/>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100"/>
        </w:rPr>
        <w:t> </w:t>
      </w:r>
      <w:r>
        <w:rPr>
          <w:spacing w:val="-2"/>
        </w:rPr>
        <w:t>公司对于持有待售的非流动资产或处置组不计提折旧或摊销，其账面价值高于公允价值减去出售费用</w:t>
      </w:r>
    </w:p>
    <w:p>
      <w:pPr>
        <w:pStyle w:val="BodyText"/>
        <w:spacing w:line="348" w:lineRule="auto" w:before="46"/>
        <w:ind w:right="1105"/>
        <w:jc w:val="both"/>
      </w:pPr>
      <w:r>
        <w:rPr>
          <w:spacing w:val="-2"/>
        </w:rPr>
        <w:t>后的净额的，应当将账面价值减记至公允价值减去出售费用后的净额，减记的金额确认为资产减值损失，</w:t>
      </w:r>
      <w:r>
        <w:rPr>
          <w:spacing w:val="-21"/>
        </w:rPr>
        <w:t> </w:t>
      </w:r>
      <w:r>
        <w:rPr>
          <w:spacing w:val="-21"/>
        </w:rPr>
      </w:r>
      <w:r>
        <w:rPr/>
        <w:t>计入当期损益，同时计提持有待售资产减值准备。</w:t>
      </w:r>
    </w:p>
    <w:p>
      <w:pPr>
        <w:pStyle w:val="BodyText"/>
        <w:spacing w:line="350" w:lineRule="auto" w:before="31"/>
        <w:ind w:right="1133" w:firstLine="420"/>
        <w:jc w:val="left"/>
      </w:pPr>
      <w:r>
        <w:rPr>
          <w:spacing w:val="-2"/>
        </w:rPr>
        <w:t>对于取得日划分为持有待售类别的非流动资产或处置组，在初始计量时比较假定其不划分为持有待售</w:t>
      </w:r>
      <w:r>
        <w:rPr>
          <w:w w:val="100"/>
        </w:rPr>
        <w:t> </w:t>
      </w:r>
      <w:r>
        <w:rPr/>
        <w:t>类别情况下的初始计量金额和公允价值减去出售费用后的净额，以两者孰低计量。</w:t>
      </w:r>
    </w:p>
    <w:p>
      <w:pPr>
        <w:pStyle w:val="BodyText"/>
        <w:spacing w:line="348" w:lineRule="auto" w:before="67"/>
        <w:ind w:right="1126" w:firstLine="420"/>
        <w:jc w:val="both"/>
      </w:pPr>
      <w:r>
        <w:rPr>
          <w:spacing w:val="-2"/>
        </w:rPr>
        <w:t>上述原则适用于所有非流动资产，但不包括采用公允价值模式进行后续计量的投资性房地产、采用公</w:t>
      </w:r>
      <w:r>
        <w:rPr>
          <w:w w:val="100"/>
        </w:rPr>
        <w:t> </w:t>
      </w:r>
      <w:r>
        <w:rPr>
          <w:spacing w:val="-2"/>
        </w:rPr>
        <w:t>允价值减去出售费用后的净额计量的生物资产、职工薪酬形成的资产、递延所得税资产、由金融工具相关</w:t>
      </w:r>
      <w:r>
        <w:rPr>
          <w:spacing w:val="-43"/>
        </w:rPr>
        <w:t> </w:t>
      </w:r>
      <w:r>
        <w:rPr>
          <w:spacing w:val="-43"/>
        </w:rPr>
      </w:r>
      <w:r>
        <w:rPr/>
        <w:t>会计准则规范的金融资产、由保险合同相关会计准则规范的保险合同所产生的权利。</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bookmarkStart w:name="17、长期股权投资" w:id="213"/>
      <w:bookmarkEnd w:id="21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2"/>
        <w:rPr>
          <w:rFonts w:ascii="宋体" w:hAnsi="宋体" w:cs="宋体" w:eastAsia="宋体" w:hint="default"/>
          <w:b/>
          <w:bCs/>
          <w:sz w:val="31"/>
          <w:szCs w:val="31"/>
        </w:rPr>
      </w:pPr>
    </w:p>
    <w:p>
      <w:pPr>
        <w:pStyle w:val="Heading3"/>
        <w:spacing w:line="240" w:lineRule="auto"/>
        <w:ind w:left="575" w:right="1133"/>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31" w:lineRule="auto" w:before="110"/>
        <w:ind w:right="1133" w:firstLine="420"/>
        <w:jc w:val="left"/>
      </w:pPr>
      <w:r>
        <w:rPr>
          <w:spacing w:val="-2"/>
        </w:rPr>
        <w:t>（</w:t>
      </w:r>
      <w:r>
        <w:rPr>
          <w:rFonts w:ascii="Times New Roman" w:hAnsi="Times New Roman" w:cs="Times New Roman" w:eastAsia="Times New Roman" w:hint="default"/>
          <w:spacing w:val="-2"/>
        </w:rPr>
        <w:t>1</w:t>
      </w:r>
      <w:r>
        <w:rPr>
          <w:spacing w:val="-2"/>
        </w:rPr>
        <w:t>）企业合并形成的长期股权投资，具体会计政策详见本附注五</w:t>
      </w:r>
      <w:r>
        <w:rPr>
          <w:rFonts w:ascii="Times New Roman" w:hAnsi="Times New Roman" w:cs="Times New Roman" w:eastAsia="Times New Roman" w:hint="default"/>
          <w:spacing w:val="-2"/>
        </w:rPr>
        <w:t>5</w:t>
      </w:r>
      <w:r>
        <w:rPr>
          <w:spacing w:val="-2"/>
        </w:rPr>
        <w:t>、同一控制下和非同一控制下企业</w:t>
      </w:r>
      <w:r>
        <w:rPr>
          <w:w w:val="100"/>
        </w:rPr>
        <w:t> </w:t>
      </w:r>
      <w:r>
        <w:rPr/>
        <w:t>合并的会计处理方法。</w:t>
      </w:r>
    </w:p>
    <w:p>
      <w:pPr>
        <w:pStyle w:val="BodyText"/>
        <w:spacing w:line="331" w:lineRule="auto" w:before="43"/>
        <w:ind w:left="573" w:right="1133"/>
        <w:jc w:val="left"/>
      </w:pPr>
      <w:r>
        <w:rPr/>
        <w:t>（</w:t>
      </w: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以支付现金方式取得的长期股权投资，按照实际支付的购买价款作为初始投资成本。初始投资成本包</w:t>
      </w:r>
    </w:p>
    <w:p>
      <w:pPr>
        <w:pStyle w:val="BodyText"/>
        <w:spacing w:line="348" w:lineRule="auto" w:before="46"/>
        <w:ind w:left="573" w:right="1133" w:hanging="421"/>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350" w:lineRule="auto" w:before="32"/>
        <w:ind w:left="573" w:right="1133" w:hanging="421"/>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350" w:lineRule="auto" w:before="27"/>
        <w:ind w:right="1126"/>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before="27"/>
        <w:ind w:left="573" w:right="1133"/>
        <w:jc w:val="left"/>
      </w:pPr>
      <w:r>
        <w:rPr/>
        <w:t>通过债务重组取得的长期股权投资，其初始投资成本按照公允价值为基础确定。</w:t>
      </w:r>
    </w:p>
    <w:p>
      <w:pPr>
        <w:pStyle w:val="Heading3"/>
        <w:spacing w:line="240" w:lineRule="auto" w:before="126"/>
        <w:ind w:left="575" w:right="1133"/>
        <w:jc w:val="left"/>
        <w:rPr>
          <w:b w:val="0"/>
          <w:bCs w:val="0"/>
        </w:rPr>
      </w:pPr>
      <w:r>
        <w:rPr>
          <w:rFonts w:ascii="Times New Roman" w:hAnsi="Times New Roman" w:cs="Times New Roman" w:eastAsia="Times New Roman" w:hint="default"/>
        </w:rPr>
        <w:t>2.</w:t>
      </w:r>
      <w:r>
        <w:rPr/>
        <w:t>后续计量及损益确认</w:t>
      </w:r>
      <w:r>
        <w:rPr>
          <w:b w:val="0"/>
          <w:bCs w:val="0"/>
        </w:rPr>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b/>
          <w:bCs/>
          <w:sz w:val="27"/>
          <w:szCs w:val="27"/>
        </w:rPr>
      </w:pPr>
    </w:p>
    <w:p>
      <w:pPr>
        <w:pStyle w:val="BodyText"/>
        <w:spacing w:line="331" w:lineRule="auto" w:before="36"/>
        <w:ind w:left="573" w:right="1133"/>
        <w:jc w:val="left"/>
      </w:pPr>
      <w:r>
        <w:rPr/>
        <w:t>（</w:t>
      </w:r>
      <w:r>
        <w:rPr>
          <w:rFonts w:ascii="Times New Roman" w:hAnsi="Times New Roman" w:cs="Times New Roman" w:eastAsia="Times New Roman" w:hint="default"/>
        </w:rPr>
        <w:t>1</w:t>
      </w:r>
      <w:r>
        <w:rPr/>
        <w:t>）成本法</w:t>
      </w:r>
      <w:r>
        <w:rPr>
          <w:w w:val="100"/>
        </w:rPr>
        <w:t> </w:t>
      </w:r>
      <w:r>
        <w:rPr>
          <w:spacing w:val="-2"/>
        </w:rPr>
        <w:t>公司能够对被投资单位实施控制的长期股权投资采用成本法核算，并按照初始投资成本计价，追加或</w:t>
      </w:r>
    </w:p>
    <w:p>
      <w:pPr>
        <w:pStyle w:val="BodyText"/>
        <w:spacing w:line="350" w:lineRule="auto" w:before="43"/>
        <w:ind w:left="573" w:right="1133" w:hanging="421"/>
        <w:jc w:val="left"/>
      </w:pPr>
      <w:r>
        <w:rPr/>
        <w:t>收回投资调整长期股权投资的成本。</w:t>
      </w:r>
      <w:r>
        <w:rPr>
          <w:w w:val="100"/>
        </w:rPr>
        <w:t> </w:t>
      </w:r>
      <w:r>
        <w:rPr>
          <w:spacing w:val="-2"/>
        </w:rPr>
        <w:t>除取得投资时实际支付的价款或对价中包含的已宣告但尚未发放的现金股利或利润外，公司按照享有</w:t>
      </w:r>
    </w:p>
    <w:p>
      <w:pPr>
        <w:pStyle w:val="BodyText"/>
        <w:spacing w:line="240" w:lineRule="auto" w:before="29"/>
        <w:ind w:right="0"/>
        <w:jc w:val="both"/>
      </w:pPr>
      <w:r>
        <w:rPr/>
        <w:t>被投资单位宣告分派的现金股利或利润确认为当期投资收益。</w:t>
      </w:r>
    </w:p>
    <w:p>
      <w:pPr>
        <w:pStyle w:val="BodyText"/>
        <w:spacing w:line="331" w:lineRule="auto" w:before="123"/>
        <w:ind w:left="573" w:right="1133"/>
        <w:jc w:val="left"/>
      </w:pPr>
      <w:r>
        <w:rPr/>
        <w:t>（</w:t>
      </w:r>
      <w:r>
        <w:rPr>
          <w:rFonts w:ascii="Times New Roman" w:hAnsi="Times New Roman" w:cs="Times New Roman" w:eastAsia="Times New Roman" w:hint="default"/>
        </w:rPr>
        <w:t>2</w:t>
      </w:r>
      <w:r>
        <w:rPr/>
        <w:t>）权益法</w:t>
      </w:r>
      <w:r>
        <w:rPr>
          <w:w w:val="100"/>
        </w:rPr>
        <w:t> </w:t>
      </w:r>
      <w:r>
        <w:rPr>
          <w:spacing w:val="-2"/>
        </w:rPr>
        <w:t>公司对联营企业和合营企业的长期股权投资采用权益法核算；对于其中一部分通过风险投资机构、共</w:t>
      </w:r>
    </w:p>
    <w:p>
      <w:pPr>
        <w:pStyle w:val="BodyText"/>
        <w:spacing w:line="348" w:lineRule="auto" w:before="46"/>
        <w:ind w:right="1126"/>
        <w:jc w:val="both"/>
      </w:pPr>
      <w:r>
        <w:rPr>
          <w:spacing w:val="-2"/>
        </w:rPr>
        <w:t>同基金、信托公司或包括投连险基金在内的类似主体间接持有的联营企业的权益性投资，采用公允价值计</w:t>
      </w:r>
      <w:r>
        <w:rPr>
          <w:spacing w:val="-44"/>
        </w:rPr>
        <w:t> </w:t>
      </w:r>
      <w:r>
        <w:rPr>
          <w:spacing w:val="-44"/>
        </w:rPr>
      </w:r>
      <w:r>
        <w:rPr/>
        <w:t>量且其变动计入损益。</w:t>
      </w:r>
    </w:p>
    <w:p>
      <w:pPr>
        <w:pStyle w:val="BodyText"/>
        <w:spacing w:line="348" w:lineRule="auto" w:before="32"/>
        <w:ind w:right="1126"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350" w:lineRule="auto" w:before="31"/>
        <w:ind w:right="1104" w:firstLine="420"/>
        <w:jc w:val="both"/>
      </w:pPr>
      <w:r>
        <w:rPr>
          <w:spacing w:val="-2"/>
        </w:rPr>
        <w:t>公司取得长期股权投资后，按照应享有或应分担的被投资单位实现的净损益和其他综合收益的份额，</w:t>
      </w:r>
      <w:r>
        <w:rPr>
          <w:w w:val="100"/>
        </w:rPr>
        <w:t> </w:t>
      </w:r>
      <w:r>
        <w:rPr>
          <w:spacing w:val="-2"/>
        </w:rPr>
        <w:t>分别确认投资收益和其他综合收益，同时调整长期股权投资的账面价值；并按照被投资单位宣告分派的利</w:t>
      </w:r>
      <w:r>
        <w:rPr>
          <w:spacing w:val="-43"/>
        </w:rPr>
        <w:t> </w:t>
      </w:r>
      <w:r>
        <w:rPr>
          <w:spacing w:val="-43"/>
        </w:rPr>
      </w:r>
      <w:r>
        <w:rPr>
          <w:spacing w:val="-2"/>
        </w:rPr>
        <w:t>润或现金股利计算应享有的部分，相应减少长期股权投资的账面价值；对于被投资单位除净损益、其他综</w:t>
      </w:r>
      <w:r>
        <w:rPr>
          <w:spacing w:val="-43"/>
        </w:rPr>
        <w:t> </w:t>
      </w:r>
      <w:r>
        <w:rPr>
          <w:spacing w:val="-43"/>
        </w:rPr>
      </w:r>
      <w:r>
        <w:rPr/>
        <w:t>合收益和利润分配以外所有者权益的其他变动，调整长期股权投资的账面价值并计入所有者权益。</w:t>
      </w:r>
    </w:p>
    <w:p>
      <w:pPr>
        <w:pStyle w:val="BodyText"/>
        <w:spacing w:line="348" w:lineRule="auto" w:before="29"/>
        <w:ind w:right="1126" w:firstLine="420"/>
        <w:jc w:val="both"/>
      </w:pPr>
      <w:r>
        <w:rPr>
          <w:spacing w:val="-2"/>
        </w:rPr>
        <w:t>公司在确认应享有被投资单位净损益的份额时，以取得投资时被投资单位各项可辨认资产等的公允价</w:t>
      </w:r>
      <w:r>
        <w:rPr>
          <w:w w:val="100"/>
        </w:rPr>
        <w:t> </w:t>
      </w:r>
      <w:r>
        <w:rPr>
          <w:spacing w:val="-2"/>
        </w:rPr>
        <w:t>值为基础，对被投资单位的净利润进行调整后确认。公司与联营企业、合营企业之间发生的未实现内部交</w:t>
      </w:r>
      <w:r>
        <w:rPr>
          <w:spacing w:val="-45"/>
        </w:rPr>
        <w:t> </w:t>
      </w:r>
      <w:r>
        <w:rPr>
          <w:spacing w:val="-45"/>
        </w:rPr>
      </w:r>
      <w:r>
        <w:rPr/>
        <w:t>易损益按照应享有的比例计算归属于公司的部分予以抵销，在此基础上确认投资损益。</w:t>
      </w:r>
    </w:p>
    <w:p>
      <w:pPr>
        <w:pStyle w:val="BodyText"/>
        <w:spacing w:line="350" w:lineRule="auto" w:before="31"/>
        <w:ind w:right="1126" w:firstLine="420"/>
        <w:jc w:val="both"/>
      </w:pPr>
      <w:r>
        <w:rPr>
          <w:spacing w:val="-2"/>
        </w:rPr>
        <w:t>公司确认应分担被投资单位发生的亏损时，按照以下顺序进行处理：首先，冲减长期股权投资的账面</w:t>
      </w:r>
      <w:r>
        <w:rPr>
          <w:w w:val="100"/>
        </w:rPr>
        <w:t> </w:t>
      </w:r>
      <w:r>
        <w:rPr>
          <w:spacing w:val="-2"/>
        </w:rPr>
        <w:t>价值。其次，长期股权投资的账面价值不足以冲减的，以其他实质上构成对被投资单位净投资的长期权益</w:t>
      </w:r>
      <w:r>
        <w:rPr>
          <w:spacing w:val="-43"/>
        </w:rPr>
        <w:t> </w:t>
      </w:r>
      <w:r>
        <w:rPr>
          <w:spacing w:val="-43"/>
        </w:rPr>
      </w:r>
      <w:r>
        <w:rPr>
          <w:spacing w:val="-2"/>
        </w:rPr>
        <w:t>账面价值为限继续确认投资损失，冲减长期应收项目等的账面价值。最后，经过上述处理，按照投资合同</w:t>
      </w:r>
      <w:r>
        <w:rPr>
          <w:spacing w:val="-47"/>
        </w:rPr>
        <w:t> </w:t>
      </w:r>
      <w:r>
        <w:rPr>
          <w:spacing w:val="-47"/>
        </w:rPr>
      </w:r>
      <w:r>
        <w:rPr/>
        <w:t>或协议约定企业仍承担额外义务的，按预计承担的义务确认预计负债，计入当期投资损失。</w:t>
      </w:r>
    </w:p>
    <w:p>
      <w:pPr>
        <w:pStyle w:val="BodyText"/>
        <w:spacing w:line="350" w:lineRule="auto" w:before="27"/>
        <w:ind w:right="112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Heading3"/>
        <w:spacing w:line="240" w:lineRule="auto" w:before="27"/>
        <w:ind w:left="575" w:right="1133"/>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31" w:lineRule="auto" w:before="110"/>
        <w:ind w:left="573" w:right="1133"/>
        <w:jc w:val="left"/>
      </w:pPr>
      <w:r>
        <w:rPr/>
        <w:t>（</w:t>
      </w:r>
      <w:r>
        <w:rPr>
          <w:rFonts w:ascii="Times New Roman" w:hAnsi="Times New Roman" w:cs="Times New Roman" w:eastAsia="Times New Roman" w:hint="default"/>
        </w:rPr>
        <w:t>1</w:t>
      </w:r>
      <w:r>
        <w:rPr/>
        <w:t>）公允价值计量转权益法核算</w:t>
      </w:r>
      <w:r>
        <w:rPr>
          <w:w w:val="100"/>
        </w:rPr>
        <w:t> </w:t>
      </w:r>
      <w:r>
        <w:rPr>
          <w:spacing w:val="-2"/>
        </w:rPr>
        <w:t>公司原持有的对被投资单位不具有控制、共同控制或重大影响的按金融工具确认和计量准则进行会计</w:t>
      </w:r>
    </w:p>
    <w:p>
      <w:pPr>
        <w:pStyle w:val="BodyText"/>
        <w:spacing w:line="340" w:lineRule="auto" w:before="43"/>
        <w:ind w:right="1105"/>
        <w:jc w:val="both"/>
      </w:pPr>
      <w:r>
        <w:rPr>
          <w:spacing w:val="-2"/>
        </w:rPr>
        <w:t>处理的权益性投资，因追加投资等原因能够对被投资单位施加重大影响或实施共同控制但不构成控制的，</w:t>
      </w:r>
      <w:r>
        <w:rPr>
          <w:spacing w:val="-21"/>
        </w:rPr>
        <w:t> </w:t>
      </w:r>
      <w:r>
        <w:rPr>
          <w:spacing w:val="-21"/>
        </w:rPr>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w:t>
      </w:r>
      <w:r>
        <w:rPr>
          <w:spacing w:val="-41"/>
        </w:rPr>
        <w:t> </w:t>
      </w:r>
      <w:r>
        <w:rPr>
          <w:spacing w:val="-41"/>
        </w:rPr>
      </w:r>
      <w:r>
        <w:rPr/>
        <w:t>成本之和，作为改按权益法核算的初始投资成本。</w:t>
      </w:r>
    </w:p>
    <w:p>
      <w:pPr>
        <w:pStyle w:val="BodyText"/>
        <w:spacing w:line="350" w:lineRule="auto" w:before="35"/>
        <w:ind w:right="1126"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8" w:lineRule="auto" w:before="36"/>
        <w:ind w:right="1126" w:firstLine="420"/>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331" w:lineRule="auto" w:before="31"/>
        <w:ind w:left="573" w:right="1133"/>
        <w:jc w:val="left"/>
      </w:pPr>
      <w:r>
        <w:rPr/>
        <w:t>（</w:t>
      </w:r>
      <w:r>
        <w:rPr>
          <w:rFonts w:ascii="Times New Roman" w:hAnsi="Times New Roman" w:cs="Times New Roman" w:eastAsia="Times New Roman" w:hint="default"/>
        </w:rPr>
        <w:t>2</w:t>
      </w:r>
      <w:r>
        <w:rPr/>
        <w:t>）公允价值计量或权益法核算转成本法核算</w:t>
      </w:r>
      <w:r>
        <w:rPr>
          <w:w w:val="100"/>
        </w:rPr>
        <w:t> </w:t>
      </w:r>
      <w:r>
        <w:rPr>
          <w:spacing w:val="-2"/>
        </w:rPr>
        <w:t>公司原持有的对被投资单位不具有控制、共同控制或重大影响的按金融工具确认和计量准则进行会计</w:t>
      </w:r>
    </w:p>
    <w:p>
      <w:pPr>
        <w:pStyle w:val="BodyText"/>
        <w:spacing w:line="350" w:lineRule="auto" w:before="43"/>
        <w:ind w:right="1126"/>
        <w:jc w:val="both"/>
      </w:pPr>
      <w:r>
        <w:rPr>
          <w:spacing w:val="-2"/>
        </w:rPr>
        <w:t>处理的权益性投资，或原持有对联营企业、合营企业的长期股权投资，因追加投资等原因能够对非同一控</w:t>
      </w:r>
      <w:r>
        <w:rPr>
          <w:spacing w:val="-43"/>
        </w:rPr>
        <w:t> </w:t>
      </w:r>
      <w:r>
        <w:rPr>
          <w:spacing w:val="-43"/>
        </w:rPr>
      </w:r>
      <w:r>
        <w:rPr>
          <w:spacing w:val="-2"/>
        </w:rPr>
        <w:t>制下的被投资单位实施控制的，在编制个别财务报表时，按照原持有的股权投资账面价值加上新增投资成</w:t>
      </w:r>
      <w:r>
        <w:rPr>
          <w:spacing w:val="-42"/>
        </w:rPr>
        <w:t> </w:t>
      </w:r>
      <w:r>
        <w:rPr>
          <w:spacing w:val="-42"/>
        </w:rPr>
      </w:r>
      <w:r>
        <w:rPr/>
        <w:t>本之和，作为改按成本法核算的初始投资成本。</w:t>
      </w:r>
    </w:p>
    <w:p>
      <w:pPr>
        <w:pStyle w:val="BodyText"/>
        <w:spacing w:line="350" w:lineRule="auto" w:before="27"/>
        <w:ind w:right="1126" w:firstLine="420"/>
        <w:jc w:val="both"/>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328" w:lineRule="auto" w:before="29"/>
        <w:ind w:right="1128" w:firstLine="420"/>
        <w:jc w:val="both"/>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w:t>
      </w:r>
      <w:r>
        <w:rPr>
          <w:w w:val="100"/>
        </w:rPr>
        <w:t> </w:t>
      </w:r>
      <w:r>
        <w:rPr/>
        <w:t>计处理的，原计入其他综合收益的累计公允价值变动在改按成本法核算时转入当期损益。</w:t>
      </w:r>
    </w:p>
    <w:p>
      <w:pPr>
        <w:pStyle w:val="BodyText"/>
        <w:spacing w:line="331" w:lineRule="auto" w:before="48"/>
        <w:ind w:left="573" w:right="1133"/>
        <w:jc w:val="left"/>
      </w:pPr>
      <w:r>
        <w:rPr/>
        <w:t>（</w:t>
      </w:r>
      <w:r>
        <w:rPr>
          <w:rFonts w:ascii="Times New Roman" w:hAnsi="Times New Roman" w:cs="Times New Roman" w:eastAsia="Times New Roman" w:hint="default"/>
        </w:rPr>
        <w:t>3</w:t>
      </w:r>
      <w:r>
        <w:rPr/>
        <w:t>）权益法核算转公允价值计量</w:t>
      </w:r>
      <w:r>
        <w:rPr>
          <w:w w:val="100"/>
        </w:rPr>
        <w:t> </w:t>
      </w:r>
      <w:r>
        <w:rPr>
          <w:spacing w:val="-2"/>
        </w:rPr>
        <w:t>公司因处置部分股权投资等原因丧失了对被投资单位的共同控制或重大影响的，处置后的剩余股权改</w:t>
      </w:r>
    </w:p>
    <w:p>
      <w:pPr>
        <w:pStyle w:val="BodyText"/>
        <w:spacing w:line="331" w:lineRule="auto" w:before="43"/>
        <w:ind w:right="1126"/>
        <w:jc w:val="both"/>
      </w:pPr>
      <w:r>
        <w:rPr>
          <w:spacing w:val="-2"/>
        </w:rPr>
        <w:t>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w:t>
      </w:r>
      <w:r>
        <w:rPr>
          <w:spacing w:val="-42"/>
        </w:rPr>
        <w:t> </w:t>
      </w:r>
      <w:r>
        <w:rPr>
          <w:spacing w:val="-42"/>
        </w:rPr>
      </w:r>
      <w:r>
        <w:rPr/>
        <w:t>与账面价值之间的差额计入当期损益。</w:t>
      </w:r>
    </w:p>
    <w:p>
      <w:pPr>
        <w:pStyle w:val="BodyText"/>
        <w:spacing w:line="348" w:lineRule="auto" w:before="46"/>
        <w:ind w:right="1126" w:firstLine="420"/>
        <w:jc w:val="both"/>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331" w:lineRule="auto" w:before="32"/>
        <w:ind w:left="573" w:right="1133"/>
        <w:jc w:val="left"/>
      </w:pPr>
      <w:r>
        <w:rPr/>
        <w:t>（</w:t>
      </w:r>
      <w:r>
        <w:rPr>
          <w:rFonts w:ascii="Times New Roman" w:hAnsi="Times New Roman" w:cs="Times New Roman" w:eastAsia="Times New Roman" w:hint="default"/>
        </w:rPr>
        <w:t>4</w:t>
      </w:r>
      <w:r>
        <w:rPr/>
        <w:t>）成本法转权益法</w:t>
      </w:r>
      <w:r>
        <w:rPr>
          <w:w w:val="100"/>
        </w:rPr>
        <w:t> </w:t>
      </w:r>
      <w:r>
        <w:rPr>
          <w:spacing w:val="-2"/>
        </w:rPr>
        <w:t>公司因处置部分权益性投资等原因丧失了对被投资单位的控制的，在编制个别财务报表时，处置后的</w:t>
      </w:r>
    </w:p>
    <w:p>
      <w:pPr>
        <w:pStyle w:val="BodyText"/>
        <w:spacing w:line="350" w:lineRule="auto" w:before="43"/>
        <w:ind w:right="1126"/>
        <w:jc w:val="both"/>
      </w:pPr>
      <w:r>
        <w:rPr>
          <w:spacing w:val="-2"/>
        </w:rPr>
        <w:t>剩余股权能够对被投资单位实施共同控制或施加重大影响的，改按权益法核算，并对该剩余股权视同自取</w:t>
      </w:r>
      <w:r>
        <w:rPr>
          <w:spacing w:val="-43"/>
        </w:rPr>
        <w:t> </w:t>
      </w:r>
      <w:r>
        <w:rPr>
          <w:spacing w:val="-43"/>
        </w:rPr>
      </w:r>
      <w:r>
        <w:rPr/>
        <w:t>得时即采用权益法核算进行调整。</w:t>
      </w:r>
    </w:p>
    <w:p>
      <w:pPr>
        <w:pStyle w:val="BodyText"/>
        <w:spacing w:line="328" w:lineRule="auto" w:before="29"/>
        <w:ind w:left="573" w:right="1133"/>
        <w:jc w:val="left"/>
      </w:pPr>
      <w:r>
        <w:rPr/>
        <w:t>（</w:t>
      </w:r>
      <w:r>
        <w:rPr>
          <w:rFonts w:ascii="Times New Roman" w:hAnsi="Times New Roman" w:cs="Times New Roman" w:eastAsia="Times New Roman" w:hint="default"/>
        </w:rPr>
        <w:t>5</w:t>
      </w:r>
      <w:r>
        <w:rPr/>
        <w:t>）成本法转公允价值计量</w:t>
      </w:r>
      <w:r>
        <w:rPr>
          <w:w w:val="100"/>
        </w:rPr>
        <w:t> </w:t>
      </w:r>
      <w:r>
        <w:rPr>
          <w:spacing w:val="-2"/>
        </w:rPr>
        <w:t>公司因处置部分权益性投资等原因丧失了对被投资单位的控制的，在编制个别财务报表时，处置后的</w:t>
      </w:r>
    </w:p>
    <w:p>
      <w:pPr>
        <w:pStyle w:val="BodyText"/>
        <w:spacing w:line="331" w:lineRule="auto" w:before="48"/>
        <w:ind w:right="1107"/>
        <w:jc w:val="both"/>
      </w:pPr>
      <w:r>
        <w:rPr>
          <w:spacing w:val="-2"/>
        </w:rPr>
        <w:t>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w:t>
      </w:r>
      <w:r>
        <w:rPr>
          <w:spacing w:val="-41"/>
        </w:rPr>
        <w:t> </w:t>
      </w:r>
      <w:r>
        <w:rPr>
          <w:spacing w:val="-41"/>
        </w:rPr>
      </w:r>
      <w:r>
        <w:rPr>
          <w:spacing w:val="-2"/>
        </w:rPr>
        <w:t>认和计量》的有关规定进行会计处理，其在丧失控制之日的公允价值与账面价值间的差额计入当期损益。</w:t>
      </w:r>
    </w:p>
    <w:p>
      <w:pPr>
        <w:spacing w:line="331" w:lineRule="auto" w:before="43"/>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处置长期股权投资，其账面价值与实际取得价款之间的差额，应当计入当期损益。采用权益法核算的</w:t>
      </w:r>
    </w:p>
    <w:p>
      <w:pPr>
        <w:pStyle w:val="BodyText"/>
        <w:spacing w:line="348" w:lineRule="auto" w:before="46"/>
        <w:ind w:right="1126"/>
        <w:jc w:val="both"/>
      </w:pPr>
      <w:r>
        <w:rPr>
          <w:spacing w:val="-2"/>
        </w:rPr>
        <w:t>长期股权投资，在处置该项投资时，采用与被投资单位直接处置相关资产或负债相同的基础，按相应比例</w:t>
      </w:r>
      <w:r>
        <w:rPr>
          <w:spacing w:val="-45"/>
        </w:rPr>
        <w:t> </w:t>
      </w:r>
      <w:r>
        <w:rPr>
          <w:spacing w:val="-45"/>
        </w:rPr>
      </w:r>
      <w:r>
        <w:rPr/>
        <w:t>对原计入其他综合收益的部分进行会计处理。</w:t>
      </w:r>
    </w:p>
    <w:p>
      <w:pPr>
        <w:pStyle w:val="BodyText"/>
        <w:spacing w:line="350" w:lineRule="auto" w:before="31"/>
        <w:ind w:right="1126" w:firstLine="420"/>
        <w:jc w:val="both"/>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before="27"/>
        <w:ind w:left="573"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0"/>
        <w:ind w:left="573" w:right="1133"/>
        <w:jc w:val="left"/>
      </w:pPr>
      <w:r>
        <w:rPr/>
        <w:t>（</w:t>
      </w:r>
      <w:r>
        <w:rPr>
          <w:rFonts w:ascii="Times New Roman" w:hAnsi="Times New Roman" w:cs="Times New Roman" w:eastAsia="Times New Roman" w:hint="default"/>
        </w:rPr>
        <w:t>2</w:t>
      </w:r>
      <w:r>
        <w:rPr/>
        <w:t>）这些交易整体才能达成一项完整的商业结果；</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left="573"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28" w:lineRule="auto" w:before="110"/>
        <w:ind w:left="573" w:right="1133"/>
        <w:jc w:val="left"/>
      </w:pPr>
      <w:r>
        <w:rPr/>
        <w:t>（</w:t>
      </w:r>
      <w:r>
        <w:rPr>
          <w:rFonts w:ascii="Times New Roman" w:hAnsi="Times New Roman" w:cs="Times New Roman" w:eastAsia="Times New Roman"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w:t>
      </w:r>
    </w:p>
    <w:p>
      <w:pPr>
        <w:pStyle w:val="BodyText"/>
        <w:spacing w:line="240" w:lineRule="auto" w:before="48"/>
        <w:ind w:right="1133"/>
        <w:jc w:val="left"/>
      </w:pPr>
      <w:r>
        <w:rPr/>
        <w:t>报表和合并财务报表进行相关会计处理：</w:t>
      </w:r>
    </w:p>
    <w:p>
      <w:pPr>
        <w:pStyle w:val="BodyText"/>
        <w:spacing w:line="338" w:lineRule="auto" w:before="126"/>
        <w:ind w:right="1126" w:firstLine="42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43"/>
        </w:rPr>
        <w:t> </w:t>
      </w:r>
      <w:r>
        <w:rPr>
          <w:spacing w:val="-43"/>
        </w:rPr>
      </w:r>
      <w:r>
        <w:rPr>
          <w:spacing w:val="-2"/>
        </w:rPr>
        <w:t>视同自取得时即采用权益法核算进行调整；处置后的剩余股权不能对被投资单位实施共同控制或施加重大</w:t>
      </w:r>
      <w:r>
        <w:rPr>
          <w:spacing w:val="-42"/>
        </w:rPr>
        <w:t> </w:t>
      </w:r>
      <w:r>
        <w:rPr>
          <w:spacing w:val="-42"/>
        </w:rPr>
      </w:r>
      <w:r>
        <w:rPr>
          <w:spacing w:val="-2"/>
        </w:rPr>
        <w:t>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w:t>
      </w:r>
      <w:r>
        <w:rPr>
          <w:spacing w:val="-44"/>
        </w:rPr>
        <w:t> </w:t>
      </w:r>
      <w:r>
        <w:rPr>
          <w:spacing w:val="-44"/>
        </w:rPr>
      </w:r>
      <w:r>
        <w:rPr/>
        <w:t>之日的公允价值与账面价值间的差额计入当期损益。</w:t>
      </w:r>
    </w:p>
    <w:p>
      <w:pPr>
        <w:pStyle w:val="BodyText"/>
        <w:spacing w:line="345" w:lineRule="auto" w:before="40"/>
        <w:ind w:right="1104" w:firstLine="42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w:t>
      </w:r>
      <w:r>
        <w:rPr>
          <w:w w:val="100"/>
        </w:rPr>
        <w:t> </w:t>
      </w:r>
      <w:r>
        <w:rPr>
          <w:spacing w:val="2"/>
        </w:rPr>
        <w:t>资相应对享有子公司自购买日或合并日开始持续计算的净资产份额之间的差额，调整资本公积（股本溢</w:t>
      </w:r>
      <w:r>
        <w:rPr>
          <w:spacing w:val="-30"/>
        </w:rPr>
        <w:t> </w:t>
      </w:r>
      <w:r>
        <w:rPr>
          <w:spacing w:val="-30"/>
        </w:rPr>
      </w:r>
      <w:r>
        <w:rPr>
          <w:spacing w:val="-2"/>
        </w:rPr>
        <w:t>价），资本公积不足冲减的，调整留存收益；在丧失对子公司控制权时，对于剩余股权，按照其在丧失控</w:t>
      </w:r>
      <w:r>
        <w:rPr>
          <w:spacing w:val="-42"/>
        </w:rPr>
        <w:t> </w:t>
      </w:r>
      <w:r>
        <w:rPr>
          <w:spacing w:val="-42"/>
        </w:rPr>
      </w:r>
      <w:r>
        <w:rPr>
          <w:spacing w:val="-2"/>
        </w:rPr>
        <w:t>制权日的公允价值进行重新计量。处置股权取得的对价与剩余股权公允价值之和，减去按原持股比例计算</w:t>
      </w:r>
      <w:r>
        <w:rPr>
          <w:spacing w:val="-43"/>
        </w:rPr>
        <w:t> </w:t>
      </w:r>
      <w:r>
        <w:rPr>
          <w:spacing w:val="-43"/>
        </w:rPr>
      </w:r>
      <w:r>
        <w:rPr>
          <w:spacing w:val="-2"/>
        </w:rPr>
        <w:t>应享有原有子公司自购买日开始持续计算的净资产的份额之间的差额，计入丧失控制权当期的投资收益，</w:t>
      </w:r>
      <w:r>
        <w:rPr>
          <w:spacing w:val="-21"/>
        </w:rPr>
        <w:t> </w:t>
      </w:r>
      <w:r>
        <w:rPr>
          <w:spacing w:val="-21"/>
        </w:rPr>
      </w:r>
      <w:r>
        <w:rPr/>
        <w:t>同时冲减商誉。与原有子公司股权投资相关的其他综合收益等，在丧失控制权时转为当期投资收益。</w:t>
      </w:r>
    </w:p>
    <w:p>
      <w:pPr>
        <w:pStyle w:val="BodyText"/>
        <w:spacing w:line="350" w:lineRule="auto" w:before="33"/>
        <w:ind w:right="1126" w:firstLine="420"/>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331" w:lineRule="auto" w:before="27"/>
        <w:ind w:right="1136"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328" w:lineRule="auto" w:before="46"/>
        <w:ind w:right="1136" w:firstLine="42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spacing w:line="331" w:lineRule="auto" w:before="48"/>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如果公司按照相关约定与其他参与方集体控制某项安排，并且对该安排回报具有重大影响的活动决</w:t>
      </w:r>
    </w:p>
    <w:p>
      <w:pPr>
        <w:pStyle w:val="BodyText"/>
        <w:spacing w:line="350" w:lineRule="auto" w:before="43"/>
        <w:ind w:right="1133"/>
        <w:jc w:val="left"/>
      </w:pPr>
      <w:r>
        <w:rPr>
          <w:spacing w:val="-2"/>
        </w:rPr>
        <w:t>策，需要经过分享控制权的参与方一致同意时才存在，则视为公司与其他参与方共同控制某项安排，该安</w:t>
      </w:r>
      <w:r>
        <w:rPr>
          <w:spacing w:val="-42"/>
        </w:rPr>
        <w:t> </w:t>
      </w:r>
      <w:r>
        <w:rPr>
          <w:spacing w:val="-42"/>
        </w:rPr>
      </w:r>
      <w:r>
        <w:rPr/>
        <w:t>排即属于合营安排。</w:t>
      </w:r>
    </w:p>
    <w:p>
      <w:pPr>
        <w:pStyle w:val="BodyText"/>
        <w:spacing w:line="350" w:lineRule="auto" w:before="29"/>
        <w:ind w:right="1104" w:firstLine="420"/>
        <w:jc w:val="both"/>
      </w:pPr>
      <w:r>
        <w:rPr>
          <w:spacing w:val="-2"/>
        </w:rPr>
        <w:t>合营安排通过单独主体达成的，根据相关约定判断公司对该单独主体的净资产享有权利时，将该单独</w:t>
      </w:r>
      <w:r>
        <w:rPr>
          <w:w w:val="100"/>
        </w:rPr>
        <w:t> </w:t>
      </w:r>
      <w:r>
        <w:rPr>
          <w:spacing w:val="-2"/>
        </w:rPr>
        <w:t>主体作为合营企业，采用权益法核算。若根据相关约定判断公司并非对该单独主体的净资产享有权利时，</w:t>
      </w:r>
      <w:r>
        <w:rPr>
          <w:spacing w:val="-21"/>
        </w:rPr>
        <w:t> </w:t>
      </w:r>
      <w:r>
        <w:rPr>
          <w:spacing w:val="-21"/>
        </w:rPr>
      </w:r>
      <w:r>
        <w:rPr>
          <w:spacing w:val="-2"/>
        </w:rPr>
        <w:t>该单独主体作为共同经营，公司确认与共同经营利益份额相关的项目，并按照相关企业会计准则的规定进</w:t>
      </w:r>
      <w:r>
        <w:rPr>
          <w:spacing w:val="-43"/>
        </w:rPr>
        <w:t> </w:t>
      </w:r>
      <w:r>
        <w:rPr>
          <w:spacing w:val="-43"/>
        </w:rPr>
      </w:r>
      <w:r>
        <w:rPr/>
        <w:t>行会计处理。</w:t>
      </w:r>
    </w:p>
    <w:p>
      <w:pPr>
        <w:pStyle w:val="BodyText"/>
        <w:spacing w:line="343" w:lineRule="auto" w:before="27"/>
        <w:ind w:right="1021" w:firstLine="420"/>
        <w:jc w:val="both"/>
      </w:pPr>
      <w:r>
        <w:rPr/>
        <w:t>重大影响，是指投资方对被投资单位的财务和经营政策有参与决策的权力，但并不能够控制或者与其</w:t>
      </w:r>
      <w:r>
        <w:rPr>
          <w:w w:val="100"/>
        </w:rPr>
        <w:t> </w:t>
      </w:r>
      <w:r>
        <w:rPr>
          <w:spacing w:val="-2"/>
        </w:rPr>
        <w:t>他方一起共同控制这些政策的制定。公司通过以下一种或多种情形，并综合考虑所有事实和情况后，判断</w:t>
      </w:r>
      <w:r>
        <w:rPr>
          <w:spacing w:val="-44"/>
        </w:rPr>
        <w:t> </w:t>
      </w:r>
      <w:r>
        <w:rPr>
          <w:spacing w:val="-44"/>
        </w:rPr>
      </w:r>
      <w:r>
        <w:rPr>
          <w:spacing w:val="-2"/>
        </w:rPr>
        <w:t>对被投资单位具有重大影响。（</w:t>
      </w:r>
      <w:r>
        <w:rPr>
          <w:rFonts w:ascii="Times New Roman" w:hAnsi="Times New Roman" w:cs="Times New Roman" w:eastAsia="Times New Roman" w:hint="default"/>
          <w:spacing w:val="-2"/>
        </w:rPr>
        <w:t>1</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w:t>
      </w:r>
      <w:r>
        <w:rPr>
          <w:spacing w:val="-43"/>
        </w:rPr>
        <w:t> </w:t>
      </w:r>
      <w:r>
        <w:rPr>
          <w:spacing w:val="-43"/>
        </w:rPr>
      </w:r>
      <w:r>
        <w:rPr>
          <w:spacing w:val="-4"/>
        </w:rPr>
        <w:t>单位财务和经营政策制定过程；（</w:t>
      </w:r>
      <w:r>
        <w:rPr>
          <w:rFonts w:ascii="Times New Roman" w:hAnsi="Times New Roman" w:cs="Times New Roman" w:eastAsia="Times New Roman" w:hint="default"/>
          <w:spacing w:val="-4"/>
        </w:rPr>
        <w:t>3</w:t>
      </w:r>
      <w:r>
        <w:rPr>
          <w:spacing w:val="-4"/>
        </w:rPr>
        <w:t>）与被投资单位之间发生重要交易；（</w:t>
      </w:r>
      <w:r>
        <w:rPr>
          <w:rFonts w:ascii="Times New Roman" w:hAnsi="Times New Roman" w:cs="Times New Roman" w:eastAsia="Times New Roman" w:hint="default"/>
          <w:spacing w:val="-4"/>
        </w:rPr>
        <w:t>4</w:t>
      </w:r>
      <w:r>
        <w:rPr>
          <w:spacing w:val="-4"/>
        </w:rPr>
        <w:t>）向被投资单位派出管理人员；</w:t>
      </w:r>
    </w:p>
    <w:p>
      <w:pPr>
        <w:pStyle w:val="BodyText"/>
        <w:spacing w:line="240" w:lineRule="auto" w:before="10"/>
        <w:ind w:right="1133"/>
        <w:jc w:val="left"/>
      </w:pPr>
      <w:r>
        <w:rPr/>
        <w:t>（</w:t>
      </w:r>
      <w:r>
        <w:rPr>
          <w:rFonts w:ascii="Times New Roman" w:hAnsi="Times New Roman" w:cs="Times New Roman" w:eastAsia="Times New Roman" w:hint="default"/>
        </w:rPr>
        <w:t>5</w:t>
      </w:r>
      <w:r>
        <w:rPr/>
        <w:t>）向被投资单位提供关键技术资料。</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18、投资性房地产" w:id="214"/>
      <w:bookmarkEnd w:id="21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95"/>
        <w:ind w:left="573" w:right="1133"/>
        <w:jc w:val="left"/>
      </w:pPr>
      <w:r>
        <w:rPr/>
        <w:t>投资性房地产的预计使用寿命、净残值率及年折旧（摊销）率列示如下：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552"/>
        <w:gridCol w:w="2413"/>
        <w:gridCol w:w="2408"/>
        <w:gridCol w:w="2269"/>
      </w:tblGrid>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年折旧（摊销）率（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9、固定资产" w:id="215"/>
      <w:bookmarkEnd w:id="215"/>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216"/>
      <w:bookmarkEnd w:id="21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31"/>
          <w:szCs w:val="31"/>
        </w:rPr>
      </w:pPr>
    </w:p>
    <w:p>
      <w:pPr>
        <w:pStyle w:val="BodyText"/>
        <w:spacing w:line="340" w:lineRule="auto"/>
        <w:ind w:right="1107" w:firstLine="420"/>
        <w:jc w:val="both"/>
      </w:pPr>
      <w:r>
        <w:rPr>
          <w:spacing w:val="-2"/>
        </w:rPr>
        <w:t>固定资产指为生产商品、提供劳务、出租或经营管理而持有，并且使用寿命超过一个会计年度的有形</w:t>
      </w:r>
      <w:r>
        <w:rPr>
          <w:w w:val="100"/>
        </w:rPr>
        <w:t> </w:t>
      </w:r>
      <w:r>
        <w:rPr>
          <w:spacing w:val="-2"/>
        </w:rPr>
        <w:t>资产。固定资产在同时满足下列条件时予以确认：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w:t>
      </w:r>
      <w:r>
        <w:rPr>
          <w:spacing w:val="-21"/>
        </w:rPr>
        <w:t> </w:t>
      </w:r>
      <w:r>
        <w:rPr/>
        <w:t>该固定资产的成本能够可靠地计量。</w:t>
      </w:r>
    </w:p>
    <w:p>
      <w:pPr>
        <w:spacing w:line="240" w:lineRule="auto" w:before="0"/>
        <w:rPr>
          <w:rFonts w:ascii="宋体" w:hAnsi="宋体" w:cs="宋体" w:eastAsia="宋体" w:hint="default"/>
          <w:sz w:val="19"/>
          <w:szCs w:val="19"/>
        </w:rPr>
      </w:pPr>
    </w:p>
    <w:p>
      <w:pPr>
        <w:pStyle w:val="Heading3"/>
        <w:spacing w:line="240" w:lineRule="auto"/>
        <w:ind w:right="1133"/>
        <w:jc w:val="left"/>
        <w:rPr>
          <w:b w:val="0"/>
          <w:bCs w:val="0"/>
        </w:rPr>
      </w:pPr>
      <w:bookmarkStart w:name="（2）折旧方法" w:id="217"/>
      <w:bookmarkEnd w:id="21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9.5-19</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融资租入固定资产的认定依据、计价和折旧方法" w:id="218"/>
      <w:bookmarkEnd w:id="21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31"/>
          <w:szCs w:val="31"/>
        </w:rPr>
      </w:pPr>
    </w:p>
    <w:p>
      <w:pPr>
        <w:pStyle w:val="BodyText"/>
        <w:spacing w:line="331" w:lineRule="auto"/>
        <w:ind w:right="982" w:firstLine="420"/>
        <w:jc w:val="left"/>
      </w:pPr>
      <w:r>
        <w:rPr>
          <w:spacing w:val="-2"/>
        </w:rPr>
        <w:t>当公司租入的固定资产符合下列一项或数项标准时，确认为融资租入固定资产：</w:t>
      </w:r>
      <w:r>
        <w:rPr>
          <w:rFonts w:ascii="Times New Roman" w:hAnsi="Times New Roman" w:cs="Times New Roman" w:eastAsia="Times New Roman" w:hint="default"/>
          <w:spacing w:val="-2"/>
        </w:rPr>
        <w:t>1</w:t>
      </w:r>
      <w:r>
        <w:rPr>
          <w:spacing w:val="-2"/>
        </w:rPr>
        <w:t>）在租赁期届满时，</w:t>
      </w:r>
      <w:r>
        <w:rPr>
          <w:w w:val="100"/>
        </w:rPr>
        <w:t> </w:t>
      </w:r>
      <w:r>
        <w:rPr/>
        <w:t>租赁资产的所有权转移给公司。</w:t>
      </w:r>
      <w:r>
        <w:rPr>
          <w:rFonts w:ascii="Times New Roman" w:hAnsi="Times New Roman" w:cs="Times New Roman" w:eastAsia="Times New Roman" w:hint="default"/>
        </w:rPr>
        <w:t>2</w:t>
      </w:r>
      <w:r>
        <w:rPr/>
        <w:t>）公司有购买租赁资产的选择权，所订立的购买价款预计将远低于行使</w:t>
      </w:r>
      <w:r>
        <w:rPr>
          <w:spacing w:val="-23"/>
        </w:rPr>
        <w:t> </w:t>
      </w:r>
      <w:r>
        <w:rPr>
          <w:spacing w:val="-23"/>
        </w:rPr>
      </w:r>
      <w:r>
        <w:rPr/>
        <w:t>选择权时租赁资产的公允价值，因而在租赁开始日就可以合理确定公司将会行使这种选择权。</w:t>
      </w:r>
      <w:r>
        <w:rPr>
          <w:rFonts w:ascii="Times New Roman" w:hAnsi="Times New Roman" w:cs="Times New Roman" w:eastAsia="Times New Roman" w:hint="default"/>
        </w:rPr>
        <w:t>3</w:t>
      </w:r>
      <w:r>
        <w:rPr/>
        <w:t>）即使资</w:t>
      </w:r>
      <w:r>
        <w:rPr>
          <w:spacing w:val="-20"/>
        </w:rPr>
        <w:t> </w:t>
      </w:r>
      <w:r>
        <w:rPr>
          <w:spacing w:val="-20"/>
        </w:rPr>
      </w:r>
      <w:r>
        <w:rPr/>
        <w:t>产的所有权不转移，但租赁期占租赁资产使用寿命的大部分。</w:t>
      </w:r>
      <w:r>
        <w:rPr>
          <w:rFonts w:ascii="Times New Roman" w:hAnsi="Times New Roman" w:cs="Times New Roman" w:eastAsia="Times New Roman" w:hint="default"/>
        </w:rPr>
        <w:t>4</w:t>
      </w:r>
      <w:r>
        <w:rPr/>
        <w:t>）公司在租赁开始日的最低租赁付款额现</w:t>
      </w:r>
      <w:r>
        <w:rPr>
          <w:spacing w:val="-22"/>
        </w:rPr>
        <w:t> </w:t>
      </w:r>
      <w:r>
        <w:rPr>
          <w:spacing w:val="-22"/>
        </w:rPr>
      </w:r>
      <w:r>
        <w:rPr/>
        <w:t>值，几乎相当于租赁开始日租赁资产公允价值。</w:t>
      </w:r>
      <w:r>
        <w:rPr>
          <w:rFonts w:ascii="Times New Roman" w:hAnsi="Times New Roman" w:cs="Times New Roman" w:eastAsia="Times New Roman" w:hint="default"/>
        </w:rPr>
        <w:t>5</w:t>
      </w:r>
      <w:r>
        <w:rPr/>
        <w:t>）租赁资产性质特殊，如果不作较大改造，只有公司才</w:t>
      </w:r>
      <w:r>
        <w:rPr>
          <w:spacing w:val="-23"/>
        </w:rPr>
        <w:t> </w:t>
      </w:r>
      <w:r>
        <w:rPr>
          <w:spacing w:val="-23"/>
        </w:rPr>
      </w:r>
      <w:r>
        <w:rPr/>
        <w:t>能使用。</w:t>
      </w:r>
    </w:p>
    <w:p>
      <w:pPr>
        <w:pStyle w:val="BodyText"/>
        <w:spacing w:line="350" w:lineRule="auto" w:before="46"/>
        <w:ind w:right="1133" w:firstLine="420"/>
        <w:jc w:val="left"/>
      </w:pPr>
      <w:r>
        <w:rPr>
          <w:spacing w:val="-2"/>
        </w:rPr>
        <w:t>融资租赁租入的固定资产，按租赁开始日租赁资产公允价值与最低租赁付款额的现值两者中较低者，</w:t>
      </w:r>
      <w:r>
        <w:rPr>
          <w:w w:val="100"/>
        </w:rPr>
        <w:t> </w:t>
      </w:r>
      <w:r>
        <w:rPr>
          <w:spacing w:val="-2"/>
        </w:rPr>
        <w:t>作为入账价值。最低租赁付款额作为长期应付款的入账价值，其差额作为未确认融资费用。在租赁谈判和</w:t>
      </w:r>
    </w:p>
    <w:p>
      <w:pPr>
        <w:spacing w:after="0" w:line="35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签订租赁合同过程中发生的，可归属于租赁项目的手续费、律师费、差旅费、印花税等初始直接费用，计</w:t>
      </w:r>
      <w:r>
        <w:rPr>
          <w:spacing w:val="-43"/>
        </w:rPr>
        <w:t> </w:t>
      </w:r>
      <w:r>
        <w:rPr>
          <w:spacing w:val="-43"/>
        </w:rPr>
      </w:r>
      <w:r>
        <w:rPr/>
        <w:t>入租入资产价值。未确认融资费用在租赁期内各个期间采用实际利率法进行分摊。</w:t>
      </w:r>
      <w:r>
        <w:rPr>
          <w:spacing w:val="82"/>
        </w:rPr>
        <w:t> </w:t>
      </w:r>
      <w:r>
        <w:rPr/>
        <w:t>公司采用与自</w:t>
      </w:r>
      <w:r>
        <w:rPr>
          <w:w w:val="100"/>
        </w:rPr>
        <w:t> </w:t>
      </w:r>
      <w:r>
        <w:rPr>
          <w:spacing w:val="-2"/>
        </w:rPr>
        <w:t>有固定资产相一致的折旧政策计提融资租入固定资产折旧。能够合理确定租赁期届满时取得租赁资产所有</w:t>
      </w:r>
      <w:r>
        <w:rPr>
          <w:spacing w:val="-43"/>
        </w:rPr>
        <w:t> </w:t>
      </w:r>
      <w:r>
        <w:rPr>
          <w:spacing w:val="-43"/>
        </w:rPr>
      </w:r>
      <w:r>
        <w:rPr>
          <w:spacing w:val="-2"/>
        </w:rPr>
        <w:t>权的，在租赁资产使用寿命内计提折旧。无法合理确定租赁期届满时能够取得租赁资产所有权的，在租赁</w:t>
      </w:r>
      <w:r>
        <w:rPr>
          <w:spacing w:val="-45"/>
        </w:rPr>
        <w:t> </w:t>
      </w:r>
      <w:r>
        <w:rPr>
          <w:spacing w:val="-45"/>
        </w:rPr>
      </w:r>
      <w:r>
        <w:rPr/>
        <w:t>期与租赁资产使用寿命两者中较短的期间内计提折旧。</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20、在建工程" w:id="219"/>
      <w:bookmarkEnd w:id="219"/>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4"/>
        <w:rPr>
          <w:rFonts w:ascii="宋体" w:hAnsi="宋体" w:cs="宋体" w:eastAsia="宋体" w:hint="default"/>
          <w:b/>
          <w:bCs/>
          <w:sz w:val="31"/>
          <w:szCs w:val="31"/>
        </w:rPr>
      </w:pPr>
    </w:p>
    <w:p>
      <w:pPr>
        <w:pStyle w:val="BodyText"/>
        <w:spacing w:line="331" w:lineRule="auto"/>
        <w:ind w:left="573" w:right="1133"/>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100"/>
        </w:rPr>
        <w:t> </w:t>
      </w:r>
      <w:r>
        <w:rPr>
          <w:spacing w:val="-2"/>
        </w:rPr>
        <w:t>公司自行建造的在建工程按实际成本计价，实际成本由建造该项资产达到预定可使用状态前所发生的</w:t>
      </w:r>
    </w:p>
    <w:p>
      <w:pPr>
        <w:pStyle w:val="BodyText"/>
        <w:spacing w:line="350" w:lineRule="auto" w:before="44"/>
        <w:ind w:right="1129"/>
        <w:jc w:val="both"/>
      </w:pPr>
      <w:r>
        <w:rPr>
          <w:spacing w:val="-2"/>
        </w:rPr>
        <w:t>必要支出构成，包括工程用物资成本、人工成本、交纳的相关税费、应予资本化的借款费用以及应分摊的</w:t>
      </w:r>
      <w:r>
        <w:rPr>
          <w:spacing w:val="-47"/>
        </w:rPr>
        <w:t> </w:t>
      </w:r>
      <w:r>
        <w:rPr>
          <w:spacing w:val="-47"/>
        </w:rPr>
      </w:r>
      <w:r>
        <w:rPr/>
        <w:t>间接费用等。</w:t>
      </w:r>
    </w:p>
    <w:p>
      <w:pPr>
        <w:spacing w:line="328" w:lineRule="auto" w:before="29"/>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348" w:lineRule="auto" w:before="48"/>
        <w:ind w:right="112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工程预算、造价或者工程实际成本等，按估计的价值转入固定资产，并按公司固定资产折旧政策计提固定</w:t>
      </w:r>
      <w:r>
        <w:rPr>
          <w:spacing w:val="-44"/>
        </w:rPr>
        <w:t> </w:t>
      </w:r>
      <w:r>
        <w:rPr>
          <w:spacing w:val="-44"/>
        </w:rPr>
      </w:r>
      <w:r>
        <w:rPr/>
        <w:t>资产的折旧，待办理竣工决算后，再按实际成本调整原来的暂估价值，但不调整原已计提的折旧额。</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bookmarkStart w:name="21、借款费用" w:id="220"/>
      <w:bookmarkEnd w:id="220"/>
      <w:r>
        <w:rPr>
          <w:b w:val="0"/>
          <w:bCs w:val="0"/>
        </w:rPr>
      </w:r>
      <w:r>
        <w:rPr>
          <w:rFonts w:ascii="Times New Roman" w:hAnsi="Times New Roman" w:cs="Times New Roman" w:eastAsia="Times New Roman" w:hint="default"/>
        </w:rPr>
        <w:t>21</w:t>
      </w:r>
      <w:r>
        <w:rPr/>
        <w:t>、借款费用</w:t>
      </w:r>
      <w:r>
        <w:rPr>
          <w:b w:val="0"/>
          <w:bCs w:val="0"/>
        </w:rPr>
      </w:r>
    </w:p>
    <w:p>
      <w:pPr>
        <w:spacing w:line="240" w:lineRule="auto" w:before="2"/>
        <w:rPr>
          <w:rFonts w:ascii="宋体" w:hAnsi="宋体" w:cs="宋体" w:eastAsia="宋体" w:hint="default"/>
          <w:b/>
          <w:bCs/>
          <w:sz w:val="31"/>
          <w:szCs w:val="31"/>
        </w:rPr>
      </w:pPr>
    </w:p>
    <w:p>
      <w:pPr>
        <w:spacing w:line="331" w:lineRule="auto" w:before="0"/>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公司发生的借款费用，可直接归属于符合资本化条件的资产的购建或者生产的，予以资本化，计入相</w:t>
      </w:r>
    </w:p>
    <w:p>
      <w:pPr>
        <w:pStyle w:val="BodyText"/>
        <w:spacing w:line="348" w:lineRule="auto" w:before="46"/>
        <w:ind w:left="573" w:right="1133" w:hanging="421"/>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350" w:lineRule="auto" w:before="31"/>
        <w:ind w:left="573" w:right="2602"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331" w:lineRule="auto" w:before="27"/>
        <w:ind w:right="1133"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46"/>
        <w:ind w:left="573" w:right="1133"/>
        <w:jc w:val="left"/>
      </w:pPr>
      <w:r>
        <w:rPr/>
        <w:t>（</w:t>
      </w:r>
      <w:r>
        <w:rPr>
          <w:rFonts w:ascii="Times New Roman" w:hAnsi="Times New Roman" w:cs="Times New Roman" w:eastAsia="Times New Roman" w:hint="default"/>
        </w:rPr>
        <w:t>2</w:t>
      </w:r>
      <w:r>
        <w:rPr/>
        <w:t>）借款费用已经发生；</w:t>
      </w:r>
    </w:p>
    <w:p>
      <w:pPr>
        <w:pStyle w:val="BodyText"/>
        <w:spacing w:line="331" w:lineRule="auto" w:before="108"/>
        <w:ind w:left="573" w:right="11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100"/>
        </w:rPr>
        <w:t> </w:t>
      </w:r>
      <w:r>
        <w:rPr>
          <w:spacing w:val="-2"/>
        </w:rPr>
        <w:t>资本化期间，指从借款费用开始资本化时点到停止资本化时点的期间，借款费用暂停资本化的期间不</w:t>
      </w:r>
    </w:p>
    <w:p>
      <w:pPr>
        <w:pStyle w:val="BodyText"/>
        <w:spacing w:line="240" w:lineRule="auto" w:before="43"/>
        <w:ind w:right="0"/>
        <w:jc w:val="both"/>
      </w:pPr>
      <w:r>
        <w:rPr/>
        <w:t>包括在内。</w:t>
      </w:r>
    </w:p>
    <w:p>
      <w:pPr>
        <w:pStyle w:val="BodyText"/>
        <w:spacing w:line="350" w:lineRule="auto" w:before="126"/>
        <w:ind w:left="573" w:right="1133"/>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27"/>
        <w:ind w:right="0"/>
        <w:jc w:val="both"/>
      </w:pPr>
      <w:r>
        <w:rPr/>
        <w:t>止资本化。</w:t>
      </w:r>
    </w:p>
    <w:p>
      <w:pPr>
        <w:spacing w:after="0" w:line="24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firstLine="420"/>
        <w:jc w:val="both"/>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331" w:lineRule="auto" w:before="27"/>
        <w:ind w:left="573" w:right="1133"/>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348" w:lineRule="auto" w:before="21"/>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328" w:lineRule="auto" w:before="31"/>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350" w:lineRule="auto" w:before="49"/>
        <w:ind w:right="1105"/>
        <w:jc w:val="both"/>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350" w:lineRule="auto" w:before="27"/>
        <w:ind w:right="1126" w:firstLine="420"/>
        <w:jc w:val="both"/>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348" w:lineRule="auto" w:before="29"/>
        <w:ind w:right="1126" w:firstLine="420"/>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bookmarkStart w:name="22、无形资产" w:id="221"/>
      <w:bookmarkEnd w:id="221"/>
      <w:r>
        <w:rPr>
          <w:b w:val="0"/>
          <w:bCs w:val="0"/>
        </w:rPr>
      </w:r>
      <w:r>
        <w:rPr>
          <w:rFonts w:ascii="Times New Roman" w:hAnsi="Times New Roman" w:cs="Times New Roman" w:eastAsia="Times New Roman" w:hint="default"/>
        </w:rPr>
        <w:t>22</w:t>
      </w:r>
      <w:r>
        <w:rPr/>
        <w:t>、无形资产</w:t>
      </w:r>
      <w:r>
        <w:rPr>
          <w:b w:val="0"/>
          <w:bCs w:val="0"/>
        </w:rPr>
      </w:r>
    </w:p>
    <w:p>
      <w:pPr>
        <w:spacing w:line="698" w:lineRule="exact" w:before="10"/>
        <w:ind w:left="573" w:right="1133" w:hanging="421"/>
        <w:jc w:val="left"/>
        <w:rPr>
          <w:rFonts w:ascii="宋体" w:hAnsi="宋体" w:cs="宋体" w:eastAsia="宋体" w:hint="default"/>
          <w:sz w:val="21"/>
          <w:szCs w:val="21"/>
        </w:rPr>
      </w:pPr>
      <w:bookmarkStart w:name="（1）计价方法、使用寿命、减值测试"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无形资产是指公司拥有或者控制的没有实物形态的可辨认非货币性资产，包括土地使用权、软件及软</w:t>
      </w:r>
    </w:p>
    <w:p>
      <w:pPr>
        <w:pStyle w:val="BodyText"/>
        <w:spacing w:line="240" w:lineRule="auto" w:before="16"/>
        <w:ind w:right="0"/>
        <w:jc w:val="both"/>
      </w:pPr>
      <w:r>
        <w:rPr/>
        <w:t>件著作权、商标权、专利技术等。</w:t>
      </w:r>
    </w:p>
    <w:p>
      <w:pPr>
        <w:spacing w:line="331" w:lineRule="auto" w:before="123"/>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pStyle w:val="BodyText"/>
        <w:spacing w:line="348" w:lineRule="auto" w:before="46"/>
        <w:ind w:right="1126"/>
        <w:jc w:val="both"/>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350" w:lineRule="auto" w:before="31"/>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350" w:lineRule="auto" w:before="27"/>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350" w:lineRule="auto" w:before="29"/>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240" w:lineRule="auto" w:before="67"/>
        <w:ind w:left="573" w:right="982"/>
        <w:jc w:val="left"/>
      </w:pPr>
      <w:r>
        <w:rPr/>
        <w:t>内部自行开发的无形资产，其成本包括：开发该无形资产时耗用的材料、劳务成本、注册费、在开发</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33"/>
        <w:jc w:val="left"/>
        <w:rPr>
          <w:rFonts w:ascii="Times New Roman" w:hAnsi="Times New Roman" w:cs="Times New Roman" w:eastAsia="Times New Roman" w:hint="default"/>
          <w:sz w:val="18"/>
          <w:szCs w:val="18"/>
        </w:rPr>
      </w:pP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r>
        <w:rPr>
          <w:rFonts w:ascii="Times New Roman" w:hAnsi="Times New Roman" w:cs="Times New Roman" w:eastAsia="Times New Roman" w:hint="default"/>
          <w:sz w:val="18"/>
          <w:szCs w:val="18"/>
        </w:rPr>
        <w:t>l</w:t>
      </w:r>
    </w:p>
    <w:p>
      <w:pPr>
        <w:spacing w:line="331" w:lineRule="auto" w:before="54"/>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公司在取得无形资产时分析判断其使用寿命，划分为使用寿命有限和使用寿命不确定的无形资产。</w:t>
      </w:r>
    </w:p>
    <w:p>
      <w:pPr>
        <w:pStyle w:val="BodyText"/>
        <w:spacing w:line="331" w:lineRule="auto" w:before="43"/>
        <w:ind w:left="573" w:right="1133"/>
        <w:jc w:val="left"/>
      </w:pPr>
      <w:r>
        <w:rPr/>
        <w:t>（</w:t>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40" w:lineRule="auto" w:before="46"/>
        <w:ind w:right="1133"/>
        <w:jc w:val="left"/>
      </w:pPr>
      <w:r>
        <w:rPr/>
        <w:t>资产预计寿命及依据如下：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263"/>
        <w:gridCol w:w="3118"/>
        <w:gridCol w:w="3260"/>
      </w:tblGrid>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6"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软件及软件著作权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9"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6"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宋体" w:hAnsi="宋体" w:cs="宋体" w:eastAsia="宋体" w:hint="default"/>
                <w:sz w:val="18"/>
                <w:szCs w:val="18"/>
              </w:rPr>
              <w:t>年</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受益年限</w:t>
            </w:r>
          </w:p>
        </w:tc>
      </w:tr>
    </w:tbl>
    <w:p>
      <w:pPr>
        <w:pStyle w:val="BodyText"/>
        <w:spacing w:line="350" w:lineRule="auto" w:before="74"/>
        <w:ind w:right="1133"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240" w:lineRule="auto" w:before="29"/>
        <w:ind w:left="573" w:right="1133"/>
        <w:jc w:val="left"/>
      </w:pPr>
      <w:r>
        <w:rPr/>
        <w:t>经复核，本期期末无形资产的使用寿命及摊销方法与以前估计未有不同。</w:t>
      </w:r>
    </w:p>
    <w:p>
      <w:pPr>
        <w:pStyle w:val="BodyText"/>
        <w:spacing w:line="350" w:lineRule="auto" w:before="123"/>
        <w:ind w:left="573" w:right="1133"/>
        <w:jc w:val="left"/>
      </w:pPr>
      <w:r>
        <w:rPr/>
        <w:t>（</w:t>
      </w:r>
      <w:r>
        <w:rPr>
          <w:rFonts w:ascii="宋体" w:hAnsi="宋体" w:cs="宋体" w:eastAsia="宋体" w:hint="default"/>
        </w:rPr>
        <w:t>2</w:t>
      </w:r>
      <w:r>
        <w:rPr/>
        <w:t>）使用寿命不确定的无形资产</w:t>
      </w:r>
      <w:r>
        <w:rPr>
          <w:w w:val="100"/>
        </w:rPr>
        <w:t> </w:t>
      </w:r>
      <w:r>
        <w:rPr>
          <w:spacing w:val="-2"/>
        </w:rPr>
        <w:t>无法预见无形资产为企业带来经济利益期限的，视为使用寿命不确定的无形资产。对于使用寿命不确</w:t>
      </w:r>
    </w:p>
    <w:p>
      <w:pPr>
        <w:pStyle w:val="BodyText"/>
        <w:spacing w:line="348" w:lineRule="auto" w:before="29"/>
        <w:ind w:right="1133"/>
        <w:jc w:val="left"/>
      </w:pPr>
      <w:r>
        <w:rPr>
          <w:spacing w:val="-2"/>
        </w:rPr>
        <w:t>定的无形资产，在持有期间内不摊销，每期末对无形资产的寿命进行复核。如果期末重新复核后仍为不确</w:t>
      </w:r>
      <w:r>
        <w:rPr>
          <w:spacing w:val="-43"/>
        </w:rPr>
        <w:t> </w:t>
      </w:r>
      <w:r>
        <w:rPr>
          <w:spacing w:val="-43"/>
        </w:rPr>
      </w:r>
      <w:r>
        <w:rPr/>
        <w:t>定的，在每个会计期间继续进行减值测试。</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bookmarkStart w:name="（2）内部研究开发支出会计政策" w:id="223"/>
      <w:bookmarkEnd w:id="22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31"/>
          <w:szCs w:val="31"/>
        </w:rPr>
      </w:pPr>
    </w:p>
    <w:p>
      <w:pPr>
        <w:spacing w:line="328" w:lineRule="auto" w:before="0"/>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研究阶段：为研发项目而进行的前期市场调研和项目可行性论证的阶段，公司以《研发项目立项申请</w:t>
      </w:r>
    </w:p>
    <w:p>
      <w:pPr>
        <w:pStyle w:val="BodyText"/>
        <w:spacing w:line="350" w:lineRule="auto" w:before="48"/>
        <w:ind w:left="573" w:right="1133" w:hanging="421"/>
        <w:jc w:val="left"/>
      </w:pPr>
      <w:r>
        <w:rPr/>
        <w:t>书》上项目立项申请审核通过时间作为研发项目进入研究阶段的标准。</w:t>
      </w:r>
      <w:r>
        <w:rPr>
          <w:w w:val="100"/>
        </w:rPr>
        <w:t> </w:t>
      </w:r>
      <w:r>
        <w:rPr>
          <w:spacing w:val="-2"/>
        </w:rPr>
        <w:t>开发阶段：研发项目经审批正式确认立项后即进入开发阶段，开发阶段以《项目立项报告》上的立项</w:t>
      </w:r>
    </w:p>
    <w:p>
      <w:pPr>
        <w:pStyle w:val="BodyText"/>
        <w:spacing w:line="343" w:lineRule="auto" w:before="27"/>
        <w:ind w:left="573" w:right="2602" w:hanging="421"/>
        <w:jc w:val="left"/>
      </w:pPr>
      <w:r>
        <w:rPr/>
        <w:t>时间作为进入开发阶段的标准。</w:t>
      </w:r>
      <w:r>
        <w:rPr>
          <w:w w:val="100"/>
        </w:rPr>
        <w:t> </w:t>
      </w:r>
      <w:r>
        <w:rPr/>
        <w:t>内部研究开发项目研究阶段的支出，在发生时计入当期损益。</w:t>
      </w:r>
      <w:r>
        <w:rPr>
          <w:w w:val="100"/>
        </w:rPr>
        <w:t> </w:t>
      </w: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100"/>
        </w:rPr>
        <w:t> </w:t>
      </w:r>
      <w:r>
        <w:rPr>
          <w:spacing w:val="-2"/>
        </w:rPr>
        <w:t>内部研究开发项目开发阶段的支出，同时满足下列条件时确认为无形资产：</w:t>
      </w:r>
    </w:p>
    <w:p>
      <w:pPr>
        <w:pStyle w:val="BodyText"/>
        <w:spacing w:line="240" w:lineRule="auto" w:before="35"/>
        <w:ind w:left="57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0"/>
        <w:ind w:left="57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1" w:lineRule="auto" w:before="107"/>
        <w:ind w:right="1133"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328" w:lineRule="auto" w:before="46"/>
        <w:ind w:right="1133"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spacing w:after="0" w:line="328"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31" w:lineRule="auto" w:before="36"/>
        <w:ind w:left="573" w:right="1133"/>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内部研究开发支出的资本化时点：开发项目在通过前期市场调研和项目可行性论证并报经公司批准</w:t>
      </w:r>
    </w:p>
    <w:p>
      <w:pPr>
        <w:pStyle w:val="BodyText"/>
        <w:spacing w:line="331" w:lineRule="auto" w:before="43"/>
        <w:ind w:right="982"/>
        <w:jc w:val="left"/>
      </w:pPr>
      <w:r>
        <w:rPr>
          <w:rFonts w:ascii="Times New Roman" w:hAnsi="Times New Roman" w:cs="Times New Roman" w:eastAsia="Times New Roman" w:hint="default"/>
        </w:rPr>
        <w:t>“</w:t>
      </w:r>
      <w:r>
        <w:rPr/>
        <w:t>项目立项</w:t>
      </w:r>
      <w:r>
        <w:rPr>
          <w:rFonts w:ascii="Times New Roman" w:hAnsi="Times New Roman" w:cs="Times New Roman" w:eastAsia="Times New Roman" w:hint="default"/>
        </w:rPr>
        <w:t>”</w:t>
      </w:r>
      <w:r>
        <w:rPr/>
        <w:t>后即进入开发阶段，开发阶段以《项目立项报告》上的立项时间作为项目资本化的时点，整个</w:t>
      </w:r>
      <w:r>
        <w:rPr>
          <w:w w:val="100"/>
        </w:rPr>
        <w:t> </w:t>
      </w:r>
      <w:r>
        <w:rPr>
          <w:spacing w:val="-5"/>
        </w:rPr>
        <w:t>开发阶段分为项目立项、项目开发、项目验收、项目发布四个阶段。在项目完成验收之后确认为无形资产。</w:t>
      </w:r>
    </w:p>
    <w:p>
      <w:pPr>
        <w:pStyle w:val="BodyText"/>
        <w:spacing w:line="348" w:lineRule="auto" w:before="87"/>
        <w:ind w:right="1126" w:firstLine="756"/>
        <w:jc w:val="both"/>
      </w:pPr>
      <w:r>
        <w:rPr/>
        <w:t>不满足上述条件的开发阶段的支出，于发生时计入当期损益。以前期间已计入损益的开发支出不</w:t>
      </w:r>
      <w:r>
        <w:rPr>
          <w:w w:val="100"/>
        </w:rPr>
        <w:t> </w:t>
      </w:r>
      <w:r>
        <w:rPr>
          <w:spacing w:val="-2"/>
        </w:rPr>
        <w:t>在以后期间重新确认为资产。已资本化的开发阶段的支出在资产负债表上列示为开发支出，自该项目达到</w:t>
      </w:r>
      <w:r>
        <w:rPr>
          <w:spacing w:val="-43"/>
        </w:rPr>
        <w:t> </w:t>
      </w:r>
      <w:r>
        <w:rPr>
          <w:spacing w:val="-43"/>
        </w:rPr>
      </w:r>
      <w:r>
        <w:rPr/>
        <w:t>预定用途之日起转为无形资产。</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bookmarkStart w:name="23、长期资产减值" w:id="224"/>
      <w:bookmarkEnd w:id="224"/>
      <w:r>
        <w:rPr>
          <w:b w:val="0"/>
          <w:bCs w:val="0"/>
        </w:rPr>
      </w:r>
      <w:r>
        <w:rPr>
          <w:rFonts w:ascii="Times New Roman" w:hAnsi="Times New Roman" w:cs="Times New Roman" w:eastAsia="Times New Roman" w:hint="default"/>
        </w:rPr>
        <w:t>23</w:t>
      </w:r>
      <w:r>
        <w:rPr/>
        <w:t>、长期资产减值</w:t>
      </w:r>
      <w:r>
        <w:rPr>
          <w:b w:val="0"/>
          <w:bCs w:val="0"/>
        </w:rPr>
      </w:r>
    </w:p>
    <w:p>
      <w:pPr>
        <w:spacing w:line="240" w:lineRule="auto" w:before="5"/>
        <w:rPr>
          <w:rFonts w:ascii="宋体" w:hAnsi="宋体" w:cs="宋体" w:eastAsia="宋体" w:hint="default"/>
          <w:b/>
          <w:bCs/>
          <w:sz w:val="31"/>
          <w:szCs w:val="31"/>
        </w:rPr>
      </w:pPr>
    </w:p>
    <w:p>
      <w:pPr>
        <w:pStyle w:val="BodyText"/>
        <w:spacing w:line="348" w:lineRule="auto"/>
        <w:ind w:right="1126" w:firstLine="420"/>
        <w:jc w:val="both"/>
      </w:pPr>
      <w:r>
        <w:rPr>
          <w:spacing w:val="-2"/>
        </w:rPr>
        <w:t>公司在资产负债表日判断长期资产是否存在可能发生减值的迹象。如果长期资产存在减值迹象的，以</w:t>
      </w:r>
      <w:r>
        <w:rPr>
          <w:w w:val="100"/>
        </w:rPr>
        <w:t> </w:t>
      </w:r>
      <w:r>
        <w:rPr>
          <w:spacing w:val="-2"/>
        </w:rPr>
        <w:t>单项资产为基础估计其可收回金额；难以对单项资产的可收回金额进行估计的，以该资产所属的资产组为</w:t>
      </w:r>
      <w:r>
        <w:rPr>
          <w:spacing w:val="-43"/>
        </w:rPr>
        <w:t> </w:t>
      </w:r>
      <w:r>
        <w:rPr>
          <w:spacing w:val="-43"/>
        </w:rPr>
      </w:r>
      <w:r>
        <w:rPr/>
        <w:t>基础确定资产组的可收回金额。</w:t>
      </w:r>
    </w:p>
    <w:p>
      <w:pPr>
        <w:pStyle w:val="BodyText"/>
        <w:spacing w:line="350" w:lineRule="auto" w:before="31"/>
        <w:ind w:right="1126" w:firstLine="420"/>
        <w:jc w:val="both"/>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350" w:lineRule="auto" w:before="27"/>
        <w:ind w:right="1126" w:firstLine="420"/>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350" w:lineRule="auto" w:before="27"/>
        <w:ind w:right="1126" w:firstLine="420"/>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348" w:lineRule="auto" w:before="29"/>
        <w:ind w:right="1126"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348" w:lineRule="auto" w:before="31"/>
        <w:ind w:right="1126" w:firstLine="420"/>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43"/>
        </w:rPr>
        <w:t> </w:t>
      </w:r>
      <w:r>
        <w:rPr>
          <w:spacing w:val="-43"/>
        </w:rPr>
      </w:r>
      <w:r>
        <w:rPr>
          <w:spacing w:val="-2"/>
        </w:rPr>
        <w:t>组组合存在减值迹象的，先对不包含商誉的资产组或者资产组组合进行减值测试，计算可收回金额，并与</w:t>
      </w:r>
      <w:r>
        <w:rPr>
          <w:spacing w:val="-43"/>
        </w:rPr>
        <w:t> </w:t>
      </w:r>
      <w:r>
        <w:rPr>
          <w:spacing w:val="-43"/>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bookmarkStart w:name="24、长期待摊费用" w:id="225"/>
      <w:bookmarkEnd w:id="225"/>
      <w:r>
        <w:rPr>
          <w:b w:val="0"/>
          <w:bCs w:val="0"/>
        </w:rPr>
      </w:r>
      <w:r>
        <w:rPr>
          <w:rFonts w:ascii="Times New Roman" w:hAnsi="Times New Roman" w:cs="Times New Roman" w:eastAsia="Times New Roman" w:hint="default"/>
        </w:rPr>
        <w:t>24</w:t>
      </w:r>
      <w:r>
        <w:rPr/>
        <w:t>、长期待摊费用</w:t>
      </w:r>
      <w:r>
        <w:rPr>
          <w:b w:val="0"/>
          <w:bCs w:val="0"/>
        </w:rPr>
      </w:r>
    </w:p>
    <w:p>
      <w:pPr>
        <w:spacing w:line="240" w:lineRule="auto" w:before="2"/>
        <w:rPr>
          <w:rFonts w:ascii="宋体" w:hAnsi="宋体" w:cs="宋体" w:eastAsia="宋体" w:hint="default"/>
          <w:b/>
          <w:bCs/>
          <w:sz w:val="31"/>
          <w:szCs w:val="31"/>
        </w:rPr>
      </w:pPr>
    </w:p>
    <w:p>
      <w:pPr>
        <w:pStyle w:val="BodyText"/>
        <w:spacing w:line="331" w:lineRule="auto"/>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w w:val="100"/>
        </w:rPr>
        <w:t> </w:t>
      </w:r>
      <w:r>
        <w:rPr/>
        <w:t>长期待摊费用，是指公司已经发生但应由本期和以后各期负担的分摊期限在</w:t>
      </w:r>
      <w:r>
        <w:rPr>
          <w:rFonts w:ascii="Times New Roman" w:hAnsi="Times New Roman" w:cs="Times New Roman" w:eastAsia="Times New Roman" w:hint="default"/>
        </w:rPr>
        <w:t>1</w:t>
      </w:r>
      <w:r>
        <w:rPr/>
        <w:t>年以上的各项费用。长</w:t>
      </w:r>
    </w:p>
    <w:p>
      <w:pPr>
        <w:pStyle w:val="BodyText"/>
        <w:spacing w:line="348" w:lineRule="auto" w:before="21"/>
        <w:ind w:right="1133"/>
        <w:jc w:val="left"/>
      </w:pPr>
      <w:r>
        <w:rPr>
          <w:spacing w:val="-2"/>
        </w:rPr>
        <w:t>期待摊费用按发生时的实际成本计价，并在受益期限内平均摊销。如果长期待摊费用项目不能使以后会计</w:t>
      </w:r>
      <w:r>
        <w:rPr>
          <w:spacing w:val="-43"/>
        </w:rPr>
        <w:t> </w:t>
      </w:r>
      <w:r>
        <w:rPr>
          <w:spacing w:val="-43"/>
        </w:rPr>
      </w:r>
      <w:r>
        <w:rPr/>
        <w:t>期间受益的，则将尚未摊销的该项目的摊余价值全部转入当期损益。</w:t>
      </w:r>
    </w:p>
    <w:p>
      <w:pPr>
        <w:pStyle w:val="Heading3"/>
        <w:spacing w:line="240" w:lineRule="auto" w:before="31"/>
        <w:ind w:left="575" w:right="1133"/>
        <w:jc w:val="left"/>
        <w:rPr>
          <w:b w:val="0"/>
          <w:bCs w:val="0"/>
        </w:rPr>
      </w:pPr>
      <w:r>
        <w:rPr>
          <w:rFonts w:ascii="Times New Roman" w:hAnsi="Times New Roman" w:cs="Times New Roman" w:eastAsia="Times New Roman" w:hint="default"/>
        </w:rPr>
        <w:t>2.</w:t>
      </w:r>
      <w:r>
        <w:rPr/>
        <w:t>摊销年限</w:t>
      </w:r>
      <w:r>
        <w:rPr>
          <w:b w:val="0"/>
          <w:bCs w:val="0"/>
        </w:rPr>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b/>
          <w:bCs/>
          <w:sz w:val="27"/>
          <w:szCs w:val="27"/>
        </w:rPr>
      </w:pPr>
    </w:p>
    <w:p>
      <w:pPr>
        <w:pStyle w:val="BodyText"/>
        <w:spacing w:line="240" w:lineRule="auto" w:before="36"/>
        <w:ind w:left="573" w:right="1133"/>
        <w:jc w:val="left"/>
      </w:pPr>
      <w:r>
        <w:rPr/>
        <w:t>（</w:t>
      </w:r>
      <w:r>
        <w:rPr>
          <w:rFonts w:ascii="Times New Roman" w:hAnsi="Times New Roman" w:cs="Times New Roman" w:eastAsia="Times New Roman" w:hint="default"/>
        </w:rPr>
        <w:t>1</w:t>
      </w:r>
      <w:r>
        <w:rPr/>
        <w:t>）房屋装修费按</w:t>
      </w:r>
      <w:r>
        <w:rPr>
          <w:rFonts w:ascii="Times New Roman" w:hAnsi="Times New Roman" w:cs="Times New Roman" w:eastAsia="Times New Roman" w:hint="default"/>
        </w:rPr>
        <w:t>5</w:t>
      </w:r>
      <w:r>
        <w:rPr/>
        <w:t>年平均摊销；</w:t>
      </w:r>
    </w:p>
    <w:p>
      <w:pPr>
        <w:pStyle w:val="BodyText"/>
        <w:spacing w:line="240" w:lineRule="auto" w:before="110"/>
        <w:ind w:left="573" w:right="1133"/>
        <w:jc w:val="left"/>
      </w:pPr>
      <w:r>
        <w:rPr/>
        <w:t>（</w:t>
      </w:r>
      <w:r>
        <w:rPr>
          <w:rFonts w:ascii="Times New Roman" w:hAnsi="Times New Roman" w:cs="Times New Roman" w:eastAsia="Times New Roman" w:hint="default"/>
        </w:rPr>
        <w:t>2</w:t>
      </w:r>
      <w:r>
        <w:rPr/>
        <w:t>）预付经营租入固定资产的租金，按租赁合同规定的期限平均摊销；</w:t>
      </w:r>
    </w:p>
    <w:p>
      <w:pPr>
        <w:pStyle w:val="BodyText"/>
        <w:spacing w:line="331" w:lineRule="auto" w:before="148"/>
        <w:ind w:right="1136" w:firstLine="420"/>
        <w:jc w:val="both"/>
      </w:pPr>
      <w:r>
        <w:rPr/>
        <w:t>（</w:t>
      </w:r>
      <w:r>
        <w:rPr>
          <w:rFonts w:ascii="Times New Roman" w:hAnsi="Times New Roman" w:cs="Times New Roman" w:eastAsia="Times New Roman" w:hint="default"/>
        </w:rPr>
        <w:t>3</w:t>
      </w:r>
      <w:r>
        <w:rPr/>
        <w:t>）经营租赁方式租入的固定资产改良支出，按剩余租赁期与租赁资产尚可使用年限两者中较短的</w:t>
      </w:r>
      <w:r>
        <w:rPr>
          <w:w w:val="100"/>
        </w:rPr>
        <w:t> </w:t>
      </w:r>
      <w:r>
        <w:rPr/>
        <w:t>期限平均摊销。</w:t>
      </w:r>
    </w:p>
    <w:p>
      <w:pPr>
        <w:spacing w:line="240" w:lineRule="auto" w:before="9"/>
        <w:rPr>
          <w:rFonts w:ascii="宋体" w:hAnsi="宋体" w:cs="宋体" w:eastAsia="宋体" w:hint="default"/>
          <w:sz w:val="19"/>
          <w:szCs w:val="19"/>
        </w:rPr>
      </w:pPr>
    </w:p>
    <w:p>
      <w:pPr>
        <w:pStyle w:val="Heading3"/>
        <w:spacing w:line="240" w:lineRule="auto"/>
        <w:ind w:right="1133"/>
        <w:jc w:val="left"/>
        <w:rPr>
          <w:b w:val="0"/>
          <w:bCs w:val="0"/>
        </w:rPr>
      </w:pPr>
      <w:bookmarkStart w:name="25、职工薪酬" w:id="226"/>
      <w:bookmarkEnd w:id="226"/>
      <w:r>
        <w:rPr>
          <w:b w:val="0"/>
          <w:bCs w:val="0"/>
        </w:rPr>
      </w:r>
      <w:r>
        <w:rPr>
          <w:rFonts w:ascii="Times New Roman" w:hAnsi="Times New Roman" w:cs="Times New Roman" w:eastAsia="Times New Roman" w:hint="default"/>
        </w:rPr>
        <w:t>25</w:t>
      </w:r>
      <w:r>
        <w:rPr/>
        <w:t>、职工薪酬</w:t>
      </w:r>
      <w:r>
        <w:rPr>
          <w:b w:val="0"/>
          <w:bCs w:val="0"/>
        </w:rPr>
      </w:r>
    </w:p>
    <w:p>
      <w:pPr>
        <w:spacing w:line="698" w:lineRule="exact" w:before="10"/>
        <w:ind w:left="573" w:right="1133" w:hanging="421"/>
        <w:jc w:val="left"/>
        <w:rPr>
          <w:rFonts w:ascii="宋体" w:hAnsi="宋体" w:cs="宋体" w:eastAsia="宋体" w:hint="default"/>
          <w:sz w:val="21"/>
          <w:szCs w:val="21"/>
        </w:rPr>
      </w:pPr>
      <w:bookmarkStart w:name="（1）短期薪酬的会计处理方法"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短期薪酬是指公司在职工提供相关服务的年度报告期间结束后十二个月内需要全部予以支付的职工</w:t>
      </w:r>
    </w:p>
    <w:p>
      <w:pPr>
        <w:pStyle w:val="BodyText"/>
        <w:spacing w:line="350" w:lineRule="auto" w:before="16"/>
        <w:ind w:right="1129"/>
        <w:jc w:val="both"/>
      </w:pPr>
      <w:r>
        <w:rPr>
          <w:spacing w:val="-2"/>
        </w:rPr>
        <w:t>薪酬，离职后福利和辞退福利除外。公司在职工提供服务的会计期间，将应付的短期薪酬确认为负债，并</w:t>
      </w:r>
      <w:r>
        <w:rPr>
          <w:spacing w:val="-47"/>
        </w:rPr>
        <w:t> </w:t>
      </w:r>
      <w:r>
        <w:rPr>
          <w:spacing w:val="-47"/>
        </w:rPr>
      </w:r>
      <w:r>
        <w:rPr/>
        <w:t>根据职工提供服务的受益对象计入相关资产成本和费用。</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bookmarkStart w:name="（2）离职后福利的会计处理方法" w:id="228"/>
      <w:bookmarkEnd w:id="22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31"/>
          <w:szCs w:val="31"/>
        </w:rPr>
      </w:pPr>
    </w:p>
    <w:p>
      <w:pPr>
        <w:pStyle w:val="BodyText"/>
        <w:spacing w:line="350" w:lineRule="auto"/>
        <w:ind w:right="1126" w:firstLine="420"/>
        <w:jc w:val="both"/>
      </w:pPr>
      <w:r>
        <w:rPr>
          <w:spacing w:val="-2"/>
        </w:rPr>
        <w:t>离职后福利是指公司为获得职工提供的服务而在职工退休或与公司解除劳动关系后，提供的各种形式</w:t>
      </w:r>
      <w:r>
        <w:rPr>
          <w:w w:val="100"/>
        </w:rPr>
        <w:t> </w:t>
      </w:r>
      <w:r>
        <w:rPr/>
        <w:t>的报酬和福利，短期薪酬和辞退福利除外。</w:t>
      </w:r>
    </w:p>
    <w:p>
      <w:pPr>
        <w:pStyle w:val="BodyText"/>
        <w:spacing w:line="384" w:lineRule="auto" w:before="67"/>
        <w:ind w:left="573" w:right="1133"/>
        <w:jc w:val="left"/>
      </w:pPr>
      <w:r>
        <w:rPr/>
        <w:t>公司的离职后福利计划分类为设定提存计划和设定受益计划。</w:t>
      </w:r>
      <w:r>
        <w:rPr>
          <w:w w:val="100"/>
        </w:rPr>
        <w:t> </w:t>
      </w:r>
      <w:r>
        <w:rPr>
          <w:spacing w:val="-2"/>
        </w:rPr>
        <w:t>离职后福利设定提存计划主要为参加由各地劳动及社会保障机构组织实施的社会基本养老保险、失业</w:t>
      </w:r>
    </w:p>
    <w:p>
      <w:pPr>
        <w:pStyle w:val="BodyText"/>
        <w:spacing w:line="350" w:lineRule="auto"/>
        <w:ind w:right="1126"/>
        <w:jc w:val="both"/>
      </w:pPr>
      <w:r>
        <w:rPr>
          <w:spacing w:val="-2"/>
        </w:rPr>
        <w:t>保险等。在职工为公司提供服务的会计期间，将根据设定提存计划计算的应缴存金额确认为负债，并计入</w:t>
      </w:r>
      <w:r>
        <w:rPr>
          <w:spacing w:val="-43"/>
        </w:rPr>
        <w:t> </w:t>
      </w:r>
      <w:r>
        <w:rPr>
          <w:spacing w:val="-43"/>
        </w:rPr>
      </w:r>
      <w:r>
        <w:rPr/>
        <w:t>当期损益或相关资产成本。</w:t>
      </w:r>
    </w:p>
    <w:p>
      <w:pPr>
        <w:pStyle w:val="BodyText"/>
        <w:spacing w:line="240" w:lineRule="auto" w:before="67"/>
        <w:ind w:left="573" w:right="1133"/>
        <w:jc w:val="left"/>
      </w:pPr>
      <w:r>
        <w:rPr/>
        <w:t>公司按照国家规定的标准定期缴付上述款项后，不再有其他的支付义务。</w:t>
      </w:r>
    </w:p>
    <w:p>
      <w:pPr>
        <w:spacing w:line="700" w:lineRule="exact" w:before="22"/>
        <w:ind w:left="573" w:right="1133" w:hanging="421"/>
        <w:jc w:val="left"/>
        <w:rPr>
          <w:rFonts w:ascii="宋体" w:hAnsi="宋体" w:cs="宋体" w:eastAsia="宋体" w:hint="default"/>
          <w:sz w:val="21"/>
          <w:szCs w:val="21"/>
        </w:rPr>
      </w:pPr>
      <w:bookmarkStart w:name="（3）辞退福利的会计处理方法"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辞退福利是指公司在职工劳动合同到期之前解除与职工的劳动关系，或者为鼓励职工自愿接受裁减而</w:t>
      </w:r>
    </w:p>
    <w:p>
      <w:pPr>
        <w:pStyle w:val="BodyText"/>
        <w:spacing w:line="348" w:lineRule="auto" w:before="15"/>
        <w:ind w:right="1126"/>
        <w:jc w:val="both"/>
      </w:pPr>
      <w:r>
        <w:rPr>
          <w:spacing w:val="-2"/>
        </w:rPr>
        <w:t>给予职工的补偿，在公司不能单方面撤回解除劳动关系计划或裁减建议时和确认与涉及支付辞退福利的重</w:t>
      </w:r>
      <w:r>
        <w:rPr>
          <w:spacing w:val="-43"/>
        </w:rPr>
        <w:t> </w:t>
      </w:r>
      <w:r>
        <w:rPr>
          <w:spacing w:val="-43"/>
        </w:rPr>
      </w:r>
      <w:r>
        <w:rPr>
          <w:spacing w:val="-2"/>
        </w:rPr>
        <w:t>组相关的成本费用时两者孰早日，确认因解除与职工的劳动关系给予补偿而产生的负债，同时计入当期损</w:t>
      </w:r>
      <w:r>
        <w:rPr>
          <w:spacing w:val="-44"/>
        </w:rPr>
        <w:t> </w:t>
      </w:r>
      <w:r>
        <w:rPr>
          <w:spacing w:val="-44"/>
        </w:rPr>
      </w:r>
      <w:r>
        <w:rPr/>
        <w:t>益。</w:t>
      </w:r>
    </w:p>
    <w:p>
      <w:pPr>
        <w:pStyle w:val="BodyText"/>
        <w:spacing w:line="350" w:lineRule="auto" w:before="70"/>
        <w:ind w:right="1126" w:firstLine="420"/>
        <w:jc w:val="both"/>
      </w:pPr>
      <w:r>
        <w:rPr>
          <w:spacing w:val="-2"/>
        </w:rPr>
        <w:t>公司向接受内部退休安排的职工提供内退福利。内退福利是指，向未达到国家规定的退休年龄、经公</w:t>
      </w:r>
      <w:r>
        <w:rPr>
          <w:w w:val="100"/>
        </w:rPr>
        <w:t> </w:t>
      </w:r>
      <w:r>
        <w:rPr>
          <w:spacing w:val="-2"/>
        </w:rPr>
        <w:t>司管理层批准自愿退出工作岗位的职工支付的工资及为其缴纳的社会保险费等。公司自内部退休安排开始</w:t>
      </w:r>
      <w:r>
        <w:rPr>
          <w:spacing w:val="-43"/>
        </w:rPr>
        <w:t> </w:t>
      </w:r>
      <w:r>
        <w:rPr>
          <w:spacing w:val="-43"/>
        </w:rPr>
      </w:r>
      <w:r>
        <w:rPr>
          <w:spacing w:val="-2"/>
        </w:rPr>
        <w:t>之日起至职工达到正常退休年龄止，向内退职工支付内部退养福利。对于内退福利，公司比照辞退福利进</w:t>
      </w:r>
      <w:r>
        <w:rPr>
          <w:spacing w:val="-43"/>
        </w:rPr>
        <w:t> </w:t>
      </w:r>
      <w:r>
        <w:rPr>
          <w:spacing w:val="-43"/>
        </w:rPr>
      </w:r>
      <w:r>
        <w:rPr>
          <w:spacing w:val="-2"/>
        </w:rPr>
        <w:t>行会计处理，在符合辞退福利相关确认条件时，将自职工停止提供服务日至正常退休日期间拟支付的内退</w:t>
      </w:r>
      <w:r>
        <w:rPr>
          <w:spacing w:val="-44"/>
        </w:rPr>
        <w:t> </w:t>
      </w:r>
      <w:r>
        <w:rPr>
          <w:spacing w:val="-44"/>
        </w:rPr>
      </w:r>
      <w:r>
        <w:rPr>
          <w:spacing w:val="-2"/>
        </w:rPr>
        <w:t>职工工资和缴纳的社会保险费等，确认为负债，一次性计入当期损益。内退福利的精算假设变化及福利标</w:t>
      </w:r>
      <w:r>
        <w:rPr>
          <w:spacing w:val="-42"/>
        </w:rPr>
        <w:t> </w:t>
      </w:r>
      <w:r>
        <w:rPr>
          <w:spacing w:val="-42"/>
        </w:rPr>
      </w:r>
      <w:r>
        <w:rPr/>
        <w:t>准调整引起的差异于发生时计入当期损益。</w:t>
      </w:r>
    </w:p>
    <w:p>
      <w:pPr>
        <w:spacing w:after="0" w:line="350"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4）其他长期职工福利的会计处理方法" w:id="230"/>
      <w:bookmarkEnd w:id="23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31"/>
          <w:szCs w:val="31"/>
        </w:rPr>
      </w:pPr>
    </w:p>
    <w:p>
      <w:pPr>
        <w:pStyle w:val="BodyText"/>
        <w:spacing w:line="384" w:lineRule="auto"/>
        <w:ind w:left="573" w:right="1133"/>
        <w:jc w:val="left"/>
      </w:pPr>
      <w:r>
        <w:rPr/>
        <w:t>其他长期职工福利是指除短期薪酬、离职后福利、辞退福利之外的其他所有职工福利。</w:t>
      </w:r>
      <w:r>
        <w:rPr>
          <w:w w:val="100"/>
        </w:rPr>
        <w:t> </w:t>
      </w:r>
      <w:r>
        <w:rPr>
          <w:spacing w:val="-2"/>
        </w:rPr>
        <w:t>对符合设定提存计划条件的其他长期职工福利，在职工为公司提供服务的会计期间，将应缴存金额确</w:t>
      </w:r>
    </w:p>
    <w:p>
      <w:pPr>
        <w:pStyle w:val="BodyText"/>
        <w:spacing w:line="348" w:lineRule="auto"/>
        <w:ind w:right="1126"/>
        <w:jc w:val="both"/>
      </w:pPr>
      <w:r>
        <w:rPr>
          <w:spacing w:val="-2"/>
        </w:rPr>
        <w:t>认为负债，并计入当期损益或相关资产成本；除上述情形外的其他长期职工福利，在资产负债表日使用预</w:t>
      </w:r>
      <w:r>
        <w:rPr>
          <w:spacing w:val="-44"/>
        </w:rPr>
        <w:t> </w:t>
      </w:r>
      <w:r>
        <w:rPr>
          <w:spacing w:val="-44"/>
        </w:rPr>
      </w:r>
      <w:r>
        <w:rPr>
          <w:spacing w:val="-2"/>
        </w:rPr>
        <w:t>期累计福利单位法进行精算，将设定受益计划产生的福利义务归属于职工提供服务的期间，并计入当期损</w:t>
      </w:r>
      <w:r>
        <w:rPr>
          <w:spacing w:val="-43"/>
        </w:rPr>
        <w:t> </w:t>
      </w:r>
      <w:r>
        <w:rPr>
          <w:spacing w:val="-43"/>
        </w:rPr>
      </w:r>
      <w:r>
        <w:rPr/>
        <w:t>益或相关资产成本。</w:t>
      </w:r>
    </w:p>
    <w:p>
      <w:pPr>
        <w:spacing w:line="240" w:lineRule="auto" w:before="7"/>
        <w:rPr>
          <w:rFonts w:ascii="宋体" w:hAnsi="宋体" w:cs="宋体" w:eastAsia="宋体" w:hint="default"/>
          <w:sz w:val="18"/>
          <w:szCs w:val="18"/>
        </w:rPr>
      </w:pPr>
    </w:p>
    <w:p>
      <w:pPr>
        <w:pStyle w:val="Heading3"/>
        <w:spacing w:line="240" w:lineRule="auto"/>
        <w:ind w:right="0"/>
        <w:jc w:val="both"/>
        <w:rPr>
          <w:b w:val="0"/>
          <w:bCs w:val="0"/>
        </w:rPr>
      </w:pPr>
      <w:bookmarkStart w:name="26、预计负债" w:id="231"/>
      <w:bookmarkEnd w:id="231"/>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4"/>
        <w:rPr>
          <w:rFonts w:ascii="宋体" w:hAnsi="宋体" w:cs="宋体" w:eastAsia="宋体" w:hint="default"/>
          <w:b/>
          <w:bCs/>
          <w:sz w:val="31"/>
          <w:szCs w:val="31"/>
        </w:rPr>
      </w:pPr>
    </w:p>
    <w:p>
      <w:pPr>
        <w:pStyle w:val="BodyText"/>
        <w:spacing w:line="384" w:lineRule="auto"/>
        <w:ind w:left="573" w:right="3554"/>
        <w:jc w:val="left"/>
      </w:pPr>
      <w:r>
        <w:rPr>
          <w:rFonts w:ascii="宋体" w:hAnsi="宋体" w:cs="宋体" w:eastAsia="宋体" w:hint="default"/>
        </w:rPr>
        <w:t>1.</w:t>
      </w:r>
      <w:r>
        <w:rPr/>
        <w:t>预计负债的确认标准</w:t>
      </w:r>
      <w:r>
        <w:rPr>
          <w:w w:val="100"/>
        </w:rPr>
        <w:t> </w:t>
      </w:r>
      <w:r>
        <w:rPr>
          <w:spacing w:val="-2"/>
        </w:rPr>
        <w:t>与或有事项相关的义务同时满足下列条件时，公司确认为预计负债：</w:t>
      </w:r>
      <w:r>
        <w:rPr>
          <w:spacing w:val="-48"/>
        </w:rPr>
        <w:t> </w:t>
      </w:r>
      <w:r>
        <w:rPr>
          <w:spacing w:val="-48"/>
        </w:rPr>
      </w:r>
      <w:r>
        <w:rPr/>
        <w:t>该义务是公司承担的现时义务；</w:t>
      </w:r>
      <w:r>
        <w:rPr>
          <w:w w:val="100"/>
        </w:rPr>
        <w:t> </w:t>
      </w:r>
      <w:r>
        <w:rPr/>
        <w:t>履行该义务很可能导致经济利益流出公司；</w:t>
      </w:r>
      <w:r>
        <w:rPr>
          <w:w w:val="100"/>
        </w:rPr>
        <w:t> </w:t>
      </w:r>
      <w:r>
        <w:rPr/>
        <w:t>该义务的金额能够可靠地计量。</w:t>
      </w:r>
    </w:p>
    <w:p>
      <w:pPr>
        <w:pStyle w:val="BodyText"/>
        <w:spacing w:line="384" w:lineRule="auto" w:before="40"/>
        <w:ind w:left="573" w:right="2602"/>
        <w:jc w:val="left"/>
      </w:pPr>
      <w:r>
        <w:rPr>
          <w:rFonts w:ascii="宋体" w:hAnsi="宋体" w:cs="宋体" w:eastAsia="宋体" w:hint="default"/>
        </w:rPr>
        <w:t>2.</w:t>
      </w:r>
      <w:r>
        <w:rPr/>
        <w:t>预计负债的计量方法</w:t>
      </w:r>
      <w:r>
        <w:rPr>
          <w:w w:val="100"/>
        </w:rPr>
        <w:t> </w:t>
      </w:r>
      <w:r>
        <w:rPr>
          <w:spacing w:val="-2"/>
        </w:rPr>
        <w:t>公司预计负债按履行相关现时义务所需的支出的最佳估计数进行初始计量。</w:t>
      </w:r>
    </w:p>
    <w:p>
      <w:pPr>
        <w:pStyle w:val="BodyText"/>
        <w:spacing w:line="350" w:lineRule="auto" w:before="38"/>
        <w:ind w:right="1133" w:firstLine="420"/>
        <w:jc w:val="left"/>
      </w:pPr>
      <w:r>
        <w:rPr>
          <w:spacing w:val="-2"/>
        </w:rPr>
        <w:t>公司在确定最佳估计数时，综合考虑与或有事项有关的风险、不确定性和货币时间价值等因素。对于</w:t>
      </w:r>
      <w:r>
        <w:rPr>
          <w:w w:val="100"/>
        </w:rPr>
        <w:t> </w:t>
      </w:r>
      <w:r>
        <w:rPr/>
        <w:t>货币时间价值影响重大的，通过对相关未来现金流出进行折现后确定最佳估计数。</w:t>
      </w:r>
    </w:p>
    <w:p>
      <w:pPr>
        <w:pStyle w:val="BodyText"/>
        <w:spacing w:line="386" w:lineRule="auto" w:before="68"/>
        <w:ind w:left="573" w:right="1133"/>
        <w:jc w:val="left"/>
      </w:pP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386" w:lineRule="auto"/>
        <w:ind w:left="573" w:right="1133"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350" w:lineRule="auto"/>
        <w:ind w:right="1133"/>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350" w:lineRule="auto" w:before="67"/>
        <w:ind w:right="1133" w:firstLine="420"/>
        <w:jc w:val="left"/>
      </w:pPr>
      <w:r>
        <w:rPr>
          <w:spacing w:val="-2"/>
        </w:rPr>
        <w:t>公司清偿预计负债所需支出全部或部分预期由第三方补偿的，补偿金额在基本确定能够收到时，作为</w:t>
      </w:r>
      <w:r>
        <w:rPr>
          <w:w w:val="100"/>
        </w:rPr>
        <w:t> </w:t>
      </w:r>
      <w:r>
        <w:rPr/>
        <w:t>资产单独确认，确认的补偿金额不超过预计负债的账面价值。</w:t>
      </w:r>
    </w:p>
    <w:p>
      <w:pPr>
        <w:spacing w:line="240" w:lineRule="auto" w:before="6"/>
        <w:rPr>
          <w:rFonts w:ascii="宋体" w:hAnsi="宋体" w:cs="宋体" w:eastAsia="宋体" w:hint="default"/>
          <w:sz w:val="18"/>
          <w:szCs w:val="18"/>
        </w:rPr>
      </w:pPr>
    </w:p>
    <w:p>
      <w:pPr>
        <w:pStyle w:val="Heading3"/>
        <w:spacing w:line="240" w:lineRule="auto"/>
        <w:ind w:right="0"/>
        <w:jc w:val="both"/>
        <w:rPr>
          <w:b w:val="0"/>
          <w:bCs w:val="0"/>
        </w:rPr>
      </w:pPr>
      <w:bookmarkStart w:name="27、股份支付" w:id="232"/>
      <w:bookmarkEnd w:id="232"/>
      <w:r>
        <w:rPr>
          <w:b w:val="0"/>
          <w:bCs w:val="0"/>
        </w:rPr>
      </w:r>
      <w:r>
        <w:rPr>
          <w:rFonts w:ascii="Times New Roman" w:hAnsi="Times New Roman" w:cs="Times New Roman" w:eastAsia="Times New Roman" w:hint="default"/>
        </w:rPr>
        <w:t>27</w:t>
      </w:r>
      <w:r>
        <w:rPr/>
        <w:t>、股份支付</w:t>
      </w:r>
      <w:r>
        <w:rPr>
          <w:b w:val="0"/>
          <w:bCs w:val="0"/>
        </w:rPr>
      </w:r>
    </w:p>
    <w:p>
      <w:pPr>
        <w:spacing w:line="240" w:lineRule="auto" w:before="4"/>
        <w:rPr>
          <w:rFonts w:ascii="宋体" w:hAnsi="宋体" w:cs="宋体" w:eastAsia="宋体" w:hint="default"/>
          <w:b/>
          <w:bCs/>
          <w:sz w:val="31"/>
          <w:szCs w:val="31"/>
        </w:rPr>
      </w:pPr>
    </w:p>
    <w:p>
      <w:pPr>
        <w:spacing w:line="340" w:lineRule="auto" w:before="0"/>
        <w:ind w:left="573" w:right="26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公司的股份支付分为以权益结算的股份支付和以现金结算的股份支付。</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350" w:lineRule="auto" w:before="10"/>
        <w:ind w:right="1133" w:firstLine="420"/>
        <w:jc w:val="left"/>
      </w:pPr>
      <w:r>
        <w:rPr>
          <w:spacing w:val="-2"/>
        </w:rPr>
        <w:t>对于授予的存在活跃市场的期权等权益工具，按照活跃市场中的报价确定其公允价值。对于授予的不</w:t>
      </w:r>
      <w:r>
        <w:rPr>
          <w:w w:val="100"/>
        </w:rPr>
        <w:t> </w:t>
      </w:r>
      <w:r>
        <w:rPr>
          <w:spacing w:val="-2"/>
        </w:rPr>
        <w:t>存在活跃市场的期权等权益工具，采用期权定价模型等确定其公允价值，选用的期权定价模型考虑以下因</w:t>
      </w:r>
    </w:p>
    <w:p>
      <w:pPr>
        <w:spacing w:after="0" w:line="35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31" w:lineRule="auto" w:before="36"/>
        <w:ind w:right="982"/>
        <w:jc w:val="left"/>
      </w:pPr>
      <w:r>
        <w:rPr>
          <w:spacing w:val="-6"/>
        </w:rPr>
        <w:t>素：（</w:t>
      </w:r>
      <w:r>
        <w:rPr>
          <w:rFonts w:ascii="Times New Roman" w:hAnsi="Times New Roman" w:cs="Times New Roman" w:eastAsia="Times New Roman" w:hint="default"/>
          <w:spacing w:val="-6"/>
        </w:rPr>
        <w:t>1</w:t>
      </w:r>
      <w:r>
        <w:rPr>
          <w:spacing w:val="-6"/>
        </w:rPr>
        <w:t>）期权的行权价格；（</w:t>
      </w:r>
      <w:r>
        <w:rPr>
          <w:rFonts w:ascii="Times New Roman" w:hAnsi="Times New Roman" w:cs="Times New Roman" w:eastAsia="Times New Roman" w:hint="default"/>
          <w:spacing w:val="-6"/>
        </w:rPr>
        <w:t>2</w:t>
      </w:r>
      <w:r>
        <w:rPr>
          <w:spacing w:val="-6"/>
        </w:rPr>
        <w:t>）期权的有效期；（</w:t>
      </w:r>
      <w:r>
        <w:rPr>
          <w:rFonts w:ascii="Times New Roman" w:hAnsi="Times New Roman" w:cs="Times New Roman" w:eastAsia="Times New Roman" w:hint="default"/>
          <w:spacing w:val="-6"/>
        </w:rPr>
        <w:t>3</w:t>
      </w:r>
      <w:r>
        <w:rPr>
          <w:spacing w:val="-6"/>
        </w:rPr>
        <w:t>）标的股份的现行价格；（</w:t>
      </w:r>
      <w:r>
        <w:rPr>
          <w:rFonts w:ascii="Times New Roman" w:hAnsi="Times New Roman" w:cs="Times New Roman" w:eastAsia="Times New Roman" w:hint="default"/>
          <w:spacing w:val="-6"/>
        </w:rPr>
        <w:t>4</w:t>
      </w:r>
      <w:r>
        <w:rPr>
          <w:spacing w:val="-6"/>
        </w:rPr>
        <w:t>）股价预计波动率；（</w:t>
      </w:r>
      <w:r>
        <w:rPr>
          <w:rFonts w:ascii="Times New Roman" w:hAnsi="Times New Roman" w:cs="Times New Roman" w:eastAsia="Times New Roman" w:hint="default"/>
          <w:spacing w:val="-6"/>
        </w:rPr>
        <w:t>5</w:t>
      </w:r>
      <w:r>
        <w:rPr>
          <w:spacing w:val="-6"/>
        </w:rPr>
        <w:t>）</w:t>
      </w:r>
      <w:r>
        <w:rPr>
          <w:spacing w:val="-48"/>
        </w:rPr>
        <w:t> </w:t>
      </w:r>
      <w:r>
        <w:rPr/>
        <w:t>股份的预计股利；（</w:t>
      </w:r>
      <w:r>
        <w:rPr>
          <w:rFonts w:ascii="Times New Roman" w:hAnsi="Times New Roman" w:cs="Times New Roman" w:eastAsia="Times New Roman" w:hint="default"/>
        </w:rPr>
        <w:t>6</w:t>
      </w:r>
      <w:r>
        <w:rPr/>
        <w:t>）期权有效期内的无风险利率。</w:t>
      </w:r>
    </w:p>
    <w:p>
      <w:pPr>
        <w:pStyle w:val="BodyText"/>
        <w:spacing w:line="350" w:lineRule="auto" w:before="19"/>
        <w:ind w:right="1126" w:firstLine="420"/>
        <w:jc w:val="both"/>
      </w:pPr>
      <w:r>
        <w:rPr>
          <w:spacing w:val="-2"/>
        </w:rPr>
        <w:t>在确定权益工具授予日的公允价值时，考虑股份支付协议规定的可行权条件中的市场条件和非可行权</w:t>
      </w:r>
      <w:r>
        <w:rPr>
          <w:w w:val="100"/>
        </w:rPr>
        <w:t> </w:t>
      </w:r>
      <w:r>
        <w:rPr>
          <w:spacing w:val="-7"/>
        </w:rPr>
        <w:t>条件的影响。股份支付存在非可行权条件的，只要职工或其他方满足了所有可行权条件中的非市场条件（如</w:t>
      </w:r>
      <w:r>
        <w:rPr>
          <w:spacing w:val="-17"/>
        </w:rPr>
        <w:t> </w:t>
      </w:r>
      <w:r>
        <w:rPr>
          <w:spacing w:val="-17"/>
        </w:rPr>
      </w:r>
      <w:r>
        <w:rPr/>
        <w:t>服务期限等），即确认已得到服务相对应的成本费用。</w:t>
      </w:r>
    </w:p>
    <w:p>
      <w:pPr>
        <w:spacing w:line="331" w:lineRule="auto" w:before="27"/>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等待期内每个资产负债表日，根据最新取得的可行权职工人数变动等后续信息作出最佳估计，修正预</w:t>
      </w:r>
    </w:p>
    <w:p>
      <w:pPr>
        <w:pStyle w:val="BodyText"/>
        <w:spacing w:line="340" w:lineRule="auto" w:before="46"/>
        <w:ind w:left="573" w:right="1133" w:hanging="421"/>
        <w:jc w:val="left"/>
      </w:pPr>
      <w:r>
        <w:rPr/>
        <w:t>计可行权的权益工具数量。在可行权日，最终预计可行权权益工具的数量与实际可行权数量一致。</w:t>
      </w:r>
      <w:r>
        <w:rPr>
          <w:w w:val="100"/>
        </w:rPr>
        <w:t> </w:t>
      </w: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100"/>
        </w:rPr>
        <w:t> </w:t>
      </w:r>
      <w:r>
        <w:rPr>
          <w:spacing w:val="-2"/>
        </w:rPr>
        <w:t>以权益结算的股份支付，按授予职工权益工具的公允价值计量。授予后立即可行权的，在授予日按照</w:t>
      </w:r>
    </w:p>
    <w:p>
      <w:pPr>
        <w:pStyle w:val="BodyText"/>
        <w:spacing w:line="350" w:lineRule="auto" w:before="37"/>
        <w:ind w:right="1126"/>
        <w:jc w:val="both"/>
      </w:pPr>
      <w:r>
        <w:rPr>
          <w:spacing w:val="-2"/>
        </w:rPr>
        <w:t>权益工具的公允价值计入相关成本或费用，相应增加资本公积。在完成等待期内的服务或达到规定业绩条</w:t>
      </w:r>
      <w:r>
        <w:rPr>
          <w:spacing w:val="-44"/>
        </w:rPr>
        <w:t> </w:t>
      </w:r>
      <w:r>
        <w:rPr>
          <w:spacing w:val="-44"/>
        </w:rPr>
      </w:r>
      <w:r>
        <w:rPr>
          <w:spacing w:val="-2"/>
        </w:rPr>
        <w:t>件才可行权的，在等待期内的每个资产负债表日，以对可行权权益工具数量的最佳估计为基础，按照权益</w:t>
      </w:r>
      <w:r>
        <w:rPr>
          <w:spacing w:val="-43"/>
        </w:rPr>
        <w:t> </w:t>
      </w:r>
      <w:r>
        <w:rPr>
          <w:spacing w:val="-43"/>
        </w:rPr>
      </w:r>
      <w:r>
        <w:rPr>
          <w:spacing w:val="-2"/>
        </w:rPr>
        <w:t>工具授予日的公允价值，将当期取得的服务计入相关成本或费用和资本公积。在可行权日之后不再对已确</w:t>
      </w:r>
      <w:r>
        <w:rPr>
          <w:spacing w:val="-43"/>
        </w:rPr>
        <w:t> </w:t>
      </w:r>
      <w:r>
        <w:rPr>
          <w:spacing w:val="-43"/>
        </w:rPr>
      </w:r>
      <w:r>
        <w:rPr/>
        <w:t>认的相关成本或费用和所有者权益总额进行调整。</w:t>
      </w:r>
    </w:p>
    <w:p>
      <w:pPr>
        <w:pStyle w:val="BodyText"/>
        <w:spacing w:line="350" w:lineRule="auto" w:before="27"/>
        <w:ind w:right="1126" w:firstLine="420"/>
        <w:jc w:val="both"/>
      </w:pPr>
      <w:r>
        <w:rPr>
          <w:spacing w:val="-2"/>
        </w:rPr>
        <w:t>以现金结算的股份支付，按照公司承担的以股份或其他权益工具为基础计算确定的负债的公允价值计</w:t>
      </w:r>
      <w:r>
        <w:rPr>
          <w:w w:val="100"/>
        </w:rPr>
        <w:t> </w:t>
      </w:r>
      <w:r>
        <w:rPr>
          <w:spacing w:val="-2"/>
        </w:rPr>
        <w:t>量。授予后立即可行权的，在授予日以公司承担负债的公允价值计入相关成本或费用，相应增加负债。在</w:t>
      </w:r>
      <w:r>
        <w:rPr>
          <w:spacing w:val="-47"/>
        </w:rPr>
        <w:t> </w:t>
      </w:r>
      <w:r>
        <w:rPr>
          <w:spacing w:val="-47"/>
        </w:rPr>
      </w:r>
      <w:r>
        <w:rPr>
          <w:spacing w:val="-2"/>
        </w:rPr>
        <w:t>完成等待期内的服务或达到规定业绩条件以后才可行权的以现金结算的股份支付，在等待期内的每个资产</w:t>
      </w:r>
      <w:r>
        <w:rPr>
          <w:spacing w:val="-43"/>
        </w:rPr>
        <w:t> </w:t>
      </w:r>
      <w:r>
        <w:rPr>
          <w:spacing w:val="-43"/>
        </w:rPr>
      </w:r>
      <w:r>
        <w:rPr>
          <w:spacing w:val="-2"/>
        </w:rPr>
        <w:t>负债表日，以对可行权情况的最佳估计为基础，按照公司承担负债的公允价值金额，将当期取得的服务计</w:t>
      </w:r>
      <w:r>
        <w:rPr>
          <w:spacing w:val="-44"/>
        </w:rPr>
        <w:t> </w:t>
      </w:r>
      <w:r>
        <w:rPr>
          <w:spacing w:val="-44"/>
        </w:rPr>
      </w:r>
      <w:r>
        <w:rPr>
          <w:spacing w:val="-2"/>
        </w:rPr>
        <w:t>入成本或费用和相应的负债。在相关负债结算前的每个资产负债表日以及结算日，对负债的公允价值重新</w:t>
      </w:r>
      <w:r>
        <w:rPr>
          <w:spacing w:val="-43"/>
        </w:rPr>
        <w:t> </w:t>
      </w:r>
      <w:r>
        <w:rPr>
          <w:spacing w:val="-43"/>
        </w:rPr>
      </w:r>
      <w:r>
        <w:rPr/>
        <w:t>计量，其变动计入当期损益。</w:t>
      </w:r>
    </w:p>
    <w:p>
      <w:pPr>
        <w:pStyle w:val="BodyText"/>
        <w:spacing w:line="348" w:lineRule="auto" w:before="67"/>
        <w:ind w:right="1126" w:firstLine="420"/>
        <w:jc w:val="both"/>
      </w:pPr>
      <w:r>
        <w:rPr>
          <w:spacing w:val="-2"/>
        </w:rPr>
        <w:t>若在等待期内取消了授予的权益工具，公司对取消所授予的权益性工具作为加速行权处理，将剩余等</w:t>
      </w:r>
      <w:r>
        <w:rPr>
          <w:w w:val="100"/>
        </w:rPr>
        <w:t> </w:t>
      </w:r>
      <w:r>
        <w:rPr>
          <w:spacing w:val="-2"/>
        </w:rPr>
        <w:t>待期内应确认的金额立即计入当期损益，同时确认资本公积。职工或其他方能够选择满足非可行权条件但</w:t>
      </w:r>
      <w:r>
        <w:rPr>
          <w:spacing w:val="-42"/>
        </w:rPr>
        <w:t> </w:t>
      </w:r>
      <w:r>
        <w:rPr>
          <w:spacing w:val="-42"/>
        </w:rPr>
      </w:r>
      <w:r>
        <w:rPr/>
        <w:t>在等待期内未满足的，公司将其作为授予权益工具的取消处理。</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bookmarkStart w:name="28、收入" w:id="233"/>
      <w:bookmarkEnd w:id="233"/>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收入确认和计量所采用的会计政策</w:t>
      </w:r>
    </w:p>
    <w:p>
      <w:pPr>
        <w:spacing w:line="328" w:lineRule="auto" w:before="107"/>
        <w:ind w:left="573" w:right="1133" w:firstLine="2"/>
        <w:jc w:val="left"/>
        <w:rPr>
          <w:rFonts w:ascii="宋体" w:hAnsi="宋体" w:cs="宋体" w:eastAsia="宋体" w:hint="default"/>
          <w:sz w:val="21"/>
          <w:szCs w:val="21"/>
        </w:rPr>
      </w:pPr>
      <w:bookmarkStart w:name="1.销售商品收入确认时间的具体判断标准" w:id="234"/>
      <w:bookmarkEnd w:id="23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350" w:lineRule="auto" w:before="48"/>
        <w:ind w:right="982"/>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350" w:lineRule="auto" w:before="27"/>
        <w:ind w:right="1126" w:firstLine="420"/>
        <w:jc w:val="both"/>
      </w:pPr>
      <w:r>
        <w:rPr>
          <w:spacing w:val="-2"/>
        </w:rPr>
        <w:t>合同或协议价款的收取采用递延方式，实质上具有融资性质的，按照应收的合同或协议价款的公允价</w:t>
      </w:r>
      <w:r>
        <w:rPr>
          <w:w w:val="100"/>
        </w:rPr>
        <w:t> </w:t>
      </w:r>
      <w:r>
        <w:rPr/>
        <w:t>值确定销售商品收入金额。</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spacing w:line="331" w:lineRule="auto" w:before="36"/>
        <w:ind w:left="573" w:right="1133" w:firstLine="2"/>
        <w:jc w:val="left"/>
        <w:rPr>
          <w:rFonts w:ascii="宋体" w:hAnsi="宋体" w:cs="宋体" w:eastAsia="宋体" w:hint="default"/>
          <w:sz w:val="21"/>
          <w:szCs w:val="21"/>
        </w:rPr>
      </w:pPr>
      <w:bookmarkStart w:name="2.确认让渡资产使用权收入的依据" w:id="235"/>
      <w:bookmarkEnd w:id="2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40" w:lineRule="auto" w:before="43"/>
        <w:ind w:right="0"/>
        <w:jc w:val="both"/>
      </w:pPr>
      <w:r>
        <w:rPr/>
        <w:t>使用权收入金额：</w:t>
      </w:r>
    </w:p>
    <w:p>
      <w:pPr>
        <w:pStyle w:val="BodyText"/>
        <w:spacing w:line="240" w:lineRule="auto" w:before="126"/>
        <w:ind w:left="573"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28" w:lineRule="auto" w:before="110"/>
        <w:ind w:left="573"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r>
        <w:rPr>
          <w:w w:val="100"/>
        </w:rPr>
        <w:t> </w:t>
      </w:r>
      <w:bookmarkStart w:name="3.提供劳务收入的确认依据和方法" w:id="236"/>
      <w:bookmarkEnd w:id="236"/>
      <w:r>
        <w:rPr>
          <w:w w:val="100"/>
        </w:rPr>
      </w:r>
      <w:r>
        <w:rPr>
          <w:rFonts w:ascii="Times New Roman" w:hAnsi="Times New Roman" w:cs="Times New Roman" w:eastAsia="Times New Roman" w:hint="default"/>
          <w:b/>
          <w:bCs/>
        </w:rPr>
        <w:t>3.</w:t>
      </w:r>
      <w:r>
        <w:rPr>
          <w:rFonts w:ascii="宋体" w:hAnsi="宋体" w:cs="宋体" w:eastAsia="宋体" w:hint="default"/>
          <w:b/>
          <w:bCs/>
        </w:rPr>
        <w:t>提供劳务收入的确认依据和方法</w:t>
      </w:r>
      <w:r>
        <w:rPr>
          <w:rFonts w:ascii="宋体" w:hAnsi="宋体" w:cs="宋体" w:eastAsia="宋体" w:hint="default"/>
          <w:b/>
          <w:bCs/>
          <w:w w:val="100"/>
        </w:rPr>
        <w:t> </w:t>
      </w:r>
      <w:r>
        <w:rPr>
          <w:spacing w:val="-2"/>
        </w:rPr>
        <w:t>在资产负债表日提供劳务交易的结果能够可靠估计的，采用完工百分比法确认提供劳务收入。提供劳</w:t>
      </w:r>
    </w:p>
    <w:p>
      <w:pPr>
        <w:pStyle w:val="BodyText"/>
        <w:spacing w:line="348" w:lineRule="auto" w:before="48"/>
        <w:ind w:left="573" w:right="1133" w:hanging="421"/>
        <w:jc w:val="left"/>
      </w:pPr>
      <w:r>
        <w:rPr>
          <w:spacing w:val="-2"/>
        </w:rPr>
        <w:t>务交易的完工进度，依据已经发生的成本占估计总成本的比例确定。</w:t>
      </w:r>
      <w:r>
        <w:rPr>
          <w:spacing w:val="-48"/>
        </w:rPr>
        <w:t> </w:t>
      </w:r>
      <w:r>
        <w:rPr>
          <w:spacing w:val="-48"/>
        </w:rPr>
      </w:r>
      <w:r>
        <w:rPr/>
        <w:t>提供劳务交易的结果能够可靠估计，是指同时满足下列条件：</w:t>
      </w:r>
    </w:p>
    <w:p>
      <w:pPr>
        <w:pStyle w:val="BodyText"/>
        <w:spacing w:line="240" w:lineRule="auto" w:before="32"/>
        <w:ind w:left="573" w:right="1133"/>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0"/>
        <w:ind w:left="573" w:right="113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07"/>
        <w:ind w:left="573" w:right="1133"/>
        <w:jc w:val="left"/>
      </w:pPr>
      <w:r>
        <w:rPr/>
        <w:t>（</w:t>
      </w:r>
      <w:r>
        <w:rPr>
          <w:rFonts w:ascii="Times New Roman" w:hAnsi="Times New Roman" w:cs="Times New Roman" w:eastAsia="Times New Roman" w:hint="default"/>
        </w:rPr>
        <w:t>3</w:t>
      </w:r>
      <w:r>
        <w:rPr/>
        <w:t>）交易的完工进度能够可靠地确定；</w:t>
      </w:r>
    </w:p>
    <w:p>
      <w:pPr>
        <w:pStyle w:val="BodyText"/>
        <w:spacing w:line="331" w:lineRule="auto" w:before="110"/>
        <w:ind w:left="573" w:right="1133"/>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按照已收或应收的合同或协议价款确定提供劳务收入总额，但已收或应收的合同或协议价款不公允的</w:t>
      </w:r>
    </w:p>
    <w:p>
      <w:pPr>
        <w:pStyle w:val="BodyText"/>
        <w:spacing w:line="350" w:lineRule="auto" w:before="43"/>
        <w:ind w:right="112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3"/>
        </w:rPr>
        <w:t> </w:t>
      </w:r>
      <w:r>
        <w:rPr>
          <w:spacing w:val="-43"/>
        </w:rPr>
      </w:r>
      <w:r>
        <w:rPr/>
        <w:t>认劳务成本后的金额，结转当期劳务成本。</w:t>
      </w:r>
    </w:p>
    <w:p>
      <w:pPr>
        <w:pStyle w:val="BodyText"/>
        <w:spacing w:line="240" w:lineRule="auto" w:before="27"/>
        <w:ind w:left="573" w:right="1133"/>
        <w:jc w:val="left"/>
      </w:pPr>
      <w:r>
        <w:rPr/>
        <w:t>在资产负债表日提供劳务交易结果不能够可靠估计的，分别下列情况处理：</w:t>
      </w:r>
    </w:p>
    <w:p>
      <w:pPr>
        <w:pStyle w:val="BodyText"/>
        <w:spacing w:line="331" w:lineRule="auto" w:before="126"/>
        <w:ind w:right="1133"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w:t>
      </w:r>
      <w:r>
        <w:rPr>
          <w:w w:val="100"/>
        </w:rPr>
        <w:t> </w:t>
      </w:r>
      <w:r>
        <w:rPr/>
        <w:t>并按相同金额结转劳务成本。</w:t>
      </w:r>
    </w:p>
    <w:p>
      <w:pPr>
        <w:pStyle w:val="BodyText"/>
        <w:spacing w:line="331" w:lineRule="auto" w:before="43"/>
        <w:ind w:right="1133"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w:t>
      </w:r>
      <w:r>
        <w:rPr>
          <w:w w:val="100"/>
        </w:rPr>
        <w:t> </w:t>
      </w:r>
      <w:r>
        <w:rPr/>
        <w:t>供劳务收入。</w:t>
      </w:r>
    </w:p>
    <w:p>
      <w:pPr>
        <w:pStyle w:val="BodyText"/>
        <w:spacing w:line="350" w:lineRule="auto" w:before="46"/>
        <w:ind w:right="1126" w:firstLine="420"/>
        <w:jc w:val="both"/>
      </w:pPr>
      <w:r>
        <w:rPr>
          <w:spacing w:val="-2"/>
        </w:rPr>
        <w:t>公司与其他企业签订的合同或协议包括销售商品和提供劳务时，销售商品部分和提供劳务部分能够区</w:t>
      </w:r>
      <w:r>
        <w:rPr>
          <w:w w:val="100"/>
        </w:rPr>
        <w:t> </w:t>
      </w:r>
      <w:r>
        <w:rPr>
          <w:spacing w:val="-2"/>
        </w:rPr>
        <w:t>分且能够单独计量的，将销售商品的部分作为销售商品处理，将提供劳务的部分作为提供劳务处理。销售</w:t>
      </w:r>
      <w:r>
        <w:rPr>
          <w:spacing w:val="-44"/>
        </w:rPr>
        <w:t> </w:t>
      </w:r>
      <w:r>
        <w:rPr>
          <w:spacing w:val="-44"/>
        </w:rPr>
      </w:r>
      <w:r>
        <w:rPr>
          <w:spacing w:val="-2"/>
        </w:rPr>
        <w:t>商品部分和提供劳务部分不能够区分，或虽能区分但不能够单独计量的，将销售商品部分和提供劳务部分</w:t>
      </w:r>
      <w:r>
        <w:rPr>
          <w:spacing w:val="-44"/>
        </w:rPr>
        <w:t> </w:t>
      </w:r>
      <w:r>
        <w:rPr>
          <w:spacing w:val="-44"/>
        </w:rPr>
      </w:r>
      <w:r>
        <w:rPr/>
        <w:t>全部作为销售商品处理。</w:t>
      </w:r>
    </w:p>
    <w:p>
      <w:pPr>
        <w:pStyle w:val="BodyText"/>
        <w:spacing w:line="331" w:lineRule="auto" w:before="27"/>
        <w:ind w:left="573" w:right="1133" w:firstLine="2"/>
        <w:jc w:val="left"/>
      </w:pPr>
      <w:bookmarkStart w:name="4.具体确认方法" w:id="237"/>
      <w:bookmarkEnd w:id="237"/>
      <w:r>
        <w:rPr/>
      </w:r>
      <w:r>
        <w:rPr>
          <w:rFonts w:ascii="Times New Roman" w:hAnsi="Times New Roman" w:cs="Times New Roman" w:eastAsia="Times New Roman" w:hint="default"/>
          <w:b/>
          <w:bCs/>
        </w:rPr>
        <w:t>4.</w:t>
      </w:r>
      <w:r>
        <w:rPr>
          <w:rFonts w:ascii="宋体" w:hAnsi="宋体" w:cs="宋体" w:eastAsia="宋体" w:hint="default"/>
          <w:b/>
          <w:bCs/>
        </w:rPr>
        <w:t>具体确认方法</w:t>
      </w:r>
      <w:r>
        <w:rPr>
          <w:rFonts w:ascii="宋体" w:hAnsi="宋体" w:cs="宋体" w:eastAsia="宋体" w:hint="default"/>
          <w:b/>
          <w:bCs/>
          <w:w w:val="100"/>
        </w:rPr>
        <w:t> </w:t>
      </w:r>
      <w:r>
        <w:rPr>
          <w:spacing w:val="-2"/>
        </w:rPr>
        <w:t>公司业务主要包括安全产品、安全解决方案、安全服务、电商运营服务，按收入类别细分为：信息安</w:t>
      </w:r>
    </w:p>
    <w:p>
      <w:pPr>
        <w:pStyle w:val="BodyText"/>
        <w:spacing w:line="348" w:lineRule="auto" w:before="46"/>
        <w:ind w:right="1126"/>
        <w:jc w:val="both"/>
      </w:pPr>
      <w:r>
        <w:rPr>
          <w:spacing w:val="-2"/>
        </w:rPr>
        <w:t>全产品、信息安全集成和信息安全服务、电磁安防产品、电磁安防工程、电磁安防服务、系统服务、推广</w:t>
      </w:r>
      <w:r>
        <w:rPr>
          <w:spacing w:val="-42"/>
        </w:rPr>
        <w:t> </w:t>
      </w:r>
      <w:r>
        <w:rPr>
          <w:spacing w:val="-42"/>
        </w:rPr>
      </w:r>
      <w:r>
        <w:rPr/>
        <w:t>运营服务等，各类业务确认的具体方法如下：</w:t>
      </w:r>
    </w:p>
    <w:p>
      <w:pPr>
        <w:pStyle w:val="BodyText"/>
        <w:spacing w:line="338" w:lineRule="auto" w:before="31"/>
        <w:ind w:right="982" w:firstLine="420"/>
        <w:jc w:val="left"/>
      </w:pPr>
      <w:r>
        <w:rPr>
          <w:spacing w:val="-2"/>
        </w:rPr>
        <w:t>（</w:t>
      </w:r>
      <w:r>
        <w:rPr>
          <w:rFonts w:ascii="Times New Roman" w:hAnsi="Times New Roman" w:cs="Times New Roman" w:eastAsia="Times New Roman" w:hint="default"/>
          <w:spacing w:val="-2"/>
        </w:rPr>
        <w:t>1</w:t>
      </w:r>
      <w:r>
        <w:rPr>
          <w:spacing w:val="-2"/>
        </w:rPr>
        <w:t>）信息安全产品：安全产品销售分为单纯安全产品销售以及通过集成业务销售安全产品两种方式。</w:t>
      </w:r>
      <w:r>
        <w:rPr>
          <w:w w:val="100"/>
        </w:rPr>
        <w:t> </w:t>
      </w:r>
      <w:r>
        <w:rPr>
          <w:spacing w:val="-2"/>
        </w:rPr>
        <w:t>单纯自有产品销售，一般不需安装或只需简单安装，在完成产品交付时确认收入；通过集成业务销售的安</w:t>
      </w:r>
      <w:r>
        <w:rPr>
          <w:spacing w:val="-44"/>
        </w:rPr>
        <w:t> </w:t>
      </w:r>
      <w:r>
        <w:rPr>
          <w:spacing w:val="-44"/>
        </w:rPr>
      </w:r>
      <w:r>
        <w:rPr/>
        <w:t>全产品则按照安全集成的收入确认方式确认收入。</w:t>
      </w:r>
    </w:p>
    <w:p>
      <w:pPr>
        <w:pStyle w:val="BodyText"/>
        <w:spacing w:line="240" w:lineRule="auto" w:before="40"/>
        <w:ind w:left="573" w:right="1133"/>
        <w:jc w:val="left"/>
      </w:pPr>
      <w:r>
        <w:rPr/>
        <w:t>（</w:t>
      </w:r>
      <w:r>
        <w:rPr>
          <w:rFonts w:ascii="Times New Roman" w:hAnsi="Times New Roman" w:cs="Times New Roman" w:eastAsia="Times New Roman" w:hint="default"/>
        </w:rPr>
        <w:t>2</w:t>
      </w:r>
      <w:r>
        <w:rPr/>
        <w:t>）信息安全集成：安全集成业务的收入确认方式依据双方签署的验收报告，验收一般可分为初验</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和终验，初验报告是指客户对安全集成业务实施内容、进度、质量以及是否达到合同效果予以确认；而终</w:t>
      </w:r>
      <w:r>
        <w:rPr>
          <w:spacing w:val="-47"/>
        </w:rPr>
        <w:t> </w:t>
      </w:r>
      <w:r>
        <w:rPr>
          <w:spacing w:val="-47"/>
        </w:rPr>
      </w:r>
      <w:r>
        <w:rPr>
          <w:spacing w:val="-2"/>
        </w:rPr>
        <w:t>验报告是对业务整体服务核查后形成的总结报告。鉴于终验只是对初验结果的进一步确认，安全集成业务</w:t>
      </w:r>
      <w:r>
        <w:rPr>
          <w:spacing w:val="-42"/>
        </w:rPr>
        <w:t> </w:t>
      </w:r>
      <w:r>
        <w:rPr>
          <w:spacing w:val="-42"/>
        </w:rPr>
      </w:r>
      <w:r>
        <w:rPr>
          <w:spacing w:val="-2"/>
        </w:rPr>
        <w:t>验收分初验和终验的，取得初验报告时确认收入；不分初验和终验的，取得验收报告时确认收入。若公司</w:t>
      </w:r>
      <w:r>
        <w:rPr>
          <w:spacing w:val="-50"/>
        </w:rPr>
        <w:t> </w:t>
      </w:r>
      <w:r>
        <w:rPr>
          <w:spacing w:val="-50"/>
        </w:rPr>
      </w:r>
      <w:r>
        <w:rPr>
          <w:spacing w:val="-2"/>
        </w:rPr>
        <w:t>只提供安全集成业务所需的安全产品及其配套组件，其安装及测试由客户或第三方完成，在完成产品交付</w:t>
      </w:r>
      <w:r>
        <w:rPr>
          <w:spacing w:val="-44"/>
        </w:rPr>
        <w:t> </w:t>
      </w:r>
      <w:r>
        <w:rPr>
          <w:spacing w:val="-44"/>
        </w:rPr>
      </w:r>
      <w:r>
        <w:rPr/>
        <w:t>时确认收入</w:t>
      </w:r>
    </w:p>
    <w:p>
      <w:pPr>
        <w:pStyle w:val="BodyText"/>
        <w:spacing w:line="340" w:lineRule="auto" w:before="27"/>
        <w:ind w:right="1126" w:firstLine="420"/>
        <w:jc w:val="both"/>
      </w:pPr>
      <w:r>
        <w:rPr/>
        <w:t>（</w:t>
      </w:r>
      <w:r>
        <w:rPr>
          <w:rFonts w:ascii="Times New Roman" w:hAnsi="Times New Roman" w:cs="Times New Roman" w:eastAsia="Times New Roman" w:hint="default"/>
        </w:rPr>
        <w:t>3</w:t>
      </w:r>
      <w:r>
        <w:rPr/>
        <w:t>）信息安全服务：对于在资产负债表日服务已完成，经服务接受方验收合格后确认收入；在资产</w:t>
      </w:r>
      <w:r>
        <w:rPr>
          <w:w w:val="100"/>
        </w:rPr>
        <w:t> </w:t>
      </w:r>
      <w:r>
        <w:rPr>
          <w:spacing w:val="-2"/>
        </w:rPr>
        <w:t>负债表日未完成的，公司在资产负债表日按完工百分比法确认收入，完工百分比按已发生成本占预计总成</w:t>
      </w:r>
      <w:r>
        <w:rPr>
          <w:spacing w:val="-43"/>
        </w:rPr>
        <w:t> </w:t>
      </w:r>
      <w:r>
        <w:rPr>
          <w:spacing w:val="-43"/>
        </w:rPr>
      </w:r>
      <w:r>
        <w:rPr/>
        <w:t>本的比例确定。</w:t>
      </w:r>
    </w:p>
    <w:p>
      <w:pPr>
        <w:pStyle w:val="BodyText"/>
        <w:spacing w:line="240" w:lineRule="auto" w:before="35"/>
        <w:ind w:left="573" w:right="0"/>
        <w:jc w:val="left"/>
      </w:pPr>
      <w:r>
        <w:rPr/>
        <w:t>（</w:t>
      </w:r>
      <w:r>
        <w:rPr>
          <w:rFonts w:ascii="Times New Roman" w:hAnsi="Times New Roman" w:cs="Times New Roman" w:eastAsia="Times New Roman" w:hint="default"/>
        </w:rPr>
        <w:t>4</w:t>
      </w:r>
      <w:r>
        <w:rPr/>
        <w:t>）电磁安防产品：在产品销售并且经购货方验收，取得购货方验收依据的时间作为收入确认时点。</w:t>
      </w:r>
    </w:p>
    <w:p>
      <w:pPr>
        <w:pStyle w:val="BodyText"/>
        <w:spacing w:line="240" w:lineRule="auto" w:before="110"/>
        <w:ind w:left="573" w:right="0"/>
        <w:jc w:val="left"/>
      </w:pPr>
      <w:r>
        <w:rPr/>
        <w:t>（</w:t>
      </w:r>
      <w:r>
        <w:rPr>
          <w:rFonts w:ascii="Times New Roman" w:hAnsi="Times New Roman" w:cs="Times New Roman" w:eastAsia="Times New Roman" w:hint="default"/>
        </w:rPr>
        <w:t>5</w:t>
      </w:r>
      <w:r>
        <w:rPr/>
        <w:t>）电磁安防工程：在工程完工并经被施工单位验收时，确认相应的工程收入，同时结转工程成本。</w:t>
      </w:r>
    </w:p>
    <w:p>
      <w:pPr>
        <w:pStyle w:val="BodyText"/>
        <w:spacing w:line="328" w:lineRule="auto" w:before="110"/>
        <w:ind w:right="1133" w:firstLine="420"/>
        <w:jc w:val="both"/>
      </w:pPr>
      <w:r>
        <w:rPr/>
        <w:t>（</w:t>
      </w:r>
      <w:r>
        <w:rPr>
          <w:rFonts w:ascii="Times New Roman" w:hAnsi="Times New Roman" w:cs="Times New Roman" w:eastAsia="Times New Roman" w:hint="default"/>
        </w:rPr>
        <w:t>6</w:t>
      </w:r>
      <w:r>
        <w:rPr/>
        <w:t>）电磁安防服务：在服务完成后取得甲方确认的验收或竣工资料时，确认相应的服务收入，同时</w:t>
      </w:r>
      <w:r>
        <w:rPr>
          <w:w w:val="100"/>
        </w:rPr>
        <w:t> </w:t>
      </w:r>
      <w:r>
        <w:rPr/>
        <w:t>结转技术服务成本。</w:t>
      </w:r>
    </w:p>
    <w:p>
      <w:pPr>
        <w:pStyle w:val="BodyText"/>
        <w:spacing w:line="338" w:lineRule="auto" w:before="48"/>
        <w:ind w:right="1126" w:firstLine="420"/>
        <w:jc w:val="both"/>
      </w:pPr>
      <w:r>
        <w:rPr/>
        <w:t>（</w:t>
      </w:r>
      <w:r>
        <w:rPr>
          <w:rFonts w:ascii="Times New Roman" w:hAnsi="Times New Roman" w:cs="Times New Roman" w:eastAsia="Times New Roman" w:hint="default"/>
        </w:rPr>
        <w:t>7</w:t>
      </w:r>
      <w:r>
        <w:rPr/>
        <w:t>）系统服务：利用自身支付清算技术和平台向客户提供清分结算服务，按照交易金额的一定比例</w:t>
      </w:r>
      <w:r>
        <w:rPr>
          <w:w w:val="100"/>
        </w:rPr>
        <w:t> </w:t>
      </w:r>
      <w:r>
        <w:rPr>
          <w:spacing w:val="-2"/>
        </w:rPr>
        <w:t>收取的清分结算手续费。服务提供时确认收入，根据交易系统平台反映的交易结算金额，按照与合作商户</w:t>
      </w:r>
      <w:r>
        <w:rPr>
          <w:spacing w:val="-43"/>
        </w:rPr>
        <w:t> </w:t>
      </w:r>
      <w:r>
        <w:rPr>
          <w:spacing w:val="-43"/>
        </w:rPr>
      </w:r>
      <w:r>
        <w:rPr/>
        <w:t>确定的一定比例收入确定清分结算收入。</w:t>
      </w:r>
    </w:p>
    <w:p>
      <w:pPr>
        <w:pStyle w:val="BodyText"/>
        <w:spacing w:line="340" w:lineRule="auto" w:before="40"/>
        <w:ind w:right="982" w:firstLine="420"/>
        <w:jc w:val="left"/>
      </w:pPr>
      <w:r>
        <w:rPr/>
        <w:t>（</w:t>
      </w:r>
      <w:r>
        <w:rPr>
          <w:rFonts w:ascii="Times New Roman" w:hAnsi="Times New Roman" w:cs="Times New Roman" w:eastAsia="Times New Roman" w:hint="default"/>
        </w:rPr>
        <w:t>8</w:t>
      </w:r>
      <w:r>
        <w:rPr/>
        <w:t>）推广运营服务：利用自身电子商务平台，为合作商户进行推广运营收取中间差价形成的佣金服</w:t>
      </w:r>
      <w:r>
        <w:rPr>
          <w:w w:val="100"/>
        </w:rPr>
        <w:t> </w:t>
      </w:r>
      <w:r>
        <w:rPr>
          <w:spacing w:val="-3"/>
        </w:rPr>
        <w:t>务费收入。主要是为油品零售商户进行推广运营获取的服务费收入</w:t>
      </w:r>
      <w:r>
        <w:rPr>
          <w:rFonts w:ascii="Times New Roman" w:hAnsi="Times New Roman" w:cs="Times New Roman" w:eastAsia="Times New Roman" w:hint="default"/>
          <w:spacing w:val="-3"/>
        </w:rPr>
        <w:t>, </w:t>
      </w:r>
      <w:r>
        <w:rPr>
          <w:spacing w:val="-5"/>
        </w:rPr>
        <w:t>除油品零售商户外，还为商场、超市、</w:t>
      </w:r>
      <w:r>
        <w:rPr>
          <w:spacing w:val="-56"/>
        </w:rPr>
        <w:t> </w:t>
      </w:r>
      <w:r>
        <w:rPr>
          <w:spacing w:val="-56"/>
        </w:rPr>
      </w:r>
      <w:r>
        <w:rPr>
          <w:spacing w:val="-2"/>
        </w:rPr>
        <w:t>餐饮、汽车等其他商户提供推广运营服务。根据终端客户所消费金额或者消费数量，按照约定的一定服务</w:t>
      </w:r>
      <w:r>
        <w:rPr>
          <w:spacing w:val="-44"/>
        </w:rPr>
        <w:t> </w:t>
      </w:r>
      <w:r>
        <w:rPr>
          <w:spacing w:val="-44"/>
        </w:rPr>
      </w:r>
      <w:r>
        <w:rPr/>
        <w:t>费标准自合作商户取得佣金收入，因此公司根据电子商务平台上反映的交易数据，以及与合作商户对账确</w:t>
      </w:r>
      <w:r>
        <w:rPr>
          <w:w w:val="100"/>
        </w:rPr>
        <w:t> </w:t>
      </w:r>
      <w:r>
        <w:rPr/>
        <w:t>认的交易数据，以服务收入的形式确认当期收入。</w:t>
      </w:r>
    </w:p>
    <w:p>
      <w:pPr>
        <w:spacing w:line="240" w:lineRule="auto" w:before="0"/>
        <w:rPr>
          <w:rFonts w:ascii="宋体" w:hAnsi="宋体" w:cs="宋体" w:eastAsia="宋体" w:hint="default"/>
          <w:sz w:val="19"/>
          <w:szCs w:val="19"/>
        </w:rPr>
      </w:pPr>
    </w:p>
    <w:p>
      <w:pPr>
        <w:pStyle w:val="Heading3"/>
        <w:spacing w:line="240" w:lineRule="auto"/>
        <w:ind w:right="1133"/>
        <w:jc w:val="left"/>
        <w:rPr>
          <w:b w:val="0"/>
          <w:bCs w:val="0"/>
        </w:rPr>
      </w:pPr>
      <w:bookmarkStart w:name="29、政府补助" w:id="238"/>
      <w:bookmarkEnd w:id="23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4"/>
        <w:rPr>
          <w:rFonts w:ascii="宋体" w:hAnsi="宋体" w:cs="宋体" w:eastAsia="宋体" w:hint="default"/>
          <w:b/>
          <w:bCs/>
          <w:sz w:val="31"/>
          <w:szCs w:val="31"/>
        </w:rPr>
      </w:pPr>
    </w:p>
    <w:p>
      <w:pPr>
        <w:pStyle w:val="BodyText"/>
        <w:spacing w:line="331" w:lineRule="auto"/>
        <w:ind w:left="573" w:right="1133" w:firstLine="2"/>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政府补助，是公司从政府无偿取得的货币性资产或非货币性资产。政府补助划分为与资产相关的政府</w:t>
      </w:r>
    </w:p>
    <w:p>
      <w:pPr>
        <w:pStyle w:val="BodyText"/>
        <w:spacing w:line="350" w:lineRule="auto" w:before="43"/>
        <w:ind w:left="573" w:right="1133" w:hanging="421"/>
        <w:jc w:val="left"/>
      </w:pPr>
      <w:r>
        <w:rPr/>
        <w:t>补助和与收益相关的政府补助。</w:t>
      </w:r>
      <w:r>
        <w:rPr>
          <w:w w:val="100"/>
        </w:rPr>
        <w:t> </w:t>
      </w:r>
      <w:r>
        <w:rPr>
          <w:spacing w:val="-2"/>
        </w:rPr>
        <w:t>与资产相关的政府补助，是指公司取得的、用于购建或以其他方式形成长期资产的政府补助。</w:t>
      </w:r>
      <w:r>
        <w:rPr>
          <w:w w:val="100"/>
        </w:rPr>
        <w:t> </w:t>
      </w:r>
      <w:r>
        <w:rPr/>
        <w:t>与收益相关的政府补助，是指除与资产相关的政府补助之外的政府补助。</w:t>
      </w:r>
    </w:p>
    <w:p>
      <w:pPr>
        <w:pStyle w:val="BodyText"/>
        <w:spacing w:line="331" w:lineRule="auto" w:before="27"/>
        <w:ind w:left="573" w:right="1133" w:firstLine="2"/>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100"/>
        </w:rPr>
        <w:t> </w:t>
      </w:r>
      <w:r>
        <w:rPr>
          <w:spacing w:val="-2"/>
        </w:rPr>
        <w:t>对期末有证据表明公司能够符合财政扶持政策规定的相关条件且预计能够收到财政扶持资金的，按应</w:t>
      </w:r>
    </w:p>
    <w:p>
      <w:pPr>
        <w:pStyle w:val="BodyText"/>
        <w:spacing w:line="348" w:lineRule="auto" w:before="46"/>
        <w:ind w:left="573" w:right="1133" w:hanging="421"/>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p>
    <w:p>
      <w:pPr>
        <w:pStyle w:val="BodyText"/>
        <w:spacing w:line="331" w:lineRule="auto" w:before="31"/>
        <w:ind w:right="1130"/>
        <w:jc w:val="both"/>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w:t>
      </w:r>
      <w:r>
        <w:rPr>
          <w:spacing w:val="-22"/>
        </w:rPr>
        <w:t> </w:t>
      </w:r>
      <w:r>
        <w:rPr>
          <w:spacing w:val="-22"/>
        </w:rPr>
      </w:r>
      <w:r>
        <w:rPr/>
        <w:t>直接计入当期损益。</w:t>
      </w:r>
    </w:p>
    <w:p>
      <w:pPr>
        <w:pStyle w:val="Heading3"/>
        <w:spacing w:line="240" w:lineRule="auto" w:before="43"/>
        <w:ind w:left="575" w:right="1133"/>
        <w:jc w:val="left"/>
        <w:rPr>
          <w:b w:val="0"/>
          <w:bCs w:val="0"/>
        </w:rPr>
      </w:pPr>
      <w:r>
        <w:rPr>
          <w:rFonts w:ascii="Times New Roman" w:hAnsi="Times New Roman" w:cs="Times New Roman" w:eastAsia="Times New Roman" w:hint="default"/>
        </w:rPr>
        <w:t>3.</w:t>
      </w:r>
      <w:r>
        <w:rPr/>
        <w:t>会计处理方法</w:t>
      </w:r>
      <w:r>
        <w:rPr>
          <w:b w:val="0"/>
          <w:bCs w:val="0"/>
        </w:rPr>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b/>
          <w:bCs/>
          <w:sz w:val="27"/>
          <w:szCs w:val="27"/>
        </w:rPr>
      </w:pPr>
    </w:p>
    <w:p>
      <w:pPr>
        <w:pStyle w:val="BodyText"/>
        <w:spacing w:line="350" w:lineRule="auto" w:before="36"/>
        <w:ind w:right="1133" w:firstLine="840"/>
        <w:jc w:val="left"/>
      </w:pPr>
      <w:r>
        <w:rPr>
          <w:spacing w:val="-2"/>
        </w:rPr>
        <w:t>与资产相关的政府补助，确认为递延收益，在所建造或购买资产使用寿命内按照合理、系统的方</w:t>
      </w:r>
      <w:r>
        <w:rPr>
          <w:w w:val="100"/>
        </w:rPr>
        <w:t> </w:t>
      </w:r>
      <w:r>
        <w:rPr/>
        <w:t>法分期计入损益。</w:t>
      </w:r>
    </w:p>
    <w:p>
      <w:pPr>
        <w:pStyle w:val="BodyText"/>
        <w:spacing w:line="350" w:lineRule="auto" w:before="27"/>
        <w:ind w:right="1107" w:firstLine="420"/>
        <w:jc w:val="both"/>
      </w:pPr>
      <w:r>
        <w:rPr>
          <w:spacing w:val="-2"/>
        </w:rPr>
        <w:t>与收益相关的政府补助，用于补偿公司以后期间的相关费用或损失的，确认为递延收益，在确认相关</w:t>
      </w:r>
      <w:r>
        <w:rPr>
          <w:w w:val="100"/>
        </w:rPr>
        <w:t> </w:t>
      </w:r>
      <w:r>
        <w:rPr>
          <w:spacing w:val="-2"/>
        </w:rPr>
        <w:t>费用或损失的期间计入当期损益；用于补偿公司已发生的相关费用或损失的，取得时直接计入当期损益。</w:t>
      </w:r>
    </w:p>
    <w:p>
      <w:pPr>
        <w:pStyle w:val="BodyText"/>
        <w:spacing w:line="348" w:lineRule="auto" w:before="29"/>
        <w:ind w:left="573" w:right="1133"/>
        <w:jc w:val="left"/>
      </w:pPr>
      <w:r>
        <w:rPr/>
        <w:t>与公司日常活动相关的政府补助计入其他收益；与公司日常活动无关的政府补助计入营业外收支。</w:t>
      </w:r>
      <w:r>
        <w:rPr>
          <w:w w:val="100"/>
        </w:rPr>
        <w:t> </w:t>
      </w:r>
      <w:r>
        <w:rPr>
          <w:spacing w:val="-2"/>
        </w:rPr>
        <w:t>公司取得的政策性优惠贷款贴息，区分为财政将贴息资金拨付给贷款银行和财政将贴息资金直接拨付</w:t>
      </w:r>
    </w:p>
    <w:p>
      <w:pPr>
        <w:pStyle w:val="BodyText"/>
        <w:spacing w:line="348" w:lineRule="auto" w:before="31"/>
        <w:ind w:right="1105"/>
        <w:jc w:val="both"/>
      </w:pPr>
      <w:r>
        <w:rPr>
          <w:spacing w:val="-2"/>
        </w:rPr>
        <w:t>给公司两种情况。财政将贴息资金拨付给贷款银行的，由贷款银行以政策性优惠利率向公司提供贷款的，</w:t>
      </w:r>
      <w:r>
        <w:rPr>
          <w:spacing w:val="-21"/>
        </w:rPr>
        <w:t> </w:t>
      </w:r>
      <w:r>
        <w:rPr>
          <w:spacing w:val="-21"/>
        </w:rPr>
      </w:r>
      <w:r>
        <w:rPr>
          <w:spacing w:val="-2"/>
        </w:rPr>
        <w:t>以实际收到的借款金额作为借款的入账价值，按照借款本金和该政策性优惠利率计算相关借款费用；财政</w:t>
      </w:r>
      <w:r>
        <w:rPr>
          <w:spacing w:val="-42"/>
        </w:rPr>
        <w:t> </w:t>
      </w:r>
      <w:r>
        <w:rPr>
          <w:spacing w:val="-42"/>
        </w:rPr>
      </w:r>
      <w:r>
        <w:rPr/>
        <w:t>将贴息资金直接拨付给公司的，公司将对应的贴息冲减相关借款费用。</w:t>
      </w:r>
    </w:p>
    <w:p>
      <w:pPr>
        <w:pStyle w:val="BodyText"/>
        <w:spacing w:line="348" w:lineRule="auto" w:before="32"/>
        <w:ind w:right="1126" w:firstLine="420"/>
        <w:jc w:val="both"/>
      </w:pPr>
      <w:r>
        <w:rPr>
          <w:spacing w:val="-2"/>
        </w:rPr>
        <w:t>已确认的政府补助需要返还时，初始确认时冲减相关资产账面价值的，调整资产账面价值；存在相关</w:t>
      </w:r>
      <w:r>
        <w:rPr>
          <w:w w:val="100"/>
        </w:rPr>
        <w:t> </w:t>
      </w:r>
      <w:r>
        <w:rPr>
          <w:spacing w:val="-2"/>
        </w:rPr>
        <w:t>递延收益余额的，冲减相关递延收益账面余额，超出部分计入当期损益；属于其他情况的，直接计入当期</w:t>
      </w:r>
      <w:r>
        <w:rPr>
          <w:spacing w:val="-50"/>
        </w:rPr>
        <w:t> </w:t>
      </w:r>
      <w:r>
        <w:rPr>
          <w:spacing w:val="-50"/>
        </w:rPr>
      </w:r>
      <w:r>
        <w:rPr/>
        <w:t>损益。</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bookmarkStart w:name="30、递延所得税资产/递延所得税负债" w:id="239"/>
      <w:bookmarkEnd w:id="23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31"/>
          <w:szCs w:val="31"/>
        </w:rPr>
      </w:pPr>
    </w:p>
    <w:p>
      <w:pPr>
        <w:pStyle w:val="BodyText"/>
        <w:spacing w:line="338" w:lineRule="auto"/>
        <w:ind w:right="1126" w:firstLine="42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w:t>
      </w:r>
      <w:r>
        <w:rPr>
          <w:w w:val="100"/>
        </w:rPr>
        <w:t> </w:t>
      </w:r>
      <w:r>
        <w:rPr>
          <w:spacing w:val="-2"/>
        </w:rPr>
        <w:t>确认。于资产负债表日，递延所得税资产和递延所得税负债，按照预期收回该资产或清偿该负债期间的适</w:t>
      </w:r>
      <w:r>
        <w:rPr>
          <w:spacing w:val="-44"/>
        </w:rPr>
        <w:t> </w:t>
      </w:r>
      <w:r>
        <w:rPr>
          <w:spacing w:val="-44"/>
        </w:rPr>
      </w:r>
      <w:r>
        <w:rPr/>
        <w:t>用税率计量。</w:t>
      </w:r>
    </w:p>
    <w:p>
      <w:pPr>
        <w:spacing w:line="328" w:lineRule="auto" w:before="40"/>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公司以很可能取得用来抵扣可抵扣暂时性差异、能够结转以后年度的可抵扣亏损和税款抵减的应纳税</w:t>
      </w:r>
    </w:p>
    <w:p>
      <w:pPr>
        <w:pStyle w:val="BodyText"/>
        <w:spacing w:line="338" w:lineRule="auto" w:before="48"/>
        <w:ind w:right="1126"/>
        <w:jc w:val="both"/>
      </w:pPr>
      <w:r>
        <w:rPr>
          <w:spacing w:val="-2"/>
        </w:rPr>
        <w:t>所得额为限，确认由可抵扣暂时性差异产生的递延所得税资产。但是，同时具有下列特征的交易中因资产</w:t>
      </w:r>
      <w:r>
        <w:rPr>
          <w:spacing w:val="-43"/>
        </w:rPr>
        <w:t> </w:t>
      </w:r>
      <w:r>
        <w:rPr>
          <w:spacing w:val="-43"/>
        </w:rPr>
      </w:r>
      <w:r>
        <w:rPr>
          <w:spacing w:val="-2"/>
        </w:rPr>
        <w:t>或负债的初始确认所产生的递延所得税资产不予确认：（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）交易发生时既不</w:t>
      </w:r>
      <w:r>
        <w:rPr>
          <w:spacing w:val="-43"/>
        </w:rPr>
        <w:t> </w:t>
      </w:r>
      <w:r>
        <w:rPr>
          <w:spacing w:val="-43"/>
        </w:rPr>
      </w:r>
      <w:r>
        <w:rPr/>
        <w:t>影响会计利润也不影响应纳税所得额或可抵扣亏损。</w:t>
      </w:r>
    </w:p>
    <w:p>
      <w:pPr>
        <w:pStyle w:val="BodyText"/>
        <w:spacing w:line="350" w:lineRule="auto" w:before="40"/>
        <w:ind w:right="1104" w:firstLine="420"/>
        <w:jc w:val="both"/>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331" w:lineRule="auto" w:before="27"/>
        <w:ind w:left="573" w:right="1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46"/>
        <w:ind w:left="573" w:right="1133"/>
        <w:jc w:val="left"/>
      </w:pPr>
      <w:r>
        <w:rPr/>
        <w:t>（</w:t>
      </w:r>
      <w:r>
        <w:rPr>
          <w:rFonts w:ascii="Times New Roman" w:hAnsi="Times New Roman" w:cs="Times New Roman" w:eastAsia="Times New Roman" w:hint="default"/>
        </w:rPr>
        <w:t>1</w:t>
      </w:r>
      <w:r>
        <w:rPr/>
        <w:t>）商誉的初始确认所形成的暂时性差异；</w:t>
      </w:r>
    </w:p>
    <w:p>
      <w:pPr>
        <w:pStyle w:val="BodyText"/>
        <w:spacing w:line="331" w:lineRule="auto" w:before="108"/>
        <w:ind w:right="1136" w:firstLine="42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BodyText"/>
        <w:spacing w:line="328" w:lineRule="auto" w:before="46"/>
        <w:ind w:right="1136" w:firstLine="42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pStyle w:val="Heading3"/>
        <w:spacing w:line="240" w:lineRule="auto" w:before="48"/>
        <w:ind w:left="575" w:right="1133"/>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110"/>
        <w:ind w:left="573" w:right="1133"/>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240" w:lineRule="auto" w:before="107"/>
        <w:ind w:left="573" w:right="1133"/>
        <w:jc w:val="left"/>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33"/>
        <w:jc w:val="left"/>
      </w:pPr>
      <w:r>
        <w:rPr>
          <w:spacing w:val="-2"/>
        </w:rPr>
        <w:t>者对不同的纳税主体相关，但在未来每一具有重要性的递延所得税资产和递延所得税负债转回的期间内，</w:t>
      </w:r>
      <w:r>
        <w:rPr>
          <w:spacing w:val="-21"/>
        </w:rPr>
        <w:t> </w:t>
      </w:r>
      <w:r>
        <w:rPr>
          <w:spacing w:val="-21"/>
        </w:rPr>
      </w:r>
      <w:r>
        <w:rPr/>
        <w:t>涉及的纳税主体意图以净额结算当期所得税资产及当期所得税负债或是同时取得资产、清偿债务。</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bookmarkStart w:name="31、安全生产费" w:id="240"/>
      <w:bookmarkEnd w:id="240"/>
      <w:r>
        <w:rPr>
          <w:b w:val="0"/>
          <w:bCs w:val="0"/>
        </w:rPr>
      </w:r>
      <w:r>
        <w:rPr>
          <w:rFonts w:ascii="Times New Roman" w:hAnsi="Times New Roman" w:cs="Times New Roman" w:eastAsia="Times New Roman" w:hint="default"/>
        </w:rPr>
        <w:t>31</w:t>
      </w:r>
      <w:r>
        <w:rPr/>
        <w:t>、安全生产费</w:t>
      </w:r>
      <w:r>
        <w:rPr>
          <w:b w:val="0"/>
          <w:bCs w:val="0"/>
        </w:rPr>
      </w:r>
    </w:p>
    <w:p>
      <w:pPr>
        <w:spacing w:line="240" w:lineRule="auto" w:before="4"/>
        <w:rPr>
          <w:rFonts w:ascii="宋体" w:hAnsi="宋体" w:cs="宋体" w:eastAsia="宋体" w:hint="default"/>
          <w:b/>
          <w:bCs/>
          <w:sz w:val="31"/>
          <w:szCs w:val="31"/>
        </w:rPr>
      </w:pPr>
    </w:p>
    <w:p>
      <w:pPr>
        <w:pStyle w:val="BodyText"/>
        <w:spacing w:line="340" w:lineRule="auto"/>
        <w:ind w:right="1126" w:firstLine="420"/>
        <w:jc w:val="both"/>
      </w:pPr>
      <w:r>
        <w:rPr>
          <w:spacing w:val="-2"/>
        </w:rPr>
        <w:t>公司按照国家规定提取的安全生产费，计入相关产品的成本或当期损益，同时记入</w:t>
      </w:r>
      <w:r>
        <w:rPr>
          <w:rFonts w:ascii="Times New Roman" w:hAnsi="Times New Roman" w:cs="Times New Roman" w:eastAsia="Times New Roman" w:hint="default"/>
          <w:spacing w:val="-2"/>
        </w:rPr>
        <w:t>“</w:t>
      </w:r>
      <w:r>
        <w:rPr>
          <w:spacing w:val="-2"/>
        </w:rPr>
        <w:t>专项储备</w:t>
      </w:r>
      <w:r>
        <w:rPr>
          <w:rFonts w:ascii="Times New Roman" w:hAnsi="Times New Roman" w:cs="Times New Roman" w:eastAsia="Times New Roman" w:hint="default"/>
          <w:spacing w:val="-2"/>
        </w:rPr>
        <w:t>”</w:t>
      </w:r>
      <w:r>
        <w:rPr>
          <w:spacing w:val="-2"/>
        </w:rPr>
        <w:t>科目。</w:t>
      </w:r>
      <w:r>
        <w:rPr>
          <w:w w:val="100"/>
        </w:rPr>
        <w:t> </w:t>
      </w:r>
      <w:r>
        <w:rPr>
          <w:spacing w:val="-2"/>
        </w:rPr>
        <w:t>使用提取的安全生产费时，属于费用性支出的，直接冲减专项储备。形成固定资产的，通过</w:t>
      </w:r>
      <w:r>
        <w:rPr>
          <w:rFonts w:ascii="Times New Roman" w:hAnsi="Times New Roman" w:cs="Times New Roman" w:eastAsia="Times New Roman" w:hint="default"/>
          <w:spacing w:val="-2"/>
        </w:rPr>
        <w:t>“</w:t>
      </w:r>
      <w:r>
        <w:rPr>
          <w:spacing w:val="-2"/>
        </w:rPr>
        <w:t>在建工程</w:t>
      </w:r>
      <w:r>
        <w:rPr>
          <w:rFonts w:ascii="Times New Roman" w:hAnsi="Times New Roman" w:cs="Times New Roman" w:eastAsia="Times New Roman" w:hint="default"/>
          <w:spacing w:val="-2"/>
        </w:rPr>
        <w:t>”</w:t>
      </w:r>
      <w:r>
        <w:rPr>
          <w:spacing w:val="-2"/>
        </w:rPr>
        <w:t>科</w:t>
      </w:r>
      <w:r>
        <w:rPr>
          <w:spacing w:val="-17"/>
        </w:rPr>
        <w:t> </w:t>
      </w:r>
      <w:r>
        <w:rPr>
          <w:spacing w:val="-2"/>
        </w:rPr>
        <w:t>目归集所发生的支出，待安全项目完工达到预定可使用状态时确认为固定资产；同时，按照形成固定资产</w:t>
      </w:r>
      <w:r>
        <w:rPr>
          <w:spacing w:val="-44"/>
        </w:rPr>
        <w:t> </w:t>
      </w:r>
      <w:r>
        <w:rPr>
          <w:spacing w:val="-44"/>
        </w:rPr>
      </w:r>
      <w:r>
        <w:rPr>
          <w:spacing w:val="-2"/>
        </w:rPr>
        <w:t>的成本冲减专项储备，并确认相同金额的累计折旧。该固定资产在以后期间不再计提折旧。公司提取的维</w:t>
      </w:r>
      <w:r>
        <w:rPr>
          <w:spacing w:val="-45"/>
        </w:rPr>
        <w:t> </w:t>
      </w:r>
      <w:r>
        <w:rPr>
          <w:spacing w:val="-45"/>
        </w:rPr>
      </w:r>
      <w:r>
        <w:rPr/>
        <w:t>简费和其他具有类似性质的费用，比照上述规定处理。</w:t>
      </w:r>
    </w:p>
    <w:p>
      <w:pPr>
        <w:spacing w:line="240" w:lineRule="auto" w:before="1"/>
        <w:rPr>
          <w:rFonts w:ascii="宋体" w:hAnsi="宋体" w:cs="宋体" w:eastAsia="宋体" w:hint="default"/>
          <w:sz w:val="19"/>
          <w:szCs w:val="19"/>
        </w:rPr>
      </w:pPr>
    </w:p>
    <w:p>
      <w:pPr>
        <w:pStyle w:val="Heading3"/>
        <w:spacing w:line="240" w:lineRule="auto"/>
        <w:ind w:right="1133"/>
        <w:jc w:val="left"/>
        <w:rPr>
          <w:b w:val="0"/>
          <w:bCs w:val="0"/>
        </w:rPr>
      </w:pPr>
      <w:bookmarkStart w:name="32、租赁" w:id="241"/>
      <w:bookmarkEnd w:id="241"/>
      <w:r>
        <w:rPr>
          <w:b w:val="0"/>
          <w:bCs w:val="0"/>
        </w:rPr>
      </w:r>
      <w:r>
        <w:rPr>
          <w:rFonts w:ascii="Times New Roman" w:hAnsi="Times New Roman" w:cs="Times New Roman" w:eastAsia="Times New Roman" w:hint="default"/>
        </w:rPr>
        <w:t>32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42"/>
      <w:bookmarkEnd w:id="24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31"/>
          <w:szCs w:val="31"/>
        </w:rPr>
      </w:pPr>
    </w:p>
    <w:p>
      <w:pPr>
        <w:pStyle w:val="BodyText"/>
        <w:spacing w:line="331" w:lineRule="auto"/>
        <w:ind w:left="573" w:right="982"/>
        <w:jc w:val="left"/>
      </w:pPr>
      <w:r>
        <w:rPr>
          <w:rFonts w:ascii="Times New Roman" w:hAnsi="Times New Roman" w:cs="Times New Roman" w:eastAsia="Times New Roman" w:hint="default"/>
        </w:rPr>
        <w:t>1</w:t>
      </w:r>
      <w:r>
        <w:rPr/>
        <w:t>）经营租入资产</w:t>
      </w:r>
      <w:r>
        <w:rPr>
          <w:w w:val="100"/>
        </w:rPr>
        <w:t> </w:t>
      </w:r>
      <w:r>
        <w:rPr>
          <w:spacing w:val="-5"/>
        </w:rPr>
        <w:t>公司租入资产所支付的租赁费，在不扣除免租期的整个租赁期内，按直线法进行分摊，计入当期费用。</w:t>
      </w:r>
    </w:p>
    <w:p>
      <w:pPr>
        <w:pStyle w:val="BodyText"/>
        <w:spacing w:line="348" w:lineRule="auto" w:before="46"/>
        <w:ind w:left="573" w:right="1133" w:hanging="421"/>
        <w:jc w:val="left"/>
      </w:pPr>
      <w:r>
        <w:rPr/>
        <w:t>公司支付的与租赁交易相关的初始直接费用，计入当期费用。</w:t>
      </w:r>
      <w:r>
        <w:rPr>
          <w:w w:val="100"/>
        </w:rPr>
        <w:t> </w:t>
      </w:r>
      <w:r>
        <w:rPr>
          <w:spacing w:val="-2"/>
        </w:rPr>
        <w:t>资产出租方承担了应由公司承担的与租赁相关的费用时，公司将该部分费用从租金总额中扣除，按扣</w:t>
      </w:r>
    </w:p>
    <w:p>
      <w:pPr>
        <w:pStyle w:val="BodyText"/>
        <w:spacing w:line="240" w:lineRule="auto" w:before="31"/>
        <w:ind w:right="1133"/>
        <w:jc w:val="left"/>
      </w:pPr>
      <w:r>
        <w:rPr/>
        <w:t>除后的租金费用在租赁期内分摊，计入当期费用。</w:t>
      </w:r>
    </w:p>
    <w:p>
      <w:pPr>
        <w:pStyle w:val="BodyText"/>
        <w:spacing w:line="328" w:lineRule="auto" w:before="126"/>
        <w:ind w:left="573" w:right="1133"/>
        <w:jc w:val="left"/>
      </w:pPr>
      <w:r>
        <w:rPr>
          <w:rFonts w:ascii="Times New Roman" w:hAnsi="Times New Roman" w:cs="Times New Roman" w:eastAsia="Times New Roman" w:hint="default"/>
        </w:rPr>
        <w:t>2</w:t>
      </w:r>
      <w:r>
        <w:rPr/>
        <w:t>）经营租出资产</w:t>
      </w:r>
      <w:r>
        <w:rPr>
          <w:w w:val="100"/>
        </w:rPr>
        <w:t> </w:t>
      </w:r>
      <w:r>
        <w:rPr>
          <w:spacing w:val="-2"/>
        </w:rPr>
        <w:t>公司出租资产所收取的租赁费，在不扣除免租期的整个租赁期内，按直线法进行分摊，确认为租赁收</w:t>
      </w:r>
    </w:p>
    <w:p>
      <w:pPr>
        <w:pStyle w:val="BodyText"/>
        <w:spacing w:line="350" w:lineRule="auto" w:before="48"/>
        <w:ind w:right="1133"/>
        <w:jc w:val="left"/>
      </w:pPr>
      <w:r>
        <w:rPr>
          <w:spacing w:val="-2"/>
        </w:rPr>
        <w:t>入。公司支付的与租赁交易相关的初始直接费用，计入当期费用；如金额较大的，则予以资本化，在整个</w:t>
      </w:r>
      <w:r>
        <w:rPr>
          <w:spacing w:val="-43"/>
        </w:rPr>
        <w:t> </w:t>
      </w:r>
      <w:r>
        <w:rPr>
          <w:spacing w:val="-43"/>
        </w:rPr>
      </w:r>
      <w:r>
        <w:rPr/>
        <w:t>租赁期间内按照与租赁收入确认相同的基础分期计入当期收益。</w:t>
      </w:r>
    </w:p>
    <w:p>
      <w:pPr>
        <w:pStyle w:val="BodyText"/>
        <w:spacing w:line="350" w:lineRule="auto" w:before="27"/>
        <w:ind w:right="1126" w:firstLine="420"/>
        <w:jc w:val="both"/>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bookmarkStart w:name="（2）融资租赁的会计处理方法" w:id="243"/>
      <w:bookmarkEnd w:id="24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31"/>
          <w:szCs w:val="31"/>
        </w:rPr>
      </w:pPr>
    </w:p>
    <w:p>
      <w:pPr>
        <w:pStyle w:val="BodyText"/>
        <w:spacing w:line="331" w:lineRule="auto"/>
        <w:ind w:right="1105" w:firstLine="420"/>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w:t>
      </w:r>
      <w:r>
        <w:rPr>
          <w:w w:val="100"/>
        </w:rPr>
        <w:t> </w:t>
      </w:r>
      <w:r>
        <w:rPr>
          <w:spacing w:val="-2"/>
        </w:rPr>
        <w:t>为租入资产的入账价值，将最低租赁付款额作为长期应付款的入账价值，其差额作为未确认的融资费用。</w:t>
      </w:r>
    </w:p>
    <w:p>
      <w:pPr>
        <w:pStyle w:val="BodyText"/>
        <w:spacing w:line="340" w:lineRule="auto" w:before="43"/>
        <w:ind w:left="573" w:right="1133"/>
        <w:jc w:val="left"/>
      </w:pPr>
      <w:r>
        <w:rPr/>
        <w:t>融资租入资产的认定依据、计价和折旧方法详见本附注五</w:t>
      </w:r>
      <w:r>
        <w:rPr>
          <w:rFonts w:ascii="Times New Roman" w:hAnsi="Times New Roman" w:cs="Times New Roman" w:eastAsia="Times New Roman" w:hint="default"/>
        </w:rPr>
        <w:t>16</w:t>
      </w:r>
      <w:r>
        <w:rPr/>
        <w:t>、固定资产。</w:t>
      </w:r>
      <w:r>
        <w:rPr>
          <w:w w:val="100"/>
        </w:rPr>
        <w:t> </w:t>
      </w:r>
      <w:r>
        <w:rPr/>
        <w:t>公司采用实际利率法对未确认的融资费用，在资产租赁期间内摊销，计入财务费用。</w:t>
      </w:r>
      <w:r>
        <w:rPr>
          <w:w w:val="100"/>
        </w:rPr>
        <w:t> </w:t>
      </w:r>
      <w:r>
        <w:rPr>
          <w:rFonts w:ascii="Times New Roman" w:hAnsi="Times New Roman" w:cs="Times New Roman" w:eastAsia="Times New Roman" w:hint="default"/>
        </w:rPr>
        <w:t>2</w:t>
      </w:r>
      <w:r>
        <w:rPr/>
        <w:t>）融资租出资产：公司在租赁开始日，将应收融资租赁款，未担保余值之和与其现值的差额确认为</w:t>
      </w:r>
    </w:p>
    <w:p>
      <w:pPr>
        <w:pStyle w:val="BodyText"/>
        <w:spacing w:line="350" w:lineRule="auto" w:before="10"/>
        <w:ind w:right="1133"/>
        <w:jc w:val="left"/>
      </w:pPr>
      <w:r>
        <w:rPr>
          <w:spacing w:val="-2"/>
        </w:rPr>
        <w:t>未实现融资收益，在将来收到租金的各期间内确认为租赁收入，公司发生的与出租交易相关的初始直接费</w:t>
      </w:r>
      <w:r>
        <w:rPr>
          <w:spacing w:val="-44"/>
        </w:rPr>
        <w:t> </w:t>
      </w:r>
      <w:r>
        <w:rPr>
          <w:spacing w:val="-44"/>
        </w:rPr>
      </w:r>
      <w:r>
        <w:rPr/>
        <w:t>用，计入应收融资租赁款的初始计量中，并减少租赁期内确认的收益金额。</w:t>
      </w:r>
    </w:p>
    <w:p>
      <w:pPr>
        <w:spacing w:after="0" w:line="35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3、终止经营" w:id="244"/>
      <w:bookmarkEnd w:id="244"/>
      <w:r>
        <w:rPr>
          <w:b w:val="0"/>
          <w:bCs w:val="0"/>
        </w:rPr>
      </w:r>
      <w:r>
        <w:rPr>
          <w:rFonts w:ascii="Times New Roman" w:hAnsi="Times New Roman" w:cs="Times New Roman" w:eastAsia="Times New Roman" w:hint="default"/>
        </w:rPr>
        <w:t>33</w:t>
      </w:r>
      <w:r>
        <w:rPr/>
        <w:t>、终止经营</w:t>
      </w:r>
      <w:r>
        <w:rPr>
          <w:b w:val="0"/>
          <w:bCs w:val="0"/>
        </w:rPr>
      </w:r>
    </w:p>
    <w:p>
      <w:pPr>
        <w:spacing w:line="240" w:lineRule="auto" w:before="5"/>
        <w:rPr>
          <w:rFonts w:ascii="宋体" w:hAnsi="宋体" w:cs="宋体" w:eastAsia="宋体" w:hint="default"/>
          <w:b/>
          <w:bCs/>
          <w:sz w:val="31"/>
          <w:szCs w:val="31"/>
        </w:rPr>
      </w:pPr>
    </w:p>
    <w:p>
      <w:pPr>
        <w:pStyle w:val="BodyText"/>
        <w:spacing w:line="348" w:lineRule="auto"/>
        <w:ind w:right="1133" w:firstLine="420"/>
        <w:jc w:val="left"/>
      </w:pPr>
      <w:r>
        <w:rPr>
          <w:spacing w:val="-2"/>
        </w:rPr>
        <w:t>公司将满足下列条件之一的，且该组成部分已经处置或划归为持有待售类别的、能够单独区分的组成</w:t>
      </w:r>
      <w:r>
        <w:rPr>
          <w:w w:val="100"/>
        </w:rPr>
        <w:t> </w:t>
      </w:r>
      <w:r>
        <w:rPr/>
        <w:t>部分确认为终止经营组成部分：</w:t>
      </w:r>
    </w:p>
    <w:p>
      <w:pPr>
        <w:pStyle w:val="BodyText"/>
        <w:spacing w:line="240" w:lineRule="auto" w:before="31"/>
        <w:ind w:left="573" w:right="1133"/>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28" w:lineRule="auto" w:before="110"/>
        <w:ind w:right="1133" w:firstLine="42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w:t>
      </w:r>
      <w:r>
        <w:rPr>
          <w:w w:val="100"/>
        </w:rPr>
        <w:t> </w:t>
      </w:r>
      <w:r>
        <w:rPr/>
        <w:t>的一部分。</w:t>
      </w:r>
    </w:p>
    <w:p>
      <w:pPr>
        <w:pStyle w:val="BodyText"/>
        <w:spacing w:line="331" w:lineRule="auto" w:before="48"/>
        <w:ind w:left="573" w:right="1133"/>
        <w:jc w:val="left"/>
      </w:pPr>
      <w:r>
        <w:rPr/>
        <w:t>（</w:t>
      </w:r>
      <w:r>
        <w:rPr>
          <w:rFonts w:ascii="Times New Roman" w:hAnsi="Times New Roman" w:cs="Times New Roman" w:eastAsia="Times New Roman" w:hint="default"/>
        </w:rPr>
        <w:t>3</w:t>
      </w:r>
      <w:r>
        <w:rPr/>
        <w:t>）该组成部分是专为转售而取得的子公司。</w:t>
      </w:r>
      <w:r>
        <w:rPr>
          <w:w w:val="100"/>
        </w:rPr>
        <w:t> </w:t>
      </w:r>
      <w:r>
        <w:rPr>
          <w:spacing w:val="-2"/>
        </w:rPr>
        <w:t>终止经营的减值损失和转回金额等经营损益及处置损益作为终止经营损益在利润表中列示。</w:t>
      </w:r>
    </w:p>
    <w:p>
      <w:pPr>
        <w:spacing w:line="240" w:lineRule="auto" w:before="9"/>
        <w:rPr>
          <w:rFonts w:ascii="宋体" w:hAnsi="宋体" w:cs="宋体" w:eastAsia="宋体" w:hint="default"/>
          <w:sz w:val="19"/>
          <w:szCs w:val="19"/>
        </w:rPr>
      </w:pPr>
    </w:p>
    <w:p>
      <w:pPr>
        <w:pStyle w:val="Heading3"/>
        <w:spacing w:line="240" w:lineRule="auto"/>
        <w:ind w:right="1133"/>
        <w:jc w:val="left"/>
        <w:rPr>
          <w:b w:val="0"/>
          <w:bCs w:val="0"/>
        </w:rPr>
      </w:pPr>
      <w:bookmarkStart w:name="34、重要会计政策和会计估计变更" w:id="245"/>
      <w:bookmarkEnd w:id="245"/>
      <w:r>
        <w:rPr>
          <w:b w:val="0"/>
          <w:bCs w:val="0"/>
        </w:rPr>
      </w:r>
      <w:r>
        <w:rPr>
          <w:rFonts w:ascii="Times New Roman" w:hAnsi="Times New Roman" w:cs="Times New Roman" w:eastAsia="Times New Roman" w:hint="default"/>
        </w:rPr>
        <w:t>34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46"/>
      <w:bookmarkEnd w:id="24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before="155"/>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left="573" w:right="1133"/>
        <w:jc w:val="left"/>
      </w:pPr>
      <w:r>
        <w:rPr>
          <w:rFonts w:ascii="Times New Roman" w:hAnsi="Times New Roman" w:cs="Times New Roman" w:eastAsia="Times New Roman" w:hint="default"/>
        </w:rPr>
        <w:t>1</w:t>
      </w:r>
      <w:r>
        <w:rPr/>
        <w:t>、会计政策变更</w:t>
      </w:r>
    </w:p>
    <w:p>
      <w:pPr>
        <w:pStyle w:val="BodyText"/>
        <w:spacing w:line="240" w:lineRule="auto" w:before="148"/>
        <w:ind w:left="573" w:right="1133"/>
        <w:jc w:val="left"/>
      </w:pPr>
      <w:r>
        <w:rPr/>
        <w:t>（</w:t>
      </w:r>
      <w:r>
        <w:rPr>
          <w:rFonts w:ascii="Times New Roman" w:hAnsi="Times New Roman" w:cs="Times New Roman" w:eastAsia="Times New Roman" w:hint="default"/>
        </w:rPr>
        <w:t>1</w:t>
      </w:r>
      <w:r>
        <w:rPr/>
        <w:t>）执行新金融工具准则对公司的影响</w:t>
      </w:r>
    </w:p>
    <w:p>
      <w:pPr>
        <w:pStyle w:val="BodyText"/>
        <w:spacing w:line="240" w:lineRule="auto" w:before="148"/>
        <w:ind w:left="573" w:right="982"/>
        <w:jc w:val="left"/>
      </w:pPr>
      <w:r>
        <w:rPr>
          <w:w w:val="100"/>
        </w:rPr>
        <w:t>公司自</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起</w:t>
      </w:r>
      <w:r>
        <w:rPr>
          <w:w w:val="100"/>
        </w:rPr>
        <w:t>执行</w:t>
      </w:r>
      <w:r>
        <w:rPr>
          <w:spacing w:val="-3"/>
          <w:w w:val="100"/>
        </w:rPr>
        <w:t>财</w:t>
      </w:r>
      <w:r>
        <w:rPr>
          <w:w w:val="100"/>
        </w:rPr>
        <w:t>政部</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spacing w:val="-3"/>
          <w:w w:val="100"/>
        </w:rPr>
        <w:t>年</w:t>
      </w:r>
      <w:r>
        <w:rPr>
          <w:w w:val="100"/>
        </w:rPr>
        <w:t>修</w:t>
      </w:r>
      <w:r>
        <w:rPr>
          <w:spacing w:val="-3"/>
          <w:w w:val="100"/>
        </w:rPr>
        <w:t>订的</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4"/>
          <w:w w:val="100"/>
        </w:rPr>
        <w:t>-</w:t>
      </w:r>
      <w:r>
        <w:rPr>
          <w:w w:val="100"/>
        </w:rPr>
        <w:t>金融</w:t>
      </w:r>
      <w:r>
        <w:rPr>
          <w:spacing w:val="-3"/>
          <w:w w:val="100"/>
        </w:rPr>
        <w:t>工</w:t>
      </w:r>
      <w:r>
        <w:rPr>
          <w:w w:val="100"/>
        </w:rPr>
        <w:t>具</w:t>
      </w:r>
      <w:r>
        <w:rPr>
          <w:spacing w:val="-3"/>
          <w:w w:val="100"/>
        </w:rPr>
        <w:t>确</w:t>
      </w:r>
      <w:r>
        <w:rPr>
          <w:w w:val="100"/>
        </w:rPr>
        <w:t>认</w:t>
      </w:r>
      <w:r>
        <w:rPr>
          <w:spacing w:val="-3"/>
          <w:w w:val="100"/>
        </w:rPr>
        <w:t>和</w:t>
      </w:r>
      <w:r>
        <w:rPr>
          <w:w w:val="100"/>
        </w:rPr>
        <w:t>计</w:t>
      </w:r>
      <w:r>
        <w:rPr>
          <w:spacing w:val="-3"/>
          <w:w w:val="100"/>
        </w:rPr>
        <w:t>量</w:t>
      </w:r>
      <w:r>
        <w:rPr>
          <w:spacing w:val="-106"/>
          <w:w w:val="100"/>
        </w:rPr>
        <w:t>》</w:t>
      </w:r>
      <w:r>
        <w:rPr>
          <w:w w:val="100"/>
        </w:rPr>
        <w:t>、</w:t>
      </w:r>
    </w:p>
    <w:p>
      <w:pPr>
        <w:pStyle w:val="BodyText"/>
        <w:spacing w:line="331" w:lineRule="auto" w:before="110"/>
        <w:ind w:right="1127"/>
        <w:jc w:val="left"/>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41"/>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12"/>
        </w:rPr>
        <w:t> </w:t>
      </w:r>
      <w:r>
        <w:rPr>
          <w:w w:val="100"/>
        </w:rPr>
        <w:t>号</w:t>
      </w:r>
      <w:r>
        <w:rPr>
          <w:rFonts w:ascii="Times New Roman" w:hAnsi="Times New Roman" w:cs="Times New Roman" w:eastAsia="Times New Roman" w:hint="default"/>
          <w:spacing w:val="-1"/>
          <w:w w:val="100"/>
        </w:rPr>
        <w:t>-</w:t>
      </w:r>
      <w:r>
        <w:rPr>
          <w:w w:val="100"/>
        </w:rPr>
        <w:t>金融</w:t>
      </w:r>
      <w:r>
        <w:rPr>
          <w:spacing w:val="-3"/>
          <w:w w:val="100"/>
        </w:rPr>
        <w:t>资</w:t>
      </w:r>
      <w:r>
        <w:rPr>
          <w:w w:val="100"/>
        </w:rPr>
        <w:t>产</w:t>
      </w:r>
      <w:r>
        <w:rPr>
          <w:spacing w:val="-3"/>
          <w:w w:val="100"/>
        </w:rPr>
        <w:t>转</w:t>
      </w:r>
      <w:r>
        <w:rPr>
          <w:w w:val="100"/>
        </w:rPr>
        <w:t>移</w:t>
      </w:r>
      <w:r>
        <w:rPr>
          <w:spacing w:val="-3"/>
          <w:w w:val="100"/>
        </w:rPr>
        <w:t>》</w:t>
      </w:r>
      <w:r>
        <w:rPr>
          <w:w w:val="100"/>
        </w:rPr>
        <w:t>和</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3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14"/>
        </w:rPr>
        <w:t> </w:t>
      </w:r>
      <w:r>
        <w:rPr>
          <w:w w:val="100"/>
        </w:rPr>
        <w:t>号</w:t>
      </w:r>
      <w:r>
        <w:rPr>
          <w:rFonts w:ascii="Times New Roman" w:hAnsi="Times New Roman" w:cs="Times New Roman" w:eastAsia="Times New Roman" w:hint="default"/>
          <w:spacing w:val="-4"/>
          <w:w w:val="100"/>
        </w:rPr>
        <w:t>-</w:t>
      </w:r>
      <w:r>
        <w:rPr>
          <w:w w:val="100"/>
        </w:rPr>
        <w:t>套期</w:t>
      </w:r>
      <w:r>
        <w:rPr>
          <w:spacing w:val="-3"/>
          <w:w w:val="100"/>
        </w:rPr>
        <w:t>会</w:t>
      </w:r>
      <w:r>
        <w:rPr>
          <w:w w:val="100"/>
        </w:rPr>
        <w:t>计</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40"/>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12"/>
        </w:rPr>
        <w:t> </w:t>
      </w:r>
      <w:r>
        <w:rPr>
          <w:spacing w:val="-3"/>
          <w:w w:val="100"/>
        </w:rPr>
        <w:t>号</w:t>
      </w:r>
      <w:r>
        <w:rPr>
          <w:rFonts w:ascii="Times New Roman" w:hAnsi="Times New Roman" w:cs="Times New Roman" w:eastAsia="Times New Roman" w:hint="default"/>
          <w:w w:val="100"/>
        </w:rPr>
        <w:t>- </w:t>
      </w:r>
      <w:r>
        <w:rPr>
          <w:w w:val="100"/>
        </w:rPr>
        <w:t>金融</w:t>
      </w:r>
      <w:r>
        <w:rPr>
          <w:spacing w:val="-3"/>
          <w:w w:val="100"/>
        </w:rPr>
        <w:t>工</w:t>
      </w:r>
      <w:r>
        <w:rPr>
          <w:w w:val="100"/>
        </w:rPr>
        <w:t>具</w:t>
      </w:r>
      <w:r>
        <w:rPr>
          <w:spacing w:val="-3"/>
          <w:w w:val="100"/>
        </w:rPr>
        <w:t>列</w:t>
      </w:r>
      <w:r>
        <w:rPr>
          <w:w w:val="100"/>
        </w:rPr>
        <w:t>报</w:t>
      </w:r>
      <w:r>
        <w:rPr>
          <w:spacing w:val="-108"/>
          <w:w w:val="100"/>
        </w:rPr>
        <w:t>》</w:t>
      </w:r>
      <w:r>
        <w:rPr>
          <w:w w:val="100"/>
        </w:rPr>
        <w:t>（</w:t>
      </w:r>
      <w:r>
        <w:rPr>
          <w:spacing w:val="-3"/>
          <w:w w:val="100"/>
        </w:rPr>
        <w:t>以</w:t>
      </w:r>
      <w:r>
        <w:rPr>
          <w:w w:val="100"/>
        </w:rPr>
        <w:t>上</w:t>
      </w:r>
      <w:r>
        <w:rPr>
          <w:spacing w:val="-3"/>
          <w:w w:val="100"/>
        </w:rPr>
        <w:t>四项</w:t>
      </w:r>
      <w:r>
        <w:rPr>
          <w:w w:val="100"/>
        </w:rPr>
        <w:t>统</w:t>
      </w:r>
      <w:r>
        <w:rPr>
          <w:spacing w:val="-2"/>
          <w:w w:val="100"/>
        </w:rPr>
        <w:t>称</w:t>
      </w:r>
      <w:r>
        <w:rPr>
          <w:rFonts w:ascii="Times New Roman" w:hAnsi="Times New Roman" w:cs="Times New Roman" w:eastAsia="Times New Roman" w:hint="default"/>
          <w:w w:val="100"/>
        </w:rPr>
        <w:t>&lt;</w:t>
      </w:r>
      <w:r>
        <w:rPr>
          <w:spacing w:val="-3"/>
          <w:w w:val="100"/>
        </w:rPr>
        <w:t>新</w:t>
      </w:r>
      <w:r>
        <w:rPr>
          <w:w w:val="100"/>
        </w:rPr>
        <w:t>金</w:t>
      </w:r>
      <w:r>
        <w:rPr>
          <w:spacing w:val="-3"/>
          <w:w w:val="100"/>
        </w:rPr>
        <w:t>融</w:t>
      </w:r>
      <w:r>
        <w:rPr>
          <w:w w:val="100"/>
        </w:rPr>
        <w:t>工</w:t>
      </w:r>
      <w:r>
        <w:rPr>
          <w:spacing w:val="-3"/>
          <w:w w:val="100"/>
        </w:rPr>
        <w:t>具</w:t>
      </w:r>
      <w:r>
        <w:rPr>
          <w:w w:val="100"/>
        </w:rPr>
        <w:t>准</w:t>
      </w:r>
      <w:r>
        <w:rPr>
          <w:spacing w:val="-3"/>
          <w:w w:val="100"/>
        </w:rPr>
        <w:t>则</w:t>
      </w:r>
      <w:r>
        <w:rPr>
          <w:rFonts w:ascii="Times New Roman" w:hAnsi="Times New Roman" w:cs="Times New Roman" w:eastAsia="Times New Roman" w:hint="default"/>
          <w:w w:val="100"/>
        </w:rPr>
        <w:t>&gt;</w:t>
      </w:r>
      <w:r>
        <w:rPr>
          <w:spacing w:val="-106"/>
          <w:w w:val="100"/>
        </w:rPr>
        <w:t>）</w:t>
      </w:r>
      <w:r>
        <w:rPr>
          <w:spacing w:val="-3"/>
          <w:w w:val="100"/>
        </w:rPr>
        <w:t>，</w:t>
      </w:r>
      <w:r>
        <w:rPr>
          <w:w w:val="100"/>
        </w:rPr>
        <w:t>变更</w:t>
      </w:r>
      <w:r>
        <w:rPr>
          <w:spacing w:val="-3"/>
          <w:w w:val="100"/>
        </w:rPr>
        <w:t>后</w:t>
      </w:r>
      <w:r>
        <w:rPr>
          <w:w w:val="100"/>
        </w:rPr>
        <w:t>的</w:t>
      </w:r>
      <w:r>
        <w:rPr>
          <w:spacing w:val="-3"/>
          <w:w w:val="100"/>
        </w:rPr>
        <w:t>会</w:t>
      </w:r>
      <w:r>
        <w:rPr>
          <w:w w:val="100"/>
        </w:rPr>
        <w:t>计</w:t>
      </w:r>
      <w:r>
        <w:rPr>
          <w:spacing w:val="-3"/>
          <w:w w:val="100"/>
        </w:rPr>
        <w:t>政</w:t>
      </w:r>
      <w:r>
        <w:rPr>
          <w:w w:val="100"/>
        </w:rPr>
        <w:t>策</w:t>
      </w:r>
      <w:r>
        <w:rPr>
          <w:spacing w:val="-3"/>
          <w:w w:val="100"/>
        </w:rPr>
        <w:t>详</w:t>
      </w:r>
      <w:r>
        <w:rPr>
          <w:w w:val="100"/>
        </w:rPr>
        <w:t>见</w:t>
      </w:r>
      <w:r>
        <w:rPr>
          <w:spacing w:val="-3"/>
          <w:w w:val="100"/>
        </w:rPr>
        <w:t>附</w:t>
      </w:r>
      <w:r>
        <w:rPr>
          <w:w w:val="100"/>
        </w:rPr>
        <w:t>注四。</w:t>
      </w:r>
    </w:p>
    <w:p>
      <w:pPr>
        <w:pStyle w:val="BodyText"/>
        <w:spacing w:line="336" w:lineRule="auto" w:before="60"/>
        <w:ind w:right="1126" w:firstLine="420"/>
        <w:jc w:val="both"/>
      </w:pPr>
      <w:r>
        <w:rPr/>
        <w:t>于</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日之前的金融工具确认和计量与新金融工具准则要求不一致的，公司按照新金融工</w:t>
      </w:r>
      <w:r>
        <w:rPr>
          <w:w w:val="100"/>
        </w:rPr>
        <w:t> </w:t>
      </w:r>
      <w:r>
        <w:rPr>
          <w:spacing w:val="-2"/>
        </w:rPr>
        <w:t>具准则的要求进行衔接调整。涉及前期比较财务报表数据与新金融工具准则要求不一致的，公司未调整可</w:t>
      </w:r>
      <w:r>
        <w:rPr>
          <w:spacing w:val="-43"/>
        </w:rPr>
        <w:t> </w:t>
      </w:r>
      <w:r>
        <w:rPr>
          <w:spacing w:val="-43"/>
        </w:rPr>
      </w:r>
      <w:r>
        <w:rPr>
          <w:spacing w:val="-4"/>
        </w:rPr>
        <w:t>比期间信息。金融工具原账面价值和新金融工具准则施行日的新账面价值之间的差额，计入</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日留存收益或其他综合收益。</w:t>
      </w:r>
    </w:p>
    <w:p>
      <w:pPr>
        <w:pStyle w:val="BodyText"/>
        <w:spacing w:line="240" w:lineRule="auto" w:before="80"/>
        <w:ind w:left="573" w:right="1133"/>
        <w:jc w:val="left"/>
      </w:pPr>
      <w:r>
        <w:rPr/>
        <w:t>执行新金融工具准则对本期期初资产负债表相关项目的影响列示如下：</w:t>
      </w:r>
    </w:p>
    <w:p>
      <w:pPr>
        <w:spacing w:line="240" w:lineRule="auto" w:before="13"/>
        <w:rPr>
          <w:rFonts w:ascii="宋体" w:hAnsi="宋体" w:cs="宋体" w:eastAsia="宋体" w:hint="default"/>
          <w:sz w:val="3"/>
          <w:szCs w:val="3"/>
        </w:rPr>
      </w:pPr>
    </w:p>
    <w:tbl>
      <w:tblPr>
        <w:tblW w:w="0" w:type="auto"/>
        <w:jc w:val="left"/>
        <w:tblInd w:w="282" w:type="dxa"/>
        <w:tblLayout w:type="fixed"/>
        <w:tblCellMar>
          <w:top w:w="0" w:type="dxa"/>
          <w:left w:w="0" w:type="dxa"/>
          <w:bottom w:w="0" w:type="dxa"/>
          <w:right w:w="0" w:type="dxa"/>
        </w:tblCellMar>
        <w:tblLook w:val="01E0"/>
      </w:tblPr>
      <w:tblGrid>
        <w:gridCol w:w="2369"/>
        <w:gridCol w:w="1597"/>
        <w:gridCol w:w="1212"/>
        <w:gridCol w:w="1210"/>
        <w:gridCol w:w="1215"/>
        <w:gridCol w:w="1769"/>
      </w:tblGrid>
      <w:tr>
        <w:trPr>
          <w:trHeight w:val="348" w:hRule="exact"/>
        </w:trPr>
        <w:tc>
          <w:tcPr>
            <w:tcW w:w="2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6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71" w:hRule="exact"/>
        </w:trPr>
        <w:tc>
          <w:tcPr>
            <w:tcW w:w="2369"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39" w:right="240" w:firstLine="91"/>
              <w:jc w:val="left"/>
              <w:rPr>
                <w:rFonts w:ascii="宋体" w:hAnsi="宋体" w:cs="宋体" w:eastAsia="宋体" w:hint="default"/>
                <w:sz w:val="18"/>
                <w:szCs w:val="18"/>
              </w:rPr>
            </w:pPr>
            <w:r>
              <w:rPr>
                <w:rFonts w:ascii="宋体" w:hAnsi="宋体" w:cs="宋体" w:eastAsia="宋体" w:hint="default"/>
                <w:sz w:val="18"/>
                <w:szCs w:val="18"/>
              </w:rPr>
              <w:t>分类和 计量影响</w:t>
            </w:r>
          </w:p>
          <w:p>
            <w:pPr>
              <w:pStyle w:val="TableParagraph"/>
              <w:spacing w:line="240" w:lineRule="auto" w:before="9"/>
              <w:ind w:left="26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40" w:right="239"/>
              <w:jc w:val="left"/>
              <w:rPr>
                <w:rFonts w:ascii="宋体" w:hAnsi="宋体" w:cs="宋体" w:eastAsia="宋体" w:hint="default"/>
                <w:sz w:val="18"/>
                <w:szCs w:val="18"/>
              </w:rPr>
            </w:pPr>
            <w:r>
              <w:rPr>
                <w:rFonts w:ascii="宋体" w:hAnsi="宋体" w:cs="宋体" w:eastAsia="宋体" w:hint="default"/>
                <w:sz w:val="18"/>
                <w:szCs w:val="18"/>
              </w:rPr>
              <w:t>金融资产 减值影响</w:t>
            </w:r>
          </w:p>
          <w:p>
            <w:pPr>
              <w:pStyle w:val="TableParagraph"/>
              <w:spacing w:line="240" w:lineRule="auto" w:before="9"/>
              <w:ind w:left="2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69" w:type="dxa"/>
            <w:vMerge/>
            <w:tcBorders>
              <w:left w:val="single" w:sz="4" w:space="0" w:color="000000"/>
              <w:bottom w:val="single" w:sz="4" w:space="0" w:color="000000"/>
              <w:right w:val="single" w:sz="4" w:space="0" w:color="000000"/>
            </w:tcBorders>
          </w:tcPr>
          <w:p>
            <w:pPr/>
          </w:p>
        </w:tc>
      </w:tr>
      <w:tr>
        <w:trPr>
          <w:trHeight w:val="349"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41,190,230.00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color w:val="0000FF"/>
                <w:w w:val="99"/>
                <w:sz w:val="18"/>
              </w:rPr>
              <w:t>-</w:t>
            </w:r>
            <w:r>
              <w:rPr>
                <w:rFonts w:ascii="Times New Roman"/>
                <w:sz w:val="18"/>
              </w:rPr>
            </w:r>
          </w:p>
        </w:tc>
      </w:tr>
      <w:tr>
        <w:trPr>
          <w:trHeight w:val="34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41,190,230.00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41,190,230.00</w:t>
            </w:r>
          </w:p>
        </w:tc>
      </w:tr>
    </w:tbl>
    <w:p>
      <w:pPr>
        <w:spacing w:line="240" w:lineRule="auto" w:before="10"/>
        <w:rPr>
          <w:rFonts w:ascii="宋体" w:hAnsi="宋体" w:cs="宋体" w:eastAsia="宋体" w:hint="default"/>
          <w:sz w:val="14"/>
          <w:szCs w:val="14"/>
        </w:rPr>
      </w:pPr>
    </w:p>
    <w:p>
      <w:pPr>
        <w:pStyle w:val="BodyText"/>
        <w:spacing w:line="240" w:lineRule="auto" w:before="36"/>
        <w:ind w:right="1133"/>
        <w:jc w:val="left"/>
      </w:pPr>
      <w:r>
        <w:rPr/>
        <w:t>注：上表仅呈列受影响的财务报表项目，不受影响的财务报表项目不包括在内。</w:t>
      </w:r>
    </w:p>
    <w:p>
      <w:pPr>
        <w:pStyle w:val="BodyText"/>
        <w:spacing w:line="343" w:lineRule="auto" w:before="164"/>
        <w:ind w:right="982"/>
        <w:jc w:val="left"/>
      </w:pPr>
      <w:bookmarkStart w:name="注1：于2019年1月1日，账面价值41,190,230.00元的以前年度被分类" w:id="247"/>
      <w:bookmarkEnd w:id="247"/>
      <w:r>
        <w:rPr/>
      </w:r>
      <w:r>
        <w:rPr/>
        <w:t>注</w:t>
      </w:r>
      <w:r>
        <w:rPr>
          <w:spacing w:val="-51"/>
        </w:rPr>
        <w:t> </w:t>
      </w:r>
      <w:r>
        <w:rPr>
          <w:rFonts w:ascii="Times New Roman" w:hAnsi="Times New Roman" w:cs="Times New Roman" w:eastAsia="Times New Roman" w:hint="default"/>
          <w:spacing w:val="-5"/>
        </w:rPr>
        <w:t>1</w:t>
      </w:r>
      <w:r>
        <w:rPr>
          <w:spacing w:val="-5"/>
        </w:rPr>
        <w:t>：于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日，账面价值</w:t>
      </w:r>
      <w:r>
        <w:rPr>
          <w:spacing w:val="-51"/>
        </w:rPr>
        <w:t> </w:t>
      </w:r>
      <w:r>
        <w:rPr>
          <w:rFonts w:ascii="Times New Roman" w:hAnsi="Times New Roman" w:cs="Times New Roman" w:eastAsia="Times New Roman" w:hint="default"/>
        </w:rPr>
        <w:t>41,190,230.00</w:t>
      </w:r>
      <w:r>
        <w:rPr>
          <w:rFonts w:ascii="Times New Roman" w:hAnsi="Times New Roman" w:cs="Times New Roman" w:eastAsia="Times New Roman" w:hint="default"/>
          <w:spacing w:val="-2"/>
        </w:rPr>
        <w:t> </w:t>
      </w:r>
      <w:r>
        <w:rPr/>
        <w:t>元的以前年度被分类为可供出售金融资产的权益工具，</w:t>
      </w:r>
      <w:r>
        <w:rPr>
          <w:w w:val="100"/>
        </w:rPr>
        <w:t> </w:t>
      </w:r>
      <w:r>
        <w:rPr>
          <w:spacing w:val="-2"/>
        </w:rPr>
        <w:t>在首次执行日通过询问管理层并获取指定为以公允价值计量且其变动计入其他综合收益的指定文件，判断</w:t>
      </w:r>
      <w:r>
        <w:rPr>
          <w:spacing w:val="-43"/>
        </w:rPr>
        <w:t> </w:t>
      </w:r>
      <w:r>
        <w:rPr>
          <w:spacing w:val="-43"/>
        </w:rPr>
      </w:r>
      <w:r>
        <w:rPr>
          <w:spacing w:val="-2"/>
        </w:rPr>
        <w:t>为其交易目的为非交易出售赚取差价，且其权益工具为投资以上各投资单位股份权益，因此原为按成本计</w:t>
      </w:r>
      <w:r>
        <w:rPr>
          <w:spacing w:val="-43"/>
        </w:rPr>
        <w:t> </w:t>
      </w:r>
      <w:r>
        <w:rPr>
          <w:spacing w:val="-43"/>
        </w:rPr>
      </w:r>
      <w:r>
        <w:rPr/>
        <w:t>量的可供出售权益工具重分类至其他权益工具投资。</w:t>
      </w:r>
    </w:p>
    <w:p>
      <w:pPr>
        <w:spacing w:after="0" w:line="343"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left="573" w:right="1133"/>
        <w:jc w:val="left"/>
      </w:pPr>
      <w:bookmarkStart w:name="（2）执行新非货币性资产交换、债务重组准则对公司的影响" w:id="248"/>
      <w:bookmarkEnd w:id="248"/>
      <w:r>
        <w:rPr/>
      </w:r>
      <w:r>
        <w:rPr/>
        <w:t>（</w:t>
      </w:r>
      <w:r>
        <w:rPr>
          <w:rFonts w:ascii="Times New Roman" w:hAnsi="Times New Roman" w:cs="Times New Roman" w:eastAsia="Times New Roman" w:hint="default"/>
        </w:rPr>
        <w:t>2</w:t>
      </w:r>
      <w:r>
        <w:rPr/>
        <w:t>）执行新非货币性资产交换、债务重组准则对公司的影响</w:t>
      </w:r>
    </w:p>
    <w:p>
      <w:pPr>
        <w:pStyle w:val="BodyText"/>
        <w:spacing w:line="240" w:lineRule="auto" w:before="149"/>
        <w:ind w:left="573" w:right="982"/>
        <w:jc w:val="left"/>
        <w:rPr>
          <w:rFonts w:ascii="Times New Roman" w:hAnsi="Times New Roman" w:cs="Times New Roman" w:eastAsia="Times New Roman" w:hint="default"/>
        </w:rPr>
      </w:pPr>
      <w:r>
        <w:rPr>
          <w:w w:val="100"/>
        </w:rPr>
        <w:t>公司自</w:t>
      </w:r>
      <w:r>
        <w:rPr>
          <w:spacing w:val="-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2"/>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月</w:t>
      </w:r>
      <w:r>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0"/>
        </w:rPr>
        <w:t>日起</w:t>
      </w:r>
      <w:r>
        <w:rPr>
          <w:spacing w:val="-3"/>
          <w:w w:val="100"/>
        </w:rPr>
        <w:t>执</w:t>
      </w:r>
      <w:r>
        <w:rPr>
          <w:w w:val="100"/>
        </w:rPr>
        <w:t>行</w:t>
      </w:r>
      <w:r>
        <w:rPr>
          <w:spacing w:val="-3"/>
          <w:w w:val="100"/>
        </w:rPr>
        <w:t>经</w:t>
      </w:r>
      <w:r>
        <w:rPr>
          <w:w w:val="100"/>
        </w:rPr>
        <w:t>修</w:t>
      </w:r>
      <w:r>
        <w:rPr>
          <w:spacing w:val="-3"/>
          <w:w w:val="100"/>
        </w:rPr>
        <w:t>订</w:t>
      </w:r>
      <w:r>
        <w:rPr>
          <w:spacing w:val="-29"/>
          <w:w w:val="100"/>
        </w:rPr>
        <w:t>的</w:t>
      </w:r>
      <w:r>
        <w:rPr>
          <w:spacing w:val="-3"/>
          <w:w w:val="100"/>
        </w:rPr>
        <w:t>《</w:t>
      </w:r>
      <w:r>
        <w:rPr>
          <w:w w:val="100"/>
        </w:rPr>
        <w:t>企</w:t>
      </w:r>
      <w:r>
        <w:rPr>
          <w:spacing w:val="-3"/>
          <w:w w:val="100"/>
        </w:rPr>
        <w:t>业</w:t>
      </w:r>
      <w:r>
        <w:rPr>
          <w:w w:val="100"/>
        </w:rPr>
        <w:t>会计</w:t>
      </w:r>
      <w:r>
        <w:rPr>
          <w:spacing w:val="-3"/>
          <w:w w:val="100"/>
        </w:rPr>
        <w:t>准</w:t>
      </w:r>
      <w:r>
        <w:rPr>
          <w:w w:val="100"/>
        </w:rPr>
        <w:t>则第</w:t>
      </w:r>
      <w:r>
        <w:rPr>
          <w:spacing w:val="-2"/>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4"/>
          <w:w w:val="100"/>
        </w:rPr>
        <w:t>-</w:t>
      </w:r>
      <w:r>
        <w:rPr>
          <w:w w:val="100"/>
        </w:rPr>
        <w:t>非货</w:t>
      </w:r>
      <w:r>
        <w:rPr>
          <w:spacing w:val="-3"/>
          <w:w w:val="100"/>
        </w:rPr>
        <w:t>币</w:t>
      </w:r>
      <w:r>
        <w:rPr>
          <w:w w:val="100"/>
        </w:rPr>
        <w:t>性资</w:t>
      </w:r>
      <w:r>
        <w:rPr>
          <w:spacing w:val="-3"/>
          <w:w w:val="100"/>
        </w:rPr>
        <w:t>产</w:t>
      </w:r>
      <w:r>
        <w:rPr>
          <w:w w:val="100"/>
        </w:rPr>
        <w:t>交</w:t>
      </w:r>
      <w:r>
        <w:rPr>
          <w:spacing w:val="-3"/>
          <w:w w:val="100"/>
        </w:rPr>
        <w:t>换</w:t>
      </w:r>
      <w:r>
        <w:rPr>
          <w:spacing w:val="-106"/>
          <w:w w:val="100"/>
        </w:rPr>
        <w:t>》</w:t>
      </w:r>
      <w:r>
        <w:rPr>
          <w:w w:val="100"/>
        </w:rPr>
        <w:t>，</w:t>
      </w:r>
      <w:r>
        <w:rPr>
          <w:spacing w:val="-31"/>
        </w:rPr>
        <w:t> </w:t>
      </w:r>
      <w:r>
        <w:rPr>
          <w:w w:val="100"/>
        </w:rPr>
        <w:t>自</w:t>
      </w:r>
      <w:r>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p>
    <w:p>
      <w:pPr>
        <w:pStyle w:val="BodyText"/>
        <w:spacing w:line="240" w:lineRule="auto" w:before="110"/>
        <w:ind w:right="982"/>
        <w:jc w:val="left"/>
      </w:pPr>
      <w:r>
        <w:rPr>
          <w:w w:val="100"/>
        </w:rPr>
        <w:t>年</w:t>
      </w:r>
      <w:r>
        <w:rPr>
          <w:spacing w:val="1"/>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t> </w:t>
      </w: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w w:val="100"/>
        </w:rPr>
        <w:t>日起执行修订的《企业会计准则第</w:t>
      </w:r>
      <w:r>
        <w:rPr>
          <w:spacing w:val="1"/>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1"/>
          <w:w w:val="100"/>
        </w:rPr>
        <w:t>--</w:t>
      </w:r>
      <w:r>
        <w:rPr>
          <w:w w:val="100"/>
        </w:rPr>
        <w:t>债务重组</w:t>
      </w:r>
      <w:r>
        <w:rPr>
          <w:spacing w:val="-104"/>
          <w:w w:val="100"/>
        </w:rPr>
        <w:t>》</w:t>
      </w:r>
      <w:r>
        <w:rPr>
          <w:w w:val="100"/>
        </w:rPr>
        <w:t>。该项会</w:t>
      </w:r>
      <w:r>
        <w:rPr>
          <w:spacing w:val="-3"/>
          <w:w w:val="100"/>
        </w:rPr>
        <w:t>计</w:t>
      </w:r>
      <w:r>
        <w:rPr>
          <w:w w:val="100"/>
        </w:rPr>
        <w:t>政策变更采用未来适用</w:t>
      </w:r>
      <w:r>
        <w:rPr>
          <w:spacing w:val="-3"/>
          <w:w w:val="100"/>
        </w:rPr>
        <w:t>法</w:t>
      </w:r>
      <w:r>
        <w:rPr>
          <w:w w:val="100"/>
        </w:rPr>
        <w:t>处</w:t>
      </w:r>
    </w:p>
    <w:p>
      <w:pPr>
        <w:pStyle w:val="BodyText"/>
        <w:spacing w:line="328" w:lineRule="auto" w:before="110"/>
        <w:ind w:right="1133"/>
        <w:jc w:val="left"/>
      </w:pPr>
      <w:r>
        <w:rPr>
          <w:spacing w:val="-4"/>
        </w:rPr>
        <w:t>理，并根据准则的规定对于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日至准则实施日之间发生的非货币性资产交换和债务重组进</w:t>
      </w:r>
      <w:r>
        <w:rPr>
          <w:w w:val="100"/>
        </w:rPr>
        <w:t> </w:t>
      </w:r>
      <w:r>
        <w:rPr/>
        <w:t>行调整。公司首次执行该准则对财务报表无影响。</w:t>
      </w:r>
    </w:p>
    <w:p>
      <w:pPr>
        <w:spacing w:line="240" w:lineRule="auto" w:before="0"/>
        <w:rPr>
          <w:rFonts w:ascii="宋体" w:hAnsi="宋体" w:cs="宋体" w:eastAsia="宋体" w:hint="default"/>
          <w:sz w:val="20"/>
          <w:szCs w:val="20"/>
        </w:rPr>
      </w:pPr>
    </w:p>
    <w:p>
      <w:pPr>
        <w:pStyle w:val="Heading3"/>
        <w:spacing w:line="240" w:lineRule="auto"/>
        <w:ind w:right="1133"/>
        <w:jc w:val="left"/>
        <w:rPr>
          <w:b w:val="0"/>
          <w:bCs w:val="0"/>
        </w:rPr>
      </w:pPr>
      <w:bookmarkStart w:name="（2）重要会计估计变更" w:id="249"/>
      <w:bookmarkEnd w:id="24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3）2019年起执行新金融工具准则、新收入准则或新租赁准则调整执行当年年初财务" w:id="250"/>
      <w:bookmarkEnd w:id="250"/>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1,128,396,441.27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1,128,396,441.27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4,313,288.55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4,313,288.55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2,755,683,225.01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2,755,683,225.01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880,010,885.14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880,010,885.14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43,681,680.91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43,681,680.91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245,078,433.40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245,078,433.40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107,176,183.30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107,176,183.30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5,164,340,137.58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5,164,340,137.58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41,190,230.00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-41,190,230.00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29,858,063.65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29,858,063.65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23,216,135.14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23,216,135.14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20,190,230.00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20,190,230.00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1,011,936,841.91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1,011,936,841.91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1,193,607,497.90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1,193,607,497.90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491,022,782.83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491,022,782.83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14,567,265.10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14,567,265.10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1,244,668,581.69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1,244,668,581.69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11,794,707.77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11,794,707.77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70,293,459.62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70,293,459.62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592,674,910.20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592,674,910.20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4,724,830,475.81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4,724,830,475.81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9,889,170,613.39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9,889,170,613.39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2,121,835,910.00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2,121,835,910.00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69,314,221.84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69,314,221.84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372,218,154.07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372,218,154.07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759,512,890.14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759,512,890.14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31,218,916.76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31,218,916.76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85,710,234.47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85,710,234.47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213,445,358.49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213,445,358.49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18,306,326.43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18,306,326.43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385,758,545.09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385,758,545.09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4,039,014,230.86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4,039,014,230.86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609,038,381.61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609,038,381.61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442,418,873.41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442,418,873.41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104,712,532.88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104,712,532.88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101,289,566.53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101,289,566.53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18,782,989.35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18,782,989.35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1,276,242,343.78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1,276,242,343.78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5,315,256,574.64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5,315,256,574.64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1,175,061,904.00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1,175,061,904.00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92,184,474.55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1,894,935,407.47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1,894,935,407.47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35,173,620.00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35,173,620.00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1,047,409.26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1,047,409.26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42,345,939.65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42,345,939.65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1,273,386,271.35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1,273,386,271.35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4,443,787,786.28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4,443,787,786.28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130,126,252.47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130,126,252.47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4,573,914,038.75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4,573,914,038.75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9,889,170,613.39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9,889,170,613.39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980" w:top="1100" w:bottom="1160" w:left="980" w:right="0"/>
        </w:sectPr>
      </w:pPr>
    </w:p>
    <w:p>
      <w:pPr>
        <w:pStyle w:val="BodyText"/>
        <w:spacing w:line="240" w:lineRule="auto" w:before="36"/>
        <w:ind w:left="573" w:right="0"/>
        <w:jc w:val="left"/>
      </w:pPr>
      <w:r>
        <w:rPr>
          <w:spacing w:val="-2"/>
        </w:rPr>
        <w:t>本报告期会计政策变更事项详见附注五</w:t>
      </w:r>
      <w:r>
        <w:rPr>
          <w:rFonts w:ascii="Times New Roman" w:hAnsi="Times New Roman" w:cs="Times New Roman" w:eastAsia="Times New Roman" w:hint="default"/>
          <w:spacing w:val="-2"/>
        </w:rPr>
        <w:t>35</w:t>
      </w:r>
      <w:r>
        <w:rPr>
          <w:spacing w:val="-2"/>
        </w:rPr>
        <w:t>、财务报表列报项目变更说明。</w:t>
      </w:r>
    </w:p>
    <w:p>
      <w:pPr>
        <w:spacing w:before="85"/>
        <w:ind w:left="152" w:right="0"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00" w:space="1621"/>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462,335,944.65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462,335,944.65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97,500,000.00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36,520,175.06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36,520,175.06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63,527,011.37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63,527,011.37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138,773,542.55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138,773,542.55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50,845,697.37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50,845,697.37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2,168,496.35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2,168,496.35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851,670,867.35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851,670,867.35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12,399,474.49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12,399,474.49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3,742,489,404.92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3,742,489,404.92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318,578,032.11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318,578,032.11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351,739,374.87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351,739,374.87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40,390,720.78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40,390,720.78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4,177,723.96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4,177,723.96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9,192,957.33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9,192,957.33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154,596,223.62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154,596,223.62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4,634,563,912.08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4,634,563,912.08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5,486,234,779.43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5,486,234,779.43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10,219,960.34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22,979,501.49</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796,139.08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796,139.08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2,916,274.31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2,916,274.31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422,248.90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422,248.90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446,714,363.39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446,714,363.39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284,755,715.19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284,755,715.19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1,236,304,202.70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1,236,304,202.70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369,038,381.61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369,038,381.61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442,418,873.41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442,418,873.41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47,638,253.75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47,638,253.75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25,675,296.31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25,675,296.31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884,770,805.08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884,770,805.08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2,121,075,007.78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2,121,075,007.78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1,175,061,904.00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1,175,061,904.00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92,184,474.55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92,184,474.55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1,881,400,718.21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1,881,400,718.21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35,173,620.00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35,173,620.00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42,345,939.65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42,345,939.65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209,340,355.24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209,340,355.24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3,365,159,771.65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3,365,159,771.65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5,486,234,779.43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5,486,234,779.43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10"/>
        <w:rPr>
          <w:rFonts w:ascii="宋体" w:hAnsi="宋体" w:cs="宋体" w:eastAsia="宋体" w:hint="default"/>
          <w:sz w:val="13"/>
          <w:szCs w:val="13"/>
        </w:rPr>
      </w:pPr>
    </w:p>
    <w:p>
      <w:pPr>
        <w:pStyle w:val="BodyText"/>
        <w:spacing w:line="240" w:lineRule="auto"/>
        <w:ind w:left="573" w:right="1133"/>
        <w:jc w:val="left"/>
      </w:pPr>
      <w:r>
        <w:rPr/>
        <w:t>本报告期会计政策变更事项详见附注五</w:t>
      </w:r>
      <w:r>
        <w:rPr>
          <w:rFonts w:ascii="Times New Roman" w:hAnsi="Times New Roman" w:cs="Times New Roman" w:eastAsia="Times New Roman" w:hint="default"/>
        </w:rPr>
        <w:t>35</w:t>
      </w:r>
      <w:r>
        <w:rPr/>
        <w:t>、财务报表列报项目变更说明。</w:t>
      </w:r>
    </w:p>
    <w:p>
      <w:pPr>
        <w:spacing w:line="240" w:lineRule="auto" w:before="10"/>
        <w:rPr>
          <w:rFonts w:ascii="宋体" w:hAnsi="宋体" w:cs="宋体" w:eastAsia="宋体" w:hint="default"/>
          <w:sz w:val="24"/>
          <w:szCs w:val="24"/>
        </w:rPr>
      </w:pPr>
    </w:p>
    <w:p>
      <w:pPr>
        <w:pStyle w:val="Heading3"/>
        <w:spacing w:line="240" w:lineRule="auto"/>
        <w:ind w:right="1133"/>
        <w:jc w:val="left"/>
        <w:rPr>
          <w:b w:val="0"/>
          <w:bCs w:val="0"/>
        </w:rPr>
      </w:pPr>
      <w:bookmarkStart w:name="（4）2019年起执行新金融工具准则或新租赁准则追溯调整前期比较数据说明" w:id="251"/>
      <w:bookmarkEnd w:id="251"/>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5、财务报表列报项目变更说明" w:id="252"/>
      <w:bookmarkEnd w:id="252"/>
      <w:r>
        <w:rPr>
          <w:b w:val="0"/>
          <w:bCs w:val="0"/>
        </w:rPr>
      </w:r>
      <w:r>
        <w:rPr>
          <w:rFonts w:ascii="Times New Roman" w:hAnsi="Times New Roman" w:cs="Times New Roman" w:eastAsia="Times New Roman" w:hint="default"/>
        </w:rPr>
        <w:t>35</w:t>
      </w:r>
      <w:r>
        <w:rPr/>
        <w:t>、财务报表列报项目变更说明</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982"/>
        <w:jc w:val="left"/>
      </w:pPr>
      <w:r>
        <w:rPr>
          <w:w w:val="100"/>
        </w:rPr>
        <w:t>财政</w:t>
      </w:r>
      <w:r>
        <w:rPr>
          <w:spacing w:val="-3"/>
          <w:w w:val="100"/>
        </w:rPr>
        <w:t>部</w:t>
      </w:r>
      <w:r>
        <w:rPr>
          <w:w w:val="100"/>
        </w:rPr>
        <w:t>于</w:t>
      </w:r>
      <w:r>
        <w:rPr>
          <w:spacing w:val="-31"/>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24"/>
        </w:rPr>
        <w:t> </w:t>
      </w:r>
      <w:r>
        <w:rPr>
          <w:w w:val="100"/>
        </w:rPr>
        <w:t>年</w:t>
      </w:r>
      <w:r>
        <w:rPr>
          <w:spacing w:val="-31"/>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1"/>
        </w:rPr>
        <w:t> </w:t>
      </w:r>
      <w:r>
        <w:rPr>
          <w:w w:val="100"/>
        </w:rPr>
        <w:t>月</w:t>
      </w:r>
      <w:r>
        <w:rPr>
          <w:spacing w:val="-29"/>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22"/>
        </w:rPr>
        <w:t> </w:t>
      </w:r>
      <w:r>
        <w:rPr>
          <w:w w:val="100"/>
        </w:rPr>
        <w:t>日发</w:t>
      </w:r>
      <w:r>
        <w:rPr>
          <w:spacing w:val="-3"/>
          <w:w w:val="100"/>
        </w:rPr>
        <w:t>布</w:t>
      </w:r>
      <w:r>
        <w:rPr>
          <w:w w:val="100"/>
        </w:rPr>
        <w:t>了</w:t>
      </w:r>
      <w:r>
        <w:rPr>
          <w:spacing w:val="-3"/>
          <w:w w:val="100"/>
        </w:rPr>
        <w:t>《</w:t>
      </w:r>
      <w:r>
        <w:rPr>
          <w:w w:val="100"/>
        </w:rPr>
        <w:t>关</w:t>
      </w:r>
      <w:r>
        <w:rPr>
          <w:spacing w:val="-3"/>
          <w:w w:val="100"/>
        </w:rPr>
        <w:t>于</w:t>
      </w:r>
      <w:r>
        <w:rPr>
          <w:w w:val="100"/>
        </w:rPr>
        <w:t>修</w:t>
      </w:r>
      <w:r>
        <w:rPr>
          <w:spacing w:val="-3"/>
          <w:w w:val="100"/>
        </w:rPr>
        <w:t>订印</w:t>
      </w:r>
      <w:r>
        <w:rPr>
          <w:w w:val="100"/>
        </w:rPr>
        <w:t>发</w:t>
      </w:r>
      <w:r>
        <w:rPr>
          <w:spacing w:val="-31"/>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21"/>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务报</w:t>
      </w:r>
      <w:r>
        <w:rPr>
          <w:w w:val="100"/>
        </w:rPr>
        <w:t>表格</w:t>
      </w:r>
      <w:r>
        <w:rPr>
          <w:spacing w:val="-3"/>
          <w:w w:val="100"/>
        </w:rPr>
        <w:t>式</w:t>
      </w:r>
      <w:r>
        <w:rPr>
          <w:w w:val="100"/>
        </w:rPr>
        <w:t>的</w:t>
      </w:r>
      <w:r>
        <w:rPr>
          <w:spacing w:val="-3"/>
          <w:w w:val="100"/>
        </w:rPr>
        <w:t>通</w:t>
      </w:r>
      <w:r>
        <w:rPr>
          <w:w w:val="100"/>
        </w:rPr>
        <w:t>知</w:t>
      </w:r>
      <w:r>
        <w:rPr>
          <w:spacing w:val="-108"/>
          <w:w w:val="100"/>
        </w:rPr>
        <w:t>》</w:t>
      </w:r>
      <w:r>
        <w:rPr>
          <w:w w:val="100"/>
        </w:rPr>
        <w:t>（</w:t>
      </w:r>
      <w:r>
        <w:rPr>
          <w:spacing w:val="-3"/>
          <w:w w:val="100"/>
        </w:rPr>
        <w:t>财</w:t>
      </w:r>
      <w:r>
        <w:rPr>
          <w:w w:val="100"/>
        </w:rPr>
        <w:t>会</w:t>
      </w:r>
    </w:p>
    <w:p>
      <w:pPr>
        <w:pStyle w:val="BodyText"/>
        <w:spacing w:line="331" w:lineRule="auto" w:before="107"/>
        <w:ind w:right="1133"/>
        <w:jc w:val="left"/>
      </w:pPr>
      <w:r>
        <w:rPr>
          <w:spacing w:val="-4"/>
          <w:w w:val="100"/>
        </w:rPr>
        <w:t>〔</w:t>
      </w:r>
      <w:r>
        <w:rPr>
          <w:rFonts w:ascii="Times New Roman" w:hAnsi="Times New Roman" w:cs="Times New Roman" w:eastAsia="Times New Roman" w:hint="default"/>
          <w:spacing w:val="-4"/>
          <w:w w:val="100"/>
        </w:rPr>
        <w:t>2019</w:t>
      </w:r>
      <w:r>
        <w:rPr>
          <w:spacing w:val="-4"/>
          <w:w w:val="100"/>
        </w:rPr>
        <w:t>〕</w:t>
      </w:r>
      <w:r>
        <w:rPr>
          <w:rFonts w:ascii="Times New Roman" w:hAnsi="Times New Roman" w:cs="Times New Roman" w:eastAsia="Times New Roman" w:hint="default"/>
          <w:spacing w:val="-4"/>
          <w:w w:val="100"/>
        </w:rPr>
        <w:t>6</w:t>
      </w:r>
      <w:r>
        <w:rPr>
          <w:rFonts w:ascii="Times New Roman" w:hAnsi="Times New Roman" w:cs="Times New Roman" w:eastAsia="Times New Roman" w:hint="default"/>
          <w:w w:val="100"/>
        </w:rPr>
        <w:t> </w:t>
      </w:r>
      <w:r>
        <w:rPr>
          <w:spacing w:val="-6"/>
          <w:w w:val="100"/>
        </w:rPr>
        <w:t>号），对一般企业财务报表格式进行了修订，拆分部分资产负债表项目和调整利润表项目等。公</w:t>
      </w:r>
      <w:r>
        <w:rPr>
          <w:spacing w:val="-71"/>
          <w:w w:val="100"/>
        </w:rPr>
        <w:t> </w:t>
      </w:r>
      <w:r>
        <w:rPr>
          <w:spacing w:val="-71"/>
          <w:w w:val="100"/>
        </w:rPr>
      </w:r>
      <w:r>
        <w:rPr>
          <w:spacing w:val="-2"/>
        </w:rPr>
        <w:t>司已经根据新的企业财务报表格式的要求编制财务报表，财务报表的列报项目因此发生变更的，已经按照</w:t>
      </w:r>
    </w:p>
    <w:p>
      <w:pPr>
        <w:pStyle w:val="BodyText"/>
        <w:spacing w:line="328" w:lineRule="auto" w:before="46"/>
        <w:ind w:left="573" w:right="2047" w:hanging="421"/>
        <w:jc w:val="left"/>
      </w:pPr>
      <w:r>
        <w:rPr/>
        <w:pict>
          <v:shape style="position:absolute;margin-left:58.080002pt;margin-top:38.563633pt;width:481.1pt;height:129.6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2093"/>
                    <w:gridCol w:w="1844"/>
                    <w:gridCol w:w="1843"/>
                    <w:gridCol w:w="1983"/>
                  </w:tblGrid>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日之前</w:t>
                        </w:r>
                      </w:p>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列报金额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6"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经重列后金额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4,313,288.55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4,313,288.55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2,755,683,225.01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2,755,683,225.01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2,759,996,513.56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-2,759,996,513.56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69,314,221.84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69,314,221.84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372,218,154.07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372,218,154.07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441,532,375.91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-441,532,375.91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
              </w:txbxContent>
            </v:textbox>
            <w10:wrap type="none"/>
          </v:shape>
        </w:pict>
      </w:r>
      <w:r>
        <w:rPr/>
        <w:t>《企业会计准则第</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财务报表列报》等的相关规定，对可比期间的比较数据进行调整。</w:t>
      </w:r>
      <w:r>
        <w:rPr>
          <w:w w:val="100"/>
        </w:rPr>
        <w:t> </w:t>
      </w:r>
      <w:r>
        <w:rPr/>
        <w:t>对可比期间的财务报表列报项目及金额的影响如下：</w:t>
      </w:r>
    </w:p>
    <w:p>
      <w:pPr>
        <w:spacing w:after="0" w:line="328"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六、税项" w:id="253"/>
      <w:bookmarkEnd w:id="253"/>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税种及税率" w:id="254"/>
      <w:bookmarkEnd w:id="25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4"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销售收入（营改增试点地区适用应税劳 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国家规划布局内的重点软件企业和集成电路设计企业如当年 未享受免税优惠的，可减按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的税率征收企业所得税。</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香港企业所得税税率为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广州蓝盾数据安全技术创新中心有限公司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广东中经汇通交通运输有限公司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四川中科蓝盾信息安全技术有限公司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陕西蓝盾云信息安全技术有限公司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湖北蓝盾网信科技有限公司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广东和诚科技孵化器有限公司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始兴县都亨加油站有限公司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广州市汇特慧科技有限公司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税率减按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征收</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税收优惠" w:id="255"/>
      <w:bookmarkEnd w:id="25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31"/>
          <w:szCs w:val="31"/>
        </w:rPr>
      </w:pPr>
    </w:p>
    <w:p>
      <w:pPr>
        <w:pStyle w:val="BodyText"/>
        <w:spacing w:line="338" w:lineRule="auto"/>
        <w:ind w:right="1126" w:firstLine="420"/>
        <w:jc w:val="both"/>
      </w:pPr>
      <w:r>
        <w:rPr/>
        <w:t>（</w:t>
      </w:r>
      <w:r>
        <w:rPr>
          <w:rFonts w:ascii="Times New Roman" w:hAnsi="Times New Roman" w:cs="Times New Roman" w:eastAsia="Times New Roman" w:hint="default"/>
        </w:rPr>
        <w:t>1</w:t>
      </w:r>
      <w:r>
        <w:rPr/>
        <w:t>）公司及子公司蓝盾信息安全技术有限公司根据财政部、国家税务总局发出《关于软件和集成电</w:t>
      </w:r>
      <w:r>
        <w:rPr>
          <w:w w:val="100"/>
        </w:rPr>
        <w:t> </w:t>
      </w:r>
      <w:r>
        <w:rPr/>
        <w:t>路产业企业所得税优惠政策有关问题的通知》（财税</w:t>
      </w:r>
      <w:r>
        <w:rPr>
          <w:rFonts w:ascii="Times New Roman" w:hAnsi="Times New Roman" w:cs="Times New Roman" w:eastAsia="Times New Roman" w:hint="default"/>
        </w:rPr>
        <w:t>[2016]49</w:t>
      </w:r>
      <w:r>
        <w:rPr/>
        <w:t>号），明确享受《财政部、国家税务总局关</w:t>
      </w:r>
      <w:r>
        <w:rPr>
          <w:spacing w:val="-56"/>
        </w:rPr>
        <w:t> </w:t>
      </w:r>
      <w:r>
        <w:rPr>
          <w:spacing w:val="-56"/>
        </w:rPr>
      </w:r>
      <w:r>
        <w:rPr/>
        <w:t>于进一步鼓励软件产业和集成电路产业发展企业所得税政策的通知》（财税</w:t>
      </w:r>
      <w:r>
        <w:rPr>
          <w:rFonts w:ascii="Times New Roman" w:hAnsi="Times New Roman" w:cs="Times New Roman" w:eastAsia="Times New Roman" w:hint="default"/>
        </w:rPr>
        <w:t>[2012]27</w:t>
      </w:r>
      <w:r>
        <w:rPr/>
        <w:t>号）文件规定的税收</w:t>
      </w:r>
      <w:r>
        <w:rPr>
          <w:spacing w:val="-55"/>
        </w:rPr>
        <w:t> </w:t>
      </w:r>
      <w:r>
        <w:rPr>
          <w:spacing w:val="-55"/>
        </w:rPr>
      </w:r>
      <w:r>
        <w:rPr>
          <w:spacing w:val="-2"/>
        </w:rPr>
        <w:t>优惠政策的软件、集成电路企业，每年汇算清缴时按规定向税务机关备案，同时提交备案资料即可享受相</w:t>
      </w:r>
      <w:r>
        <w:rPr>
          <w:spacing w:val="-43"/>
        </w:rPr>
        <w:t> </w:t>
      </w:r>
      <w:r>
        <w:rPr>
          <w:spacing w:val="-43"/>
        </w:rPr>
      </w:r>
      <w:r>
        <w:rPr>
          <w:spacing w:val="-2"/>
        </w:rPr>
        <w:t>应的税收优惠。国家规划布局内的重点软件企业和集成电路设计企业，如当年未享受免税优惠的，可减按</w:t>
      </w:r>
      <w:r>
        <w:rPr>
          <w:spacing w:val="-44"/>
        </w:rPr>
        <w:t> </w:t>
      </w:r>
      <w:r>
        <w:rPr>
          <w:spacing w:val="-44"/>
        </w:rPr>
      </w:r>
      <w:r>
        <w:rPr>
          <w:rFonts w:ascii="Times New Roman" w:hAnsi="Times New Roman" w:cs="Times New Roman" w:eastAsia="Times New Roman" w:hint="default"/>
        </w:rPr>
        <w:t>10%</w:t>
      </w:r>
      <w:r>
        <w:rPr/>
        <w:t>的税率征收企业所得税。</w:t>
      </w:r>
    </w:p>
    <w:p>
      <w:pPr>
        <w:pStyle w:val="BodyText"/>
        <w:spacing w:line="331" w:lineRule="auto" w:before="14"/>
        <w:ind w:right="1126" w:firstLine="420"/>
        <w:jc w:val="both"/>
      </w:pPr>
      <w:r>
        <w:rPr>
          <w:spacing w:val="-2"/>
        </w:rPr>
        <w:t>（</w:t>
      </w:r>
      <w:r>
        <w:rPr>
          <w:rFonts w:ascii="Times New Roman" w:hAnsi="Times New Roman" w:cs="Times New Roman" w:eastAsia="Times New Roman" w:hint="default"/>
          <w:spacing w:val="-2"/>
        </w:rPr>
        <w:t>2</w:t>
      </w:r>
      <w:r>
        <w:rPr>
          <w:spacing w:val="-2"/>
        </w:rPr>
        <w:t>）子公司广州华炜科技有限公司于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日再次取得广东省科学技术厅、广东省财政厅、广</w:t>
      </w:r>
      <w:r>
        <w:rPr>
          <w:w w:val="100"/>
        </w:rPr>
        <w:t> </w:t>
      </w:r>
      <w:r>
        <w:rPr>
          <w:spacing w:val="-4"/>
        </w:rPr>
        <w:t>东省国家税务局、广东省地方税务局下发的编号为</w:t>
      </w:r>
      <w:r>
        <w:rPr>
          <w:rFonts w:ascii="Times New Roman" w:hAnsi="Times New Roman" w:cs="Times New Roman" w:eastAsia="Times New Roman" w:hint="default"/>
          <w:spacing w:val="-4"/>
        </w:rPr>
        <w:t>GR201744003222</w:t>
      </w:r>
      <w:r>
        <w:rPr>
          <w:spacing w:val="-4"/>
        </w:rPr>
        <w:t>的《高新技术企业证书》，该认定有效</w:t>
      </w:r>
      <w:r>
        <w:rPr>
          <w:spacing w:val="-6"/>
        </w:rPr>
        <w:t> </w:t>
      </w:r>
      <w:r>
        <w:rPr>
          <w:spacing w:val="-6"/>
        </w:rPr>
      </w:r>
      <w:r>
        <w:rPr>
          <w:spacing w:val="-1"/>
        </w:rPr>
        <w:t>期为三年，于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2019</w:t>
      </w:r>
      <w:r>
        <w:rPr>
          <w:spacing w:val="-1"/>
        </w:rPr>
        <w:t>年享受</w:t>
      </w:r>
      <w:r>
        <w:rPr>
          <w:rFonts w:ascii="Times New Roman" w:hAnsi="Times New Roman" w:cs="Times New Roman" w:eastAsia="Times New Roman" w:hint="default"/>
          <w:spacing w:val="-1"/>
        </w:rPr>
        <w:t>15%</w:t>
      </w:r>
      <w:r>
        <w:rPr>
          <w:spacing w:val="-1"/>
        </w:rPr>
        <w:t>的优惠税率缴纳企业所得税。广州华炜科技有限公司子公</w:t>
      </w:r>
      <w:r>
        <w:rPr>
          <w:spacing w:val="-50"/>
        </w:rPr>
        <w:t> </w:t>
      </w:r>
      <w:r>
        <w:rPr>
          <w:spacing w:val="-50"/>
        </w:rPr>
      </w:r>
      <w:r>
        <w:rPr/>
        <w:t>司江西华炜电气技术有限公司于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日取得江西省科学技术厅、江西省财政厅、江西省国家税务</w:t>
      </w:r>
      <w:r>
        <w:rPr>
          <w:spacing w:val="-28"/>
        </w:rPr>
        <w:t> </w:t>
      </w:r>
      <w:r>
        <w:rPr>
          <w:spacing w:val="-28"/>
        </w:rPr>
      </w:r>
      <w:r>
        <w:rPr>
          <w:spacing w:val="-7"/>
        </w:rPr>
        <w:t>局、江西省地方税务局下发的编号为</w:t>
      </w:r>
      <w:r>
        <w:rPr>
          <w:rFonts w:ascii="Times New Roman" w:hAnsi="Times New Roman" w:cs="Times New Roman" w:eastAsia="Times New Roman" w:hint="default"/>
          <w:spacing w:val="-7"/>
        </w:rPr>
        <w:t>GR201736000796</w:t>
      </w:r>
      <w:r>
        <w:rPr>
          <w:spacing w:val="-7"/>
        </w:rPr>
        <w:t>的《高新技术企业证书》，该认定有效期为三年，</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1"/>
        </w:rPr>
        <w:t>年、</w:t>
      </w:r>
      <w:r>
        <w:rPr>
          <w:rFonts w:ascii="Times New Roman" w:hAnsi="Times New Roman" w:cs="Times New Roman" w:eastAsia="Times New Roman" w:hint="default"/>
          <w:spacing w:val="-1"/>
        </w:rPr>
        <w:t>2018</w:t>
      </w:r>
      <w:r>
        <w:rPr>
          <w:spacing w:val="-1"/>
        </w:rPr>
        <w:t>年及</w:t>
      </w:r>
      <w:r>
        <w:rPr>
          <w:rFonts w:ascii="Times New Roman" w:hAnsi="Times New Roman" w:cs="Times New Roman" w:eastAsia="Times New Roman" w:hint="default"/>
          <w:spacing w:val="-1"/>
        </w:rPr>
        <w:t>2019</w:t>
      </w:r>
      <w:r>
        <w:rPr>
          <w:spacing w:val="-1"/>
        </w:rPr>
        <w:t>年享受</w:t>
      </w:r>
      <w:r>
        <w:rPr>
          <w:rFonts w:ascii="Times New Roman" w:hAnsi="Times New Roman" w:cs="Times New Roman" w:eastAsia="Times New Roman" w:hint="default"/>
          <w:spacing w:val="-1"/>
        </w:rPr>
        <w:t>15%</w:t>
      </w:r>
      <w:r>
        <w:rPr>
          <w:spacing w:val="-1"/>
        </w:rPr>
        <w:t>的优惠税率缴纳企业所得税。广州华炜科技有限公司子公司东莞新铂铼电子</w:t>
      </w:r>
    </w:p>
    <w:p>
      <w:pPr>
        <w:spacing w:after="0" w:line="331"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31" w:lineRule="auto" w:before="36"/>
        <w:ind w:right="1126"/>
        <w:jc w:val="both"/>
      </w:pPr>
      <w:r>
        <w:rPr>
          <w:spacing w:val="-2"/>
        </w:rPr>
        <w:t>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日取广东省科学技术厅、广东省财政厅、广东省国家税务局、广东省地方税务局</w:t>
      </w:r>
      <w:r>
        <w:rPr>
          <w:spacing w:val="-36"/>
        </w:rPr>
        <w:t> </w:t>
      </w:r>
      <w:r>
        <w:rPr>
          <w:spacing w:val="-36"/>
        </w:rPr>
      </w:r>
      <w:r>
        <w:rPr/>
        <w:t>下发的编号为</w:t>
      </w:r>
      <w:r>
        <w:rPr>
          <w:rFonts w:ascii="Times New Roman" w:hAnsi="Times New Roman" w:cs="Times New Roman" w:eastAsia="Times New Roman" w:hint="default"/>
        </w:rPr>
        <w:t>GR201744010889</w:t>
      </w:r>
      <w:r>
        <w:rPr/>
        <w:t>的《高新技术企业证书》，该认定有效期为三年，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年及</w:t>
      </w:r>
      <w:r>
        <w:rPr>
          <w:rFonts w:ascii="Times New Roman" w:hAnsi="Times New Roman" w:cs="Times New Roman" w:eastAsia="Times New Roman" w:hint="default"/>
        </w:rPr>
        <w:t>2019</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年享受</w:t>
      </w:r>
      <w:r>
        <w:rPr>
          <w:rFonts w:ascii="Times New Roman" w:hAnsi="Times New Roman" w:cs="Times New Roman" w:eastAsia="Times New Roman" w:hint="default"/>
        </w:rPr>
        <w:t>15%</w:t>
      </w:r>
      <w:r>
        <w:rPr/>
        <w:t>的优惠税率缴纳企业所得税。</w:t>
      </w:r>
    </w:p>
    <w:p>
      <w:pPr>
        <w:pStyle w:val="BodyText"/>
        <w:spacing w:line="328" w:lineRule="auto" w:before="21"/>
        <w:ind w:right="1126" w:firstLine="420"/>
        <w:jc w:val="both"/>
      </w:pPr>
      <w:r>
        <w:rPr/>
        <w:t>（</w:t>
      </w:r>
      <w:r>
        <w:rPr>
          <w:rFonts w:ascii="Times New Roman" w:hAnsi="Times New Roman" w:cs="Times New Roman" w:eastAsia="Times New Roman" w:hint="default"/>
        </w:rPr>
        <w:t>3</w:t>
      </w:r>
      <w:r>
        <w:rPr/>
        <w:t>）子公司中经汇通电子商务有限公司于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日再次取得广东省科学技术厅、广东省财政</w:t>
      </w:r>
      <w:r>
        <w:rPr>
          <w:w w:val="100"/>
        </w:rPr>
        <w:t> </w:t>
      </w:r>
      <w:r>
        <w:rPr>
          <w:spacing w:val="-4"/>
        </w:rPr>
        <w:t>厅、国家税务总局广东省税务局下发的编号为</w:t>
      </w:r>
      <w:r>
        <w:rPr>
          <w:rFonts w:ascii="Times New Roman" w:hAnsi="Times New Roman" w:cs="Times New Roman" w:eastAsia="Times New Roman" w:hint="default"/>
          <w:spacing w:val="-4"/>
        </w:rPr>
        <w:t>GR201844000083</w:t>
      </w:r>
      <w:r>
        <w:rPr>
          <w:spacing w:val="-4"/>
        </w:rPr>
        <w:t>的《高新技术企业证书》，该认定有效期为</w:t>
      </w:r>
      <w:r>
        <w:rPr>
          <w:spacing w:val="-5"/>
        </w:rPr>
        <w:t> </w:t>
      </w:r>
      <w:r>
        <w:rPr>
          <w:spacing w:val="-5"/>
        </w:rPr>
      </w:r>
      <w:r>
        <w:rPr/>
        <w:t>三年，于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w:t>
      </w:r>
    </w:p>
    <w:p>
      <w:pPr>
        <w:pStyle w:val="BodyText"/>
        <w:spacing w:line="328" w:lineRule="auto" w:before="24"/>
        <w:ind w:right="982" w:firstLine="420"/>
        <w:jc w:val="left"/>
      </w:pPr>
      <w:r>
        <w:rPr>
          <w:spacing w:val="-2"/>
        </w:rPr>
        <w:t>（</w:t>
      </w:r>
      <w:r>
        <w:rPr>
          <w:rFonts w:ascii="Times New Roman" w:hAnsi="Times New Roman" w:cs="Times New Roman" w:eastAsia="Times New Roman" w:hint="default"/>
          <w:spacing w:val="-2"/>
        </w:rPr>
        <w:t>4</w:t>
      </w:r>
      <w:r>
        <w:rPr>
          <w:spacing w:val="-2"/>
        </w:rPr>
        <w:t>）子公司广东蓝盾移动互联网信息科技有限公司于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日取得广东省科学技术厅、广东省</w:t>
      </w:r>
      <w:r>
        <w:rPr>
          <w:w w:val="100"/>
        </w:rPr>
        <w:t> </w:t>
      </w:r>
      <w:r>
        <w:rPr>
          <w:spacing w:val="-2"/>
        </w:rPr>
        <w:t>财政厅、广东省国家税务局、广东省地方税务局下发的编号为</w:t>
      </w:r>
      <w:r>
        <w:rPr>
          <w:rFonts w:ascii="Times New Roman" w:hAnsi="Times New Roman" w:cs="Times New Roman" w:eastAsia="Times New Roman" w:hint="default"/>
          <w:spacing w:val="-2"/>
        </w:rPr>
        <w:t>GR201744001620</w:t>
      </w:r>
      <w:r>
        <w:rPr>
          <w:spacing w:val="-2"/>
        </w:rPr>
        <w:t>的《高新技术企业证书》，</w:t>
      </w:r>
      <w:r>
        <w:rPr>
          <w:spacing w:val="-8"/>
        </w:rPr>
        <w:t> </w:t>
      </w:r>
      <w:r>
        <w:rPr>
          <w:spacing w:val="-8"/>
        </w:rPr>
      </w:r>
      <w:r>
        <w:rPr/>
        <w:t>该认定有效期为三年，于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w:t>
      </w:r>
    </w:p>
    <w:p>
      <w:pPr>
        <w:pStyle w:val="BodyText"/>
        <w:spacing w:line="328" w:lineRule="auto" w:before="24"/>
        <w:ind w:right="982" w:firstLine="420"/>
        <w:jc w:val="left"/>
      </w:pPr>
      <w:r>
        <w:rPr/>
        <w:t>（</w:t>
      </w:r>
      <w:r>
        <w:rPr>
          <w:rFonts w:ascii="Times New Roman" w:hAnsi="Times New Roman" w:cs="Times New Roman" w:eastAsia="Times New Roman" w:hint="default"/>
        </w:rPr>
        <w:t>5</w:t>
      </w:r>
      <w:r>
        <w:rPr/>
        <w:t>）子公司北京京穂蓝盾信息安全技术有限公司于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日取得北京市科学技术委员会、北</w:t>
      </w:r>
      <w:r>
        <w:rPr>
          <w:w w:val="100"/>
        </w:rPr>
        <w:t> </w:t>
      </w:r>
      <w:r>
        <w:rPr>
          <w:spacing w:val="-9"/>
          <w:w w:val="100"/>
        </w:rPr>
        <w:t>京市财政局、北京市国家税务局、北京市地方税务局下发的编号为</w:t>
      </w:r>
      <w:r>
        <w:rPr>
          <w:rFonts w:ascii="Times New Roman" w:hAnsi="Times New Roman" w:cs="Times New Roman" w:eastAsia="Times New Roman" w:hint="default"/>
          <w:spacing w:val="-9"/>
          <w:w w:val="100"/>
        </w:rPr>
        <w:t>GR201711003559</w:t>
      </w:r>
      <w:r>
        <w:rPr>
          <w:spacing w:val="-9"/>
          <w:w w:val="100"/>
        </w:rPr>
        <w:t>的《高新技术企业证书》，</w:t>
      </w:r>
      <w:r>
        <w:rPr>
          <w:spacing w:val="-98"/>
          <w:w w:val="100"/>
        </w:rPr>
        <w:t> </w:t>
      </w:r>
      <w:r>
        <w:rPr>
          <w:spacing w:val="-98"/>
          <w:w w:val="100"/>
        </w:rPr>
      </w:r>
      <w:r>
        <w:rPr/>
        <w:t>该认定有效期为三年，于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w:t>
      </w:r>
    </w:p>
    <w:p>
      <w:pPr>
        <w:pStyle w:val="BodyText"/>
        <w:spacing w:line="328" w:lineRule="auto" w:before="24"/>
        <w:ind w:right="1126" w:firstLine="420"/>
        <w:jc w:val="both"/>
      </w:pPr>
      <w:r>
        <w:rPr/>
        <w:t>（</w:t>
      </w:r>
      <w:r>
        <w:rPr>
          <w:rFonts w:ascii="Times New Roman" w:hAnsi="Times New Roman" w:cs="Times New Roman" w:eastAsia="Times New Roman" w:hint="default"/>
        </w:rPr>
        <w:t>6</w:t>
      </w:r>
      <w:r>
        <w:rPr/>
        <w:t>）子公司广东蓝盾新微安全科技有限公司于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日取得广东省科学技术厅、广东省财政</w:t>
      </w:r>
      <w:r>
        <w:rPr>
          <w:w w:val="100"/>
        </w:rPr>
        <w:t> </w:t>
      </w:r>
      <w:r>
        <w:rPr>
          <w:spacing w:val="-4"/>
        </w:rPr>
        <w:t>厅、国家税务总局广东省税务局下发的编号为</w:t>
      </w:r>
      <w:r>
        <w:rPr>
          <w:rFonts w:ascii="Times New Roman" w:hAnsi="Times New Roman" w:cs="Times New Roman" w:eastAsia="Times New Roman" w:hint="default"/>
          <w:spacing w:val="-4"/>
        </w:rPr>
        <w:t>GR201844009370</w:t>
      </w:r>
      <w:r>
        <w:rPr>
          <w:spacing w:val="-4"/>
        </w:rPr>
        <w:t>的《高新技术企业证书》，该认定有效期为</w:t>
      </w:r>
      <w:r>
        <w:rPr>
          <w:spacing w:val="-5"/>
        </w:rPr>
        <w:t> </w:t>
      </w:r>
      <w:r>
        <w:rPr>
          <w:spacing w:val="-5"/>
        </w:rPr>
      </w:r>
      <w:r>
        <w:rPr/>
        <w:t>三年，于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w:t>
      </w:r>
    </w:p>
    <w:p>
      <w:pPr>
        <w:pStyle w:val="BodyText"/>
        <w:spacing w:line="328" w:lineRule="auto" w:before="24"/>
        <w:ind w:right="1126" w:firstLine="420"/>
        <w:jc w:val="both"/>
      </w:pPr>
      <w:r>
        <w:rPr/>
        <w:t>（</w:t>
      </w:r>
      <w:r>
        <w:rPr>
          <w:rFonts w:ascii="Times New Roman" w:hAnsi="Times New Roman" w:cs="Times New Roman" w:eastAsia="Times New Roman" w:hint="default"/>
        </w:rPr>
        <w:t>7</w:t>
      </w:r>
      <w:r>
        <w:rPr/>
        <w:t>）子公司广东蓝盾乐庚信息技术有限公司于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日取得广东省科学技术厅、广东省财政</w:t>
      </w:r>
      <w:r>
        <w:rPr>
          <w:w w:val="100"/>
        </w:rPr>
        <w:t> </w:t>
      </w:r>
      <w:r>
        <w:rPr>
          <w:spacing w:val="-4"/>
        </w:rPr>
        <w:t>厅、国家税务总局广东省税务局下发的编号为</w:t>
      </w:r>
      <w:r>
        <w:rPr>
          <w:rFonts w:ascii="Times New Roman" w:hAnsi="Times New Roman" w:cs="Times New Roman" w:eastAsia="Times New Roman" w:hint="default"/>
          <w:spacing w:val="-4"/>
        </w:rPr>
        <w:t>GR201844004407</w:t>
      </w:r>
      <w:r>
        <w:rPr>
          <w:spacing w:val="-4"/>
        </w:rPr>
        <w:t>的《高新技术企业证书》，该认定有效期为</w:t>
      </w:r>
      <w:r>
        <w:rPr>
          <w:spacing w:val="-6"/>
        </w:rPr>
        <w:t> </w:t>
      </w:r>
      <w:r>
        <w:rPr>
          <w:spacing w:val="-6"/>
        </w:rPr>
      </w:r>
      <w:r>
        <w:rPr/>
        <w:t>三年，于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w:t>
      </w:r>
    </w:p>
    <w:p>
      <w:pPr>
        <w:pStyle w:val="BodyText"/>
        <w:spacing w:line="333" w:lineRule="auto" w:before="24"/>
        <w:ind w:right="982" w:firstLine="420"/>
        <w:jc w:val="left"/>
      </w:pPr>
      <w:r>
        <w:rPr>
          <w:spacing w:val="-2"/>
        </w:rPr>
        <w:t>（</w:t>
      </w:r>
      <w:r>
        <w:rPr>
          <w:rFonts w:ascii="Times New Roman" w:hAnsi="Times New Roman" w:cs="Times New Roman" w:eastAsia="Times New Roman" w:hint="default"/>
          <w:spacing w:val="-2"/>
        </w:rPr>
        <w:t>8</w:t>
      </w:r>
      <w:r>
        <w:rPr>
          <w:spacing w:val="-2"/>
        </w:rPr>
        <w:t>）子公司深圳市蓝盾满泰科技发展有限公司于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日再次取得深圳市科技创新委员会、深</w:t>
      </w:r>
      <w:r>
        <w:rPr>
          <w:w w:val="100"/>
        </w:rPr>
        <w:t> </w:t>
      </w:r>
      <w:r>
        <w:rPr>
          <w:spacing w:val="-6"/>
        </w:rPr>
        <w:t>圳市财政委员会、国家税务总局深圳市税务局联合下发的编号为</w:t>
      </w:r>
      <w:r>
        <w:rPr>
          <w:rFonts w:ascii="Times New Roman" w:hAnsi="Times New Roman" w:cs="Times New Roman" w:eastAsia="Times New Roman" w:hint="default"/>
          <w:spacing w:val="-6"/>
        </w:rPr>
        <w:t>GR201844204396</w:t>
      </w:r>
      <w:r>
        <w:rPr>
          <w:spacing w:val="-6"/>
        </w:rPr>
        <w:t>的《高新技术企业证书》，</w:t>
      </w:r>
      <w:r>
        <w:rPr/>
        <w:t> </w:t>
      </w:r>
      <w:r>
        <w:rPr/>
        <w:t>该认定有效期为三年，于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的优惠税率缴纳企业所得税。深圳市蓝盾满泰</w:t>
      </w:r>
      <w:r>
        <w:rPr>
          <w:spacing w:val="-101"/>
        </w:rPr>
        <w:t> </w:t>
      </w:r>
      <w:r>
        <w:rPr>
          <w:spacing w:val="-101"/>
        </w:rPr>
      </w:r>
      <w:r>
        <w:rPr>
          <w:spacing w:val="-2"/>
        </w:rPr>
        <w:t>科技发展有限公司子公司广州市满泰信息科技有限公司符合双软企业，根据《关于进一步鼓励软件产业和</w:t>
      </w:r>
      <w:r>
        <w:rPr>
          <w:spacing w:val="-41"/>
        </w:rPr>
        <w:t> </w:t>
      </w:r>
      <w:r>
        <w:rPr>
          <w:spacing w:val="-41"/>
        </w:rPr>
      </w:r>
      <w:r>
        <w:rPr>
          <w:spacing w:val="-2"/>
        </w:rPr>
        <w:t>集成电路产业发展企业所得税政策的通知》（财税〔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号）和《关于集成电路设计和软件产业企业</w:t>
      </w:r>
      <w:r>
        <w:rPr>
          <w:spacing w:val="-36"/>
        </w:rPr>
        <w:t> </w:t>
      </w:r>
      <w:r>
        <w:rPr>
          <w:spacing w:val="-36"/>
        </w:rPr>
      </w:r>
      <w:r>
        <w:rPr/>
        <w:t>所得税政策的通知》（财税〔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68</w:t>
      </w:r>
      <w:r>
        <w:rPr/>
        <w:t>号）等的规定，符合条件的软件企业享受企业所得税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优惠政策，在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日前自获利年度起计算优惠期。根据《关于发布修订后的</w:t>
      </w:r>
      <w:r>
        <w:rPr>
          <w:rFonts w:ascii="Times New Roman" w:hAnsi="Times New Roman" w:cs="Times New Roman" w:eastAsia="Times New Roman" w:hint="default"/>
        </w:rPr>
        <w:t>&lt;</w:t>
      </w:r>
      <w:r>
        <w:rPr/>
        <w:t>企业所得税优惠政</w:t>
      </w:r>
      <w:r>
        <w:rPr>
          <w:spacing w:val="-38"/>
        </w:rPr>
        <w:t> </w:t>
      </w:r>
      <w:r>
        <w:rPr>
          <w:spacing w:val="-38"/>
        </w:rPr>
      </w:r>
      <w:r>
        <w:rPr>
          <w:spacing w:val="-2"/>
        </w:rPr>
        <w:t>策事项办理办法</w:t>
      </w:r>
      <w:r>
        <w:rPr>
          <w:rFonts w:ascii="Times New Roman" w:hAnsi="Times New Roman" w:cs="Times New Roman" w:eastAsia="Times New Roman" w:hint="default"/>
          <w:spacing w:val="-2"/>
        </w:rPr>
        <w:t>&gt;</w:t>
      </w:r>
      <w:r>
        <w:rPr>
          <w:spacing w:val="-2"/>
        </w:rPr>
        <w:t>的公告》（国家税务总局公告</w:t>
      </w:r>
      <w:r>
        <w:rPr>
          <w:rFonts w:ascii="Times New Roman" w:hAnsi="Times New Roman" w:cs="Times New Roman" w:eastAsia="Times New Roman" w:hint="default"/>
          <w:spacing w:val="-2"/>
        </w:rPr>
        <w:t>2018</w:t>
      </w:r>
      <w:r>
        <w:rPr>
          <w:spacing w:val="-2"/>
        </w:rPr>
        <w:t>年第</w:t>
      </w:r>
      <w:r>
        <w:rPr>
          <w:rFonts w:ascii="Times New Roman" w:hAnsi="Times New Roman" w:cs="Times New Roman" w:eastAsia="Times New Roman" w:hint="default"/>
          <w:spacing w:val="-2"/>
        </w:rPr>
        <w:t>23</w:t>
      </w:r>
      <w:r>
        <w:rPr>
          <w:spacing w:val="-2"/>
        </w:rPr>
        <w:t>号）第四条的规定，企业享受优惠事项采取</w:t>
      </w:r>
      <w:r>
        <w:rPr>
          <w:rFonts w:ascii="Times New Roman" w:hAnsi="Times New Roman" w:cs="Times New Roman" w:eastAsia="Times New Roman" w:hint="default"/>
          <w:spacing w:val="-2"/>
        </w:rPr>
        <w:t>“</w:t>
      </w:r>
      <w:r>
        <w:rPr>
          <w:spacing w:val="-2"/>
        </w:rPr>
        <w:t>自</w:t>
      </w:r>
      <w:r>
        <w:rPr>
          <w:spacing w:val="-44"/>
        </w:rPr>
        <w:t> </w:t>
      </w:r>
      <w:r>
        <w:rPr/>
        <w:t>行判别、申报享受、相关资料留存备查</w:t>
      </w:r>
      <w:r>
        <w:rPr>
          <w:rFonts w:ascii="Times New Roman" w:hAnsi="Times New Roman" w:cs="Times New Roman" w:eastAsia="Times New Roman" w:hint="default"/>
        </w:rPr>
        <w:t>”</w:t>
      </w:r>
      <w:r>
        <w:rPr/>
        <w:t>的办理方式。根据目前实际情况判断，广州市满泰信息科技有限</w:t>
      </w:r>
      <w:r>
        <w:rPr>
          <w:spacing w:val="-14"/>
        </w:rPr>
        <w:t> </w:t>
      </w:r>
      <w:r>
        <w:rPr>
          <w:spacing w:val="-14"/>
        </w:rPr>
      </w:r>
      <w:r>
        <w:rPr/>
        <w:t>公司</w:t>
      </w:r>
      <w:r>
        <w:rPr>
          <w:rFonts w:ascii="Times New Roman" w:hAnsi="Times New Roman" w:cs="Times New Roman" w:eastAsia="Times New Roman" w:hint="default"/>
        </w:rPr>
        <w:t>2018</w:t>
      </w:r>
      <w:r>
        <w:rPr/>
        <w:t>年度能够享受</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2018</w:t>
      </w:r>
      <w:r>
        <w:rPr/>
        <w:t>年为免征第一年，</w:t>
      </w:r>
      <w:r>
        <w:rPr>
          <w:rFonts w:ascii="Times New Roman" w:hAnsi="Times New Roman" w:cs="Times New Roman" w:eastAsia="Times New Roman" w:hint="default"/>
        </w:rPr>
        <w:t>2019</w:t>
      </w:r>
      <w:r>
        <w:rPr/>
        <w:t>年为免征第二年。</w:t>
      </w:r>
    </w:p>
    <w:p>
      <w:pPr>
        <w:pStyle w:val="BodyText"/>
        <w:spacing w:line="328" w:lineRule="auto" w:before="19"/>
        <w:ind w:right="1128" w:firstLine="420"/>
        <w:jc w:val="both"/>
      </w:pPr>
      <w:r>
        <w:rPr>
          <w:spacing w:val="-2"/>
        </w:rPr>
        <w:t>（</w:t>
      </w:r>
      <w:r>
        <w:rPr>
          <w:rFonts w:ascii="Times New Roman" w:hAnsi="Times New Roman" w:cs="Times New Roman" w:eastAsia="Times New Roman" w:hint="default"/>
          <w:spacing w:val="-2"/>
        </w:rPr>
        <w:t>9</w:t>
      </w:r>
      <w:r>
        <w:rPr>
          <w:spacing w:val="-2"/>
        </w:rPr>
        <w:t>）子公司成都蓝盾网信科技有限公司于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日取得四川省科学技术厅、四川省财政厅、国</w:t>
      </w:r>
      <w:r>
        <w:rPr>
          <w:w w:val="100"/>
        </w:rPr>
        <w:t> </w:t>
      </w:r>
      <w:r>
        <w:rPr>
          <w:spacing w:val="-4"/>
        </w:rPr>
        <w:t>家税务总局四川省税务局联合下发的编号为</w:t>
      </w:r>
      <w:r>
        <w:rPr>
          <w:rFonts w:ascii="Times New Roman" w:hAnsi="Times New Roman" w:cs="Times New Roman" w:eastAsia="Times New Roman" w:hint="default"/>
          <w:spacing w:val="-4"/>
        </w:rPr>
        <w:t>GR201851001327</w:t>
      </w:r>
      <w:r>
        <w:rPr>
          <w:spacing w:val="-4"/>
        </w:rPr>
        <w:t>的《高新技术企业证书》，该认定有效期为三</w:t>
      </w:r>
      <w:r>
        <w:rPr>
          <w:spacing w:val="-7"/>
        </w:rPr>
        <w:t> </w:t>
      </w:r>
      <w:r>
        <w:rPr>
          <w:spacing w:val="-7"/>
        </w:rPr>
      </w:r>
      <w:r>
        <w:rPr/>
        <w:t>年，于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年享受</w:t>
      </w:r>
      <w:r>
        <w:rPr>
          <w:rFonts w:ascii="Times New Roman" w:hAnsi="Times New Roman" w:cs="Times New Roman" w:eastAsia="Times New Roman" w:hint="default"/>
        </w:rPr>
        <w:t>15%</w:t>
      </w:r>
      <w:r>
        <w:rPr/>
        <w:t>的优惠税率缴纳企业所得税。</w:t>
      </w:r>
    </w:p>
    <w:p>
      <w:pPr>
        <w:pStyle w:val="BodyText"/>
        <w:spacing w:line="338" w:lineRule="auto" w:before="24"/>
        <w:ind w:right="1126" w:firstLine="420"/>
        <w:jc w:val="both"/>
      </w:pPr>
      <w:r>
        <w:rPr>
          <w:spacing w:val="-2"/>
        </w:rPr>
        <w:t>（</w:t>
      </w:r>
      <w:r>
        <w:rPr>
          <w:rFonts w:ascii="Times New Roman" w:hAnsi="Times New Roman" w:cs="Times New Roman" w:eastAsia="Times New Roman" w:hint="default"/>
          <w:spacing w:val="-2"/>
        </w:rPr>
        <w:t>10</w:t>
      </w:r>
      <w:r>
        <w:rPr>
          <w:spacing w:val="-2"/>
        </w:rPr>
        <w:t>）子公司广东省蓝盾职业培训学院、广西蓝盾信息安全技术有限公司、湖北蓝盾信息安全技术有</w:t>
      </w:r>
      <w:r>
        <w:rPr>
          <w:w w:val="100"/>
        </w:rPr>
        <w:t> </w:t>
      </w:r>
      <w:r>
        <w:rPr>
          <w:spacing w:val="-2"/>
        </w:rPr>
        <w:t>限公司、广州蓝盾数据安全技术创新中心有限公司、深圳中科蓝盾信息安全技术有限公司、广州市奔特信</w:t>
      </w:r>
      <w:r>
        <w:rPr>
          <w:spacing w:val="-43"/>
        </w:rPr>
        <w:t> </w:t>
      </w:r>
      <w:r>
        <w:rPr>
          <w:spacing w:val="-43"/>
        </w:rPr>
      </w:r>
      <w:r>
        <w:rPr>
          <w:spacing w:val="-2"/>
        </w:rPr>
        <w:t>息科技有限公司、广州天锐锋信息科技有限公司、广东蓝盾教育科技有限公司、广东汇青信息科技有限公</w:t>
      </w:r>
    </w:p>
    <w:p>
      <w:pPr>
        <w:spacing w:after="0" w:line="338"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3" w:lineRule="auto" w:before="36"/>
        <w:ind w:right="1126"/>
        <w:jc w:val="both"/>
      </w:pPr>
      <w:r>
        <w:rPr>
          <w:spacing w:val="-2"/>
        </w:rPr>
        <w:t>司、广西蓝盾智慧城市信息技术有限公司、湖北蓝盾信息安全技术有限公司、广州华炜科技有限公司子公</w:t>
      </w:r>
      <w:r>
        <w:rPr>
          <w:spacing w:val="-44"/>
        </w:rPr>
        <w:t> </w:t>
      </w:r>
      <w:r>
        <w:rPr>
          <w:spacing w:val="-44"/>
        </w:rPr>
      </w:r>
      <w:r>
        <w:rPr>
          <w:spacing w:val="-2"/>
        </w:rPr>
        <w:t>司东莞市华炜雷电防护设备有限公司、蓝盾信息安全技术有限公司子公司广州蓝盾工控技术有限公司、四</w:t>
      </w:r>
      <w:r>
        <w:rPr>
          <w:spacing w:val="-44"/>
        </w:rPr>
        <w:t> </w:t>
      </w:r>
      <w:r>
        <w:rPr>
          <w:spacing w:val="-44"/>
        </w:rPr>
      </w:r>
      <w:r>
        <w:rPr>
          <w:spacing w:val="-2"/>
        </w:rPr>
        <w:t>川中科蓝盾信息安全技术有限公司、陕西蓝盾云信息安全技术有限公司、中经汇通电子商务有限公司子公</w:t>
      </w:r>
      <w:r>
        <w:rPr>
          <w:spacing w:val="-43"/>
        </w:rPr>
        <w:t> </w:t>
      </w:r>
      <w:r>
        <w:rPr>
          <w:spacing w:val="-43"/>
        </w:rPr>
      </w:r>
      <w:r>
        <w:rPr>
          <w:spacing w:val="-2"/>
        </w:rPr>
        <w:t>司广东中经汇通交通运输有限公司、中经汇通电子商务有限公司子公司始兴县都亨加油站有限公司、中经</w:t>
      </w:r>
      <w:r>
        <w:rPr>
          <w:spacing w:val="-41"/>
        </w:rPr>
        <w:t> </w:t>
      </w:r>
      <w:r>
        <w:rPr>
          <w:spacing w:val="-41"/>
        </w:rPr>
      </w:r>
      <w:r>
        <w:rPr>
          <w:spacing w:val="-2"/>
        </w:rPr>
        <w:t>汇通电子商务有限公司子公司广州市汇特慧科技有限公司、湖北蓝盾网信科技有限公司，均符合小型微利</w:t>
      </w:r>
      <w:r>
        <w:rPr>
          <w:spacing w:val="-44"/>
        </w:rPr>
        <w:t> </w:t>
      </w:r>
      <w:r>
        <w:rPr>
          <w:spacing w:val="-44"/>
        </w:rPr>
      </w:r>
      <w:r>
        <w:rPr>
          <w:spacing w:val="-2"/>
        </w:rPr>
        <w:t>企业条件，根据财税〔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13</w:t>
      </w:r>
      <w:r>
        <w:rPr>
          <w:spacing w:val="-2"/>
        </w:rPr>
        <w:t>号文件，自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日，对小型微利企业年应纳税所</w:t>
      </w:r>
      <w:r>
        <w:rPr>
          <w:spacing w:val="-28"/>
        </w:rPr>
        <w:t> </w:t>
      </w:r>
      <w:r>
        <w:rPr>
          <w:spacing w:val="-28"/>
        </w:rPr>
      </w:r>
      <w:r>
        <w:rPr>
          <w:spacing w:val="-3"/>
        </w:rPr>
        <w:t>得额不超过</w:t>
      </w:r>
      <w:r>
        <w:rPr>
          <w:rFonts w:ascii="Times New Roman" w:hAnsi="Times New Roman" w:cs="Times New Roman" w:eastAsia="Times New Roman" w:hint="default"/>
          <w:spacing w:val="-3"/>
        </w:rPr>
        <w:t>100</w:t>
      </w:r>
      <w:r>
        <w:rPr>
          <w:spacing w:val="-3"/>
        </w:rPr>
        <w:t>万元的部分，减按</w:t>
      </w:r>
      <w:r>
        <w:rPr>
          <w:rFonts w:ascii="Times New Roman" w:hAnsi="Times New Roman" w:cs="Times New Roman" w:eastAsia="Times New Roman" w:hint="default"/>
          <w:spacing w:val="-3"/>
        </w:rPr>
        <w:t>25%</w:t>
      </w:r>
      <w:r>
        <w:rPr>
          <w:spacing w:val="-3"/>
        </w:rPr>
        <w:t>计入应纳税所得额，按</w:t>
      </w:r>
      <w:r>
        <w:rPr>
          <w:rFonts w:ascii="Times New Roman" w:hAnsi="Times New Roman" w:cs="Times New Roman" w:eastAsia="Times New Roman" w:hint="default"/>
          <w:spacing w:val="-3"/>
        </w:rPr>
        <w:t>20%</w:t>
      </w:r>
      <w:r>
        <w:rPr>
          <w:spacing w:val="-3"/>
        </w:rPr>
        <w:t>的税率缴纳企业所得税；对年应纳税所得</w:t>
      </w:r>
      <w:r>
        <w:rPr>
          <w:spacing w:val="-23"/>
        </w:rPr>
        <w:t> </w:t>
      </w:r>
      <w:r>
        <w:rPr>
          <w:spacing w:val="-23"/>
        </w:rPr>
      </w:r>
      <w:r>
        <w:rPr/>
        <w:t>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12"/>
        <w:rPr>
          <w:rFonts w:ascii="宋体" w:hAnsi="宋体" w:cs="宋体" w:eastAsia="宋体" w:hint="default"/>
          <w:sz w:val="16"/>
          <w:szCs w:val="16"/>
        </w:rPr>
      </w:pPr>
    </w:p>
    <w:p>
      <w:pPr>
        <w:pStyle w:val="Heading3"/>
        <w:spacing w:line="240" w:lineRule="auto"/>
        <w:ind w:right="0"/>
        <w:jc w:val="both"/>
        <w:rPr>
          <w:b w:val="0"/>
          <w:bCs w:val="0"/>
        </w:rPr>
      </w:pPr>
      <w:bookmarkStart w:name="3、其他" w:id="256"/>
      <w:bookmarkEnd w:id="256"/>
      <w:r>
        <w:rPr>
          <w:b w:val="0"/>
          <w:bCs w:val="0"/>
        </w:rPr>
      </w: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31"/>
          <w:szCs w:val="31"/>
        </w:rPr>
      </w:pPr>
    </w:p>
    <w:p>
      <w:pPr>
        <w:pStyle w:val="BodyText"/>
        <w:spacing w:line="331" w:lineRule="auto"/>
        <w:ind w:left="573" w:right="2602"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）房产税</w:t>
      </w:r>
      <w:r>
        <w:rPr>
          <w:rFonts w:ascii="宋体" w:hAnsi="宋体" w:cs="宋体" w:eastAsia="宋体" w:hint="default"/>
          <w:b/>
          <w:bCs/>
          <w:w w:val="100"/>
        </w:rPr>
        <w:t> </w:t>
      </w:r>
      <w:r>
        <w:rPr>
          <w:spacing w:val="-2"/>
        </w:rPr>
        <w:t>房产税按照房产原值的</w:t>
      </w:r>
      <w:r>
        <w:rPr>
          <w:rFonts w:ascii="Times New Roman" w:hAnsi="Times New Roman" w:cs="Times New Roman" w:eastAsia="Times New Roman" w:hint="default"/>
          <w:spacing w:val="-2"/>
        </w:rPr>
        <w:t>70%</w:t>
      </w:r>
      <w:r>
        <w:rPr>
          <w:spacing w:val="-2"/>
        </w:rPr>
        <w:t>为纳税基准，税率为</w:t>
      </w:r>
      <w:r>
        <w:rPr>
          <w:rFonts w:ascii="Times New Roman" w:hAnsi="Times New Roman" w:cs="Times New Roman" w:eastAsia="Times New Roman" w:hint="default"/>
          <w:spacing w:val="-2"/>
        </w:rPr>
        <w:t>1.2%</w:t>
      </w:r>
      <w:r>
        <w:rPr>
          <w:spacing w:val="-2"/>
        </w:rPr>
        <w:t>；从租的按照租金乘以</w:t>
      </w:r>
      <w:r>
        <w:rPr>
          <w:rFonts w:ascii="Times New Roman" w:hAnsi="Times New Roman" w:cs="Times New Roman" w:eastAsia="Times New Roman" w:hint="default"/>
          <w:spacing w:val="-2"/>
        </w:rPr>
        <w:t>12%</w:t>
      </w:r>
      <w:r>
        <w:rPr>
          <w:spacing w:val="-2"/>
        </w:rPr>
        <w:t>。</w:t>
      </w:r>
    </w:p>
    <w:p>
      <w:pPr>
        <w:spacing w:line="331" w:lineRule="auto" w:before="19"/>
        <w:ind w:left="573" w:right="679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）个人所得税</w:t>
      </w:r>
      <w:r>
        <w:rPr>
          <w:rFonts w:ascii="宋体" w:hAnsi="宋体" w:cs="宋体" w:eastAsia="宋体" w:hint="default"/>
          <w:b/>
          <w:bCs/>
          <w:w w:val="100"/>
          <w:sz w:val="21"/>
          <w:szCs w:val="21"/>
        </w:rPr>
        <w:t> </w:t>
      </w:r>
      <w:r>
        <w:rPr>
          <w:rFonts w:ascii="宋体" w:hAnsi="宋体" w:cs="宋体" w:eastAsia="宋体" w:hint="default"/>
          <w:spacing w:val="-2"/>
          <w:sz w:val="21"/>
          <w:szCs w:val="21"/>
        </w:rPr>
        <w:t>员工个人所得税由公司代扣代缴。</w:t>
      </w: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三、 合并财务报表项目注释" w:id="257"/>
      <w:bookmarkEnd w:id="257"/>
      <w:r>
        <w:rPr>
          <w:b w:val="0"/>
          <w:bCs w:val="0"/>
        </w:rPr>
      </w:r>
      <w:r>
        <w:rPr/>
        <w:t>三、 </w:t>
      </w:r>
      <w:r>
        <w:rPr>
          <w:spacing w:val="114"/>
        </w:rPr>
        <w:t> </w:t>
      </w:r>
      <w:r>
        <w:rPr/>
        <w:t>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货币资金" w:id="258"/>
      <w:bookmarkEnd w:id="25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299,537.60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1,921,759.41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73,108,353.73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1,029,826,155.34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201,636,817.73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96,648,526.52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275,044,709.06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1,128,396,441.27</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180"/>
              <w:jc w:val="left"/>
              <w:rPr>
                <w:rFonts w:ascii="宋体" w:hAnsi="宋体" w:cs="宋体" w:eastAsia="宋体" w:hint="default"/>
                <w:sz w:val="18"/>
                <w:szCs w:val="18"/>
              </w:rPr>
            </w:pPr>
            <w:r>
              <w:rPr>
                <w:rFonts w:ascii="宋体" w:hAnsi="宋体" w:cs="宋体" w:eastAsia="宋体" w:hint="default"/>
                <w:sz w:val="18"/>
                <w:szCs w:val="18"/>
              </w:rPr>
              <w:t>其中：因抵押、质押或冻结等对使用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204,371,481.77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96,648,526.52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3"/>
          <w:szCs w:val="13"/>
        </w:rPr>
      </w:pPr>
    </w:p>
    <w:p>
      <w:pPr>
        <w:pStyle w:val="BodyText"/>
        <w:spacing w:line="240" w:lineRule="auto"/>
        <w:ind w:left="573" w:right="1133"/>
        <w:jc w:val="left"/>
      </w:pPr>
      <w:r>
        <w:rPr/>
        <w:t>其中受限制的货币资金明细如下：</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63"/>
        <w:gridCol w:w="3118"/>
        <w:gridCol w:w="3260"/>
      </w:tblGrid>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78,067,109.23</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64,441,308.66</w:t>
            </w:r>
          </w:p>
        </w:tc>
      </w:tr>
      <w:tr>
        <w:trPr>
          <w:trHeight w:val="42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65,395,174.84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29,304,661.28</w:t>
            </w:r>
          </w:p>
        </w:tc>
      </w:tr>
      <w:tr>
        <w:trPr>
          <w:trHeight w:val="425"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4,885,084.36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汇通宝备付金账户的余额</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3,739,152.60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2,856,717.10</w:t>
            </w:r>
          </w:p>
        </w:tc>
      </w:tr>
      <w:tr>
        <w:trPr>
          <w:trHeight w:val="430"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45,430.07</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45,839.48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263"/>
        <w:gridCol w:w="3118"/>
        <w:gridCol w:w="3260"/>
      </w:tblGrid>
      <w:tr>
        <w:trPr>
          <w:trHeight w:val="42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49,290,000.09</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被冻结的银行存款</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2,949,272.10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其他受限</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258.48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204,371,481.77</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96,648,526.52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2、应收票据" w:id="259"/>
      <w:bookmarkEnd w:id="25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60"/>
      <w:bookmarkEnd w:id="26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7,476,975.71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2,482,238.55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5,187,235.80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1,831,050.00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12,664,211.51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4,313,288.55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80"/>
        <w:gridCol w:w="1190"/>
        <w:gridCol w:w="713"/>
        <w:gridCol w:w="1121"/>
        <w:gridCol w:w="631"/>
        <w:gridCol w:w="1104"/>
        <w:gridCol w:w="1008"/>
        <w:gridCol w:w="742"/>
        <w:gridCol w:w="449"/>
        <w:gridCol w:w="475"/>
        <w:gridCol w:w="1042"/>
      </w:tblGrid>
      <w:tr>
        <w:trPr>
          <w:trHeight w:val="398" w:hRule="exact"/>
        </w:trPr>
        <w:tc>
          <w:tcPr>
            <w:tcW w:w="1080" w:type="dxa"/>
            <w:vMerge w:val="restart"/>
            <w:tcBorders>
              <w:top w:val="single" w:sz="4" w:space="0" w:color="000000"/>
              <w:left w:val="single" w:sz="4" w:space="0" w:color="000000"/>
              <w:right w:val="single" w:sz="4" w:space="0" w:color="000000"/>
            </w:tcBorders>
            <w:shd w:val="clear" w:color="auto" w:fill="D2D2D2"/>
          </w:tcPr>
          <w:p>
            <w:pP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080" w:type="dxa"/>
            <w:vMerge/>
            <w:tcBorders>
              <w:left w:val="single" w:sz="4" w:space="0" w:color="000000"/>
              <w:bottom w:val="nil" w:sz="6" w:space="0" w:color="auto"/>
              <w:right w:val="single" w:sz="4" w:space="0" w:color="000000"/>
            </w:tcBorders>
            <w:shd w:val="clear" w:color="auto" w:fill="D2D2D2"/>
          </w:tcPr>
          <w:p>
            <w:pPr/>
          </w:p>
        </w:tc>
        <w:tc>
          <w:tcPr>
            <w:tcW w:w="19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4" w:type="dxa"/>
            <w:vMerge w:val="restart"/>
            <w:tcBorders>
              <w:top w:val="single" w:sz="4" w:space="0" w:color="000000"/>
              <w:left w:val="single" w:sz="4" w:space="0" w:color="000000"/>
              <w:right w:val="single" w:sz="4" w:space="0" w:color="000000"/>
            </w:tcBorders>
            <w:shd w:val="clear" w:color="auto" w:fill="D2D2D2"/>
          </w:tcPr>
          <w:p>
            <w:pPr/>
          </w:p>
        </w:tc>
        <w:tc>
          <w:tcPr>
            <w:tcW w:w="1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4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04" w:type="dxa"/>
            <w:gridSpan w:val="2"/>
            <w:vMerge/>
            <w:tcBorders>
              <w:left w:val="single" w:sz="4" w:space="0" w:color="000000"/>
              <w:bottom w:val="single" w:sz="4" w:space="0" w:color="000000"/>
              <w:right w:val="single" w:sz="4" w:space="0" w:color="000000"/>
            </w:tcBorders>
            <w:shd w:val="clear" w:color="auto" w:fill="D2D2D2"/>
          </w:tcPr>
          <w:p>
            <w:pPr/>
          </w:p>
        </w:tc>
        <w:tc>
          <w:tcPr>
            <w:tcW w:w="1752" w:type="dxa"/>
            <w:gridSpan w:val="2"/>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c>
          <w:tcPr>
            <w:tcW w:w="1750" w:type="dxa"/>
            <w:gridSpan w:val="2"/>
            <w:vMerge/>
            <w:tcBorders>
              <w:left w:val="single" w:sz="4" w:space="0" w:color="000000"/>
              <w:bottom w:val="single" w:sz="4" w:space="0" w:color="000000"/>
              <w:right w:val="single" w:sz="4" w:space="0" w:color="000000"/>
            </w:tcBorders>
            <w:shd w:val="clear" w:color="auto" w:fill="D2D2D2"/>
          </w:tcPr>
          <w:p>
            <w:pPr/>
          </w:p>
        </w:tc>
        <w:tc>
          <w:tcPr>
            <w:tcW w:w="925" w:type="dxa"/>
            <w:gridSpan w:val="2"/>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080" w:type="dxa"/>
            <w:vMerge/>
            <w:tcBorders>
              <w:left w:val="single" w:sz="4" w:space="0" w:color="000000"/>
              <w:bottom w:val="nil" w:sz="6" w:space="0" w:color="auto"/>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20" w:right="3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4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080" w:type="dxa"/>
            <w:vMerge w:val="restart"/>
            <w:tcBorders>
              <w:top w:val="nil" w:sz="6" w:space="0" w:color="auto"/>
              <w:left w:val="single" w:sz="4" w:space="0" w:color="000000"/>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75" w:type="dxa"/>
            <w:vMerge/>
            <w:tcBorders>
              <w:left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80" w:type="dxa"/>
            <w:vMerge/>
            <w:tcBorders>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713" w:type="dxa"/>
            <w:vMerge/>
            <w:tcBorders>
              <w:left w:val="single" w:sz="4" w:space="0" w:color="000000"/>
              <w:bottom w:val="nil" w:sz="6" w:space="0" w:color="auto"/>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631" w:type="dxa"/>
            <w:vMerge/>
            <w:tcBorders>
              <w:left w:val="single" w:sz="4" w:space="0" w:color="000000"/>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742"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bottom w:val="nil" w:sz="6" w:space="0" w:color="auto"/>
              <w:right w:val="single" w:sz="4" w:space="0" w:color="000000"/>
            </w:tcBorders>
            <w:shd w:val="clear" w:color="auto" w:fill="D2D2D2"/>
          </w:tcPr>
          <w:p>
            <w:pPr/>
          </w:p>
        </w:tc>
        <w:tc>
          <w:tcPr>
            <w:tcW w:w="475" w:type="dxa"/>
            <w:vMerge/>
            <w:tcBorders>
              <w:left w:val="single" w:sz="4" w:space="0" w:color="000000"/>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80"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475"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6"/>
              <w:jc w:val="both"/>
              <w:rPr>
                <w:rFonts w:ascii="宋体" w:hAnsi="宋体" w:cs="宋体" w:eastAsia="宋体" w:hint="default"/>
                <w:sz w:val="18"/>
                <w:szCs w:val="18"/>
              </w:rPr>
            </w:pPr>
            <w:r>
              <w:rPr>
                <w:rFonts w:ascii="宋体" w:hAnsi="宋体" w:cs="宋体" w:eastAsia="宋体" w:hint="default"/>
                <w:sz w:val="18"/>
                <w:szCs w:val="18"/>
              </w:rPr>
              <w:t>按单项计提 坏账准备的 应收票据</w:t>
            </w:r>
          </w:p>
        </w:tc>
        <w:tc>
          <w:tcPr>
            <w:tcW w:w="1190" w:type="dxa"/>
            <w:tcBorders>
              <w:top w:val="single" w:sz="4" w:space="0" w:color="000000"/>
              <w:left w:val="single" w:sz="12" w:space="0" w:color="D2D2D2"/>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6"/>
              <w:jc w:val="both"/>
              <w:rPr>
                <w:rFonts w:ascii="宋体" w:hAnsi="宋体" w:cs="宋体" w:eastAsia="宋体" w:hint="default"/>
                <w:sz w:val="18"/>
                <w:szCs w:val="18"/>
              </w:rPr>
            </w:pPr>
            <w:r>
              <w:rPr>
                <w:rFonts w:ascii="宋体" w:hAnsi="宋体" w:cs="宋体" w:eastAsia="宋体" w:hint="default"/>
                <w:sz w:val="18"/>
                <w:szCs w:val="18"/>
              </w:rPr>
              <w:t>按组合计提 坏账准备的 应收票据</w:t>
            </w:r>
          </w:p>
        </w:tc>
        <w:tc>
          <w:tcPr>
            <w:tcW w:w="1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13,669,046.71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1,004,835.20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12,664,211.51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4,313,288.55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4,313,288.55</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 w:right="156"/>
              <w:jc w:val="both"/>
              <w:rPr>
                <w:rFonts w:ascii="宋体" w:hAnsi="宋体" w:cs="宋体" w:eastAsia="宋体" w:hint="default"/>
                <w:sz w:val="18"/>
                <w:szCs w:val="18"/>
              </w:rPr>
            </w:pPr>
            <w:r>
              <w:rPr>
                <w:rFonts w:ascii="宋体" w:hAnsi="宋体" w:cs="宋体" w:eastAsia="宋体" w:hint="default"/>
                <w:sz w:val="18"/>
                <w:szCs w:val="18"/>
              </w:rPr>
              <w:t>无风险银行 承兑票据组 合</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7,476,975.71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54.70%</w:t>
            </w:r>
          </w:p>
        </w:tc>
        <w:tc>
          <w:tcPr>
            <w:tcW w:w="112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7,476,975.71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2,482,238.55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57.55%</w:t>
            </w:r>
          </w:p>
        </w:tc>
        <w:tc>
          <w:tcPr>
            <w:tcW w:w="44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2,482,238.55</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56"/>
              <w:jc w:val="left"/>
              <w:rPr>
                <w:rFonts w:ascii="宋体" w:hAnsi="宋体" w:cs="宋体" w:eastAsia="宋体" w:hint="default"/>
                <w:sz w:val="18"/>
                <w:szCs w:val="18"/>
              </w:rPr>
            </w:pPr>
            <w:r>
              <w:rPr>
                <w:rFonts w:ascii="宋体" w:hAnsi="宋体" w:cs="宋体" w:eastAsia="宋体" w:hint="default"/>
                <w:sz w:val="18"/>
                <w:szCs w:val="18"/>
              </w:rPr>
              <w:t>其他票据组 合</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6,192,071.00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1,004,835.20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5,187,235.80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1,831,050.00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42.45%</w:t>
            </w:r>
          </w:p>
        </w:tc>
        <w:tc>
          <w:tcPr>
            <w:tcW w:w="44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1,831,050.00</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13,669,046.71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center"/>
              <w:rPr>
                <w:rFonts w:ascii="Times New Roman" w:hAnsi="Times New Roman" w:cs="Times New Roman" w:eastAsia="Times New Roman" w:hint="default"/>
                <w:sz w:val="18"/>
                <w:szCs w:val="18"/>
              </w:rPr>
            </w:pPr>
            <w:r>
              <w:rPr>
                <w:rFonts w:ascii="Times New Roman"/>
                <w:sz w:val="18"/>
              </w:rPr>
              <w:t>1,004,835.20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7.35%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12,664,211.51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4,313,288.55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4,313,288.55</w:t>
            </w:r>
          </w:p>
        </w:tc>
      </w:tr>
    </w:tbl>
    <w:p>
      <w:pPr>
        <w:spacing w:line="240" w:lineRule="auto" w:before="2"/>
        <w:rPr>
          <w:rFonts w:ascii="宋体" w:hAnsi="宋体" w:cs="宋体" w:eastAsia="宋体" w:hint="default"/>
          <w:sz w:val="27"/>
          <w:szCs w:val="27"/>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按组合计提坏账准备：其他票据组合</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88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3,206,254.00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160,312.70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444,590.00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44,459.00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740,220.00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1,515.50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49,872.00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8,456.00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6,192,071.00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1,004,835.20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892" w:right="0"/>
        <w:jc w:val="left"/>
        <w:rPr>
          <w:b w:val="0"/>
          <w:bCs w:val="0"/>
        </w:rPr>
      </w:pPr>
      <w:bookmarkStart w:name="（2）本期计提、收回或转回的坏账准备情况" w:id="261"/>
      <w:bookmarkEnd w:id="26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89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88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其他票据组合</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1,004,835.20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1,004,835.20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1,004,835.20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1,004,835.20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left="892" w:right="0"/>
        <w:jc w:val="left"/>
        <w:rPr>
          <w:b w:val="0"/>
          <w:bCs w:val="0"/>
        </w:rPr>
      </w:pPr>
      <w:bookmarkStart w:name="（3）期末公司已背书或贴现且在资产负债表日尚未到期的应收票据" w:id="262"/>
      <w:bookmarkEnd w:id="26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90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7,070,426.05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7,070,426.05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892" w:right="0"/>
        <w:jc w:val="left"/>
        <w:rPr>
          <w:b w:val="0"/>
          <w:bCs w:val="0"/>
        </w:rPr>
      </w:pPr>
      <w:bookmarkStart w:name="3、应收账款" w:id="263"/>
      <w:bookmarkEnd w:id="26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92" w:right="0"/>
        <w:jc w:val="left"/>
        <w:rPr>
          <w:b w:val="0"/>
          <w:bCs w:val="0"/>
        </w:rPr>
      </w:pPr>
      <w:bookmarkStart w:name="（1）应收账款分类披露" w:id="264"/>
      <w:bookmarkEnd w:id="26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44"/>
        <w:gridCol w:w="1346"/>
        <w:gridCol w:w="490"/>
        <w:gridCol w:w="1232"/>
        <w:gridCol w:w="602"/>
        <w:gridCol w:w="1455"/>
        <w:gridCol w:w="1318"/>
        <w:gridCol w:w="545"/>
        <w:gridCol w:w="1191"/>
        <w:gridCol w:w="602"/>
        <w:gridCol w:w="1376"/>
      </w:tblGrid>
      <w:tr>
        <w:trPr>
          <w:trHeight w:val="402" w:hRule="exact"/>
        </w:trPr>
        <w:tc>
          <w:tcPr>
            <w:tcW w:w="1044" w:type="dxa"/>
            <w:vMerge w:val="restart"/>
            <w:tcBorders>
              <w:top w:val="single" w:sz="4" w:space="0" w:color="000000"/>
              <w:left w:val="single" w:sz="4" w:space="0" w:color="000000"/>
              <w:right w:val="single" w:sz="4" w:space="0" w:color="000000"/>
            </w:tcBorders>
            <w:shd w:val="clear" w:color="auto" w:fill="D2D2D2"/>
          </w:tcPr>
          <w:p>
            <w:pPr/>
          </w:p>
        </w:tc>
        <w:tc>
          <w:tcPr>
            <w:tcW w:w="51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044" w:type="dxa"/>
            <w:vMerge/>
            <w:tcBorders>
              <w:left w:val="single" w:sz="4" w:space="0" w:color="000000"/>
              <w:bottom w:val="nil" w:sz="6" w:space="0" w:color="auto"/>
              <w:right w:val="single" w:sz="4" w:space="0" w:color="000000"/>
            </w:tcBorders>
            <w:shd w:val="clear" w:color="auto" w:fill="D2D2D2"/>
          </w:tcPr>
          <w:p>
            <w:pPr/>
          </w:p>
        </w:tc>
        <w:tc>
          <w:tcPr>
            <w:tcW w:w="1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5" w:type="dxa"/>
            <w:vMerge w:val="restart"/>
            <w:tcBorders>
              <w:top w:val="single" w:sz="4" w:space="0" w:color="000000"/>
              <w:left w:val="single" w:sz="4" w:space="0" w:color="000000"/>
              <w:right w:val="single" w:sz="4" w:space="0" w:color="000000"/>
            </w:tcBorders>
            <w:shd w:val="clear" w:color="auto" w:fill="D2D2D2"/>
          </w:tcPr>
          <w:p>
            <w:pPr/>
          </w:p>
        </w:tc>
        <w:tc>
          <w:tcPr>
            <w:tcW w:w="18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6" w:type="dxa"/>
            <w:vMerge w:val="restart"/>
            <w:tcBorders>
              <w:top w:val="single" w:sz="4" w:space="0" w:color="000000"/>
              <w:left w:val="single" w:sz="4" w:space="0" w:color="000000"/>
              <w:right w:val="single" w:sz="4" w:space="0" w:color="000000"/>
            </w:tcBorders>
            <w:shd w:val="clear" w:color="auto" w:fill="D2D2D2"/>
          </w:tcPr>
          <w:p>
            <w:pPr/>
          </w:p>
        </w:tc>
      </w:tr>
      <w:tr>
        <w:trPr>
          <w:trHeight w:val="245" w:hRule="exact"/>
        </w:trPr>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36" w:type="dxa"/>
            <w:gridSpan w:val="2"/>
            <w:vMerge/>
            <w:tcBorders>
              <w:left w:val="single" w:sz="4" w:space="0" w:color="000000"/>
              <w:bottom w:val="single" w:sz="4" w:space="0" w:color="000000"/>
              <w:right w:val="single" w:sz="4" w:space="0" w:color="000000"/>
            </w:tcBorders>
            <w:shd w:val="clear" w:color="auto" w:fill="D2D2D2"/>
          </w:tcPr>
          <w:p>
            <w:pPr/>
          </w:p>
        </w:tc>
        <w:tc>
          <w:tcPr>
            <w:tcW w:w="1834" w:type="dxa"/>
            <w:gridSpan w:val="2"/>
            <w:vMerge/>
            <w:tcBorders>
              <w:left w:val="single" w:sz="4" w:space="0" w:color="000000"/>
              <w:bottom w:val="single" w:sz="4" w:space="0" w:color="000000"/>
              <w:right w:val="single" w:sz="4" w:space="0" w:color="000000"/>
            </w:tcBorders>
            <w:shd w:val="clear" w:color="auto" w:fill="D2D2D2"/>
          </w:tcPr>
          <w:p>
            <w:pPr/>
          </w:p>
        </w:tc>
        <w:tc>
          <w:tcPr>
            <w:tcW w:w="1455" w:type="dxa"/>
            <w:vMerge/>
            <w:tcBorders>
              <w:left w:val="single" w:sz="4" w:space="0" w:color="000000"/>
              <w:bottom w:val="nil" w:sz="6" w:space="0" w:color="auto"/>
              <w:right w:val="single" w:sz="4" w:space="0" w:color="000000"/>
            </w:tcBorders>
            <w:shd w:val="clear" w:color="auto" w:fill="D2D2D2"/>
          </w:tcPr>
          <w:p>
            <w:pPr/>
          </w:p>
        </w:tc>
        <w:tc>
          <w:tcPr>
            <w:tcW w:w="1862" w:type="dxa"/>
            <w:gridSpan w:val="2"/>
            <w:vMerge/>
            <w:tcBorders>
              <w:left w:val="single" w:sz="4" w:space="0" w:color="000000"/>
              <w:bottom w:val="single" w:sz="4" w:space="0" w:color="000000"/>
              <w:right w:val="single" w:sz="4" w:space="0" w:color="000000"/>
            </w:tcBorders>
            <w:shd w:val="clear" w:color="auto" w:fill="D2D2D2"/>
          </w:tcPr>
          <w:p>
            <w:pPr/>
          </w:p>
        </w:tc>
        <w:tc>
          <w:tcPr>
            <w:tcW w:w="1793" w:type="dxa"/>
            <w:gridSpan w:val="2"/>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044" w:type="dxa"/>
            <w:vMerge/>
            <w:tcBorders>
              <w:left w:val="single" w:sz="4" w:space="0" w:color="000000"/>
              <w:bottom w:val="nil" w:sz="6" w:space="0" w:color="auto"/>
              <w:right w:val="single" w:sz="4" w:space="0" w:color="000000"/>
            </w:tcBorders>
            <w:shd w:val="clear" w:color="auto" w:fill="D2D2D2"/>
          </w:tcPr>
          <w:p>
            <w:pP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4"/>
              <w:ind w:left="206" w:right="2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35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4"/>
              <w:ind w:left="206" w:right="2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3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044" w:type="dxa"/>
            <w:vMerge w:val="restart"/>
            <w:tcBorders>
              <w:top w:val="nil" w:sz="6" w:space="0" w:color="auto"/>
              <w:left w:val="single" w:sz="4" w:space="0" w:color="000000"/>
              <w:right w:val="single" w:sz="4" w:space="0" w:color="000000"/>
            </w:tcBorders>
            <w:shd w:val="clear" w:color="auto" w:fill="D2D2D2"/>
          </w:tcPr>
          <w:p>
            <w:pP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vMerge/>
            <w:tcBorders>
              <w:left w:val="single" w:sz="4" w:space="0" w:color="000000"/>
              <w:right w:val="single" w:sz="4" w:space="0" w:color="000000"/>
            </w:tcBorders>
            <w:shd w:val="clear" w:color="auto" w:fill="D2D2D2"/>
          </w:tcPr>
          <w:p>
            <w:pPr/>
          </w:p>
        </w:tc>
        <w:tc>
          <w:tcPr>
            <w:tcW w:w="1455"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5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44" w:type="dxa"/>
            <w:vMerge/>
            <w:tcBorders>
              <w:left w:val="single" w:sz="4" w:space="0" w:color="000000"/>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232" w:type="dxa"/>
            <w:vMerge/>
            <w:tcBorders>
              <w:left w:val="single" w:sz="4" w:space="0" w:color="000000"/>
              <w:bottom w:val="nil" w:sz="6" w:space="0" w:color="auto"/>
              <w:right w:val="single" w:sz="4" w:space="0" w:color="000000"/>
            </w:tcBorders>
            <w:shd w:val="clear" w:color="auto" w:fill="D2D2D2"/>
          </w:tcPr>
          <w:p>
            <w:pPr/>
          </w:p>
        </w:tc>
        <w:tc>
          <w:tcPr>
            <w:tcW w:w="602" w:type="dxa"/>
            <w:vMerge/>
            <w:tcBorders>
              <w:left w:val="single" w:sz="4" w:space="0" w:color="000000"/>
              <w:right w:val="single" w:sz="4" w:space="0" w:color="000000"/>
            </w:tcBorders>
            <w:shd w:val="clear" w:color="auto" w:fill="D2D2D2"/>
          </w:tcPr>
          <w:p>
            <w:pPr/>
          </w:p>
        </w:tc>
        <w:tc>
          <w:tcPr>
            <w:tcW w:w="1455"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545" w:type="dxa"/>
            <w:vMerge/>
            <w:tcBorders>
              <w:left w:val="single" w:sz="4" w:space="0" w:color="000000"/>
              <w:bottom w:val="nil" w:sz="6" w:space="0" w:color="auto"/>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602"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44" w:type="dxa"/>
            <w:vMerge/>
            <w:tcBorders>
              <w:left w:val="single" w:sz="4" w:space="0" w:color="000000"/>
              <w:bottom w:val="single" w:sz="4" w:space="0" w:color="000000"/>
              <w:right w:val="single" w:sz="4" w:space="0" w:color="000000"/>
            </w:tcBorders>
            <w:shd w:val="clear" w:color="auto" w:fill="D2D2D2"/>
          </w:tcPr>
          <w:p>
            <w:pPr/>
          </w:p>
        </w:tc>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1455"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3" w:right="108"/>
              <w:jc w:val="left"/>
              <w:rPr>
                <w:rFonts w:ascii="宋体" w:hAnsi="宋体" w:cs="宋体" w:eastAsia="宋体" w:hint="default"/>
                <w:sz w:val="18"/>
                <w:szCs w:val="18"/>
              </w:rPr>
            </w:pPr>
            <w:r>
              <w:rPr>
                <w:rFonts w:ascii="宋体" w:hAnsi="宋体" w:cs="宋体" w:eastAsia="宋体" w:hint="default"/>
                <w:sz w:val="18"/>
                <w:szCs w:val="18"/>
              </w:rPr>
              <w:t>按单项计提 坏账准备的</w:t>
            </w:r>
          </w:p>
        </w:tc>
        <w:tc>
          <w:tcPr>
            <w:tcW w:w="13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280,003,317.73</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 w:right="0"/>
              <w:jc w:val="center"/>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2"/>
              <w:ind w:left="28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276,859,766.57</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98.88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3,143,551.16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9,373,257.13</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0.30%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9,373,257.13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240" w:right="0"/>
        </w:sectPr>
      </w:pP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032"/>
        <w:gridCol w:w="1358"/>
        <w:gridCol w:w="490"/>
        <w:gridCol w:w="1232"/>
        <w:gridCol w:w="602"/>
        <w:gridCol w:w="1443"/>
        <w:gridCol w:w="1330"/>
        <w:gridCol w:w="545"/>
        <w:gridCol w:w="1191"/>
        <w:gridCol w:w="602"/>
        <w:gridCol w:w="1376"/>
      </w:tblGrid>
      <w:tr>
        <w:trPr>
          <w:trHeight w:val="363" w:hRule="exact"/>
        </w:trPr>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58" w:type="dxa"/>
            <w:tcBorders>
              <w:top w:val="single" w:sz="4" w:space="0" w:color="000000"/>
              <w:left w:val="single" w:sz="12" w:space="0" w:color="D2D2D2"/>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按组合计提 坏账准备的 应收账款</w:t>
            </w:r>
          </w:p>
        </w:tc>
        <w:tc>
          <w:tcPr>
            <w:tcW w:w="13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3,448,959,061.09</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92.49</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512,604,586.36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2,936,354,474.73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3,109,244,663.50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353,561,438.49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2,755,683,225.01</w:t>
            </w:r>
          </w:p>
        </w:tc>
      </w:tr>
      <w:tr>
        <w:trPr>
          <w:trHeight w:val="401" w:hRule="exact"/>
        </w:trPr>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3,447,028,834.18</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92.44</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512,604,586.36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2,934,424,247.82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3,104,326,394.50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353,561,438.49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2,750,764,956.01</w:t>
            </w:r>
          </w:p>
        </w:tc>
      </w:tr>
      <w:tr>
        <w:trPr>
          <w:trHeight w:val="71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1,930,226.91</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0.05</w:t>
            </w:r>
          </w:p>
          <w:p>
            <w:pPr>
              <w:pStyle w:val="TableParagraph"/>
              <w:spacing w:line="240" w:lineRule="auto" w:before="105"/>
              <w:ind w:left="28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1,930,226.91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4,918,269.00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0.16%</w:t>
            </w:r>
          </w:p>
        </w:tc>
        <w:tc>
          <w:tcPr>
            <w:tcW w:w="1191"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4,918,269.00</w:t>
            </w:r>
          </w:p>
        </w:tc>
      </w:tr>
      <w:tr>
        <w:trPr>
          <w:trHeight w:val="716" w:hRule="exact"/>
        </w:trPr>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3,728,962,378.82</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789,464,352.93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2,939,498,025.89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3,118,617,920.63</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362,934,695.62</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2,755,683,225.01</w:t>
            </w:r>
          </w:p>
        </w:tc>
      </w:tr>
    </w:tbl>
    <w:p>
      <w:pPr>
        <w:spacing w:before="49"/>
        <w:ind w:left="89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888" w:type="dxa"/>
        <w:tblLayout w:type="fixed"/>
        <w:tblCellMar>
          <w:top w:w="0" w:type="dxa"/>
          <w:left w:w="0" w:type="dxa"/>
          <w:bottom w:w="0" w:type="dxa"/>
          <w:right w:w="0" w:type="dxa"/>
        </w:tblCellMar>
        <w:tblLook w:val="01E0"/>
      </w:tblPr>
      <w:tblGrid>
        <w:gridCol w:w="3546"/>
        <w:gridCol w:w="1418"/>
        <w:gridCol w:w="1700"/>
        <w:gridCol w:w="994"/>
        <w:gridCol w:w="1916"/>
      </w:tblGrid>
      <w:tr>
        <w:trPr>
          <w:trHeight w:val="402" w:hRule="exact"/>
        </w:trPr>
        <w:tc>
          <w:tcPr>
            <w:tcW w:w="3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0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54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239,008,205.52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239,008,205.52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恒业智能信息技术（深圳）有限公司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8,077,699.13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8,077,699.13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广东泰阳通信设备有限公司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10,042,310.75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10,042,310.75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中国移动通信集团广西有限公司崇左分公司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2,565,609.33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1,282,804.67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存在部分无法收回风险</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中国移动通信集团广西有限公司来宾分公司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1,625,958.00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812,979.00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存在部分无法收回风险</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中国移动通信集团广西有限公司贺州分公司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2,095,535.00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1,047,767.50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存在部分无法收回风险</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广东大华智视科技有限公司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广州泽歌通信科技有限公司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6,378,000.00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6,378,000.00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奥其斯科技股份有限公司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280,003,317.73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276,859,766.57</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892" w:right="0" w:firstLine="0"/>
        <w:jc w:val="left"/>
        <w:rPr>
          <w:rFonts w:ascii="宋体" w:hAnsi="宋体" w:cs="宋体" w:eastAsia="宋体" w:hint="default"/>
          <w:sz w:val="18"/>
          <w:szCs w:val="18"/>
        </w:rPr>
      </w:pPr>
      <w:r>
        <w:rPr>
          <w:rFonts w:ascii="宋体" w:hAnsi="宋体" w:cs="宋体" w:eastAsia="宋体" w:hint="default"/>
          <w:sz w:val="18"/>
          <w:szCs w:val="18"/>
        </w:rPr>
        <w:t>按按组合计提坏账准备：账龄组合</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88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1,685,105,151.47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84,255,257.56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1,002,619,394.24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100,261,939.42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453,952,347.24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136,185,704.17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195,638,670.74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97,819,335.39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78,154,603.30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62,523,682.63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31,558,667.19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31,558,667.19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24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405"/>
        <w:gridCol w:w="2369"/>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3,447,028,834.18</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512,604,586.36</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按组合计提坏账准备：低风险组合</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低风险组合（</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机在途款）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1,930,226.91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1,930,226.91</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1,696,396,228.88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1,120,342,436.61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581,782,223.30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330,441,490.03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203,610,674.71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86,951,060.00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39,879,755.32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3,728,962,378.82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6"/>
        <w:ind w:right="1133"/>
        <w:jc w:val="left"/>
        <w:rPr>
          <w:b w:val="0"/>
          <w:bCs w:val="0"/>
        </w:rPr>
      </w:pPr>
      <w:bookmarkStart w:name="（2）本期计提、收回或转回的坏账准备情况" w:id="265"/>
      <w:bookmarkEnd w:id="26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277"/>
        <w:gridCol w:w="1419"/>
        <w:gridCol w:w="1274"/>
        <w:gridCol w:w="1419"/>
        <w:gridCol w:w="1207"/>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单项计提预期信用 损失的应收账款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9,373,257.13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268,782,067.44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1,295,558.00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276,859,766.57</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353,561,438.49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162,976,526.06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292,621.81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512,604,586.36</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362,934,695.62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431,758,593.50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292,621.81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5,521,558.00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789,464,352.93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2835"/>
        <w:gridCol w:w="3190"/>
      </w:tblGrid>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中国共产主义青年团广州市委员会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中国人民武装警察部队海南省边防总队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中国电信股份有限公司东莞分公司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548"/>
        <w:gridCol w:w="2835"/>
        <w:gridCol w:w="3179"/>
      </w:tblGrid>
      <w:tr>
        <w:trPr>
          <w:trHeight w:val="404"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292,621.81</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实际核销的应收账款情况" w:id="266"/>
      <w:bookmarkEnd w:id="26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5,521,558.00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04"/>
        <w:gridCol w:w="1345"/>
        <w:gridCol w:w="1472"/>
        <w:gridCol w:w="1440"/>
        <w:gridCol w:w="1568"/>
        <w:gridCol w:w="1140"/>
      </w:tblGrid>
      <w:tr>
        <w:trPr>
          <w:trHeight w:val="716" w:hRule="exact"/>
        </w:trPr>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24" w:hanging="92"/>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1"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东莞市绿洲电脑有限公司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项目款</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核销审批</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北京贵瑞旺泰科技发展有限公司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项目款</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1,295,558.00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核销审批</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5,521,558.00</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应收账款情况" w:id="267"/>
      <w:bookmarkEnd w:id="26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2693"/>
        <w:gridCol w:w="2837"/>
        <w:gridCol w:w="2336"/>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中经电商客户一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100,099,444.88</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5,012,886.39</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中经电商客户二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77,576,618.96</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2.08%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77,576,618.96</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中经电商客户三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77,122,995.45</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7,392,529.15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中经电商客户四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75,001,523.76</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7,495,814.20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中经电商客户五</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73,947,562.70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3,697,378.14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403,748,145.75</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10.82%</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预付款项" w:id="268"/>
      <w:bookmarkEnd w:id="26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69"/>
      <w:bookmarkEnd w:id="26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1,183,118,416.89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780,376,624.97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103,959,136.77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97,928,508.52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3,031,147.35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1,069,158.61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590,871.80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636,593.04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1,290,699,572.81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880,010,885.14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10"/>
        <w:gridCol w:w="2230"/>
        <w:gridCol w:w="1296"/>
        <w:gridCol w:w="3421"/>
      </w:tblGrid>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42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中经电商商户一</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25,583,506.18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中经电商商户二</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12,657,305.17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中经电商商户三</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9,157,433.70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中经电商商户四</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5,620,764.50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中经电商商户五</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4,850,444.11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广州合美信息科技有限公司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3,260,353.97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中经电商商户六</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2,959,200.00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中经电商商户七</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2,395,427.75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中经电商商户八</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2,141,685.14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中经电商商户九</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2,023,687.51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中经电商商户十</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1,928,014.69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中经电商商户十一</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1,840,829.37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中经电商商户十二</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1,722,429.27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30"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76,141,081.36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按预付对象归集的期末余额前五名的预付款情况" w:id="270"/>
      <w:bookmarkEnd w:id="27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068"/>
        <w:gridCol w:w="1435"/>
        <w:gridCol w:w="2302"/>
        <w:gridCol w:w="1400"/>
        <w:gridCol w:w="1651"/>
      </w:tblGrid>
      <w:tr>
        <w:trPr>
          <w:trHeight w:val="427" w:hRule="exact"/>
        </w:trPr>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中经电商商户十三</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121,003,029.00</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9.37</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广州市学志阳信息科技有限公司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112,716,368.25</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8.73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广州市扉驰信息科技有限公司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61,990,000.00</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4.80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中经电商商户十四</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59,114,344.53</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4.58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中经电商商户十五</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58,538,853.69</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4.54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7" w:hRule="exact"/>
        </w:trPr>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413,362,595.47</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32.03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5、其他应收款" w:id="271"/>
      <w:bookmarkEnd w:id="27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42,079,533.37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43,681,680.91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42,079,533.37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43,681,680.91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1）其他应收款" w:id="272"/>
      <w:bookmarkEnd w:id="272"/>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73"/>
      <w:bookmarkEnd w:id="27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29,453,113.39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39,095,728.03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1,553,066.64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1,564,668.41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2,776,535.39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1,448,016.23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支付宝账户结余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1,712.57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446,758.14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17,546,282.70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8,239,726.22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1,282,359.05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1,143,055.76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52,613,069.74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51,937,952.79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74"/>
      <w:bookmarkEnd w:id="27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7,701,556.64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554,715.24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8,256,271.88</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2,258,567.60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5,496.89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2,264,064.49</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9,973,324.24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560,212.13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10,533,536.37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24,025,950.66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13,496,019.89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7,169,039.29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7,922,059.90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4,017,693.02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1,816,858.82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2,087,508.06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52,613,069.74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本期实际核销的其他应收款情况" w:id="275"/>
      <w:bookmarkEnd w:id="275"/>
      <w:r>
        <w:rPr>
          <w:b w:val="0"/>
          <w:bCs w:val="0"/>
        </w:rPr>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广州明策威顶企业 管理咨询有限公司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刘幼华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宁德李世桥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36,800.00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按欠款方归集的期末余额前五名的其他应收款情况" w:id="276"/>
      <w:bookmarkEnd w:id="276"/>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广州市资迅科技有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224,710.00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深圳市中小企业信 用融资担保集团有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2,082,065.88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104,103.29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成都伟洪电子科技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4"/>
              <w:jc w:val="center"/>
              <w:rPr>
                <w:rFonts w:ascii="宋体" w:hAnsi="宋体" w:cs="宋体" w:eastAsia="宋体" w:hint="default"/>
                <w:sz w:val="18"/>
                <w:szCs w:val="18"/>
              </w:rPr>
            </w:pPr>
            <w:r>
              <w:rPr>
                <w:rFonts w:ascii="宋体" w:hAnsi="宋体" w:cs="宋体" w:eastAsia="宋体" w:hint="default"/>
                <w:sz w:val="18"/>
                <w:szCs w:val="18"/>
              </w:rPr>
              <w:t>广东粤众互联信息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陕西艾创信息科技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12,576,265.88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1,328,813.29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存货" w:id="277"/>
      <w:bookmarkEnd w:id="277"/>
      <w:r>
        <w:rPr>
          <w:b w:val="0"/>
          <w:bCs w:val="0"/>
        </w:rPr>
      </w: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存货分类" w:id="278"/>
      <w:bookmarkEnd w:id="278"/>
      <w:r>
        <w:rPr>
          <w:b w:val="0"/>
          <w:bCs w:val="0"/>
        </w:rPr>
      </w:r>
      <w:r>
        <w:rPr/>
        <w:t>存货分类</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403"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5"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FFFFFF"/>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vMerge w:val="restart"/>
            <w:tcBorders>
              <w:top w:val="single" w:sz="4" w:space="0" w:color="000000"/>
              <w:left w:val="single" w:sz="4" w:space="0" w:color="FFFFFF"/>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FFFFFF"/>
            </w:tcBorders>
            <w:shd w:val="clear" w:color="auto" w:fill="D2D2D2"/>
          </w:tcPr>
          <w:p>
            <w:pPr/>
          </w:p>
        </w:tc>
        <w:tc>
          <w:tcPr>
            <w:tcW w:w="1366" w:type="dxa"/>
            <w:vMerge/>
            <w:tcBorders>
              <w:left w:val="single" w:sz="4" w:space="0" w:color="FFFFFF"/>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tcBorders>
              <w:left w:val="single" w:sz="4" w:space="0" w:color="000000"/>
              <w:right w:val="single" w:sz="4" w:space="0" w:color="FFFFFF"/>
            </w:tcBorders>
            <w:shd w:val="clear" w:color="auto" w:fill="D2D2D2"/>
          </w:tcPr>
          <w:p>
            <w:pPr/>
          </w:p>
        </w:tc>
        <w:tc>
          <w:tcPr>
            <w:tcW w:w="1366"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FFFFFF"/>
            </w:tcBorders>
            <w:shd w:val="clear" w:color="auto" w:fill="D2D2D2"/>
          </w:tcPr>
          <w:p>
            <w:pPr/>
          </w:p>
        </w:tc>
        <w:tc>
          <w:tcPr>
            <w:tcW w:w="1366" w:type="dxa"/>
            <w:vMerge/>
            <w:tcBorders>
              <w:left w:val="single" w:sz="4" w:space="0" w:color="FFFFFF"/>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FFFFFF"/>
            </w:tcBorders>
            <w:shd w:val="clear" w:color="auto" w:fill="D2D2D2"/>
          </w:tcPr>
          <w:p>
            <w:pPr/>
          </w:p>
        </w:tc>
        <w:tc>
          <w:tcPr>
            <w:tcW w:w="1366" w:type="dxa"/>
            <w:tcBorders>
              <w:top w:val="nil" w:sz="6" w:space="0" w:color="auto"/>
              <w:left w:val="single" w:sz="4" w:space="0" w:color="FFFFFF"/>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19,657,747.03</w:t>
            </w:r>
          </w:p>
        </w:tc>
        <w:tc>
          <w:tcPr>
            <w:tcW w:w="1368" w:type="dxa"/>
            <w:tcBorders>
              <w:top w:val="single" w:sz="4" w:space="0" w:color="000000"/>
              <w:left w:val="single" w:sz="4" w:space="0" w:color="000000"/>
              <w:bottom w:val="single" w:sz="4" w:space="0" w:color="000000"/>
              <w:right w:val="single" w:sz="4" w:space="0" w:color="FFFFFF"/>
            </w:tcBorders>
          </w:tcPr>
          <w:p>
            <w:pP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19,657,747.03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64,130,148.59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64,130,148.59</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5,535,970.53</w:t>
            </w:r>
          </w:p>
        </w:tc>
        <w:tc>
          <w:tcPr>
            <w:tcW w:w="1368" w:type="dxa"/>
            <w:tcBorders>
              <w:top w:val="single" w:sz="4" w:space="0" w:color="000000"/>
              <w:left w:val="single" w:sz="4" w:space="0" w:color="000000"/>
              <w:bottom w:val="single" w:sz="4" w:space="0" w:color="000000"/>
              <w:right w:val="single" w:sz="4" w:space="0" w:color="FFFFFF"/>
            </w:tcBorders>
          </w:tcPr>
          <w:p>
            <w:pP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5,535,970.53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4,244,348.91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4,244,348.91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17,532,523.91</w:t>
            </w:r>
          </w:p>
        </w:tc>
        <w:tc>
          <w:tcPr>
            <w:tcW w:w="1368" w:type="dxa"/>
            <w:tcBorders>
              <w:top w:val="single" w:sz="4" w:space="0" w:color="000000"/>
              <w:left w:val="single" w:sz="4" w:space="0" w:color="000000"/>
              <w:bottom w:val="single" w:sz="4" w:space="0" w:color="000000"/>
              <w:right w:val="single" w:sz="4" w:space="0" w:color="FFFFFF"/>
            </w:tcBorders>
          </w:tcPr>
          <w:p>
            <w:pP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17,532,523.91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14,881,000.84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14,881,000.84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8,877.74</w:t>
            </w:r>
          </w:p>
        </w:tc>
        <w:tc>
          <w:tcPr>
            <w:tcW w:w="1368" w:type="dxa"/>
            <w:tcBorders>
              <w:top w:val="single" w:sz="4" w:space="0" w:color="000000"/>
              <w:left w:val="single" w:sz="4" w:space="0" w:color="000000"/>
              <w:bottom w:val="single" w:sz="4" w:space="0" w:color="000000"/>
              <w:right w:val="single" w:sz="4" w:space="0" w:color="FFFFFF"/>
            </w:tcBorders>
          </w:tcPr>
          <w:p>
            <w:pP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8,877.74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19,520.86</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180,418,897.23</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2,329,993.01</w:t>
            </w: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178,088,904.22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164,101,507.21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161,803,414.20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223,154,016.44</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2,329,993.01</w:t>
            </w: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220,824,023.43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247,376,526.41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245,078,433.40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存货跌价准备和合同履约成本减值准备" w:id="279"/>
      <w:bookmarkEnd w:id="279"/>
      <w:r>
        <w:rPr>
          <w:b w:val="0"/>
          <w:bCs w:val="0"/>
        </w:rPr>
      </w:r>
      <w:r>
        <w:rPr/>
        <w:t>存货跌价准备和合同履约成本减值准备</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2,329,993.01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2,329,993.01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存货分类" w:id="280"/>
      <w:bookmarkEnd w:id="28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19,657,747.03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19,657,747.03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64,130,148.59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64,130,148.59</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5,535,970.53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5,535,970.53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4,244,348.91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4,244,348.91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17,532,523.91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17,532,523.91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14,881,000.84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14,881,000.84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8,877.74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8,877.74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19,520.86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19,520.86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180,418,897.23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2,329,993.01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178,088,904.22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164,101,507.21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161,803,414.20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223,154,016.44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2,329,993.01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220,824,023.43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247,376,526.41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245,078,433.40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 w:id="281"/>
      <w:bookmarkEnd w:id="28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31,900.00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2,329,993.01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2,329,993.01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持有待售资产" w:id="282"/>
      <w:bookmarkEnd w:id="282"/>
      <w:r>
        <w:rPr>
          <w:b w:val="0"/>
          <w:bCs w:val="0"/>
        </w:rPr>
      </w:r>
      <w:r>
        <w:rPr>
          <w:rFonts w:ascii="Times New Roman" w:hAnsi="Times New Roman" w:cs="Times New Roman" w:eastAsia="Times New Roman" w:hint="default"/>
        </w:rPr>
        <w:t>7</w:t>
      </w:r>
      <w:r>
        <w:rPr/>
        <w:t>、持有待售资产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6"/>
        <w:gridCol w:w="1368"/>
        <w:gridCol w:w="1366"/>
        <w:gridCol w:w="1246"/>
        <w:gridCol w:w="149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广东和诚科技孵 化器有限公司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175,200,955.48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175,200,955.48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28,800,000.00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175,200,955.48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175,200,955.48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28,800,000.00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40" w:lineRule="auto"/>
        <w:ind w:left="573" w:right="1133"/>
        <w:jc w:val="left"/>
      </w:pPr>
      <w:r>
        <w:rPr/>
        <w:t>详见附注十二、承诺及或有事项</w:t>
      </w:r>
      <w:r>
        <w:rPr>
          <w:rFonts w:ascii="Times New Roman" w:hAnsi="Times New Roman" w:cs="Times New Roman" w:eastAsia="Times New Roman" w:hint="default"/>
        </w:rPr>
        <w:t>1</w:t>
      </w:r>
      <w:r>
        <w:rPr/>
        <w:t>、重要承诺事项（</w:t>
      </w:r>
      <w:r>
        <w:rPr>
          <w:rFonts w:ascii="Times New Roman" w:hAnsi="Times New Roman" w:cs="Times New Roman" w:eastAsia="Times New Roman" w:hint="default"/>
        </w:rPr>
        <w:t>1</w:t>
      </w:r>
      <w:r>
        <w:rPr/>
        <w:t>）已签订的正在或准备履行的资产处置情况。</w:t>
      </w:r>
    </w:p>
    <w:p>
      <w:pPr>
        <w:spacing w:line="240" w:lineRule="auto" w:before="5"/>
        <w:rPr>
          <w:rFonts w:ascii="宋体" w:hAnsi="宋体" w:cs="宋体" w:eastAsia="宋体" w:hint="default"/>
          <w:sz w:val="24"/>
          <w:szCs w:val="24"/>
        </w:rPr>
      </w:pPr>
    </w:p>
    <w:p>
      <w:pPr>
        <w:pStyle w:val="Heading3"/>
        <w:spacing w:line="240" w:lineRule="auto"/>
        <w:ind w:right="1133"/>
        <w:jc w:val="left"/>
        <w:rPr>
          <w:b w:val="0"/>
          <w:bCs w:val="0"/>
        </w:rPr>
      </w:pPr>
      <w:bookmarkStart w:name="8、一年内到期的非流动资产" w:id="283"/>
      <w:bookmarkEnd w:id="283"/>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2,095,374.76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2,095,374.76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9、其他流动资产" w:id="284"/>
      <w:bookmarkEnd w:id="284"/>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以抵销后净额列示的所得税预缴税额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7,320.38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167,979.60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81,342,197.45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82,008,203.70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36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预缴的其他税费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9,298.94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81,358,816.77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107,176,183.30</w:t>
            </w:r>
          </w:p>
        </w:tc>
      </w:tr>
    </w:tbl>
    <w:p>
      <w:pPr>
        <w:spacing w:line="240" w:lineRule="auto" w:before="3"/>
        <w:rPr>
          <w:rFonts w:ascii="宋体" w:hAnsi="宋体" w:cs="宋体" w:eastAsia="宋体" w:hint="default"/>
          <w:sz w:val="19"/>
          <w:szCs w:val="19"/>
        </w:rPr>
      </w:pPr>
    </w:p>
    <w:p>
      <w:pPr>
        <w:pStyle w:val="Heading3"/>
        <w:spacing w:line="240" w:lineRule="auto" w:before="36"/>
        <w:ind w:left="372" w:right="0"/>
        <w:jc w:val="left"/>
        <w:rPr>
          <w:b w:val="0"/>
          <w:bCs w:val="0"/>
        </w:rPr>
      </w:pPr>
      <w:bookmarkStart w:name="10、长期应收款" w:id="285"/>
      <w:bookmarkEnd w:id="285"/>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372" w:right="0"/>
        <w:jc w:val="left"/>
        <w:rPr>
          <w:b w:val="0"/>
          <w:bCs w:val="0"/>
        </w:rPr>
      </w:pPr>
      <w:bookmarkStart w:name="（1）长期应收款情况" w:id="286"/>
      <w:bookmarkEnd w:id="28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367" w:type="dxa"/>
        <w:tblLayout w:type="fixed"/>
        <w:tblCellMar>
          <w:top w:w="0" w:type="dxa"/>
          <w:left w:w="0" w:type="dxa"/>
          <w:bottom w:w="0" w:type="dxa"/>
          <w:right w:w="0" w:type="dxa"/>
        </w:tblCellMar>
        <w:tblLook w:val="01E0"/>
      </w:tblPr>
      <w:tblGrid>
        <w:gridCol w:w="1277"/>
        <w:gridCol w:w="1294"/>
        <w:gridCol w:w="1167"/>
        <w:gridCol w:w="1166"/>
        <w:gridCol w:w="1169"/>
        <w:gridCol w:w="1166"/>
        <w:gridCol w:w="1167"/>
        <w:gridCol w:w="1164"/>
      </w:tblGrid>
      <w:tr>
        <w:trPr>
          <w:trHeight w:val="206"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27"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4"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40,592,106.74</w:t>
            </w:r>
          </w:p>
        </w:tc>
        <w:tc>
          <w:tcPr>
            <w:tcW w:w="1167"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40,592,106.74</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29,858,063.65</w:t>
            </w:r>
          </w:p>
        </w:tc>
        <w:tc>
          <w:tcPr>
            <w:tcW w:w="1166" w:type="dxa"/>
            <w:vMerge w:val="restart"/>
            <w:tcBorders>
              <w:top w:val="single" w:sz="4" w:space="0" w:color="000000"/>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29,858,063.65</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10.04%-10.60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294" w:type="dxa"/>
            <w:vMerge/>
            <w:tcBorders>
              <w:left w:val="single" w:sz="10"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vMerge/>
            <w:tcBorders>
              <w:left w:val="single" w:sz="10"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6"/>
                <w:sz w:val="18"/>
                <w:szCs w:val="18"/>
              </w:rPr>
              <w:t>其中：未实现融</w:t>
            </w:r>
            <w:r>
              <w:rPr>
                <w:rFonts w:ascii="宋体" w:hAnsi="宋体" w:cs="宋体" w:eastAsia="宋体" w:hint="default"/>
                <w:sz w:val="18"/>
                <w:szCs w:val="18"/>
              </w:rPr>
              <w:t> 资收益</w:t>
            </w:r>
          </w:p>
        </w:tc>
        <w:tc>
          <w:tcPr>
            <w:tcW w:w="1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6,857,893.26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6,857,893.26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8,341,936.35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8,341,936.35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一年内到期的 </w:t>
            </w:r>
            <w:r>
              <w:rPr>
                <w:rFonts w:ascii="宋体" w:hAnsi="宋体" w:cs="宋体" w:eastAsia="宋体" w:hint="default"/>
                <w:spacing w:val="-6"/>
                <w:sz w:val="18"/>
                <w:szCs w:val="18"/>
              </w:rPr>
              <w:t>长期应收款（抵</w:t>
            </w:r>
            <w:r>
              <w:rPr>
                <w:rFonts w:ascii="宋体" w:hAnsi="宋体" w:cs="宋体" w:eastAsia="宋体" w:hint="default"/>
                <w:sz w:val="18"/>
                <w:szCs w:val="18"/>
              </w:rPr>
              <w:t> 减以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-2,095,374.76</w:t>
            </w:r>
          </w:p>
          <w:p>
            <w:pPr>
              <w:pStyle w:val="TableParagraph"/>
              <w:spacing w:line="240" w:lineRule="auto" w:before="6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-2,095,374.76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38,496,731.98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38,496,731.98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29,858,063.65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29,858,063.65</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372" w:right="0"/>
        <w:jc w:val="left"/>
        <w:rPr>
          <w:b w:val="0"/>
          <w:bCs w:val="0"/>
        </w:rPr>
      </w:pPr>
      <w:r>
        <w:rPr/>
        <w:pict>
          <v:group style="position:absolute;margin-left:120.739998pt;margin-top:-48.816315pt;width:64.2pt;height:15.6pt;mso-position-horizontal-relative:page;mso-position-vertical-relative:paragraph;z-index:-1431640" coordorigin="2415,-976" coordsize="1284,312">
            <v:shape style="position:absolute;left:2415;top:-976;width:1284;height:312" coordorigin="2415,-976" coordsize="1284,312" path="m2415,-664l3699,-664,3699,-976,2415,-976,2415,-664xe" filled="true" fillcolor="#ffffff" stroked="false">
              <v:path arrowok="t"/>
              <v:fill type="solid"/>
            </v:shape>
            <w10:wrap type="none"/>
          </v:group>
        </w:pict>
      </w:r>
      <w:bookmarkStart w:name="（2）转移长期应收款且继续涉入形成的资产、负债金额" w:id="287"/>
      <w:bookmarkEnd w:id="287"/>
      <w:r>
        <w:rPr>
          <w:b w:val="0"/>
          <w:bCs w:val="0"/>
        </w:rPr>
      </w:r>
      <w:r>
        <w:rPr/>
        <w:t>（</w:t>
      </w:r>
      <w:r>
        <w:rPr>
          <w:rFonts w:ascii="Times New Roman" w:hAnsi="Times New Roman" w:cs="Times New Roman" w:eastAsia="Times New Roman" w:hint="default"/>
        </w:rPr>
        <w:t>2</w:t>
      </w:r>
      <w:r>
        <w:rPr/>
        <w:t>）转移长期应收款且继续涉入形成的资产、负债金额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128"/>
        <w:jc w:val="right"/>
      </w:pP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日，因融资租赁事项形成的长期应收款账面价值</w:t>
      </w:r>
      <w:r>
        <w:rPr>
          <w:rFonts w:ascii="Times New Roman" w:hAnsi="Times New Roman" w:cs="Times New Roman" w:eastAsia="Times New Roman" w:hint="default"/>
          <w:spacing w:val="-1"/>
        </w:rPr>
        <w:t>38,496,731.98</w:t>
      </w:r>
      <w:r>
        <w:rPr>
          <w:spacing w:val="-1"/>
        </w:rPr>
        <w:t>元，内容详见附注七</w:t>
      </w:r>
    </w:p>
    <w:p>
      <w:pPr>
        <w:pStyle w:val="BodyText"/>
        <w:spacing w:line="240" w:lineRule="auto" w:before="21"/>
        <w:ind w:left="372" w:right="0"/>
        <w:jc w:val="left"/>
      </w:pPr>
      <w:r>
        <w:rPr>
          <w:rFonts w:ascii="Times New Roman" w:hAnsi="Times New Roman" w:cs="Times New Roman" w:eastAsia="Times New Roman" w:hint="default"/>
        </w:rPr>
        <w:t>33</w:t>
      </w:r>
      <w:r>
        <w:rPr/>
        <w:t>、长期应付款所述。</w:t>
      </w:r>
    </w:p>
    <w:p>
      <w:pPr>
        <w:spacing w:line="240" w:lineRule="auto" w:before="7"/>
        <w:rPr>
          <w:rFonts w:ascii="宋体" w:hAnsi="宋体" w:cs="宋体" w:eastAsia="宋体" w:hint="default"/>
          <w:sz w:val="24"/>
          <w:szCs w:val="24"/>
        </w:rPr>
      </w:pPr>
    </w:p>
    <w:p>
      <w:pPr>
        <w:pStyle w:val="Heading3"/>
        <w:spacing w:line="240" w:lineRule="auto"/>
        <w:ind w:left="372" w:right="0"/>
        <w:jc w:val="left"/>
        <w:rPr>
          <w:b w:val="0"/>
          <w:bCs w:val="0"/>
        </w:rPr>
      </w:pPr>
      <w:bookmarkStart w:name="11、长期股权投资" w:id="288"/>
      <w:bookmarkEnd w:id="288"/>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4"/>
        <w:gridCol w:w="1138"/>
        <w:gridCol w:w="490"/>
        <w:gridCol w:w="98"/>
        <w:gridCol w:w="944"/>
        <w:gridCol w:w="966"/>
        <w:gridCol w:w="696"/>
        <w:gridCol w:w="456"/>
        <w:gridCol w:w="797"/>
        <w:gridCol w:w="422"/>
        <w:gridCol w:w="144"/>
        <w:gridCol w:w="1030"/>
        <w:gridCol w:w="1097"/>
        <w:gridCol w:w="499"/>
      </w:tblGrid>
      <w:tr>
        <w:trPr>
          <w:trHeight w:val="403"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0" w:lineRule="auto"/>
              <w:ind w:left="271" w:right="7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04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0" w:lineRule="auto"/>
              <w:ind w:left="242" w:right="62"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9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5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29"/>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7"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014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14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5"/>
              <w:jc w:val="left"/>
              <w:rPr>
                <w:rFonts w:ascii="宋体" w:hAnsi="宋体" w:cs="宋体" w:eastAsia="宋体" w:hint="default"/>
                <w:sz w:val="18"/>
                <w:szCs w:val="18"/>
              </w:rPr>
            </w:pPr>
            <w:r>
              <w:rPr>
                <w:rFonts w:ascii="宋体" w:hAnsi="宋体" w:cs="宋体" w:eastAsia="宋体" w:hint="default"/>
                <w:sz w:val="18"/>
                <w:szCs w:val="18"/>
              </w:rPr>
              <w:t>广东亚太电子商 务研究院</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146,604.43</w:t>
            </w:r>
          </w:p>
        </w:tc>
        <w:tc>
          <w:tcPr>
            <w:tcW w:w="490" w:type="dxa"/>
            <w:tcBorders>
              <w:top w:val="single" w:sz="4" w:space="0" w:color="000000"/>
              <w:left w:val="single" w:sz="4" w:space="0" w:color="000000"/>
              <w:bottom w:val="single" w:sz="4" w:space="0" w:color="000000"/>
              <w:right w:val="single" w:sz="4" w:space="0" w:color="000000"/>
            </w:tcBorders>
          </w:tcPr>
          <w:p>
            <w:pPr/>
          </w:p>
        </w:tc>
        <w:tc>
          <w:tcPr>
            <w:tcW w:w="1043" w:type="dxa"/>
            <w:gridSpan w:val="2"/>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-75,800.20</w:t>
            </w:r>
          </w:p>
        </w:tc>
        <w:tc>
          <w:tcPr>
            <w:tcW w:w="69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gridSpan w:val="2"/>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70,804.23</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5"/>
              <w:jc w:val="both"/>
              <w:rPr>
                <w:rFonts w:ascii="宋体" w:hAnsi="宋体" w:cs="宋体" w:eastAsia="宋体" w:hint="default"/>
                <w:sz w:val="18"/>
                <w:szCs w:val="18"/>
              </w:rPr>
            </w:pPr>
            <w:r>
              <w:rPr>
                <w:rFonts w:ascii="宋体" w:hAnsi="宋体" w:cs="宋体" w:eastAsia="宋体" w:hint="default"/>
                <w:sz w:val="18"/>
                <w:szCs w:val="18"/>
              </w:rPr>
              <w:t>深圳市创兴前沿 技术股权投资基 金合伙企业（有 限合伙）</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5,006,984.52</w:t>
            </w:r>
          </w:p>
        </w:tc>
        <w:tc>
          <w:tcPr>
            <w:tcW w:w="490" w:type="dxa"/>
            <w:tcBorders>
              <w:top w:val="single" w:sz="4" w:space="0" w:color="000000"/>
              <w:left w:val="single" w:sz="4" w:space="0" w:color="000000"/>
              <w:bottom w:val="single" w:sz="4" w:space="0" w:color="000000"/>
              <w:right w:val="single" w:sz="4" w:space="0" w:color="000000"/>
            </w:tcBorders>
          </w:tcPr>
          <w:p>
            <w:pPr/>
          </w:p>
        </w:tc>
        <w:tc>
          <w:tcPr>
            <w:tcW w:w="1043" w:type="dxa"/>
            <w:gridSpan w:val="2"/>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-6,984.52</w:t>
            </w:r>
          </w:p>
        </w:tc>
        <w:tc>
          <w:tcPr>
            <w:tcW w:w="69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-5,000,000.00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760" w:right="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364"/>
        <w:gridCol w:w="1123"/>
        <w:gridCol w:w="505"/>
        <w:gridCol w:w="1063"/>
        <w:gridCol w:w="938"/>
        <w:gridCol w:w="680"/>
        <w:gridCol w:w="480"/>
        <w:gridCol w:w="797"/>
        <w:gridCol w:w="422"/>
        <w:gridCol w:w="1174"/>
        <w:gridCol w:w="1097"/>
        <w:gridCol w:w="499"/>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5"/>
              <w:jc w:val="left"/>
              <w:rPr>
                <w:rFonts w:ascii="宋体" w:hAnsi="宋体" w:cs="宋体" w:eastAsia="宋体" w:hint="default"/>
                <w:sz w:val="18"/>
                <w:szCs w:val="18"/>
              </w:rPr>
            </w:pPr>
            <w:r>
              <w:rPr>
                <w:rFonts w:ascii="宋体" w:hAnsi="宋体" w:cs="宋体" w:eastAsia="宋体" w:hint="default"/>
                <w:sz w:val="18"/>
                <w:szCs w:val="18"/>
              </w:rPr>
              <w:t>成都精灵云科技 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7,637,813.26</w:t>
            </w:r>
          </w:p>
        </w:tc>
        <w:tc>
          <w:tcPr>
            <w:tcW w:w="5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362,186.74</w:t>
            </w:r>
          </w:p>
        </w:tc>
        <w:tc>
          <w:tcPr>
            <w:tcW w:w="6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-8,000,000.00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5"/>
              <w:jc w:val="left"/>
              <w:rPr>
                <w:rFonts w:ascii="宋体" w:hAnsi="宋体" w:cs="宋体" w:eastAsia="宋体" w:hint="default"/>
                <w:sz w:val="18"/>
                <w:szCs w:val="18"/>
              </w:rPr>
            </w:pPr>
            <w:r>
              <w:rPr>
                <w:rFonts w:ascii="宋体" w:hAnsi="宋体" w:cs="宋体" w:eastAsia="宋体" w:hint="default"/>
                <w:sz w:val="18"/>
                <w:szCs w:val="18"/>
              </w:rPr>
              <w:t>珠海蓝盾欣和投 资管理有限公司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83,665.45</w:t>
            </w:r>
          </w:p>
        </w:tc>
        <w:tc>
          <w:tcPr>
            <w:tcW w:w="5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33,431.63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-50,233.82</w:t>
            </w:r>
          </w:p>
        </w:tc>
        <w:tc>
          <w:tcPr>
            <w:tcW w:w="6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5"/>
              <w:jc w:val="left"/>
              <w:rPr>
                <w:rFonts w:ascii="宋体" w:hAnsi="宋体" w:cs="宋体" w:eastAsia="宋体" w:hint="default"/>
                <w:sz w:val="18"/>
                <w:szCs w:val="18"/>
              </w:rPr>
            </w:pPr>
            <w:r>
              <w:rPr>
                <w:rFonts w:ascii="宋体" w:hAnsi="宋体" w:cs="宋体" w:eastAsia="宋体" w:hint="default"/>
                <w:sz w:val="18"/>
                <w:szCs w:val="18"/>
              </w:rPr>
              <w:t>深圳市泰吉能源 技术有限公司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337,478.39</w:t>
            </w:r>
          </w:p>
        </w:tc>
        <w:tc>
          <w:tcPr>
            <w:tcW w:w="5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-115.77</w:t>
            </w:r>
          </w:p>
        </w:tc>
        <w:tc>
          <w:tcPr>
            <w:tcW w:w="6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337,362.62</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5"/>
              <w:jc w:val="left"/>
              <w:rPr>
                <w:rFonts w:ascii="宋体" w:hAnsi="宋体" w:cs="宋体" w:eastAsia="宋体" w:hint="default"/>
                <w:sz w:val="18"/>
                <w:szCs w:val="18"/>
              </w:rPr>
            </w:pPr>
            <w:r>
              <w:rPr>
                <w:rFonts w:ascii="宋体" w:hAnsi="宋体" w:cs="宋体" w:eastAsia="宋体" w:hint="default"/>
                <w:sz w:val="18"/>
                <w:szCs w:val="18"/>
              </w:rPr>
              <w:t>上海戎磐网络科 技有限公司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10,003,589.08</w:t>
            </w:r>
          </w:p>
        </w:tc>
        <w:tc>
          <w:tcPr>
            <w:tcW w:w="5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-2,559.74</w:t>
            </w:r>
          </w:p>
        </w:tc>
        <w:tc>
          <w:tcPr>
            <w:tcW w:w="6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10,001,029.35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23,216,135.13</w:t>
            </w:r>
          </w:p>
        </w:tc>
        <w:tc>
          <w:tcPr>
            <w:tcW w:w="5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226,492.69</w:t>
            </w:r>
          </w:p>
        </w:tc>
        <w:tc>
          <w:tcPr>
            <w:tcW w:w="6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-13,000,000.00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10,409,196.20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23,216,135.13</w:t>
            </w:r>
          </w:p>
        </w:tc>
        <w:tc>
          <w:tcPr>
            <w:tcW w:w="5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226,492.69</w:t>
            </w:r>
          </w:p>
        </w:tc>
        <w:tc>
          <w:tcPr>
            <w:tcW w:w="6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-13,000,000.00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10,409,196.20</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372" w:right="0"/>
        <w:jc w:val="left"/>
        <w:rPr>
          <w:b w:val="0"/>
          <w:bCs w:val="0"/>
        </w:rPr>
      </w:pPr>
      <w:bookmarkStart w:name="12、其他权益工具投资" w:id="289"/>
      <w:bookmarkEnd w:id="289"/>
      <w:r>
        <w:rPr>
          <w:b w:val="0"/>
          <w:bCs w:val="0"/>
        </w:rPr>
      </w:r>
      <w:r>
        <w:rPr>
          <w:rFonts w:ascii="Times New Roman" w:hAnsi="Times New Roman" w:cs="Times New Roman" w:eastAsia="Times New Roman" w:hint="default"/>
        </w:rPr>
        <w:t>12</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367"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深圳市云海麒麟计算机系统有限公司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成都精灵云科技有限公司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国保联盟信息安全技术有限公司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before="49"/>
        <w:ind w:left="372" w:right="0"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67" w:type="dxa"/>
        <w:tblLayout w:type="fixed"/>
        <w:tblCellMar>
          <w:top w:w="0" w:type="dxa"/>
          <w:left w:w="0" w:type="dxa"/>
          <w:bottom w:w="0" w:type="dxa"/>
          <w:right w:w="0" w:type="dxa"/>
        </w:tblCellMar>
        <w:tblLook w:val="01E0"/>
      </w:tblPr>
      <w:tblGrid>
        <w:gridCol w:w="1702"/>
        <w:gridCol w:w="1419"/>
        <w:gridCol w:w="984"/>
        <w:gridCol w:w="998"/>
        <w:gridCol w:w="1560"/>
        <w:gridCol w:w="1702"/>
        <w:gridCol w:w="1207"/>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4"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46" w:right="53" w:hanging="92"/>
              <w:jc w:val="left"/>
              <w:rPr>
                <w:rFonts w:ascii="宋体" w:hAnsi="宋体" w:cs="宋体" w:eastAsia="宋体" w:hint="default"/>
                <w:sz w:val="18"/>
                <w:szCs w:val="18"/>
              </w:rPr>
            </w:pPr>
            <w:r>
              <w:rPr>
                <w:rFonts w:ascii="宋体" w:hAnsi="宋体" w:cs="宋体" w:eastAsia="宋体" w:hint="default"/>
                <w:sz w:val="18"/>
                <w:szCs w:val="18"/>
              </w:rPr>
              <w:t>其他综合收益转入 留存收益的金额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4"/>
              <w:jc w:val="center"/>
              <w:rPr>
                <w:rFonts w:ascii="宋体" w:hAnsi="宋体" w:cs="宋体" w:eastAsia="宋体" w:hint="default"/>
                <w:sz w:val="18"/>
                <w:szCs w:val="18"/>
              </w:rPr>
            </w:pPr>
            <w:r>
              <w:rPr>
                <w:rFonts w:ascii="宋体" w:hAnsi="宋体" w:cs="宋体" w:eastAsia="宋体" w:hint="default"/>
                <w:sz w:val="18"/>
                <w:szCs w:val="18"/>
              </w:rPr>
              <w:t>指定为以公允价值计 量且其变动计入其他 综合收益的原因</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5"/>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深圳市云海麒麟计算 机系统有限公司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非交易出售赚取差价</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成都精灵云科技有限 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非交易出售赚取差价</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广州民营投资股份有 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非交易出售赚取差价</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国保联盟信息安全技 术有限公司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非交易出售赚取差价</w:t>
            </w: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372" w:right="0"/>
        <w:jc w:val="left"/>
        <w:rPr>
          <w:b w:val="0"/>
          <w:bCs w:val="0"/>
        </w:rPr>
      </w:pPr>
      <w:bookmarkStart w:name="13、其他非流动金融资产" w:id="290"/>
      <w:bookmarkEnd w:id="290"/>
      <w:r>
        <w:rPr>
          <w:b w:val="0"/>
          <w:bCs w:val="0"/>
        </w:rPr>
      </w:r>
      <w:r>
        <w:rPr>
          <w:rFonts w:ascii="Times New Roman" w:hAnsi="Times New Roman" w:cs="Times New Roman" w:eastAsia="Times New Roman" w:hint="default"/>
        </w:rPr>
        <w:t>13</w:t>
      </w:r>
      <w:r>
        <w:rPr/>
        <w:t>、其他非流动金融资产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760" w:right="0"/>
        </w:sectPr>
      </w:pPr>
    </w:p>
    <w:p>
      <w:pPr>
        <w:spacing w:line="240" w:lineRule="auto" w:before="8"/>
        <w:rPr>
          <w:rFonts w:ascii="宋体" w:hAnsi="宋体" w:cs="宋体" w:eastAsia="宋体" w:hint="default"/>
          <w:sz w:val="24"/>
          <w:szCs w:val="24"/>
        </w:rPr>
      </w:pPr>
    </w:p>
    <w:tbl>
      <w:tblPr>
        <w:tblW w:w="0" w:type="auto"/>
        <w:jc w:val="left"/>
        <w:tblInd w:w="102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26,585,470.00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20,190,230.00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26,585,470.00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20,190,230.00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left="1032" w:right="0"/>
        <w:jc w:val="left"/>
        <w:rPr>
          <w:b w:val="0"/>
          <w:bCs w:val="0"/>
        </w:rPr>
      </w:pPr>
      <w:bookmarkStart w:name="14、固定资产" w:id="291"/>
      <w:bookmarkEnd w:id="291"/>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4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767,617,444.95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1,011,936,841.91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767,617,444.95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1,011,936,841.91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left="1032" w:right="0"/>
        <w:jc w:val="left"/>
        <w:rPr>
          <w:b w:val="0"/>
          <w:bCs w:val="0"/>
        </w:rPr>
      </w:pPr>
      <w:bookmarkStart w:name="（1）固定资产情况" w:id="292"/>
      <w:bookmarkEnd w:id="29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230"/>
        <w:gridCol w:w="1273"/>
        <w:gridCol w:w="1330"/>
        <w:gridCol w:w="1328"/>
        <w:gridCol w:w="1327"/>
        <w:gridCol w:w="1328"/>
        <w:gridCol w:w="1330"/>
        <w:gridCol w:w="1328"/>
      </w:tblGrid>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201,872,007.32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6,186,271.69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40,941,299.45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1,070,948,178.31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44,590,067.25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8,021,640.20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1,372,559,464.22</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377,780.33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2,356,353.01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175,337,556.29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117,361.88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111,537.19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178,300,588.70</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377,780.33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2,230,071.37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153,891,850.26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117,361.88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42,140.64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156,659,204.48</w:t>
            </w:r>
          </w:p>
        </w:tc>
      </w:tr>
      <w:tr>
        <w:trPr>
          <w:trHeight w:val="404"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126,281.64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126,281.64</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）融资租入</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21,095,982.41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69,396.55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21,165,378.96</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）其他增加</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349,723.62</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349,723.62</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172,539,549.74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6,186,271.69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131,196.58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155,867,926.11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2,779.00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183,872.72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334,911,595.84</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131,196.58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155,867,926.11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2,779.00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183,872.72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156,185,774.41</w:t>
            </w:r>
          </w:p>
        </w:tc>
      </w:tr>
      <w:tr>
        <w:trPr>
          <w:trHeight w:val="715"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）划分为持有待售的</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172,539,549.74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6,186,271.69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178,725,821.43</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29,710,237.91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43,166,455.88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1,090,417,808.49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44,704,650.13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7,949,304.67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1,215,948,457.08</w:t>
            </w:r>
          </w:p>
        </w:tc>
      </w:tr>
      <w:tr>
        <w:trPr>
          <w:trHeight w:val="404"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20,273,370.70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1,763,087.49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6,871,157.40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309,402,581.72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17,453,940.21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4,822,243.91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360,586,381.43</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5,010,162.61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391,797.20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4,207,028.54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223,467,675.21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3,856,734.92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933,988.03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237,932,627.49</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5,010,162.61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391,797.20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4,207,028.54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223,467,675.21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3,856,734.92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933,988.03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237,932,627.49</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22,050,229.37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2,154,884.69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89,861.81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125,698,814.28</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165,006.54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150,158,796.69</w:t>
            </w:r>
          </w:p>
        </w:tc>
      </w:tr>
      <w:tr>
        <w:trPr>
          <w:trHeight w:val="401"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3" w:type="dxa"/>
            <w:tcBorders>
              <w:top w:val="single" w:sz="4" w:space="0" w:color="000000"/>
              <w:left w:val="single" w:sz="10"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89,861.81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125,698,814.28</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165,006.54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125,953,682.63</w:t>
            </w:r>
          </w:p>
        </w:tc>
      </w:tr>
      <w:tr>
        <w:trPr>
          <w:trHeight w:val="40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）划分为持有待售的资产</w:t>
            </w:r>
          </w:p>
        </w:tc>
        <w:tc>
          <w:tcPr>
            <w:tcW w:w="1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22,050,229.37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2,154,884.69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24,205,114.06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0" w:right="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253"/>
        <w:gridCol w:w="1262"/>
        <w:gridCol w:w="1330"/>
        <w:gridCol w:w="1328"/>
        <w:gridCol w:w="1327"/>
        <w:gridCol w:w="1328"/>
        <w:gridCol w:w="1330"/>
        <w:gridCol w:w="1328"/>
      </w:tblGrid>
      <w:tr>
        <w:trPr>
          <w:trHeight w:val="401"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3,233,303.94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10,988,324.13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407,171,442.65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21,310,675.13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5,591,225.40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448,294,971.25</w:t>
            </w:r>
          </w:p>
        </w:tc>
      </w:tr>
      <w:tr>
        <w:trPr>
          <w:trHeight w:val="403"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35,066.53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36,240.88</w:t>
            </w:r>
          </w:p>
        </w:tc>
      </w:tr>
      <w:tr>
        <w:trPr>
          <w:trHeight w:val="403"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1"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3"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35,066.53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224.35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36,040.88</w:t>
            </w:r>
          </w:p>
        </w:tc>
      </w:tr>
      <w:tr>
        <w:trPr>
          <w:trHeight w:val="401"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26,476,933.97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32,178,131.75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683,245,615.84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23,358,908.47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2,357,854.92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767,617,444.95</w:t>
            </w:r>
          </w:p>
        </w:tc>
      </w:tr>
      <w:tr>
        <w:trPr>
          <w:trHeight w:val="403" w:hRule="exact"/>
        </w:trPr>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181,598,636.62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4,423,184.20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34,070,142.05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761,560,163.73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27,101,060.51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3,183,654.80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1,011,936,841.91</w:t>
            </w:r>
          </w:p>
        </w:tc>
      </w:tr>
    </w:tbl>
    <w:p>
      <w:pPr>
        <w:spacing w:line="240" w:lineRule="auto" w:before="3"/>
        <w:rPr>
          <w:rFonts w:ascii="宋体" w:hAnsi="宋体" w:cs="宋体" w:eastAsia="宋体" w:hint="default"/>
          <w:sz w:val="19"/>
          <w:szCs w:val="19"/>
        </w:rPr>
      </w:pPr>
    </w:p>
    <w:p>
      <w:pPr>
        <w:pStyle w:val="Heading3"/>
        <w:spacing w:line="240" w:lineRule="auto" w:before="36"/>
        <w:ind w:left="1032" w:right="0"/>
        <w:jc w:val="left"/>
        <w:rPr>
          <w:b w:val="0"/>
          <w:bCs w:val="0"/>
        </w:rPr>
      </w:pPr>
      <w:bookmarkStart w:name="（2）通过融资租赁租入的固定资产情况" w:id="293"/>
      <w:bookmarkEnd w:id="293"/>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2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4" w:right="0"/>
              <w:jc w:val="left"/>
              <w:rPr>
                <w:rFonts w:ascii="Times New Roman" w:hAnsi="Times New Roman" w:cs="Times New Roman" w:eastAsia="Times New Roman" w:hint="default"/>
                <w:sz w:val="18"/>
                <w:szCs w:val="18"/>
              </w:rPr>
            </w:pPr>
            <w:r>
              <w:rPr>
                <w:rFonts w:ascii="Times New Roman"/>
                <w:sz w:val="18"/>
              </w:rPr>
              <w:t>25,115,037.09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4,863,260.35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20,251,776.74</w:t>
            </w:r>
          </w:p>
        </w:tc>
      </w:tr>
    </w:tbl>
    <w:p>
      <w:pPr>
        <w:spacing w:line="240" w:lineRule="auto" w:before="3"/>
        <w:rPr>
          <w:rFonts w:ascii="宋体" w:hAnsi="宋体" w:cs="宋体" w:eastAsia="宋体" w:hint="default"/>
          <w:sz w:val="19"/>
          <w:szCs w:val="19"/>
        </w:rPr>
      </w:pPr>
    </w:p>
    <w:p>
      <w:pPr>
        <w:pStyle w:val="Heading3"/>
        <w:spacing w:line="240" w:lineRule="auto" w:before="36"/>
        <w:ind w:left="1032" w:right="0"/>
        <w:jc w:val="left"/>
        <w:rPr>
          <w:b w:val="0"/>
          <w:bCs w:val="0"/>
        </w:rPr>
      </w:pPr>
      <w:bookmarkStart w:name="（3）未办妥产权证书的固定资产情况" w:id="294"/>
      <w:bookmarkEnd w:id="294"/>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5"/>
        <w:rPr>
          <w:rFonts w:ascii="宋体" w:hAnsi="宋体" w:cs="宋体" w:eastAsia="宋体" w:hint="default"/>
          <w:b/>
          <w:bCs/>
          <w:sz w:val="31"/>
          <w:szCs w:val="31"/>
        </w:rPr>
      </w:pPr>
    </w:p>
    <w:p>
      <w:pPr>
        <w:pStyle w:val="BodyText"/>
        <w:spacing w:line="240" w:lineRule="auto"/>
        <w:ind w:left="1435" w:right="9910"/>
        <w:jc w:val="center"/>
      </w:pPr>
      <w:r>
        <w:rPr/>
        <w:t>无。</w:t>
      </w:r>
    </w:p>
    <w:p>
      <w:pPr>
        <w:spacing w:line="240" w:lineRule="auto" w:before="3"/>
        <w:rPr>
          <w:rFonts w:ascii="宋体" w:hAnsi="宋体" w:cs="宋体" w:eastAsia="宋体" w:hint="default"/>
          <w:sz w:val="15"/>
          <w:szCs w:val="15"/>
        </w:rPr>
      </w:pPr>
    </w:p>
    <w:p>
      <w:pPr>
        <w:spacing w:before="0"/>
        <w:ind w:left="10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2"/>
        <w:ind w:left="1032" w:right="0"/>
        <w:jc w:val="left"/>
      </w:pPr>
      <w:r>
        <w:rPr/>
        <w:t>期末用于抵押的固定资产详见附注七、</w:t>
      </w:r>
      <w:r>
        <w:rPr>
          <w:rFonts w:ascii="Times New Roman" w:hAnsi="Times New Roman" w:cs="Times New Roman" w:eastAsia="Times New Roman" w:hint="default"/>
        </w:rPr>
        <w:t>31</w:t>
      </w:r>
      <w:r>
        <w:rPr/>
        <w:t>长期借款及</w:t>
      </w:r>
      <w:r>
        <w:rPr>
          <w:rFonts w:ascii="Times New Roman" w:hAnsi="Times New Roman" w:cs="Times New Roman" w:eastAsia="Times New Roman" w:hint="default"/>
        </w:rPr>
        <w:t>33</w:t>
      </w:r>
      <w:r>
        <w:rPr/>
        <w:t>、长期应付款之说明。</w:t>
      </w:r>
    </w:p>
    <w:p>
      <w:pPr>
        <w:spacing w:line="240" w:lineRule="auto" w:before="7"/>
        <w:rPr>
          <w:rFonts w:ascii="宋体" w:hAnsi="宋体" w:cs="宋体" w:eastAsia="宋体" w:hint="default"/>
          <w:sz w:val="24"/>
          <w:szCs w:val="24"/>
        </w:rPr>
      </w:pPr>
    </w:p>
    <w:p>
      <w:pPr>
        <w:pStyle w:val="Heading3"/>
        <w:spacing w:line="240" w:lineRule="auto"/>
        <w:ind w:left="1032" w:right="0"/>
        <w:jc w:val="left"/>
        <w:rPr>
          <w:b w:val="0"/>
          <w:bCs w:val="0"/>
        </w:rPr>
      </w:pPr>
      <w:bookmarkStart w:name="15、在建工程" w:id="295"/>
      <w:bookmarkEnd w:id="295"/>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4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1,303,940,905.12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1,193,607,497.90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1,303,940,905.12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1,193,607,497.90</w:t>
            </w:r>
          </w:p>
        </w:tc>
      </w:tr>
    </w:tbl>
    <w:p>
      <w:pPr>
        <w:spacing w:line="240" w:lineRule="auto" w:before="3"/>
        <w:rPr>
          <w:rFonts w:ascii="宋体" w:hAnsi="宋体" w:cs="宋体" w:eastAsia="宋体" w:hint="default"/>
          <w:sz w:val="19"/>
          <w:szCs w:val="19"/>
        </w:rPr>
      </w:pPr>
    </w:p>
    <w:p>
      <w:pPr>
        <w:pStyle w:val="Heading3"/>
        <w:spacing w:line="240" w:lineRule="auto" w:before="36"/>
        <w:ind w:left="1032" w:right="0"/>
        <w:jc w:val="left"/>
        <w:rPr>
          <w:b w:val="0"/>
          <w:bCs w:val="0"/>
        </w:rPr>
      </w:pPr>
      <w:bookmarkStart w:name="（1）在建工程情况" w:id="296"/>
      <w:bookmarkEnd w:id="29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602" w:type="dxa"/>
        <w:tblLayout w:type="fixed"/>
        <w:tblCellMar>
          <w:top w:w="0" w:type="dxa"/>
          <w:left w:w="0" w:type="dxa"/>
          <w:bottom w:w="0" w:type="dxa"/>
          <w:right w:w="0" w:type="dxa"/>
        </w:tblCellMar>
        <w:tblLook w:val="01E0"/>
      </w:tblPr>
      <w:tblGrid>
        <w:gridCol w:w="3016"/>
        <w:gridCol w:w="1373"/>
        <w:gridCol w:w="785"/>
        <w:gridCol w:w="1328"/>
        <w:gridCol w:w="1344"/>
        <w:gridCol w:w="805"/>
        <w:gridCol w:w="1349"/>
      </w:tblGrid>
      <w:tr>
        <w:trPr>
          <w:trHeight w:val="403" w:hRule="exact"/>
        </w:trPr>
        <w:tc>
          <w:tcPr>
            <w:tcW w:w="3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016" w:type="dxa"/>
            <w:vMerge/>
            <w:tcBorders>
              <w:left w:val="single" w:sz="4" w:space="0" w:color="000000"/>
              <w:bottom w:val="single" w:sz="4" w:space="0" w:color="000000"/>
              <w:right w:val="single" w:sz="4" w:space="0" w:color="000000"/>
            </w:tcBorders>
            <w:shd w:val="clear" w:color="auto" w:fill="D2D2D2"/>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392,498,502.31</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392,498,502.31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351,739,374.87</w:t>
            </w:r>
          </w:p>
        </w:tc>
        <w:tc>
          <w:tcPr>
            <w:tcW w:w="8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351,739,374.87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1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3017"/>
        <w:gridCol w:w="1373"/>
        <w:gridCol w:w="785"/>
        <w:gridCol w:w="1328"/>
        <w:gridCol w:w="1344"/>
        <w:gridCol w:w="805"/>
        <w:gridCol w:w="1349"/>
      </w:tblGrid>
      <w:tr>
        <w:trPr>
          <w:trHeight w:val="40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蓝盾信息西南总部及研发基地项目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511,032,095.92</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511,032,095.92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490,701,868.44</w:t>
            </w:r>
          </w:p>
        </w:tc>
        <w:tc>
          <w:tcPr>
            <w:tcW w:w="8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490,701,868.44</w:t>
            </w:r>
          </w:p>
        </w:tc>
      </w:tr>
      <w:tr>
        <w:trPr>
          <w:trHeight w:val="40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蓝盾大安全研发与产业化基地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394,805,738.84</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394,805,738.84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346,178,746.53</w:t>
            </w:r>
          </w:p>
        </w:tc>
        <w:tc>
          <w:tcPr>
            <w:tcW w:w="8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346,178,746.53</w:t>
            </w:r>
          </w:p>
        </w:tc>
      </w:tr>
      <w:tr>
        <w:trPr>
          <w:trHeight w:val="40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广州华炜人包安检生产系统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4,561,936.10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4,561,936.10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4,470,237.99</w:t>
            </w:r>
          </w:p>
        </w:tc>
        <w:tc>
          <w:tcPr>
            <w:tcW w:w="8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4,470,237.99</w:t>
            </w:r>
          </w:p>
        </w:tc>
      </w:tr>
      <w:tr>
        <w:trPr>
          <w:trHeight w:val="71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38"/>
              <w:jc w:val="left"/>
              <w:rPr>
                <w:rFonts w:ascii="宋体" w:hAnsi="宋体" w:cs="宋体" w:eastAsia="宋体" w:hint="default"/>
                <w:sz w:val="18"/>
                <w:szCs w:val="18"/>
              </w:rPr>
            </w:pPr>
            <w:r>
              <w:rPr>
                <w:rFonts w:ascii="宋体" w:hAnsi="宋体" w:cs="宋体" w:eastAsia="宋体" w:hint="default"/>
                <w:sz w:val="18"/>
                <w:szCs w:val="18"/>
              </w:rPr>
              <w:t>江西华炜建设工程</w:t>
            </w:r>
            <w:r>
              <w:rPr>
                <w:rFonts w:ascii="Times New Roman" w:hAnsi="Times New Roman" w:cs="Times New Roman" w:eastAsia="Times New Roman" w:hint="default"/>
                <w:sz w:val="18"/>
                <w:szCs w:val="18"/>
              </w:rPr>
              <w:t>-</w:t>
            </w:r>
            <w:r>
              <w:rPr>
                <w:rFonts w:ascii="宋体" w:hAnsi="宋体" w:cs="宋体" w:eastAsia="宋体" w:hint="default"/>
                <w:sz w:val="18"/>
                <w:szCs w:val="18"/>
              </w:rPr>
              <w:t>激光切割机安装改 造、废水处理、</w:t>
            </w:r>
            <w:r>
              <w:rPr>
                <w:rFonts w:ascii="Times New Roman" w:hAnsi="Times New Roman" w:cs="Times New Roman" w:eastAsia="Times New Roman" w:hint="default"/>
                <w:sz w:val="18"/>
                <w:szCs w:val="18"/>
              </w:rPr>
              <w:t>5#</w:t>
            </w:r>
            <w:r>
              <w:rPr>
                <w:rFonts w:ascii="宋体" w:hAnsi="宋体" w:cs="宋体" w:eastAsia="宋体" w:hint="default"/>
                <w:sz w:val="18"/>
                <w:szCs w:val="18"/>
              </w:rPr>
              <w:t>厂房二楼装修</w:t>
            </w:r>
          </w:p>
        </w:tc>
        <w:tc>
          <w:tcPr>
            <w:tcW w:w="137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517,270.07</w:t>
            </w:r>
          </w:p>
        </w:tc>
        <w:tc>
          <w:tcPr>
            <w:tcW w:w="8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517,270.07</w:t>
            </w:r>
          </w:p>
        </w:tc>
      </w:tr>
      <w:tr>
        <w:trPr>
          <w:trHeight w:val="71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9"/>
              <w:jc w:val="left"/>
              <w:rPr>
                <w:rFonts w:ascii="宋体" w:hAnsi="宋体" w:cs="宋体" w:eastAsia="宋体" w:hint="default"/>
                <w:sz w:val="18"/>
                <w:szCs w:val="18"/>
              </w:rPr>
            </w:pPr>
            <w:r>
              <w:rPr>
                <w:rFonts w:ascii="宋体" w:hAnsi="宋体" w:cs="宋体" w:eastAsia="宋体" w:hint="default"/>
                <w:sz w:val="18"/>
                <w:szCs w:val="18"/>
              </w:rPr>
              <w:t>蓝盾基地、数字化展厅、展厅地面装 修工程</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1,042,631.95</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1,042,631.95</w:t>
            </w:r>
          </w:p>
        </w:tc>
        <w:tc>
          <w:tcPr>
            <w:tcW w:w="134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1,303,940,905.12</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1,303,940,905.12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1,193,607,497.90</w:t>
            </w:r>
          </w:p>
        </w:tc>
        <w:tc>
          <w:tcPr>
            <w:tcW w:w="8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1,193,607,497.90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600" w:right="0"/>
        </w:sectPr>
      </w:pPr>
    </w:p>
    <w:p>
      <w:pPr>
        <w:spacing w:line="240" w:lineRule="auto" w:before="4"/>
        <w:rPr>
          <w:rFonts w:ascii="Times New Roman" w:hAnsi="Times New Roman" w:cs="Times New Roman" w:eastAsia="Times New Roman" w:hint="default"/>
          <w:sz w:val="27"/>
          <w:szCs w:val="27"/>
        </w:rPr>
      </w:pPr>
    </w:p>
    <w:p>
      <w:pPr>
        <w:pStyle w:val="Heading3"/>
        <w:spacing w:line="240" w:lineRule="auto"/>
        <w:ind w:left="820" w:right="-1"/>
        <w:jc w:val="left"/>
        <w:rPr>
          <w:b w:val="0"/>
          <w:bCs w:val="0"/>
        </w:rPr>
      </w:pPr>
      <w:r>
        <w:rPr/>
        <w:pict>
          <v:group style="position:absolute;margin-left:70.559998pt;margin-top:-.476309pt;width:700.9pt;height:.1pt;mso-position-horizontal-relative:page;mso-position-vertical-relative:paragraph;z-index:2152" coordorigin="1411,-10" coordsize="14018,2">
            <v:shape style="position:absolute;left:1411;top:-10;width:14018;height:2" coordorigin="1411,-10" coordsize="14018,0" path="m1411,-10l15429,-10e" filled="false" stroked="true" strokeweight=".72pt" strokecolor="#000000">
              <v:path arrowok="t"/>
            </v:shape>
            <w10:wrap type="none"/>
          </v:group>
        </w:pict>
      </w:r>
      <w:bookmarkStart w:name="（2）重要在建工程项目本期变动情况" w:id="297"/>
      <w:bookmarkEnd w:id="297"/>
      <w:r>
        <w:rPr>
          <w:b w:val="0"/>
          <w:bCs w:val="0"/>
        </w:rPr>
      </w:r>
      <w:r>
        <w:rPr>
          <w:spacing w:val="-1"/>
        </w:rPr>
        <w:t>（</w:t>
      </w:r>
      <w:r>
        <w:rPr>
          <w:rFonts w:ascii="Times New Roman" w:hAnsi="Times New Roman" w:cs="Times New Roman" w:eastAsia="Times New Roman" w:hint="default"/>
          <w:spacing w:val="-1"/>
        </w:rPr>
        <w:t>2</w:t>
      </w:r>
      <w:r>
        <w:rPr>
          <w:spacing w:val="-1"/>
        </w:rPr>
        <w:t>）重要在建工程项目本期变动情况</w:t>
      </w:r>
      <w:r>
        <w:rPr>
          <w:b w:val="0"/>
          <w:bCs w:val="0"/>
          <w:spacing w:val="-1"/>
        </w:rPr>
      </w:r>
    </w:p>
    <w:p>
      <w:pPr>
        <w:spacing w:before="15"/>
        <w:ind w:left="8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29"/>
          <w:footerReference w:type="default" r:id="rId30"/>
          <w:pgSz w:w="16840" w:h="11910" w:orient="landscape"/>
          <w:pgMar w:header="0" w:footer="0" w:top="800" w:bottom="0" w:left="620" w:right="1280"/>
          <w:cols w:num="2" w:equalWidth="0">
            <w:col w:w="4301" w:space="5788"/>
            <w:col w:w="4851"/>
          </w:cols>
        </w:sectPr>
      </w:pPr>
    </w:p>
    <w:p>
      <w:pPr>
        <w:spacing w:line="240" w:lineRule="auto" w:before="12"/>
        <w:rPr>
          <w:rFonts w:ascii="宋体" w:hAnsi="宋体" w:cs="宋体" w:eastAsia="宋体" w:hint="default"/>
          <w:sz w:val="22"/>
          <w:szCs w:val="22"/>
        </w:rPr>
      </w:pPr>
      <w:r>
        <w:rPr/>
        <w:pict>
          <v:group style="position:absolute;margin-left:129.020004pt;margin-top:299.56601pt;width:68.05pt;height:15.65pt;mso-position-horizontal-relative:page;mso-position-vertical-relative:page;z-index:-1431592" coordorigin="2580,5991" coordsize="1361,313">
            <v:shape style="position:absolute;left:2580;top:5991;width:1361;height:313" coordorigin="2580,5991" coordsize="1361,313" path="m2580,6304l3941,6304,3941,5991,2580,5991,2580,6304xe" filled="true" fillcolor="#ffffff" stroked="false">
              <v:path arrowok="t"/>
              <v:fill type="solid"/>
            </v:shape>
            <w10:wrap type="none"/>
          </v:group>
        </w:pict>
      </w: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44"/>
        <w:gridCol w:w="1370"/>
        <w:gridCol w:w="1358"/>
        <w:gridCol w:w="1179"/>
        <w:gridCol w:w="914"/>
        <w:gridCol w:w="991"/>
        <w:gridCol w:w="1419"/>
        <w:gridCol w:w="931"/>
        <w:gridCol w:w="938"/>
        <w:gridCol w:w="1093"/>
        <w:gridCol w:w="1174"/>
        <w:gridCol w:w="674"/>
        <w:gridCol w:w="811"/>
      </w:tblGrid>
      <w:tr>
        <w:trPr>
          <w:trHeight w:val="102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3"/>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41"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101"/>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89"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其中：本期利 息资本化金额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0"/>
              <w:jc w:val="left"/>
              <w:rPr>
                <w:rFonts w:ascii="宋体" w:hAnsi="宋体" w:cs="宋体" w:eastAsia="宋体" w:hint="default"/>
                <w:sz w:val="18"/>
                <w:szCs w:val="18"/>
              </w:rPr>
            </w:pPr>
            <w:r>
              <w:rPr>
                <w:rFonts w:ascii="宋体" w:hAnsi="宋体" w:cs="宋体" w:eastAsia="宋体" w:hint="default"/>
                <w:sz w:val="18"/>
                <w:szCs w:val="18"/>
              </w:rPr>
              <w:t>蓝盾信息安全产业基 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409,808,600.00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351,739,374.87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40,759,127.44</w:t>
            </w:r>
          </w:p>
        </w:tc>
        <w:tc>
          <w:tcPr>
            <w:tcW w:w="91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392,498,502.31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95.78%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95.78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37,635,506.39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7,264,705.82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0"/>
              <w:jc w:val="left"/>
              <w:rPr>
                <w:rFonts w:ascii="宋体" w:hAnsi="宋体" w:cs="宋体" w:eastAsia="宋体" w:hint="default"/>
                <w:sz w:val="18"/>
                <w:szCs w:val="18"/>
              </w:rPr>
            </w:pPr>
            <w:r>
              <w:rPr>
                <w:rFonts w:ascii="宋体" w:hAnsi="宋体" w:cs="宋体" w:eastAsia="宋体" w:hint="default"/>
                <w:sz w:val="18"/>
                <w:szCs w:val="18"/>
              </w:rPr>
              <w:t>蓝盾信息西南总部及 研发基地项目</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490,701,868.44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20,330,227.48</w:t>
            </w:r>
          </w:p>
        </w:tc>
        <w:tc>
          <w:tcPr>
            <w:tcW w:w="91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511,032,095.92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85.17%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85.17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46,358,894.03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17,783,449.02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0"/>
              <w:jc w:val="left"/>
              <w:rPr>
                <w:rFonts w:ascii="宋体" w:hAnsi="宋体" w:cs="宋体" w:eastAsia="宋体" w:hint="default"/>
                <w:sz w:val="18"/>
                <w:szCs w:val="18"/>
              </w:rPr>
            </w:pPr>
            <w:r>
              <w:rPr>
                <w:rFonts w:ascii="宋体" w:hAnsi="宋体" w:cs="宋体" w:eastAsia="宋体" w:hint="default"/>
                <w:sz w:val="18"/>
                <w:szCs w:val="18"/>
              </w:rPr>
              <w:t>蓝盾大安全研发与产 业化基地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700,785,000.00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346,178,746.53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48,626,992.31</w:t>
            </w:r>
          </w:p>
        </w:tc>
        <w:tc>
          <w:tcPr>
            <w:tcW w:w="91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394,805,738.84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56.23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2,604,132.10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-1,206,136.97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0"/>
              <w:jc w:val="left"/>
              <w:rPr>
                <w:rFonts w:ascii="宋体" w:hAnsi="宋体" w:cs="宋体" w:eastAsia="宋体" w:hint="default"/>
                <w:sz w:val="18"/>
                <w:szCs w:val="18"/>
              </w:rPr>
            </w:pPr>
            <w:r>
              <w:rPr>
                <w:rFonts w:ascii="宋体" w:hAnsi="宋体" w:cs="宋体" w:eastAsia="宋体" w:hint="default"/>
                <w:sz w:val="18"/>
                <w:szCs w:val="18"/>
              </w:rPr>
              <w:t>广州华炜人包安检生 产系统</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4,470,237.99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91,698.11</w:t>
            </w:r>
          </w:p>
        </w:tc>
        <w:tc>
          <w:tcPr>
            <w:tcW w:w="91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4,561,936.10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24.01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9"/>
              <w:jc w:val="left"/>
              <w:rPr>
                <w:rFonts w:ascii="宋体" w:hAnsi="宋体" w:cs="宋体" w:eastAsia="宋体" w:hint="default"/>
                <w:sz w:val="18"/>
                <w:szCs w:val="18"/>
              </w:rPr>
            </w:pPr>
            <w:r>
              <w:rPr>
                <w:rFonts w:ascii="宋体" w:hAnsi="宋体" w:cs="宋体" w:eastAsia="宋体" w:hint="default"/>
                <w:sz w:val="18"/>
                <w:szCs w:val="18"/>
              </w:rPr>
              <w:t>江西华炜建设工程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厂房、办公楼、 研发楼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9"/>
              <w:ind w:left="391" w:right="0"/>
              <w:jc w:val="left"/>
              <w:rPr>
                <w:rFonts w:ascii="Times New Roman" w:hAnsi="Times New Roman" w:cs="Times New Roman" w:eastAsia="Times New Roman" w:hint="default"/>
                <w:sz w:val="18"/>
                <w:szCs w:val="18"/>
              </w:rPr>
            </w:pPr>
            <w:r>
              <w:rPr>
                <w:rFonts w:ascii="Times New Roman"/>
                <w:sz w:val="18"/>
              </w:rPr>
              <w:t>3,335,300.00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517,270.07</w:t>
            </w:r>
          </w:p>
        </w:tc>
        <w:tc>
          <w:tcPr>
            <w:tcW w:w="117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126,281.64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390,988.43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蓝盾基地、数字化展 </w:t>
            </w:r>
            <w:r>
              <w:rPr>
                <w:rFonts w:ascii="宋体" w:hAnsi="宋体" w:cs="宋体" w:eastAsia="宋体" w:hint="default"/>
                <w:spacing w:val="-2"/>
                <w:sz w:val="18"/>
                <w:szCs w:val="18"/>
              </w:rPr>
              <w:t>厅、展厅地面装修工程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1,042,631.95</w:t>
            </w:r>
          </w:p>
        </w:tc>
        <w:tc>
          <w:tcPr>
            <w:tcW w:w="91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1,042,631.95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1,732,928,900.00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1,193,607,497.90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110,850,677.29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126,281.64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390,988.43</w:t>
            </w:r>
          </w:p>
        </w:tc>
        <w:tc>
          <w:tcPr>
            <w:tcW w:w="141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1,303,940,905.12</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86,598,532.52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23,842,017.87</w:t>
            </w:r>
          </w:p>
        </w:tc>
        <w:tc>
          <w:tcPr>
            <w:tcW w:w="67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153" w:firstLine="0"/>
        <w:jc w:val="right"/>
        <w:rPr>
          <w:rFonts w:ascii="Times New Roman" w:hAnsi="Times New Roman" w:cs="Times New Roman" w:eastAsia="Times New Roman" w:hint="default"/>
          <w:sz w:val="18"/>
          <w:szCs w:val="18"/>
        </w:rPr>
      </w:pPr>
      <w:r>
        <w:rPr>
          <w:rFonts w:ascii="Times New Roman"/>
          <w:sz w:val="18"/>
        </w:rPr>
        <w:t>174</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11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31"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620" w:right="128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bookmarkStart w:name="16、无形资产" w:id="298"/>
      <w:bookmarkEnd w:id="298"/>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299"/>
      <w:bookmarkEnd w:id="29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49"/>
        <w:gridCol w:w="1262"/>
        <w:gridCol w:w="1250"/>
        <w:gridCol w:w="1248"/>
        <w:gridCol w:w="1250"/>
        <w:gridCol w:w="1249"/>
        <w:gridCol w:w="1250"/>
      </w:tblGrid>
      <w:tr>
        <w:trPr>
          <w:trHeight w:val="161" w:hRule="exact"/>
        </w:trPr>
        <w:tc>
          <w:tcPr>
            <w:tcW w:w="2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9" w:right="79" w:hanging="360"/>
              <w:jc w:val="left"/>
              <w:rPr>
                <w:rFonts w:ascii="宋体" w:hAnsi="宋体" w:cs="宋体" w:eastAsia="宋体" w:hint="default"/>
                <w:sz w:val="18"/>
                <w:szCs w:val="18"/>
              </w:rPr>
            </w:pPr>
            <w:r>
              <w:rPr>
                <w:rFonts w:ascii="宋体" w:hAnsi="宋体" w:cs="宋体" w:eastAsia="宋体" w:hint="default"/>
                <w:sz w:val="18"/>
                <w:szCs w:val="18"/>
              </w:rPr>
              <w:t>软件及软件著 作权</w:t>
            </w:r>
          </w:p>
        </w:tc>
        <w:tc>
          <w:tcPr>
            <w:tcW w:w="12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50" w:type="dxa"/>
            <w:vMerge/>
            <w:tcBorders>
              <w:left w:val="single" w:sz="4" w:space="0" w:color="000000"/>
              <w:right w:val="single" w:sz="4" w:space="0" w:color="000000"/>
            </w:tcBorders>
            <w:shd w:val="clear" w:color="auto" w:fill="D2D2D2"/>
          </w:tcPr>
          <w:p>
            <w:pPr/>
          </w:p>
        </w:tc>
        <w:tc>
          <w:tcPr>
            <w:tcW w:w="12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2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2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12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188,048,265.74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10,233,257.14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546,214,846.30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744,915,569.18</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25,296,986.00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110,562,635.83</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135,859,621.83</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59,967,939.49</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60,120,939.49</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50,594,696.34</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50,594,696.34</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）重分类</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25,143,986.00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25,143,986.00</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3,300,865.04</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28,444,851.04</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3,300,865.04</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3,300,865.04</w:t>
            </w:r>
          </w:p>
        </w:tc>
      </w:tr>
      <w:tr>
        <w:trPr>
          <w:trHeight w:val="71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 w:firstLine="54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）划分为持有待</w:t>
            </w:r>
            <w:r>
              <w:rPr>
                <w:rFonts w:ascii="宋体" w:hAnsi="宋体" w:cs="宋体" w:eastAsia="宋体" w:hint="default"/>
                <w:sz w:val="18"/>
                <w:szCs w:val="18"/>
              </w:rPr>
              <w:t> 售的资产</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25,143,986.00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25,143,986.00</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163,057,279.74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10,233,257.14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653,476,617.09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827,186,353.97</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13,416,571.49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7,514,614.30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232,724,700.56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253,892,786.35</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4,304,305.99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1,708,687.46</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86,380,458.77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69,866.67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92,463,318.89</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4,304,305.99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1,708,687.46</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86,380,458.77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69,866.67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92,463,318.89</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4,484,010.56</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3,264,530.64</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7,748,541.20</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3,264,530.64</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3,264,530.64</w:t>
            </w:r>
          </w:p>
        </w:tc>
      </w:tr>
      <w:tr>
        <w:trPr>
          <w:trHeight w:val="71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 w:firstLine="54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）划分为持有待</w:t>
            </w:r>
            <w:r>
              <w:rPr>
                <w:rFonts w:ascii="宋体" w:hAnsi="宋体" w:cs="宋体" w:eastAsia="宋体" w:hint="default"/>
                <w:sz w:val="18"/>
                <w:szCs w:val="18"/>
              </w:rPr>
              <w:t> 售的资产</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4,484,010.56</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4,484,010.56</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13,236,866.92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9,223,301.76</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315,840,628.69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306,766.67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338,607,564.04</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99,581,486.13</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99,581,486.13</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99,581,486.13</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99,581,486.13</w:t>
            </w: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99,581,486.13</w:t>
            </w: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99,581,486.13</w:t>
            </w:r>
          </w:p>
        </w:tc>
      </w:tr>
      <w:tr>
        <w:trPr>
          <w:trHeight w:val="403"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62" w:type="dxa"/>
            <w:tcBorders>
              <w:top w:val="single" w:sz="4" w:space="0" w:color="000000"/>
              <w:left w:val="single" w:sz="10" w:space="0" w:color="D2D2D2"/>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980" w:header="0" w:top="1100" w:bottom="1160" w:left="980" w:right="0"/>
          <w:pgNumType w:start="175"/>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60"/>
        <w:gridCol w:w="1262"/>
        <w:gridCol w:w="1250"/>
        <w:gridCol w:w="1248"/>
        <w:gridCol w:w="1250"/>
        <w:gridCol w:w="1249"/>
        <w:gridCol w:w="1250"/>
      </w:tblGrid>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149,820,412.82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1,009,955.38</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238,055,003.36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112,433.33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388,997,804.89</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174,631,694.25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2,718,642.84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313,490,145.74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491,022,782.83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7、开发支出" w:id="300"/>
      <w:bookmarkEnd w:id="300"/>
      <w:r>
        <w:rPr>
          <w:b w:val="0"/>
          <w:bCs w:val="0"/>
        </w:rPr>
      </w:r>
      <w:r>
        <w:rPr>
          <w:rFonts w:ascii="Times New Roman" w:hAnsi="Times New Roman" w:cs="Times New Roman" w:eastAsia="Times New Roman" w:hint="default"/>
        </w:rPr>
        <w:t>17</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526"/>
        <w:gridCol w:w="1175"/>
        <w:gridCol w:w="1231"/>
        <w:gridCol w:w="1229"/>
        <w:gridCol w:w="1162"/>
        <w:gridCol w:w="1249"/>
        <w:gridCol w:w="1114"/>
      </w:tblGrid>
      <w:tr>
        <w:trPr>
          <w:trHeight w:val="385" w:hRule="exact"/>
        </w:trPr>
        <w:tc>
          <w:tcPr>
            <w:tcW w:w="2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25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487" w:right="31" w:hanging="449"/>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2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526" w:type="dxa"/>
            <w:vMerge/>
            <w:tcBorders>
              <w:left w:val="single" w:sz="4" w:space="0" w:color="000000"/>
              <w:bottom w:val="nil" w:sz="6" w:space="0" w:color="auto"/>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2" w:type="dxa"/>
            <w:vMerge/>
            <w:tcBorders>
              <w:left w:val="single" w:sz="4" w:space="0" w:color="000000"/>
              <w:right w:val="single" w:sz="4" w:space="0" w:color="000000"/>
            </w:tcBorders>
            <w:shd w:val="clear" w:color="auto" w:fill="D2D2D2"/>
          </w:tcPr>
          <w:p>
            <w:pPr/>
          </w:p>
        </w:tc>
        <w:tc>
          <w:tcPr>
            <w:tcW w:w="12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1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526" w:type="dxa"/>
            <w:vMerge w:val="restart"/>
            <w:tcBorders>
              <w:top w:val="nil" w:sz="6" w:space="0" w:color="auto"/>
              <w:left w:val="single" w:sz="4" w:space="0" w:color="000000"/>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162" w:type="dxa"/>
            <w:vMerge/>
            <w:tcBorders>
              <w:left w:val="single" w:sz="4" w:space="0" w:color="000000"/>
              <w:right w:val="single" w:sz="4" w:space="0" w:color="000000"/>
            </w:tcBorders>
            <w:shd w:val="clear" w:color="auto" w:fill="D2D2D2"/>
          </w:tcPr>
          <w:p>
            <w:pPr/>
          </w:p>
        </w:tc>
        <w:tc>
          <w:tcPr>
            <w:tcW w:w="1249" w:type="dxa"/>
            <w:vMerge/>
            <w:tcBorders>
              <w:left w:val="single" w:sz="4" w:space="0" w:color="000000"/>
              <w:bottom w:val="nil" w:sz="6" w:space="0" w:color="auto"/>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c>
          <w:tcPr>
            <w:tcW w:w="1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2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虚拟漏洞扫描系统的研发</w:t>
            </w:r>
          </w:p>
        </w:tc>
        <w:tc>
          <w:tcPr>
            <w:tcW w:w="11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238,507.79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616,924.83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855,432.62</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虚拟网页防篡改系统的研发</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1,449,282.27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1,449,282.27</w:t>
            </w:r>
          </w:p>
        </w:tc>
      </w:tr>
      <w:tr>
        <w:trPr>
          <w:trHeight w:val="715"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基于大数据技术的新一代蓝盾 安全卫士系统的研发</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1,053,664.65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1,053,664.65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移动支付安全关键技术的研究</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7,169.81</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7,169.81</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面向数据的全新移动办公软件 的研究</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4,433.97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4,433.97</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2"/>
              <w:jc w:val="left"/>
              <w:rPr>
                <w:rFonts w:ascii="宋体" w:hAnsi="宋体" w:cs="宋体" w:eastAsia="宋体" w:hint="default"/>
                <w:sz w:val="18"/>
                <w:szCs w:val="18"/>
              </w:rPr>
            </w:pPr>
            <w:r>
              <w:rPr>
                <w:rFonts w:ascii="宋体" w:hAnsi="宋体" w:cs="宋体" w:eastAsia="宋体" w:hint="default"/>
                <w:sz w:val="18"/>
                <w:szCs w:val="18"/>
              </w:rPr>
              <w:t>基于容器技术的蓝盾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高级 持续攻击检测分析平台研发及 产业化</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9,514,756.07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9,514,756.07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基于海洋船舶卫星通信的智能 网关研发与运用</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761,877.10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761,877.10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基于区块链技术的网络安全监 管防护平台</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6,278,343.77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2,227,124.22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4,051,219.55</w:t>
            </w:r>
          </w:p>
        </w:tc>
      </w:tr>
      <w:tr>
        <w:trPr>
          <w:trHeight w:val="715"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蓝盾安全隔离与信息单向导入 系统研发及产业化</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5,465,179.39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5,465,179.39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蓝盾网络安全教育云平台</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5,645,772.03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5,645,772.03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蓝盾云</w:t>
            </w:r>
            <w:r>
              <w:rPr>
                <w:rFonts w:ascii="Times New Roman" w:hAnsi="Times New Roman" w:cs="Times New Roman" w:eastAsia="Times New Roman" w:hint="default"/>
                <w:sz w:val="18"/>
                <w:szCs w:val="18"/>
              </w:rPr>
              <w:t>"</w:t>
            </w:r>
            <w:r>
              <w:rPr>
                <w:rFonts w:ascii="宋体" w:hAnsi="宋体" w:cs="宋体" w:eastAsia="宋体" w:hint="default"/>
                <w:sz w:val="18"/>
                <w:szCs w:val="18"/>
              </w:rPr>
              <w:t>管理平台研发及产业化</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15,874,160.71</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15,874,160.71</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蓝盾云</w:t>
            </w:r>
            <w:r>
              <w:rPr>
                <w:rFonts w:ascii="Times New Roman" w:hAnsi="Times New Roman" w:cs="Times New Roman" w:eastAsia="Times New Roman" w:hint="default"/>
                <w:sz w:val="18"/>
                <w:szCs w:val="18"/>
              </w:rPr>
              <w:t>"</w:t>
            </w:r>
            <w:r>
              <w:rPr>
                <w:rFonts w:ascii="宋体" w:hAnsi="宋体" w:cs="宋体" w:eastAsia="宋体" w:hint="default"/>
                <w:sz w:val="18"/>
                <w:szCs w:val="18"/>
              </w:rPr>
              <w:t>运维平台研发及产业化</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7,483,908.52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7,483,908.52</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城镇公共安全立体化网络构建 </w:t>
            </w:r>
            <w:r>
              <w:rPr>
                <w:rFonts w:ascii="宋体" w:hAnsi="宋体" w:cs="宋体" w:eastAsia="宋体" w:hint="default"/>
                <w:spacing w:val="-3"/>
                <w:sz w:val="18"/>
                <w:szCs w:val="18"/>
              </w:rPr>
              <w:t>与应急响应示范（课题</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一带</w:t>
            </w:r>
            <w:r>
              <w:rPr>
                <w:rFonts w:ascii="宋体" w:hAnsi="宋体" w:cs="宋体" w:eastAsia="宋体" w:hint="default"/>
                <w:sz w:val="18"/>
                <w:szCs w:val="18"/>
              </w:rPr>
              <w:t> 一路</w:t>
            </w:r>
            <w:r>
              <w:rPr>
                <w:rFonts w:ascii="Times New Roman" w:hAnsi="Times New Roman" w:cs="Times New Roman" w:eastAsia="Times New Roman" w:hint="default"/>
                <w:sz w:val="18"/>
                <w:szCs w:val="18"/>
              </w:rPr>
              <w:t>"</w:t>
            </w:r>
            <w:r>
              <w:rPr>
                <w:rFonts w:ascii="宋体" w:hAnsi="宋体" w:cs="宋体" w:eastAsia="宋体" w:hint="default"/>
                <w:sz w:val="18"/>
                <w:szCs w:val="18"/>
              </w:rPr>
              <w:t>典型城镇综合应用示范）</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8,841,689.17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8,841,689.17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both"/>
              <w:rPr>
                <w:rFonts w:ascii="宋体" w:hAnsi="宋体" w:cs="宋体" w:eastAsia="宋体" w:hint="default"/>
                <w:sz w:val="18"/>
                <w:szCs w:val="18"/>
              </w:rPr>
            </w:pPr>
            <w:r>
              <w:rPr>
                <w:rFonts w:ascii="宋体" w:hAnsi="宋体" w:cs="宋体" w:eastAsia="宋体" w:hint="default"/>
                <w:sz w:val="18"/>
                <w:szCs w:val="18"/>
              </w:rPr>
              <w:t>基于大数据技术的网络安全态 势感知与协同防护平台研发及 产业化</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1,313,075.41</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1,313,075.41</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蓝盾隔离网闸的研发及产业化</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6,752,556.85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6,752,556.85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云计算应用模式下的移动互联 网安全防护平台</w:t>
            </w:r>
          </w:p>
        </w:tc>
        <w:tc>
          <w:tcPr>
            <w:tcW w:w="1175" w:type="dxa"/>
            <w:tcBorders>
              <w:top w:val="single" w:sz="4" w:space="0" w:color="000000"/>
              <w:left w:val="single" w:sz="9" w:space="0" w:color="D2D2D2"/>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6,284,352.33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6,284,352.33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蓝盾安全云桌面系统的研发</w:t>
            </w:r>
          </w:p>
        </w:tc>
        <w:tc>
          <w:tcPr>
            <w:tcW w:w="11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2,023,655.06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7,168,498.49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9,192,153.55</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2548"/>
        <w:gridCol w:w="1165"/>
        <w:gridCol w:w="1231"/>
        <w:gridCol w:w="1229"/>
        <w:gridCol w:w="1162"/>
        <w:gridCol w:w="1249"/>
        <w:gridCol w:w="1114"/>
      </w:tblGrid>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基于自主国密芯片的云安全身 份认证系统研发及产业化</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362,606.99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362,606.99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基于大数据技术的网络安全态 势感知平台研发及产业化</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370,896.79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370,896.79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蓝盾高密度安全虚机的研发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3,330,615.37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3,330,615.37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蓝盾安全堡垒机的研发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4,417,256.28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4,417,256.28</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蓝盾防毒墙系统的研发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9,328,742.91</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9,328,742.91</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蓝盾用户与实体行为分析系统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UEBA</w:t>
            </w:r>
            <w:r>
              <w:rPr>
                <w:rFonts w:ascii="宋体" w:hAnsi="宋体" w:cs="宋体" w:eastAsia="宋体" w:hint="default"/>
                <w:sz w:val="18"/>
                <w:szCs w:val="18"/>
              </w:rPr>
              <w:t>）研发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9,609,110.57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9,609,110.57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一站式网络云安全即服务平台 的研究项目</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6,516,371.29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6,516,371.29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工业互联网安全预警及态势感 知综合管理平台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6,912,706.79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6,912,706.79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工业企业网络安全综合防护平 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6,489,557.37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6,489,557.37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蓝盾视频专网准入控制系统研 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6,449,155.96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6,449,155.96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基于国产化平台及可信计算的 蓝盾防火墙系统研发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5,853,682.56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5,853,682.56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工业软件源代码安全检测工具</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664,736.53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664,736.53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校园安全应急管理平台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707.55</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融合通讯服务器系统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跨部门跨层级应急响应与辅助 指挥信息交互技术应用项目</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491,520.24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491,520.24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突发事件链识别监测与应急响 应综合应用研究项目</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875,261.71</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875,261.71</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基于大数据的重大危险源智能 </w:t>
            </w:r>
            <w:r>
              <w:rPr>
                <w:rFonts w:ascii="宋体" w:hAnsi="宋体" w:cs="宋体" w:eastAsia="宋体" w:hint="default"/>
                <w:spacing w:val="-3"/>
                <w:sz w:val="18"/>
                <w:szCs w:val="18"/>
              </w:rPr>
              <w:t>监测、预警、管控及应急救援系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1,054,644.07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1,054,644.07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高校安全应急宣教系统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1,516,625.29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2,210,091.70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3,726,716.99</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基于视频联动技术的区域智能 安防雷达研究</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1,383,262.03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544,498.82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1,927,760.85</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BDS </w:t>
            </w:r>
            <w:r>
              <w:rPr>
                <w:rFonts w:ascii="宋体" w:hAnsi="宋体" w:cs="宋体" w:eastAsia="宋体" w:hint="default"/>
                <w:sz w:val="18"/>
                <w:szCs w:val="18"/>
              </w:rPr>
              <w:t>智慧眼雷达系统中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 </w:t>
            </w:r>
            <w:r>
              <w:rPr>
                <w:rFonts w:ascii="宋体" w:hAnsi="宋体" w:cs="宋体" w:eastAsia="宋体" w:hint="default"/>
                <w:sz w:val="18"/>
                <w:szCs w:val="18"/>
              </w:rPr>
              <w:t>地 图适配技术的研发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274,136.64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274,136.64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多普勒雷达数字信号的目标存 续及动态临近处理模块开发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323,497.59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323,497.59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蓝盾智慧监狱周界入侵探测报 警系统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590,742.10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590,742.10</w:t>
            </w:r>
          </w:p>
        </w:tc>
        <w:tc>
          <w:tcPr>
            <w:tcW w:w="11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2548"/>
        <w:gridCol w:w="1165"/>
        <w:gridCol w:w="1231"/>
        <w:gridCol w:w="1229"/>
        <w:gridCol w:w="1162"/>
        <w:gridCol w:w="1249"/>
        <w:gridCol w:w="1114"/>
      </w:tblGrid>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网络安全工作管理平台的研发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3,566.04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3,566.04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工控安全审计系统的研发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506,262.24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506,262.24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both"/>
              <w:rPr>
                <w:rFonts w:ascii="宋体" w:hAnsi="宋体" w:cs="宋体" w:eastAsia="宋体" w:hint="default"/>
                <w:sz w:val="18"/>
                <w:szCs w:val="18"/>
              </w:rPr>
            </w:pPr>
            <w:r>
              <w:rPr>
                <w:rFonts w:ascii="宋体" w:hAnsi="宋体" w:cs="宋体" w:eastAsia="宋体" w:hint="default"/>
                <w:sz w:val="18"/>
                <w:szCs w:val="18"/>
              </w:rPr>
              <w:t>基于国产化平台及可信计算的 网络安全监测审计平台研发及 产业化</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1,421,776.76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1,421,776.76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网络安全监测 审计平台研发及产业化</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430,161.42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2,589,901.22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3,020,062.64</w:t>
            </w: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基于大数据技术的网络安全综 合管理平台研发及产业化</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949,288.91</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949,288.91</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工业互联网网络安全态势感知 平台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1,307,005.00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1,307,005.00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广东青少年大数据交互系统的 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806,396.26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806,396.26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广东智慧团建系统的研发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967,464.03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967,464.03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新一代公共服务平台的研究</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3,476,010.83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520,538.53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3,996,549.36</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虚拟上网行为审计系统的研发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1,703,429.03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1,703,429.03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新一代虚拟数据库审计系统的 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216,865.76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216,865.76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新一代虚拟安全运营中心</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vSOC</w:t>
            </w:r>
            <w:r>
              <w:rPr>
                <w:rFonts w:ascii="宋体" w:hAnsi="宋体" w:cs="宋体" w:eastAsia="宋体" w:hint="default"/>
                <w:sz w:val="18"/>
                <w:szCs w:val="18"/>
              </w:rPr>
              <w:t>）研发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2,341,677.69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2,341,677.69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新一代虚拟漏洞扫描系统的研 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675,055.43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675,055.43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一站式安全云计算体系研发项 目建设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2,885,084.93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9,806,187.68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12,691,272.61</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网络综合态势预警平台研发项 目建设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1,442,801.82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7,304,130.57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8,746,932.39</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企业移动信息化安全管理体系 研发项目建设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1,171,155.93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5,183,959.81</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6,355,115.74</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公共卫生志愿者服务运营平台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1,729,176.09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1,729,176.09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终端设备供电节能新技术研究 与应用</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422,529.19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422,529.19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C.201901-</w:t>
            </w:r>
            <w:r>
              <w:rPr>
                <w:rFonts w:ascii="宋体" w:hAnsi="宋体" w:cs="宋体" w:eastAsia="宋体" w:hint="default"/>
                <w:sz w:val="18"/>
                <w:szCs w:val="18"/>
              </w:rPr>
              <w:t>智能感应防闯关闸机 研究开发（一种防闯关的闸机）</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755,641.22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755,641.22</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C.201902-</w:t>
            </w:r>
            <w:r>
              <w:rPr>
                <w:rFonts w:ascii="宋体" w:hAnsi="宋体" w:cs="宋体" w:eastAsia="宋体" w:hint="default"/>
                <w:sz w:val="18"/>
                <w:szCs w:val="18"/>
              </w:rPr>
              <w:t>具有热保护功能的陶 </w:t>
            </w:r>
            <w:r>
              <w:rPr>
                <w:rFonts w:ascii="宋体" w:hAnsi="宋体" w:cs="宋体" w:eastAsia="宋体" w:hint="default"/>
                <w:spacing w:val="-3"/>
                <w:sz w:val="18"/>
                <w:szCs w:val="18"/>
              </w:rPr>
              <w:t>瓷气体放电二极管设计开发（带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有热保护的陶瓷气体放电二极 管）</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842,037.58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842,037.58</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C.201903-</w:t>
            </w:r>
            <w:r>
              <w:rPr>
                <w:rFonts w:ascii="宋体" w:hAnsi="宋体" w:cs="宋体" w:eastAsia="宋体" w:hint="default"/>
                <w:sz w:val="18"/>
                <w:szCs w:val="18"/>
              </w:rPr>
              <w:t>多功能智能开关柜远</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488,445.50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488,445.50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2548"/>
        <w:gridCol w:w="1165"/>
        <w:gridCol w:w="1231"/>
        <w:gridCol w:w="1229"/>
        <w:gridCol w:w="1162"/>
        <w:gridCol w:w="1249"/>
        <w:gridCol w:w="1114"/>
      </w:tblGrid>
      <w:tr>
        <w:trPr>
          <w:trHeight w:val="67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2"/>
              <w:jc w:val="left"/>
              <w:rPr>
                <w:rFonts w:ascii="宋体" w:hAnsi="宋体" w:cs="宋体" w:eastAsia="宋体" w:hint="default"/>
                <w:sz w:val="18"/>
                <w:szCs w:val="18"/>
              </w:rPr>
            </w:pPr>
            <w:r>
              <w:rPr>
                <w:rFonts w:ascii="宋体" w:hAnsi="宋体" w:cs="宋体" w:eastAsia="宋体" w:hint="default"/>
                <w:spacing w:val="-3"/>
                <w:sz w:val="18"/>
                <w:szCs w:val="18"/>
              </w:rPr>
              <w:t>程控制技术研究（一种具备在线</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测控功能的智能开关柜）</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C.201904-</w:t>
            </w:r>
            <w:r>
              <w:rPr>
                <w:rFonts w:ascii="宋体" w:hAnsi="宋体" w:cs="宋体" w:eastAsia="宋体" w:hint="default"/>
                <w:sz w:val="18"/>
                <w:szCs w:val="18"/>
              </w:rPr>
              <w:t>多功能智能温控户外 </w:t>
            </w:r>
            <w:r>
              <w:rPr>
                <w:rFonts w:ascii="宋体" w:hAnsi="宋体" w:cs="宋体" w:eastAsia="宋体" w:hint="default"/>
                <w:spacing w:val="-3"/>
                <w:sz w:val="18"/>
                <w:szCs w:val="18"/>
              </w:rPr>
              <w:t>配电箱研究开发（温控型户外配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电箱）</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1,003,721.60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1,003,721.60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E.201905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无线通信基站隔离式 智能防雷箱研究开发</w:t>
            </w:r>
            <w:r>
              <w:rPr>
                <w:rFonts w:ascii="Times New Roman" w:hAnsi="Times New Roman" w:cs="Times New Roman" w:eastAsia="Times New Roman" w:hint="default"/>
                <w:sz w:val="18"/>
                <w:szCs w:val="18"/>
              </w:rPr>
              <w:t>(4-11)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520,540.65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520,540.65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E.201906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高效防雷击的新型气 体放电管研发</w:t>
            </w:r>
            <w:r>
              <w:rPr>
                <w:rFonts w:ascii="Times New Roman" w:hAnsi="Times New Roman" w:cs="Times New Roman" w:eastAsia="Times New Roman" w:hint="default"/>
                <w:sz w:val="18"/>
                <w:szCs w:val="18"/>
              </w:rPr>
              <w:t>(4-12)</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609,430.55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609,430.55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E.201907 </w:t>
            </w:r>
            <w:r>
              <w:rPr>
                <w:rFonts w:ascii="宋体" w:hAnsi="宋体" w:cs="宋体" w:eastAsia="宋体" w:hint="default"/>
                <w:sz w:val="18"/>
                <w:szCs w:val="18"/>
              </w:rPr>
              <w:t>基于人脸识别技术的 智能自动化闸机研究开发</w:t>
            </w:r>
            <w:r>
              <w:rPr>
                <w:rFonts w:ascii="Times New Roman" w:hAnsi="Times New Roman" w:cs="Times New Roman" w:eastAsia="Times New Roman" w:hint="default"/>
                <w:sz w:val="18"/>
                <w:szCs w:val="18"/>
              </w:rPr>
              <w:t>(5-12)</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460,897.45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460,897.45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智能感应防闯关闸机 研究开发（一种防闯关的闸机）</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506,452.85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506,452.85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具有热保护功能的陶 </w:t>
            </w:r>
            <w:r>
              <w:rPr>
                <w:rFonts w:ascii="宋体" w:hAnsi="宋体" w:cs="宋体" w:eastAsia="宋体" w:hint="default"/>
                <w:spacing w:val="-3"/>
                <w:sz w:val="18"/>
                <w:szCs w:val="18"/>
              </w:rPr>
              <w:t>瓷气体放电二极管设计开发（带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有热保护的陶瓷气体放电）</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612,968.77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612,968.77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雷电强度检测功能的 </w:t>
            </w:r>
            <w:r>
              <w:rPr>
                <w:rFonts w:ascii="宋体" w:hAnsi="宋体" w:cs="宋体" w:eastAsia="宋体" w:hint="default"/>
                <w:spacing w:val="-3"/>
                <w:sz w:val="18"/>
                <w:szCs w:val="18"/>
              </w:rPr>
              <w:t>智能防雷系统研发（一种具备在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线测控功能的智能开关柜）</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640,812.36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640,812.36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C.201904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多功能智能温控户外 </w:t>
            </w:r>
            <w:r>
              <w:rPr>
                <w:rFonts w:ascii="宋体" w:hAnsi="宋体" w:cs="宋体" w:eastAsia="宋体" w:hint="default"/>
                <w:spacing w:val="-3"/>
                <w:sz w:val="18"/>
                <w:szCs w:val="18"/>
              </w:rPr>
              <w:t>配电箱研究开发（温控型户外配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电箱）</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691,479.32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691,479.32</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YF029-</w:t>
            </w:r>
            <w:r>
              <w:rPr>
                <w:rFonts w:ascii="宋体" w:hAnsi="宋体" w:cs="宋体" w:eastAsia="宋体" w:hint="default"/>
                <w:sz w:val="18"/>
                <w:szCs w:val="18"/>
              </w:rPr>
              <w:t>红黑电源滤波隔离插座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YF030-</w:t>
            </w:r>
            <w:r>
              <w:rPr>
                <w:rFonts w:ascii="宋体" w:hAnsi="宋体" w:cs="宋体" w:eastAsia="宋体" w:hint="default"/>
                <w:sz w:val="18"/>
                <w:szCs w:val="18"/>
              </w:rPr>
              <w:t>具有人脸识别功能的电 磁屏蔽保密柜的研究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84,111.32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84,111.32</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YF032-</w:t>
            </w:r>
            <w:r>
              <w:rPr>
                <w:rFonts w:ascii="宋体" w:hAnsi="宋体" w:cs="宋体" w:eastAsia="宋体" w:hint="default"/>
                <w:sz w:val="18"/>
                <w:szCs w:val="18"/>
              </w:rPr>
              <w:t>一种多间隙放电管防雷 器脱扣装置的研究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174,012.48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174,012.48</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YF033-</w:t>
            </w:r>
            <w:r>
              <w:rPr>
                <w:rFonts w:ascii="宋体" w:hAnsi="宋体" w:cs="宋体" w:eastAsia="宋体" w:hint="default"/>
                <w:sz w:val="18"/>
                <w:szCs w:val="18"/>
              </w:rPr>
              <w:t>一种新型分线底座的研 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283,387.05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283,387.05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YF034-</w:t>
            </w:r>
            <w:r>
              <w:rPr>
                <w:rFonts w:ascii="宋体" w:hAnsi="宋体" w:cs="宋体" w:eastAsia="宋体" w:hint="default"/>
                <w:sz w:val="18"/>
                <w:szCs w:val="18"/>
              </w:rPr>
              <w:t>一种自动灭弧可变放电 间隙装置的研究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1,056,029.27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1,056,029.27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YF035-PTC</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MOV</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组合保护器 件的研究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1,389,332.20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1,389,332.20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YF036-</w:t>
            </w:r>
            <w:r>
              <w:rPr>
                <w:rFonts w:ascii="宋体" w:hAnsi="宋体" w:cs="宋体" w:eastAsia="宋体" w:hint="default"/>
                <w:sz w:val="18"/>
                <w:szCs w:val="18"/>
              </w:rPr>
              <w:t>一种差模限制电压极低 的防雷器的研究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1,979,679.54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1,979,679.54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YF037-</w:t>
            </w:r>
            <w:r>
              <w:rPr>
                <w:rFonts w:ascii="宋体" w:hAnsi="宋体" w:cs="宋体" w:eastAsia="宋体" w:hint="default"/>
                <w:sz w:val="18"/>
                <w:szCs w:val="18"/>
              </w:rPr>
              <w:t>一种带远程监测的浪涌 监测装置的研究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1,855,658.20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1,855,658.20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YF038-</w:t>
            </w:r>
            <w:r>
              <w:rPr>
                <w:rFonts w:ascii="宋体" w:hAnsi="宋体" w:cs="宋体" w:eastAsia="宋体" w:hint="default"/>
                <w:sz w:val="18"/>
                <w:szCs w:val="18"/>
              </w:rPr>
              <w:t>一种闸机故障易恢复控 制模块的研究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1,578,821.76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1,578,821.76</w:t>
            </w:r>
          </w:p>
        </w:tc>
        <w:tc>
          <w:tcPr>
            <w:tcW w:w="11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2548"/>
        <w:gridCol w:w="1165"/>
        <w:gridCol w:w="1231"/>
        <w:gridCol w:w="1229"/>
        <w:gridCol w:w="1162"/>
        <w:gridCol w:w="1249"/>
        <w:gridCol w:w="1114"/>
      </w:tblGrid>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YF039-</w:t>
            </w:r>
            <w:r>
              <w:rPr>
                <w:rFonts w:ascii="宋体" w:hAnsi="宋体" w:cs="宋体" w:eastAsia="宋体" w:hint="default"/>
                <w:sz w:val="18"/>
                <w:szCs w:val="18"/>
              </w:rPr>
              <w:t>一种自动闸机摆闸机芯 传动结构的研究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1,383,088.87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1,383,088.87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YF040-</w:t>
            </w:r>
            <w:r>
              <w:rPr>
                <w:rFonts w:ascii="宋体" w:hAnsi="宋体" w:cs="宋体" w:eastAsia="宋体" w:hint="default"/>
                <w:sz w:val="18"/>
                <w:szCs w:val="18"/>
              </w:rPr>
              <w:t>户外一体化移动基站的 研究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542,043.03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542,043.03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3"/>
                <w:sz w:val="18"/>
                <w:szCs w:val="18"/>
              </w:rPr>
              <w:t>大功率二、三级金属陶瓷气体放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电管研发及产业化</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1,798,227.34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1,798,227.34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基于大数据技术的移动电子商 务安全关键技术的研发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7,267,827.23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7,267,827.23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中经电商区块链油通客户管理 系统的研发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1,121,303.57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1,121,303.57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中经电商基于区块</w:t>
            </w:r>
            <w:r>
              <w:rPr>
                <w:rFonts w:ascii="宋体" w:hAnsi="宋体" w:cs="宋体" w:eastAsia="宋体" w:hint="default"/>
                <w:spacing w:val="1"/>
                <w:sz w:val="18"/>
                <w:szCs w:val="18"/>
              </w:rPr>
              <w:t> </w:t>
            </w:r>
            <w:r>
              <w:rPr>
                <w:rFonts w:ascii="宋体" w:hAnsi="宋体" w:cs="宋体" w:eastAsia="宋体" w:hint="default"/>
                <w:sz w:val="18"/>
                <w:szCs w:val="18"/>
              </w:rPr>
              <w:t>链的油通安</w:t>
            </w:r>
            <w:r>
              <w:rPr>
                <w:rFonts w:ascii="宋体" w:hAnsi="宋体" w:cs="宋体" w:eastAsia="宋体" w:hint="default"/>
                <w:sz w:val="18"/>
                <w:szCs w:val="18"/>
              </w:rPr>
              <w:t> 全交易</w:t>
            </w:r>
            <w:r>
              <w:rPr>
                <w:rFonts w:ascii="宋体" w:hAnsi="宋体" w:cs="宋体" w:eastAsia="宋体" w:hint="default"/>
                <w:spacing w:val="1"/>
                <w:sz w:val="18"/>
                <w:szCs w:val="18"/>
              </w:rPr>
              <w:t> </w:t>
            </w:r>
            <w:r>
              <w:rPr>
                <w:rFonts w:ascii="宋体" w:hAnsi="宋体" w:cs="宋体" w:eastAsia="宋体" w:hint="default"/>
                <w:sz w:val="18"/>
                <w:szCs w:val="18"/>
              </w:rPr>
              <w:t>系统的研发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590,153.24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590,153.24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中经油马（车队版）平台的研发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337,716.07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337,716.07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面向智能汽车的交互式信息服 务平台</w:t>
            </w:r>
            <w:r>
              <w:rPr>
                <w:rFonts w:ascii="宋体" w:hAnsi="宋体" w:cs="宋体" w:eastAsia="宋体" w:hint="default"/>
                <w:spacing w:val="1"/>
                <w:sz w:val="18"/>
                <w:szCs w:val="18"/>
              </w:rPr>
              <w:t> </w:t>
            </w:r>
            <w:r>
              <w:rPr>
                <w:rFonts w:ascii="宋体" w:hAnsi="宋体" w:cs="宋体" w:eastAsia="宋体" w:hint="default"/>
                <w:sz w:val="18"/>
                <w:szCs w:val="18"/>
              </w:rPr>
              <w:t>的开发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761,955.33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761,955.33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面向企业的成品油供应链管理 服务平</w:t>
            </w:r>
            <w:r>
              <w:rPr>
                <w:rFonts w:ascii="宋体" w:hAnsi="宋体" w:cs="宋体" w:eastAsia="宋体" w:hint="default"/>
                <w:spacing w:val="1"/>
                <w:sz w:val="18"/>
                <w:szCs w:val="18"/>
              </w:rPr>
              <w:t> </w:t>
            </w:r>
            <w:r>
              <w:rPr>
                <w:rFonts w:ascii="宋体" w:hAnsi="宋体" w:cs="宋体" w:eastAsia="宋体" w:hint="default"/>
                <w:sz w:val="18"/>
                <w:szCs w:val="18"/>
              </w:rPr>
              <w:t>台的开发</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2,422,830.15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2,422,830.15</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满泰低压机组计算机监控软件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1,753,768.40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1,753,768.40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污水处理全流程优化控制关键 技术</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4,038,817.23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4,038,817.23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满泰工程管理系统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270,857.06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270,857.06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满泰办公自动化管理软件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765,871.02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765,871.02</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满泰航道联动指挥系统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6,477,742.96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6,477,742.96</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满泰航道综合管理平台软件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3,325,489.48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3,325,489.48</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立项项目</w:t>
            </w:r>
            <w:r>
              <w:rPr>
                <w:rFonts w:ascii="Times New Roman" w:hAnsi="Times New Roman" w:cs="Times New Roman" w:eastAsia="Times New Roman" w:hint="default"/>
                <w:sz w:val="18"/>
                <w:szCs w:val="18"/>
              </w:rPr>
              <w:t>-</w:t>
            </w:r>
            <w:r>
              <w:rPr>
                <w:rFonts w:ascii="宋体" w:hAnsi="宋体" w:cs="宋体" w:eastAsia="宋体" w:hint="default"/>
                <w:sz w:val="18"/>
                <w:szCs w:val="18"/>
              </w:rPr>
              <w:t>满泰船闸综合管理平 台软件</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2,400,164.97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2,400,164.97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物联网智慧水务综合管理平台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201,412.24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201,412.24</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远程江河水位观测预警系统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305,929.33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305,929.33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3"/>
                <w:sz w:val="18"/>
                <w:szCs w:val="18"/>
              </w:rPr>
              <w:t>水库、江河、海岸周界视频监控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报警系统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367,233.57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367,233.57</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满泰河长制管理系统</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1,668,894.73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1,668,894.73</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智慧水务一体化工程管理平台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2,159,176.19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2,159,176.19</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智慧水务运维监控平台</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1,349,263.60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1,349,263.60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云计算及大数据安全协同创新 中心</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867,184.38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867,184.38</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14,567,265.10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247,243,640.59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50,594,696.34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202,695,644.89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8,520,564.46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bookmarkStart w:name="18、商誉" w:id="301"/>
      <w:bookmarkEnd w:id="301"/>
      <w:r>
        <w:rPr>
          <w:b w:val="0"/>
          <w:bCs w:val="0"/>
        </w:rPr>
      </w:r>
      <w:r>
        <w:rPr>
          <w:rFonts w:ascii="Times New Roman" w:hAnsi="Times New Roman" w:cs="Times New Roman" w:eastAsia="Times New Roman" w:hint="default"/>
        </w:rPr>
        <w:t>18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843"/>
        <w:gridCol w:w="1718"/>
        <w:gridCol w:w="1707"/>
        <w:gridCol w:w="1709"/>
        <w:gridCol w:w="1709"/>
      </w:tblGrid>
      <w:tr>
        <w:trPr>
          <w:trHeight w:val="206" w:hRule="exact"/>
        </w:trPr>
        <w:tc>
          <w:tcPr>
            <w:tcW w:w="2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7" w:type="dxa"/>
            <w:vMerge/>
            <w:tcBorders>
              <w:left w:val="single" w:sz="4" w:space="0" w:color="000000"/>
              <w:bottom w:val="single" w:sz="4" w:space="0" w:color="000000"/>
              <w:right w:val="single" w:sz="4" w:space="0" w:color="000000"/>
            </w:tcBorders>
            <w:shd w:val="clear" w:color="auto" w:fill="D2D2D2"/>
          </w:tcPr>
          <w:p>
            <w:pPr/>
          </w:p>
        </w:tc>
        <w:tc>
          <w:tcPr>
            <w:tcW w:w="1709" w:type="dxa"/>
            <w:vMerge/>
            <w:tcBorders>
              <w:left w:val="single" w:sz="4" w:space="0" w:color="000000"/>
              <w:bottom w:val="single" w:sz="4" w:space="0" w:color="000000"/>
              <w:right w:val="single" w:sz="4" w:space="0" w:color="000000"/>
            </w:tcBorders>
            <w:shd w:val="clear" w:color="auto" w:fill="D2D2D2"/>
          </w:tcPr>
          <w:p>
            <w:pPr/>
          </w:p>
        </w:tc>
        <w:tc>
          <w:tcPr>
            <w:tcW w:w="1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843" w:type="dxa"/>
            <w:vMerge/>
            <w:tcBorders>
              <w:left w:val="single" w:sz="4" w:space="0" w:color="000000"/>
              <w:bottom w:val="nil" w:sz="6" w:space="0" w:color="auto"/>
              <w:right w:val="single" w:sz="4" w:space="0" w:color="000000"/>
            </w:tcBorders>
            <w:shd w:val="clear" w:color="auto" w:fill="D2D2D2"/>
          </w:tcPr>
          <w:p>
            <w:pPr/>
          </w:p>
        </w:tc>
        <w:tc>
          <w:tcPr>
            <w:tcW w:w="1718" w:type="dxa"/>
            <w:vMerge/>
            <w:tcBorders>
              <w:left w:val="single" w:sz="4" w:space="0" w:color="000000"/>
              <w:bottom w:val="nil" w:sz="6" w:space="0" w:color="auto"/>
              <w:right w:val="single" w:sz="4" w:space="0" w:color="000000"/>
            </w:tcBorders>
            <w:shd w:val="clear" w:color="auto" w:fill="D2D2D2"/>
          </w:tcPr>
          <w:p>
            <w:pPr/>
          </w:p>
        </w:tc>
        <w:tc>
          <w:tcPr>
            <w:tcW w:w="17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7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7" w:type="dxa"/>
            <w:vMerge/>
            <w:tcBorders>
              <w:left w:val="single" w:sz="4" w:space="0" w:color="000000"/>
              <w:bottom w:val="single" w:sz="4" w:space="0" w:color="000000"/>
              <w:right w:val="single" w:sz="4" w:space="0" w:color="000000"/>
            </w:tcBorders>
            <w:shd w:val="clear" w:color="auto" w:fill="D2D2D2"/>
          </w:tcPr>
          <w:p>
            <w:pPr/>
          </w:p>
        </w:tc>
        <w:tc>
          <w:tcPr>
            <w:tcW w:w="1709" w:type="dxa"/>
            <w:vMerge/>
            <w:tcBorders>
              <w:left w:val="single" w:sz="4" w:space="0" w:color="000000"/>
              <w:bottom w:val="single" w:sz="4" w:space="0" w:color="000000"/>
              <w:right w:val="single" w:sz="4" w:space="0" w:color="000000"/>
            </w:tcBorders>
            <w:shd w:val="clear" w:color="auto" w:fill="D2D2D2"/>
          </w:tcPr>
          <w:p>
            <w:pPr/>
          </w:p>
        </w:tc>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189,464,955.35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189,464,955.35</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174,110.38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463,949,449.39</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463,949,449.39</w:t>
            </w:r>
          </w:p>
        </w:tc>
      </w:tr>
      <w:tr>
        <w:trPr>
          <w:trHeight w:val="404"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155,712,163.25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155,712,163.25</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672,800.14</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672,800.14</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493,586,016.88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493,586,016.88</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1,303,559,495.39</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1,303,559,495.39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793"/>
        <w:gridCol w:w="1732"/>
        <w:gridCol w:w="1719"/>
        <w:gridCol w:w="1721"/>
        <w:gridCol w:w="1721"/>
      </w:tblGrid>
      <w:tr>
        <w:trPr>
          <w:trHeight w:val="206" w:hRule="exact"/>
        </w:trPr>
        <w:tc>
          <w:tcPr>
            <w:tcW w:w="2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7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9" w:type="dxa"/>
            <w:vMerge/>
            <w:tcBorders>
              <w:left w:val="single" w:sz="4" w:space="0" w:color="000000"/>
              <w:bottom w:val="single" w:sz="4" w:space="0" w:color="000000"/>
              <w:right w:val="single" w:sz="4" w:space="0" w:color="000000"/>
            </w:tcBorders>
            <w:shd w:val="clear" w:color="auto" w:fill="D2D2D2"/>
          </w:tcPr>
          <w:p>
            <w:pPr/>
          </w:p>
        </w:tc>
        <w:tc>
          <w:tcPr>
            <w:tcW w:w="1721" w:type="dxa"/>
            <w:vMerge/>
            <w:tcBorders>
              <w:left w:val="single" w:sz="4" w:space="0" w:color="000000"/>
              <w:bottom w:val="single" w:sz="4" w:space="0" w:color="000000"/>
              <w:right w:val="single" w:sz="4" w:space="0" w:color="000000"/>
            </w:tcBorders>
            <w:shd w:val="clear" w:color="auto" w:fill="D2D2D2"/>
          </w:tcPr>
          <w:p>
            <w:pPr/>
          </w:p>
        </w:tc>
        <w:tc>
          <w:tcPr>
            <w:tcW w:w="1721" w:type="dxa"/>
            <w:vMerge/>
            <w:tcBorders>
              <w:left w:val="single" w:sz="4" w:space="0" w:color="000000"/>
              <w:right w:val="single" w:sz="4" w:space="0" w:color="000000"/>
            </w:tcBorders>
            <w:shd w:val="clear" w:color="auto" w:fill="D2D2D2"/>
          </w:tcPr>
          <w:p>
            <w:pPr/>
          </w:p>
        </w:tc>
      </w:tr>
      <w:tr>
        <w:trPr>
          <w:trHeight w:val="197" w:hRule="exact"/>
        </w:trPr>
        <w:tc>
          <w:tcPr>
            <w:tcW w:w="2793" w:type="dxa"/>
            <w:vMerge/>
            <w:tcBorders>
              <w:left w:val="single" w:sz="4" w:space="0" w:color="000000"/>
              <w:bottom w:val="nil" w:sz="6" w:space="0" w:color="auto"/>
              <w:right w:val="single" w:sz="4" w:space="0" w:color="000000"/>
            </w:tcBorders>
            <w:shd w:val="clear" w:color="auto" w:fill="D2D2D2"/>
          </w:tcPr>
          <w:p>
            <w:pPr/>
          </w:p>
        </w:tc>
        <w:tc>
          <w:tcPr>
            <w:tcW w:w="1732" w:type="dxa"/>
            <w:vMerge/>
            <w:tcBorders>
              <w:left w:val="single" w:sz="4" w:space="0" w:color="000000"/>
              <w:bottom w:val="nil" w:sz="6" w:space="0" w:color="auto"/>
              <w:right w:val="single" w:sz="4" w:space="0" w:color="000000"/>
            </w:tcBorders>
            <w:shd w:val="clear" w:color="auto" w:fill="D2D2D2"/>
          </w:tcPr>
          <w:p>
            <w:pPr/>
          </w:p>
        </w:tc>
        <w:tc>
          <w:tcPr>
            <w:tcW w:w="17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721" w:type="dxa"/>
            <w:vMerge/>
            <w:tcBorders>
              <w:left w:val="single" w:sz="4" w:space="0" w:color="000000"/>
              <w:right w:val="single" w:sz="4" w:space="0" w:color="000000"/>
            </w:tcBorders>
            <w:shd w:val="clear" w:color="auto" w:fill="D2D2D2"/>
          </w:tcPr>
          <w:p>
            <w:pPr/>
          </w:p>
        </w:tc>
      </w:tr>
      <w:tr>
        <w:trPr>
          <w:trHeight w:val="206" w:hRule="exact"/>
        </w:trPr>
        <w:tc>
          <w:tcPr>
            <w:tcW w:w="2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9" w:type="dxa"/>
            <w:vMerge/>
            <w:tcBorders>
              <w:left w:val="single" w:sz="4" w:space="0" w:color="000000"/>
              <w:bottom w:val="single" w:sz="4" w:space="0" w:color="000000"/>
              <w:right w:val="single" w:sz="4" w:space="0" w:color="000000"/>
            </w:tcBorders>
            <w:shd w:val="clear" w:color="auto" w:fill="D2D2D2"/>
          </w:tcPr>
          <w:p>
            <w:pPr/>
          </w:p>
        </w:tc>
        <w:tc>
          <w:tcPr>
            <w:tcW w:w="1721" w:type="dxa"/>
            <w:vMerge/>
            <w:tcBorders>
              <w:left w:val="single" w:sz="4" w:space="0" w:color="000000"/>
              <w:bottom w:val="single" w:sz="4" w:space="0" w:color="000000"/>
              <w:right w:val="single" w:sz="4" w:space="0" w:color="000000"/>
            </w:tcBorders>
            <w:shd w:val="clear" w:color="auto" w:fill="D2D2D2"/>
          </w:tcPr>
          <w:p>
            <w:pPr/>
          </w:p>
        </w:tc>
        <w:tc>
          <w:tcPr>
            <w:tcW w:w="172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7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58,044,003.18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131,420,952.17</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189,464,955.35</w:t>
            </w:r>
          </w:p>
        </w:tc>
      </w:tr>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7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174,110.38</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401"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17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672,800.14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463,949,449.39</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463,949,449.39</w:t>
            </w:r>
          </w:p>
        </w:tc>
      </w:tr>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1732" w:type="dxa"/>
            <w:tcBorders>
              <w:top w:val="single" w:sz="4" w:space="0" w:color="000000"/>
              <w:left w:val="single" w:sz="9"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155,712,163.25</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155,712,163.25</w:t>
            </w:r>
          </w:p>
        </w:tc>
      </w:tr>
      <w:tr>
        <w:trPr>
          <w:trHeight w:val="401"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7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672,800.14</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672,800.14</w:t>
            </w:r>
          </w:p>
        </w:tc>
      </w:tr>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58,890,913.70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751,082,564.81</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809,973,478.51</w:t>
            </w:r>
          </w:p>
        </w:tc>
      </w:tr>
    </w:tbl>
    <w:p>
      <w:pPr>
        <w:spacing w:line="240" w:lineRule="auto" w:before="2"/>
        <w:rPr>
          <w:rFonts w:ascii="宋体" w:hAnsi="宋体" w:cs="宋体" w:eastAsia="宋体" w:hint="default"/>
          <w:sz w:val="27"/>
          <w:szCs w:val="27"/>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3"/>
        <w:rPr>
          <w:rFonts w:ascii="宋体" w:hAnsi="宋体" w:cs="宋体" w:eastAsia="宋体" w:hint="default"/>
          <w:sz w:val="13"/>
          <w:szCs w:val="13"/>
        </w:rPr>
      </w:pPr>
    </w:p>
    <w:p>
      <w:pPr>
        <w:pStyle w:val="BodyText"/>
        <w:spacing w:line="328" w:lineRule="auto"/>
        <w:ind w:left="573" w:right="6794"/>
        <w:jc w:val="left"/>
      </w:pPr>
      <w:r>
        <w:rPr>
          <w:spacing w:val="-2"/>
        </w:rPr>
        <w:t>（</w:t>
      </w:r>
      <w:r>
        <w:rPr>
          <w:rFonts w:ascii="Times New Roman" w:hAnsi="Times New Roman" w:cs="Times New Roman" w:eastAsia="Times New Roman" w:hint="default"/>
          <w:spacing w:val="-2"/>
        </w:rPr>
        <w:t>1</w:t>
      </w:r>
      <w:r>
        <w:rPr>
          <w:spacing w:val="-2"/>
        </w:rPr>
        <w:t>）广州华炜科技有限公司</w:t>
      </w:r>
      <w:r>
        <w:rPr>
          <w:spacing w:val="-82"/>
        </w:rPr>
        <w:t> </w:t>
      </w:r>
      <w:r>
        <w:rPr>
          <w:spacing w:val="-82"/>
        </w:rPr>
      </w:r>
      <w:r>
        <w:rPr/>
        <w:t>资产组的构成：</w:t>
      </w:r>
    </w:p>
    <w:p>
      <w:pPr>
        <w:pStyle w:val="BodyText"/>
        <w:spacing w:line="336" w:lineRule="auto" w:before="48"/>
        <w:ind w:right="1126" w:firstLine="420"/>
        <w:jc w:val="both"/>
      </w:pPr>
      <w:r>
        <w:rPr>
          <w:spacing w:val="7"/>
        </w:rPr>
        <w:t>公司于</w:t>
      </w:r>
      <w:r>
        <w:rPr>
          <w:rFonts w:ascii="Times New Roman" w:hAnsi="Times New Roman" w:cs="Times New Roman" w:eastAsia="Times New Roman" w:hint="default"/>
          <w:spacing w:val="7"/>
        </w:rPr>
        <w:t>2015</w:t>
      </w:r>
      <w:r>
        <w:rPr>
          <w:spacing w:val="7"/>
        </w:rPr>
        <w:t>年以发行股份及支付现金的方式购买广州华炜科技有限公司（以下简称</w:t>
      </w:r>
      <w:r>
        <w:rPr>
          <w:rFonts w:ascii="Times New Roman" w:hAnsi="Times New Roman" w:cs="Times New Roman" w:eastAsia="Times New Roman" w:hint="default"/>
          <w:spacing w:val="7"/>
        </w:rPr>
        <w:t>“</w:t>
      </w:r>
      <w:r>
        <w:rPr>
          <w:spacing w:val="7"/>
        </w:rPr>
        <w:t>华炜科技</w:t>
      </w:r>
      <w:r>
        <w:rPr>
          <w:rFonts w:ascii="Times New Roman" w:hAnsi="Times New Roman" w:cs="Times New Roman" w:eastAsia="Times New Roman" w:hint="default"/>
          <w:spacing w:val="7"/>
        </w:rPr>
        <w:t>”</w:t>
      </w:r>
      <w:r>
        <w:rPr>
          <w:spacing w:val="7"/>
        </w:rPr>
        <w:t>）</w:t>
      </w:r>
      <w:r>
        <w:rPr>
          <w:w w:val="100"/>
        </w:rPr>
        <w:t> </w:t>
      </w:r>
      <w:r>
        <w:rPr>
          <w:rFonts w:ascii="Times New Roman" w:hAnsi="Times New Roman" w:cs="Times New Roman" w:eastAsia="Times New Roman" w:hint="default"/>
        </w:rPr>
        <w:t>100.00%</w:t>
      </w:r>
      <w:r>
        <w:rPr/>
        <w:t>股权时，其中包括对东莞市华炜雷电防护设备有限公司、南京微润科技有限公司、江西华炜电气</w:t>
      </w:r>
      <w:r>
        <w:rPr>
          <w:spacing w:val="-41"/>
        </w:rPr>
        <w:t> </w:t>
      </w:r>
      <w:r>
        <w:rPr>
          <w:spacing w:val="-41"/>
        </w:rPr>
      </w:r>
      <w:r>
        <w:rPr/>
        <w:t>技术有限公司</w:t>
      </w:r>
      <w:r>
        <w:rPr>
          <w:rFonts w:ascii="Times New Roman" w:hAnsi="Times New Roman" w:cs="Times New Roman" w:eastAsia="Times New Roman" w:hint="default"/>
        </w:rPr>
        <w:t>3</w:t>
      </w:r>
      <w:r>
        <w:rPr/>
        <w:t>家子公司</w:t>
      </w:r>
      <w:r>
        <w:rPr>
          <w:rFonts w:ascii="Times New Roman" w:hAnsi="Times New Roman" w:cs="Times New Roman" w:eastAsia="Times New Roman" w:hint="default"/>
        </w:rPr>
        <w:t>100%</w:t>
      </w:r>
      <w:r>
        <w:rPr/>
        <w:t>的股权投资，以及对东莞市新铂铼电子有限公司（以下简称</w:t>
      </w:r>
      <w:r>
        <w:rPr>
          <w:rFonts w:ascii="Times New Roman" w:hAnsi="Times New Roman" w:cs="Times New Roman" w:eastAsia="Times New Roman" w:hint="default"/>
        </w:rPr>
        <w:t>“</w:t>
      </w:r>
      <w:r>
        <w:rPr/>
        <w:t>新铂铼</w:t>
      </w:r>
      <w:r>
        <w:rPr>
          <w:rFonts w:ascii="Times New Roman" w:hAnsi="Times New Roman" w:cs="Times New Roman" w:eastAsia="Times New Roman" w:hint="default"/>
        </w:rPr>
        <w:t>”</w:t>
      </w:r>
      <w:r>
        <w:rPr/>
        <w:t>）</w:t>
      </w:r>
      <w:r>
        <w:rPr>
          <w:rFonts w:ascii="Times New Roman" w:hAnsi="Times New Roman" w:cs="Times New Roman" w:eastAsia="Times New Roman" w:hint="default"/>
        </w:rPr>
        <w:t>68%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的股权投资。因此蓝盾股份并购华炜科技形成的商誉相关的资产组组合应分为两部分，即除新铂铼以外的</w:t>
      </w:r>
      <w:r>
        <w:rPr>
          <w:spacing w:val="-43"/>
        </w:rPr>
        <w:t> </w:t>
      </w:r>
      <w:r>
        <w:rPr>
          <w:spacing w:val="-43"/>
        </w:rPr>
      </w:r>
      <w:r>
        <w:rPr/>
        <w:t>华炜科技资产组组合及新铂铼资产组组合。商誉需在不同的资产组组合之间进行分摊。</w:t>
      </w:r>
    </w:p>
    <w:p>
      <w:pPr>
        <w:pStyle w:val="BodyText"/>
        <w:spacing w:line="240" w:lineRule="auto" w:before="39"/>
        <w:ind w:left="573" w:right="1133"/>
        <w:jc w:val="left"/>
      </w:pPr>
      <w:r>
        <w:rPr>
          <w:spacing w:val="2"/>
        </w:rPr>
        <w:t>根据购买日上述两个资产组组合各自账面公允价值占两个资产组组合总账面公允价值的比例对商誉</w:t>
      </w:r>
    </w:p>
    <w:p>
      <w:pPr>
        <w:spacing w:after="0" w:line="240" w:lineRule="auto"/>
        <w:jc w:val="left"/>
        <w:sectPr>
          <w:pgSz w:w="11910" w:h="16840"/>
          <w:pgMar w:header="0" w:footer="980" w:top="1100" w:bottom="1160" w:left="980" w:right="0"/>
        </w:sectPr>
      </w:pPr>
    </w:p>
    <w:p>
      <w:pPr>
        <w:spacing w:line="240" w:lineRule="auto" w:before="6"/>
        <w:rPr>
          <w:rFonts w:ascii="宋体" w:hAnsi="宋体" w:cs="宋体" w:eastAsia="宋体" w:hint="default"/>
          <w:sz w:val="27"/>
          <w:szCs w:val="27"/>
        </w:rPr>
      </w:pPr>
    </w:p>
    <w:p>
      <w:pPr>
        <w:pStyle w:val="BodyText"/>
        <w:spacing w:line="331" w:lineRule="auto" w:before="36"/>
        <w:ind w:right="1128"/>
        <w:jc w:val="left"/>
      </w:pPr>
      <w:r>
        <w:rPr>
          <w:spacing w:val="-5"/>
          <w:w w:val="100"/>
        </w:rPr>
        <w:t>进行分摊计算，除新铂铼以外的华炜科技资产组组合对应的商誉为</w:t>
      </w:r>
      <w:r>
        <w:rPr>
          <w:rFonts w:ascii="Times New Roman" w:hAnsi="Times New Roman" w:cs="Times New Roman" w:eastAsia="Times New Roman" w:hint="default"/>
          <w:spacing w:val="-5"/>
          <w:w w:val="100"/>
        </w:rPr>
        <w:t>18,328.69</w:t>
      </w:r>
      <w:r>
        <w:rPr>
          <w:spacing w:val="-5"/>
          <w:w w:val="100"/>
        </w:rPr>
        <w:t>万元，新铂铼资产组组合的</w:t>
      </w:r>
      <w:r>
        <w:rPr>
          <w:rFonts w:ascii="Times New Roman" w:hAnsi="Times New Roman" w:cs="Times New Roman" w:eastAsia="Times New Roman" w:hint="default"/>
          <w:spacing w:val="-5"/>
          <w:w w:val="100"/>
        </w:rPr>
        <w:t>68%</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对应的商誉为</w:t>
      </w:r>
      <w:r>
        <w:rPr>
          <w:rFonts w:ascii="Times New Roman" w:hAnsi="Times New Roman" w:cs="Times New Roman" w:eastAsia="Times New Roman" w:hint="default"/>
        </w:rPr>
        <w:t>617.80</w:t>
      </w:r>
      <w:r>
        <w:rPr/>
        <w:t>万元，合计商誉为</w:t>
      </w:r>
      <w:r>
        <w:rPr>
          <w:rFonts w:ascii="Times New Roman" w:hAnsi="Times New Roman" w:cs="Times New Roman" w:eastAsia="Times New Roman" w:hint="default"/>
        </w:rPr>
        <w:t>18,946.50</w:t>
      </w:r>
      <w:r>
        <w:rPr/>
        <w:t>万元。</w:t>
      </w:r>
    </w:p>
    <w:p>
      <w:pPr>
        <w:pStyle w:val="BodyText"/>
        <w:spacing w:line="240" w:lineRule="auto" w:before="19"/>
        <w:ind w:left="573" w:right="1133"/>
        <w:jc w:val="left"/>
      </w:pPr>
      <w:r>
        <w:rPr>
          <w:rFonts w:ascii="Times New Roman" w:hAnsi="Times New Roman" w:cs="Times New Roman" w:eastAsia="Times New Roman" w:hint="default"/>
        </w:rPr>
        <w:t>1</w:t>
      </w:r>
      <w:r>
        <w:rPr/>
        <w:t>）除新铂铼以外的华炜科技资产组组合</w:t>
      </w: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47"/>
        <w:gridCol w:w="4693"/>
      </w:tblGrid>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31"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5,766.10</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456.19</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1,484.45</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43.27</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13.46</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7,763.47</w:t>
            </w: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0" w:footer="980" w:top="1100" w:bottom="1160" w:left="980" w:right="0"/>
        </w:sectPr>
      </w:pPr>
    </w:p>
    <w:p>
      <w:pPr>
        <w:pStyle w:val="BodyText"/>
        <w:spacing w:line="240" w:lineRule="auto" w:before="36"/>
        <w:ind w:left="573" w:right="0"/>
        <w:jc w:val="left"/>
      </w:pPr>
      <w:r>
        <w:rPr>
          <w:rFonts w:ascii="Times New Roman" w:hAnsi="Times New Roman" w:cs="Times New Roman" w:eastAsia="Times New Roman" w:hint="default"/>
          <w:spacing w:val="-2"/>
        </w:rPr>
        <w:t>2</w:t>
      </w:r>
      <w:r>
        <w:rPr>
          <w:spacing w:val="-2"/>
        </w:rPr>
        <w:t>）新铂铼资产组组合</w:t>
      </w:r>
    </w:p>
    <w:p>
      <w:pPr>
        <w:spacing w:line="240" w:lineRule="auto" w:before="0"/>
        <w:rPr>
          <w:rFonts w:ascii="宋体" w:hAnsi="宋体" w:cs="宋体" w:eastAsia="宋体" w:hint="default"/>
          <w:sz w:val="18"/>
          <w:szCs w:val="18"/>
        </w:rPr>
      </w:pPr>
      <w:r>
        <w:rPr/>
        <w:br w:type="column"/>
      </w:r>
      <w:r>
        <w:rPr>
          <w:rFonts w:ascii="宋体"/>
          <w:sz w:val="18"/>
        </w:rPr>
      </w:r>
    </w:p>
    <w:p>
      <w:pPr>
        <w:spacing w:before="133"/>
        <w:ind w:left="57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71" w:space="5749"/>
            <w:col w:w="2610"/>
          </w:cols>
        </w:sectPr>
      </w:pP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47"/>
        <w:gridCol w:w="4693"/>
      </w:tblGrid>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31"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358.79</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7.38</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3.64</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34.71</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404.52</w:t>
            </w:r>
          </w:p>
        </w:tc>
      </w:tr>
    </w:tbl>
    <w:p>
      <w:pPr>
        <w:pStyle w:val="BodyText"/>
        <w:spacing w:line="331" w:lineRule="auto" w:before="74"/>
        <w:ind w:left="573" w:right="4274"/>
        <w:jc w:val="left"/>
      </w:pPr>
      <w:r>
        <w:rPr>
          <w:spacing w:val="-2"/>
        </w:rPr>
        <w:t>（</w:t>
      </w:r>
      <w:r>
        <w:rPr>
          <w:rFonts w:ascii="Times New Roman" w:hAnsi="Times New Roman" w:cs="Times New Roman" w:eastAsia="Times New Roman" w:hint="default"/>
          <w:spacing w:val="-2"/>
        </w:rPr>
        <w:t>2</w:t>
      </w:r>
      <w:r>
        <w:rPr>
          <w:spacing w:val="-2"/>
        </w:rPr>
        <w:t>）中经汇通电子商务有限公司、汇通宝支付有限责任公司</w:t>
      </w:r>
      <w:r>
        <w:rPr>
          <w:spacing w:val="-56"/>
        </w:rPr>
        <w:t> </w:t>
      </w:r>
      <w:r>
        <w:rPr>
          <w:spacing w:val="-56"/>
        </w:rPr>
      </w:r>
      <w:r>
        <w:rPr/>
        <w:t>资产组的构成：</w:t>
      </w:r>
    </w:p>
    <w:p>
      <w:pPr>
        <w:pStyle w:val="BodyText"/>
        <w:spacing w:line="345" w:lineRule="auto" w:before="43"/>
        <w:ind w:right="1126" w:firstLine="42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日，汇通宝支付有限责任公司无下设子公司；中经汇通电子商务有限公司下设四家</w:t>
      </w:r>
      <w:r>
        <w:rPr>
          <w:w w:val="100"/>
        </w:rPr>
        <w:t> </w:t>
      </w:r>
      <w:r>
        <w:rPr>
          <w:spacing w:val="-2"/>
        </w:rPr>
        <w:t>子公司，分别为福建中经汇通有限责任公司、广东中经汇通交通运输有限公司、始兴县都亨加油站有限公</w:t>
      </w:r>
      <w:r>
        <w:rPr>
          <w:spacing w:val="-42"/>
        </w:rPr>
        <w:t> </w:t>
      </w:r>
      <w:r>
        <w:rPr>
          <w:spacing w:val="-42"/>
        </w:rPr>
      </w:r>
      <w:r>
        <w:rPr>
          <w:spacing w:val="-2"/>
        </w:rPr>
        <w:t>司和广州市汇特慧科技有限公司，这四家子公司均为蓝盾股份并购中经电商和汇通宝后新设成立的。经公</w:t>
      </w:r>
      <w:r>
        <w:rPr>
          <w:spacing w:val="-43"/>
        </w:rPr>
        <w:t> </w:t>
      </w:r>
      <w:r>
        <w:rPr>
          <w:spacing w:val="-43"/>
        </w:rPr>
      </w:r>
      <w:r>
        <w:rPr>
          <w:spacing w:val="-2"/>
        </w:rPr>
        <w:t>司管理层确定，福建中经汇通有限责任公司经营的业务与中经电商业务相似，属于蓝盾股份并购中经电商</w:t>
      </w:r>
      <w:r>
        <w:rPr>
          <w:spacing w:val="-43"/>
        </w:rPr>
        <w:t> </w:t>
      </w:r>
      <w:r>
        <w:rPr>
          <w:spacing w:val="-43"/>
        </w:rPr>
      </w:r>
      <w:r>
        <w:rPr>
          <w:spacing w:val="-2"/>
        </w:rPr>
        <w:t>和汇通宝形成的商誉所涉及的相关经营业务，具有协同效应，即属于蓝盾股份并购中经电商和汇通宝形成</w:t>
      </w:r>
      <w:r>
        <w:rPr>
          <w:spacing w:val="-42"/>
        </w:rPr>
        <w:t> </w:t>
      </w:r>
      <w:r>
        <w:rPr>
          <w:spacing w:val="-42"/>
        </w:rPr>
      </w:r>
      <w:r>
        <w:rPr>
          <w:spacing w:val="-2"/>
        </w:rPr>
        <w:t>的商誉所涉及的相关资产组组合；广东中经汇通交通运输有限公司主要是围绕佛山智慧交通一体化平台项</w:t>
      </w:r>
      <w:r>
        <w:rPr>
          <w:spacing w:val="-43"/>
        </w:rPr>
        <w:t> </w:t>
      </w:r>
      <w:r>
        <w:rPr>
          <w:spacing w:val="-43"/>
        </w:rPr>
      </w:r>
      <w:r>
        <w:rPr>
          <w:spacing w:val="-2"/>
        </w:rPr>
        <w:t>目开展相关业务，主要负责平台的具体开发、市场化运营和推广工作，属于蓝盾股份并购中经电商和汇通</w:t>
      </w:r>
      <w:r>
        <w:rPr>
          <w:spacing w:val="-43"/>
        </w:rPr>
        <w:t> </w:t>
      </w:r>
      <w:r>
        <w:rPr>
          <w:spacing w:val="-43"/>
        </w:rPr>
      </w:r>
      <w:r>
        <w:rPr>
          <w:spacing w:val="-2"/>
        </w:rPr>
        <w:t>宝形成的商誉所涉及的相关经营业务，具有协同效应，即属于蓝盾股份并购中经电商和汇通宝形成的商誉</w:t>
      </w:r>
      <w:r>
        <w:rPr>
          <w:spacing w:val="-44"/>
        </w:rPr>
        <w:t> </w:t>
      </w:r>
      <w:r>
        <w:rPr>
          <w:spacing w:val="-44"/>
        </w:rPr>
      </w:r>
      <w:r>
        <w:rPr>
          <w:spacing w:val="-2"/>
        </w:rPr>
        <w:t>所涉及的相关资产组组合；始兴县都亨加油站有限公司于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日成立，目前仅有少量费用支出，尚</w:t>
      </w:r>
      <w:r>
        <w:rPr>
          <w:spacing w:val="-37"/>
        </w:rPr>
        <w:t> </w:t>
      </w:r>
      <w:r>
        <w:rPr>
          <w:spacing w:val="-37"/>
        </w:rPr>
      </w:r>
      <w:r>
        <w:rPr>
          <w:spacing w:val="-2"/>
        </w:rPr>
        <w:t>未开始经营。且其经营范围为零售：汽油、柴油、煤油。与商誉相关业务有明显差别，因此其不属于商誉</w:t>
      </w:r>
      <w:r>
        <w:rPr>
          <w:spacing w:val="-45"/>
        </w:rPr>
        <w:t> </w:t>
      </w:r>
      <w:r>
        <w:rPr>
          <w:spacing w:val="-45"/>
        </w:rPr>
      </w:r>
      <w:r>
        <w:rPr>
          <w:spacing w:val="-2"/>
        </w:rPr>
        <w:t>所在资产组组合所处企业；广州市汇特慧科技有限公司是中经汇通于</w:t>
      </w:r>
      <w:r>
        <w:rPr>
          <w:rFonts w:ascii="Times New Roman" w:hAnsi="Times New Roman" w:cs="Times New Roman" w:eastAsia="Times New Roman" w:hint="default"/>
          <w:spacing w:val="-2"/>
        </w:rPr>
        <w:t>2019</w:t>
      </w:r>
      <w:r>
        <w:rPr>
          <w:spacing w:val="-2"/>
        </w:rPr>
        <w:t>年全资收购的企业，为中经汇通</w:t>
      </w:r>
      <w:r>
        <w:rPr>
          <w:spacing w:val="-41"/>
        </w:rPr>
        <w:t> </w:t>
      </w:r>
      <w:r>
        <w:rPr>
          <w:spacing w:val="-41"/>
        </w:rPr>
      </w:r>
      <w:r>
        <w:rPr>
          <w:spacing w:val="-2"/>
        </w:rPr>
        <w:t>研发大数据管理平台，目前平台仍在规划中，尚未完成开发，后续将为中经汇通业务提供数据管理、分析</w:t>
      </w:r>
      <w:r>
        <w:rPr>
          <w:spacing w:val="-50"/>
        </w:rPr>
        <w:t> </w:t>
      </w:r>
      <w:r>
        <w:rPr>
          <w:spacing w:val="-50"/>
        </w:rPr>
      </w:r>
      <w:r>
        <w:rPr>
          <w:spacing w:val="-2"/>
        </w:rPr>
        <w:t>及应用支撑。截止评估基准日，该公司账面尚无记录有资产负债以及经营损益，尚处于规划中，因此其不</w:t>
      </w:r>
      <w:r>
        <w:rPr>
          <w:spacing w:val="-47"/>
        </w:rPr>
        <w:t> </w:t>
      </w:r>
      <w:r>
        <w:rPr>
          <w:spacing w:val="-47"/>
        </w:rPr>
      </w:r>
      <w:r>
        <w:rPr/>
        <w:t>属于商誉所在资产组组合所处企业。</w:t>
      </w:r>
    </w:p>
    <w:p>
      <w:pPr>
        <w:pStyle w:val="BodyText"/>
        <w:spacing w:line="240" w:lineRule="auto" w:before="33"/>
        <w:ind w:left="573" w:right="982"/>
        <w:jc w:val="left"/>
      </w:pPr>
      <w:r>
        <w:rPr/>
        <w:t>由于中经电商和汇通宝的经营活动的管理相对统一，并且经营决策权相对集中，对于蓝盾股份而言，</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left="573" w:right="1133" w:hanging="421"/>
        <w:jc w:val="left"/>
      </w:pPr>
      <w:r>
        <w:rPr/>
        <w:t>上述公司同属一个报告分部。</w:t>
      </w:r>
      <w:r>
        <w:rPr>
          <w:w w:val="100"/>
        </w:rPr>
        <w:t> </w:t>
      </w:r>
      <w:r>
        <w:rPr>
          <w:spacing w:val="-2"/>
        </w:rPr>
        <w:t>综上所述，中经电商及其四家下属子公司和汇通宝具有协同效应，故将上述公司相关的经营性长期资</w:t>
      </w:r>
    </w:p>
    <w:p>
      <w:pPr>
        <w:pStyle w:val="BodyText"/>
        <w:spacing w:line="273" w:lineRule="auto" w:before="27"/>
        <w:ind w:left="573" w:right="2602" w:hanging="421"/>
        <w:jc w:val="left"/>
      </w:pPr>
      <w:r>
        <w:rPr/>
        <w:t>产合并为商誉所在资产组组合。</w:t>
      </w:r>
      <w:r>
        <w:rPr>
          <w:w w:val="100"/>
        </w:rPr>
        <w:t> </w:t>
      </w:r>
      <w:r>
        <w:rPr>
          <w:spacing w:val="-2"/>
        </w:rPr>
        <w:t>报告期内的资产组与购买日所确定的资产组一致，具体明细如下：</w:t>
      </w:r>
    </w:p>
    <w:p>
      <w:pPr>
        <w:spacing w:before="2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47"/>
        <w:gridCol w:w="4693"/>
      </w:tblGrid>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31"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17,782.52</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6,948.59</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303.80</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14,101.79</w:t>
            </w:r>
          </w:p>
        </w:tc>
      </w:tr>
      <w:tr>
        <w:trPr>
          <w:trHeight w:val="349"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39,136.70</w:t>
            </w:r>
          </w:p>
        </w:tc>
      </w:tr>
    </w:tbl>
    <w:p>
      <w:pPr>
        <w:pStyle w:val="BodyText"/>
        <w:spacing w:line="328" w:lineRule="auto" w:before="74"/>
        <w:ind w:left="573" w:right="6474"/>
        <w:jc w:val="left"/>
      </w:pPr>
      <w:r>
        <w:rPr>
          <w:spacing w:val="-2"/>
        </w:rPr>
        <w:t>（</w:t>
      </w:r>
      <w:r>
        <w:rPr>
          <w:rFonts w:ascii="Times New Roman" w:hAnsi="Times New Roman" w:cs="Times New Roman" w:eastAsia="Times New Roman" w:hint="default"/>
          <w:spacing w:val="-2"/>
        </w:rPr>
        <w:t>3</w:t>
      </w:r>
      <w:r>
        <w:rPr>
          <w:spacing w:val="-2"/>
        </w:rPr>
        <w:t>）深圳市蓝盾满泰科技发展有限公司</w:t>
      </w:r>
      <w:r>
        <w:rPr>
          <w:spacing w:val="-72"/>
        </w:rPr>
        <w:t> </w:t>
      </w:r>
      <w:r>
        <w:rPr>
          <w:spacing w:val="-72"/>
        </w:rPr>
      </w:r>
      <w:r>
        <w:rPr/>
        <w:t>资产组的构成：</w:t>
      </w:r>
    </w:p>
    <w:p>
      <w:pPr>
        <w:pStyle w:val="BodyText"/>
        <w:spacing w:line="345" w:lineRule="auto" w:before="48"/>
        <w:ind w:right="1126" w:firstLine="42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日，深圳市蓝盾满泰科技发展有限公司下设一家子公司，为广州市满泰信息科技有</w:t>
      </w:r>
      <w:r>
        <w:rPr>
          <w:w w:val="100"/>
        </w:rPr>
        <w:t> </w:t>
      </w:r>
      <w:r>
        <w:rPr>
          <w:spacing w:val="-2"/>
        </w:rPr>
        <w:t>限公司，该子公司系蓝盾股份并购深圳满泰后新设成立的，其经营业务均属于蓝盾股份收购深圳满泰形成</w:t>
      </w:r>
      <w:r>
        <w:rPr>
          <w:spacing w:val="-44"/>
        </w:rPr>
        <w:t> </w:t>
      </w:r>
      <w:r>
        <w:rPr>
          <w:spacing w:val="-44"/>
        </w:rPr>
      </w:r>
      <w:r>
        <w:rPr>
          <w:spacing w:val="-2"/>
        </w:rPr>
        <w:t>的商誉所涉及的相关经营业务；同时，公司对其实施一体化管理。对于蓝盾股份而言，上述公司同属一个</w:t>
      </w:r>
      <w:r>
        <w:rPr>
          <w:spacing w:val="-47"/>
        </w:rPr>
        <w:t> </w:t>
      </w:r>
      <w:r>
        <w:rPr>
          <w:spacing w:val="-47"/>
        </w:rPr>
      </w:r>
      <w:r>
        <w:rPr>
          <w:spacing w:val="-2"/>
        </w:rPr>
        <w:t>报告分部。因此，本次商誉减值测试以合并口径相关的经营性长期资产纳入商誉相关的资产组组合，对于</w:t>
      </w:r>
      <w:r>
        <w:rPr>
          <w:spacing w:val="-43"/>
        </w:rPr>
        <w:t> </w:t>
      </w:r>
      <w:r>
        <w:rPr>
          <w:spacing w:val="-43"/>
        </w:rPr>
      </w:r>
      <w:r>
        <w:rPr/>
        <w:t>其经营收益采用合并口径进行预测。</w:t>
      </w:r>
    </w:p>
    <w:p>
      <w:pPr>
        <w:pStyle w:val="BodyText"/>
        <w:spacing w:line="240" w:lineRule="auto" w:before="31"/>
        <w:ind w:left="573" w:right="1133"/>
        <w:jc w:val="left"/>
      </w:pPr>
      <w:r>
        <w:rPr/>
        <w:t>报告期内的资产组与购买日所确定的资产组一致，具体明细如下：</w:t>
      </w:r>
    </w:p>
    <w:p>
      <w:pPr>
        <w:spacing w:before="6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089"/>
        <w:gridCol w:w="4551"/>
      </w:tblGrid>
      <w:tr>
        <w:trPr>
          <w:trHeight w:val="348" w:hRule="exact"/>
        </w:trPr>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资产组资产类别</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59" w:right="0"/>
              <w:jc w:val="left"/>
              <w:rPr>
                <w:rFonts w:ascii="宋体" w:hAnsi="宋体" w:cs="宋体" w:eastAsia="宋体" w:hint="default"/>
                <w:sz w:val="18"/>
                <w:szCs w:val="18"/>
              </w:rPr>
            </w:pPr>
            <w:r>
              <w:rPr>
                <w:rFonts w:ascii="宋体" w:hAnsi="宋体" w:cs="宋体" w:eastAsia="宋体" w:hint="default"/>
                <w:sz w:val="18"/>
                <w:szCs w:val="18"/>
              </w:rPr>
              <w:t>资产组资产账面价值</w:t>
            </w:r>
          </w:p>
        </w:tc>
      </w:tr>
      <w:tr>
        <w:trPr>
          <w:trHeight w:val="346" w:hRule="exact"/>
        </w:trPr>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9,327.17</w:t>
            </w:r>
          </w:p>
        </w:tc>
      </w:tr>
      <w:tr>
        <w:trPr>
          <w:trHeight w:val="348" w:hRule="exact"/>
        </w:trPr>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1,532.07</w:t>
            </w:r>
          </w:p>
        </w:tc>
      </w:tr>
      <w:tr>
        <w:trPr>
          <w:trHeight w:val="346" w:hRule="exact"/>
        </w:trPr>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121.34</w:t>
            </w:r>
          </w:p>
        </w:tc>
      </w:tr>
      <w:tr>
        <w:trPr>
          <w:trHeight w:val="348" w:hRule="exact"/>
        </w:trPr>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10,980.58</w:t>
            </w:r>
          </w:p>
        </w:tc>
      </w:tr>
    </w:tbl>
    <w:p>
      <w:pPr>
        <w:spacing w:line="240" w:lineRule="auto" w:before="4"/>
        <w:rPr>
          <w:rFonts w:ascii="宋体" w:hAnsi="宋体" w:cs="宋体" w:eastAsia="宋体" w:hint="default"/>
          <w:sz w:val="27"/>
          <w:szCs w:val="27"/>
        </w:rPr>
      </w:pPr>
    </w:p>
    <w:p>
      <w:pPr>
        <w:spacing w:line="316" w:lineRule="auto" w:before="44"/>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240" w:lineRule="auto" w:before="123"/>
        <w:ind w:left="573" w:right="1133"/>
        <w:jc w:val="left"/>
      </w:pPr>
      <w:r>
        <w:rPr/>
        <w:t>（</w:t>
      </w:r>
      <w:r>
        <w:rPr>
          <w:rFonts w:ascii="Times New Roman" w:hAnsi="Times New Roman" w:cs="Times New Roman" w:eastAsia="Times New Roman" w:hint="default"/>
        </w:rPr>
        <w:t>1</w:t>
      </w:r>
      <w:r>
        <w:rPr/>
        <w:t>）广州华炜科技有限公司</w:t>
      </w:r>
    </w:p>
    <w:p>
      <w:pPr>
        <w:pStyle w:val="BodyText"/>
        <w:spacing w:line="350" w:lineRule="auto" w:before="110"/>
        <w:ind w:left="573" w:right="1133"/>
        <w:jc w:val="left"/>
        <w:rPr>
          <w:rFonts w:ascii="Times New Roman" w:hAnsi="Times New Roman" w:cs="Times New Roman" w:eastAsia="Times New Roman" w:hint="default"/>
        </w:rPr>
      </w:pPr>
      <w:r>
        <w:rPr/>
        <w:t>①商誉所在资产组组合的未来预期收益及收益实现时点</w:t>
      </w:r>
      <w:r>
        <w:rPr>
          <w:w w:val="100"/>
        </w:rPr>
        <w:t> </w:t>
      </w:r>
      <w:r>
        <w:rPr/>
        <w:t>预期收益采用资产组组合现金流量口径预测，实现收益的时点按年中折算。根据《企业会计准则第</w:t>
      </w:r>
      <w:r>
        <w:rPr>
          <w:rFonts w:ascii="Times New Roman" w:hAnsi="Times New Roman" w:cs="Times New Roman" w:eastAsia="Times New Roman" w:hint="default"/>
        </w:rPr>
        <w:t>8</w:t>
      </w:r>
    </w:p>
    <w:p>
      <w:pPr>
        <w:pStyle w:val="BodyText"/>
        <w:spacing w:line="331" w:lineRule="auto"/>
        <w:ind w:right="1133"/>
        <w:jc w:val="left"/>
      </w:pPr>
      <w:r>
        <w:rPr>
          <w:spacing w:val="-2"/>
        </w:rPr>
        <w:t>号</w:t>
      </w:r>
      <w:r>
        <w:rPr>
          <w:rFonts w:ascii="Times New Roman" w:hAnsi="Times New Roman" w:cs="Times New Roman" w:eastAsia="Times New Roman" w:hint="default"/>
          <w:spacing w:val="-2"/>
        </w:rPr>
        <w:t>——</w:t>
      </w:r>
      <w:r>
        <w:rPr>
          <w:spacing w:val="-2"/>
        </w:rPr>
        <w:t>资产减值》（</w:t>
      </w:r>
      <w:r>
        <w:rPr>
          <w:rFonts w:ascii="Times New Roman" w:hAnsi="Times New Roman" w:cs="Times New Roman" w:eastAsia="Times New Roman" w:hint="default"/>
          <w:spacing w:val="-2"/>
        </w:rPr>
        <w:t>2006</w:t>
      </w:r>
      <w:r>
        <w:rPr>
          <w:spacing w:val="-2"/>
        </w:rPr>
        <w:t>）第十二条，商誉所在资产组或资产组组合产生的未来现金流量不考虑筹资活动</w:t>
      </w:r>
      <w:r>
        <w:rPr>
          <w:spacing w:val="-41"/>
        </w:rPr>
        <w:t> </w:t>
      </w:r>
      <w:r>
        <w:rPr>
          <w:spacing w:val="-41"/>
        </w:rPr>
      </w:r>
      <w:r>
        <w:rPr/>
        <w:t>的现金流入或流出以及与所得税收付有关的现金流量，则：</w:t>
      </w:r>
    </w:p>
    <w:p>
      <w:pPr>
        <w:pStyle w:val="BodyText"/>
        <w:spacing w:line="240" w:lineRule="auto" w:before="46"/>
        <w:ind w:left="573" w:right="1133"/>
        <w:jc w:val="left"/>
      </w:pPr>
      <w:r>
        <w:rPr/>
        <w:t>息税前现金净流量</w:t>
      </w:r>
      <w:r>
        <w:rPr>
          <w:rFonts w:ascii="Times New Roman" w:hAnsi="Times New Roman" w:cs="Times New Roman" w:eastAsia="Times New Roman" w:hint="default"/>
        </w:rPr>
        <w:t>=</w:t>
      </w:r>
      <w:r>
        <w:rPr/>
        <w:t>息税前利润</w:t>
      </w:r>
      <w:r>
        <w:rPr>
          <w:rFonts w:ascii="Times New Roman" w:hAnsi="Times New Roman" w:cs="Times New Roman" w:eastAsia="Times New Roman" w:hint="default"/>
        </w:rPr>
        <w:t>+</w:t>
      </w:r>
      <w:r>
        <w:rPr/>
        <w:t>折旧与摊销－营运资金增加额－资本性支出</w:t>
      </w:r>
    </w:p>
    <w:p>
      <w:pPr>
        <w:pStyle w:val="BodyText"/>
        <w:spacing w:line="350" w:lineRule="auto" w:before="107"/>
        <w:ind w:left="573" w:right="1133"/>
        <w:jc w:val="left"/>
      </w:pPr>
      <w:r>
        <w:rPr/>
        <w:t>②商誉所在资产组组合预期收益的持续时间</w:t>
      </w:r>
      <w:r>
        <w:rPr>
          <w:w w:val="100"/>
        </w:rPr>
        <w:t> </w:t>
      </w:r>
      <w:r>
        <w:rPr>
          <w:spacing w:val="-2"/>
        </w:rPr>
        <w:t>国家有关法律法规未对企业的经营期限有所限制，本次评估设定在正常情况下，资产组组合将一直持</w:t>
      </w:r>
    </w:p>
    <w:p>
      <w:pPr>
        <w:pStyle w:val="BodyText"/>
        <w:spacing w:line="240" w:lineRule="auto" w:before="29"/>
        <w:ind w:right="982"/>
        <w:jc w:val="left"/>
      </w:pPr>
      <w:r>
        <w:rPr/>
        <w:t>续经营，因此，商誉所在资产组组合预期收益按永续经营计算。其中，第一阶段为</w:t>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2024</w:t>
      </w:r>
      <w:r>
        <w:rPr/>
        <w:t>年，在此</w:t>
      </w:r>
    </w:p>
    <w:p>
      <w:pPr>
        <w:spacing w:after="0" w:line="240" w:lineRule="auto"/>
        <w:jc w:val="left"/>
        <w:sectPr>
          <w:pgSz w:w="11910" w:h="16840"/>
          <w:pgMar w:header="0" w:footer="980" w:top="1100" w:bottom="1160" w:left="980" w:right="0"/>
        </w:sectPr>
      </w:pPr>
    </w:p>
    <w:p>
      <w:pPr>
        <w:spacing w:line="240" w:lineRule="auto" w:before="6"/>
        <w:rPr>
          <w:rFonts w:ascii="宋体" w:hAnsi="宋体" w:cs="宋体" w:eastAsia="宋体" w:hint="default"/>
          <w:sz w:val="27"/>
          <w:szCs w:val="27"/>
        </w:rPr>
      </w:pPr>
    </w:p>
    <w:p>
      <w:pPr>
        <w:pStyle w:val="BodyText"/>
        <w:spacing w:line="331" w:lineRule="auto" w:before="36"/>
        <w:ind w:right="1133"/>
        <w:jc w:val="left"/>
      </w:pPr>
      <w:r>
        <w:rPr>
          <w:spacing w:val="-2"/>
        </w:rPr>
        <w:t>阶段根据被评估对象的经营情况及经营计划，收益状况处于变化中；第二阶段自</w:t>
      </w:r>
      <w:r>
        <w:rPr>
          <w:rFonts w:ascii="Times New Roman" w:hAnsi="Times New Roman" w:cs="Times New Roman" w:eastAsia="Times New Roman" w:hint="default"/>
          <w:spacing w:val="-2"/>
        </w:rPr>
        <w:t>2025</w:t>
      </w:r>
      <w:r>
        <w:rPr>
          <w:spacing w:val="-2"/>
        </w:rPr>
        <w:t>年起为永续经营，在</w:t>
      </w:r>
      <w:r>
        <w:rPr>
          <w:spacing w:val="-39"/>
        </w:rPr>
        <w:t> </w:t>
      </w:r>
      <w:r>
        <w:rPr>
          <w:spacing w:val="-39"/>
        </w:rPr>
      </w:r>
      <w:r>
        <w:rPr/>
        <w:t>此阶段被评估对象将保持稳定的盈利水平。</w:t>
      </w:r>
    </w:p>
    <w:p>
      <w:pPr>
        <w:pStyle w:val="BodyText"/>
        <w:spacing w:line="340" w:lineRule="auto" w:before="43"/>
        <w:ind w:right="1126" w:firstLine="420"/>
        <w:jc w:val="both"/>
      </w:pPr>
      <w:r>
        <w:rPr>
          <w:spacing w:val="-2"/>
        </w:rPr>
        <w:t>③根据企业加权资金成本考虑与资产预计现金流有关的特定风险作适当调整后，确定的除新铂铼以外</w:t>
      </w:r>
      <w:r>
        <w:rPr>
          <w:w w:val="100"/>
        </w:rPr>
        <w:t> </w:t>
      </w:r>
      <w:r>
        <w:rPr>
          <w:spacing w:val="-3"/>
        </w:rPr>
        <w:t>的华炜科技资产组组合计算预计未来现金流量现值的税前折现率为</w:t>
      </w:r>
      <w:r>
        <w:rPr>
          <w:rFonts w:ascii="Times New Roman" w:hAnsi="Times New Roman" w:cs="Times New Roman" w:eastAsia="Times New Roman" w:hint="default"/>
          <w:spacing w:val="-3"/>
        </w:rPr>
        <w:t>14.63%</w:t>
      </w:r>
      <w:r>
        <w:rPr>
          <w:spacing w:val="-3"/>
        </w:rPr>
        <w:t>，新铂铼资产组组合计算预计未</w:t>
      </w:r>
      <w:r>
        <w:rPr>
          <w:spacing w:val="-4"/>
        </w:rPr>
        <w:t> </w:t>
      </w:r>
      <w:r>
        <w:rPr>
          <w:spacing w:val="-4"/>
        </w:rPr>
      </w:r>
      <w:r>
        <w:rPr/>
        <w:t>来现金流量现值的税前折现率为</w:t>
      </w:r>
      <w:r>
        <w:rPr>
          <w:rFonts w:ascii="Times New Roman" w:hAnsi="Times New Roman" w:cs="Times New Roman" w:eastAsia="Times New Roman" w:hint="default"/>
        </w:rPr>
        <w:t>14.63%</w:t>
      </w:r>
      <w:r>
        <w:rPr/>
        <w:t>。</w:t>
      </w:r>
    </w:p>
    <w:p>
      <w:pPr>
        <w:pStyle w:val="BodyText"/>
        <w:spacing w:line="350" w:lineRule="auto" w:before="10"/>
        <w:ind w:right="1126" w:firstLine="420"/>
        <w:jc w:val="both"/>
      </w:pPr>
      <w:r>
        <w:rPr>
          <w:spacing w:val="-2"/>
        </w:rPr>
        <w:t>减值测试中采用的其他关键数据包括：产品预计售价、销量、采购成本及其他相关费用，公司根据历</w:t>
      </w:r>
      <w:r>
        <w:rPr>
          <w:w w:val="100"/>
        </w:rPr>
        <w:t> </w:t>
      </w:r>
      <w:r>
        <w:rPr>
          <w:spacing w:val="-2"/>
        </w:rPr>
        <w:t>史经验及对市场发展的预测确定上述关键数据。公司聘请了具有证券资格的资产评估机构广东中广信资产</w:t>
      </w:r>
      <w:r>
        <w:rPr>
          <w:spacing w:val="-43"/>
        </w:rPr>
        <w:t> </w:t>
      </w:r>
      <w:r>
        <w:rPr>
          <w:spacing w:val="-43"/>
        </w:rPr>
      </w:r>
      <w:r>
        <w:rPr/>
        <w:t>评估有限公司对上述包含商誉的资产组进行了评估，并出具了中广信评报字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098</w:t>
      </w:r>
      <w:r>
        <w:rPr/>
        <w:t>号评估报告。</w:t>
      </w:r>
    </w:p>
    <w:p>
      <w:pPr>
        <w:pStyle w:val="BodyText"/>
        <w:spacing w:line="240" w:lineRule="auto"/>
        <w:ind w:left="573" w:right="1133"/>
        <w:jc w:val="left"/>
      </w:pPr>
      <w:r>
        <w:rPr/>
        <w:t>商誉减值测试结果如下：</w:t>
      </w:r>
    </w:p>
    <w:p>
      <w:pPr>
        <w:spacing w:before="6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537"/>
        <w:gridCol w:w="3120"/>
        <w:gridCol w:w="1983"/>
      </w:tblGrid>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hAnsi="宋体" w:cs="宋体" w:eastAsia="宋体" w:hint="default"/>
                <w:sz w:val="18"/>
                <w:szCs w:val="18"/>
              </w:rPr>
              <w:t>华炜科技资产组组合（除新铂铼以外）</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4" w:right="0"/>
              <w:jc w:val="left"/>
              <w:rPr>
                <w:rFonts w:ascii="宋体" w:hAnsi="宋体" w:cs="宋体" w:eastAsia="宋体" w:hint="default"/>
                <w:sz w:val="18"/>
                <w:szCs w:val="18"/>
              </w:rPr>
            </w:pPr>
            <w:r>
              <w:rPr>
                <w:rFonts w:ascii="宋体" w:hAnsi="宋体" w:cs="宋体" w:eastAsia="宋体" w:hint="default"/>
                <w:sz w:val="18"/>
                <w:szCs w:val="18"/>
              </w:rPr>
              <w:t>新铂铼资产组组合</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商誉账面价值（</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13,142.11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617.80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290.73</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商誉整体价值（</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13,142.11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908.53</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资产组账面价值（</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7,763.48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404.52</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20,905.59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1,313.05</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7,760.00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-13,145.59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74"/>
        <w:ind w:left="573" w:right="1133"/>
        <w:jc w:val="left"/>
      </w:pPr>
      <w:r>
        <w:rPr/>
        <w:t>经测试，广州华炜科技有限公司资产组（不含新铂铼）发生商誉减值</w:t>
      </w:r>
      <w:r>
        <w:rPr>
          <w:rFonts w:ascii="Times New Roman" w:hAnsi="Times New Roman" w:cs="Times New Roman" w:eastAsia="Times New Roman" w:hint="default"/>
        </w:rPr>
        <w:t>13,145.59</w:t>
      </w:r>
      <w:r>
        <w:rPr/>
        <w:t>万元。</w:t>
      </w:r>
    </w:p>
    <w:p>
      <w:pPr>
        <w:pStyle w:val="BodyText"/>
        <w:spacing w:line="240" w:lineRule="auto" w:before="110"/>
        <w:ind w:left="573" w:right="1133"/>
        <w:jc w:val="left"/>
      </w:pPr>
      <w:r>
        <w:rPr/>
        <w:t>（</w:t>
      </w:r>
      <w:r>
        <w:rPr>
          <w:rFonts w:ascii="Times New Roman" w:hAnsi="Times New Roman" w:cs="Times New Roman" w:eastAsia="Times New Roman" w:hint="default"/>
        </w:rPr>
        <w:t>2</w:t>
      </w:r>
      <w:r>
        <w:rPr/>
        <w:t>）中经汇通电子商务有限公司、汇通宝支付有限责任公司</w:t>
      </w:r>
    </w:p>
    <w:p>
      <w:pPr>
        <w:pStyle w:val="BodyText"/>
        <w:spacing w:line="350" w:lineRule="auto" w:before="108"/>
        <w:ind w:left="573" w:right="1133"/>
        <w:jc w:val="left"/>
        <w:rPr>
          <w:rFonts w:ascii="Times New Roman" w:hAnsi="Times New Roman" w:cs="Times New Roman" w:eastAsia="Times New Roman" w:hint="default"/>
        </w:rPr>
      </w:pPr>
      <w:r>
        <w:rPr/>
        <w:t>①商誉所在资产组组合的未来预期收益及收益实现时点</w:t>
      </w:r>
      <w:r>
        <w:rPr>
          <w:w w:val="100"/>
        </w:rPr>
        <w:t> </w:t>
      </w:r>
      <w:r>
        <w:rPr/>
        <w:t>预期收益采用资产组组合现金流量口径预测，实现收益的时点按年中折算。根据《企业会计准则第</w:t>
      </w:r>
      <w:r>
        <w:rPr>
          <w:rFonts w:ascii="Times New Roman" w:hAnsi="Times New Roman" w:cs="Times New Roman" w:eastAsia="Times New Roman" w:hint="default"/>
        </w:rPr>
        <w:t>8</w:t>
      </w:r>
    </w:p>
    <w:p>
      <w:pPr>
        <w:pStyle w:val="BodyText"/>
        <w:spacing w:line="328" w:lineRule="auto" w:before="3"/>
        <w:ind w:right="1126"/>
        <w:jc w:val="both"/>
      </w:pPr>
      <w:r>
        <w:rPr>
          <w:spacing w:val="-2"/>
        </w:rPr>
        <w:t>号</w:t>
      </w:r>
      <w:r>
        <w:rPr>
          <w:rFonts w:ascii="Times New Roman" w:hAnsi="Times New Roman" w:cs="Times New Roman" w:eastAsia="Times New Roman" w:hint="default"/>
          <w:spacing w:val="-2"/>
        </w:rPr>
        <w:t>——</w:t>
      </w:r>
      <w:r>
        <w:rPr>
          <w:spacing w:val="-2"/>
        </w:rPr>
        <w:t>资产减值》（</w:t>
      </w:r>
      <w:r>
        <w:rPr>
          <w:rFonts w:ascii="Times New Roman" w:hAnsi="Times New Roman" w:cs="Times New Roman" w:eastAsia="Times New Roman" w:hint="default"/>
          <w:spacing w:val="-2"/>
        </w:rPr>
        <w:t>2006</w:t>
      </w:r>
      <w:r>
        <w:rPr>
          <w:spacing w:val="-2"/>
        </w:rPr>
        <w:t>）第十二条，商誉所在资产组或资产组组合产生的未来现金流量不考虑筹资活动</w:t>
      </w:r>
      <w:r>
        <w:rPr>
          <w:spacing w:val="-41"/>
        </w:rPr>
        <w:t> </w:t>
      </w:r>
      <w:r>
        <w:rPr>
          <w:spacing w:val="-41"/>
        </w:rPr>
      </w:r>
      <w:r>
        <w:rPr/>
        <w:t>的现金流入或流出以及与所得税收付有关的现金流量，则：</w:t>
      </w:r>
    </w:p>
    <w:p>
      <w:pPr>
        <w:pStyle w:val="BodyText"/>
        <w:spacing w:line="240" w:lineRule="auto" w:before="48"/>
        <w:ind w:left="573" w:right="1133"/>
        <w:jc w:val="left"/>
      </w:pPr>
      <w:r>
        <w:rPr/>
        <w:t>息税前现金净流量</w:t>
      </w:r>
      <w:r>
        <w:rPr>
          <w:rFonts w:ascii="Times New Roman" w:hAnsi="Times New Roman" w:cs="Times New Roman" w:eastAsia="Times New Roman" w:hint="default"/>
        </w:rPr>
        <w:t>=</w:t>
      </w:r>
      <w:r>
        <w:rPr/>
        <w:t>息税前利润</w:t>
      </w:r>
      <w:r>
        <w:rPr>
          <w:rFonts w:ascii="Times New Roman" w:hAnsi="Times New Roman" w:cs="Times New Roman" w:eastAsia="Times New Roman" w:hint="default"/>
        </w:rPr>
        <w:t>+</w:t>
      </w:r>
      <w:r>
        <w:rPr/>
        <w:t>折旧与摊销－营运资金增加额－资本性支出</w:t>
      </w:r>
    </w:p>
    <w:p>
      <w:pPr>
        <w:pStyle w:val="BodyText"/>
        <w:spacing w:line="348" w:lineRule="auto" w:before="110"/>
        <w:ind w:left="573" w:right="1133"/>
        <w:jc w:val="left"/>
      </w:pPr>
      <w:r>
        <w:rPr/>
        <w:t>②商誉所在资产组组合预期收益的持续时间</w:t>
      </w:r>
      <w:r>
        <w:rPr>
          <w:w w:val="100"/>
        </w:rPr>
        <w:t> </w:t>
      </w:r>
      <w:r>
        <w:rPr>
          <w:spacing w:val="-2"/>
        </w:rPr>
        <w:t>国家有关法律法规未对企业的经营期限有所限制，本次评估设定在正常情况下，资产组组合将一直持</w:t>
      </w:r>
    </w:p>
    <w:p>
      <w:pPr>
        <w:pStyle w:val="BodyText"/>
        <w:spacing w:line="331" w:lineRule="auto" w:before="31"/>
        <w:ind w:right="1127"/>
        <w:jc w:val="both"/>
      </w:pPr>
      <w:r>
        <w:rPr>
          <w:spacing w:val="-2"/>
        </w:rPr>
        <w:t>续经营，因此，商誉所在资产组组合预期收益按永续经营计算。其中，第一阶段为</w:t>
      </w:r>
      <w:r>
        <w:rPr>
          <w:rFonts w:ascii="Times New Roman" w:hAnsi="Times New Roman" w:cs="Times New Roman" w:eastAsia="Times New Roman" w:hint="default"/>
          <w:spacing w:val="-2"/>
        </w:rPr>
        <w:t>2020</w:t>
      </w:r>
      <w:r>
        <w:rPr>
          <w:spacing w:val="-2"/>
        </w:rPr>
        <w:t>年至</w:t>
      </w:r>
      <w:r>
        <w:rPr>
          <w:rFonts w:ascii="Times New Roman" w:hAnsi="Times New Roman" w:cs="Times New Roman" w:eastAsia="Times New Roman" w:hint="default"/>
          <w:spacing w:val="-2"/>
        </w:rPr>
        <w:t>2024</w:t>
      </w:r>
      <w:r>
        <w:rPr>
          <w:spacing w:val="-2"/>
        </w:rPr>
        <w:t>年，在此</w:t>
      </w:r>
      <w:r>
        <w:rPr>
          <w:spacing w:val="-33"/>
        </w:rPr>
        <w:t> </w:t>
      </w:r>
      <w:r>
        <w:rPr>
          <w:spacing w:val="-33"/>
        </w:rPr>
      </w:r>
      <w:r>
        <w:rPr>
          <w:spacing w:val="-2"/>
        </w:rPr>
        <w:t>阶段根据被评估对象的经营情况及经营计划，收益状况处于变化中；第二阶段自</w:t>
      </w:r>
      <w:r>
        <w:rPr>
          <w:rFonts w:ascii="Times New Roman" w:hAnsi="Times New Roman" w:cs="Times New Roman" w:eastAsia="Times New Roman" w:hint="default"/>
          <w:spacing w:val="-2"/>
        </w:rPr>
        <w:t>2025</w:t>
      </w:r>
      <w:r>
        <w:rPr>
          <w:spacing w:val="-2"/>
        </w:rPr>
        <w:t>年起为永续经营，在</w:t>
      </w:r>
      <w:r>
        <w:rPr>
          <w:spacing w:val="-39"/>
        </w:rPr>
        <w:t> </w:t>
      </w:r>
      <w:r>
        <w:rPr>
          <w:spacing w:val="-39"/>
        </w:rPr>
      </w:r>
      <w:r>
        <w:rPr/>
        <w:t>此阶段被评估对象将保持稳定的盈利水平。</w:t>
      </w:r>
    </w:p>
    <w:p>
      <w:pPr>
        <w:pStyle w:val="BodyText"/>
        <w:spacing w:line="350" w:lineRule="auto" w:before="46"/>
        <w:ind w:right="1133" w:firstLine="420"/>
        <w:jc w:val="left"/>
      </w:pPr>
      <w:r>
        <w:rPr>
          <w:spacing w:val="2"/>
        </w:rPr>
        <w:t>③根据企业加权资金成本考虑与资产预计现金流有关的特定风险作适当调整后确定的计算预计未来</w:t>
      </w:r>
      <w:r>
        <w:rPr>
          <w:w w:val="100"/>
        </w:rPr>
        <w:t> </w:t>
      </w:r>
      <w:r>
        <w:rPr/>
        <w:t>现金流量现值的税前折现率为</w:t>
      </w:r>
      <w:r>
        <w:rPr>
          <w:rFonts w:ascii="Times New Roman" w:hAnsi="Times New Roman" w:cs="Times New Roman" w:eastAsia="Times New Roman" w:hint="default"/>
        </w:rPr>
        <w:t>14.32%</w:t>
      </w:r>
      <w:r>
        <w:rPr/>
        <w:t>。</w:t>
      </w:r>
    </w:p>
    <w:p>
      <w:pPr>
        <w:pStyle w:val="BodyText"/>
        <w:spacing w:line="350" w:lineRule="auto"/>
        <w:ind w:right="1126" w:firstLine="420"/>
        <w:jc w:val="both"/>
      </w:pPr>
      <w:r>
        <w:rPr>
          <w:spacing w:val="-2"/>
        </w:rPr>
        <w:t>减值测试中采用的其他关键数据包括：产品预计售价、销量、采购成本及其他相关费用，公司根据历</w:t>
      </w:r>
      <w:r>
        <w:rPr>
          <w:w w:val="100"/>
        </w:rPr>
        <w:t> </w:t>
      </w:r>
      <w:r>
        <w:rPr>
          <w:spacing w:val="-2"/>
        </w:rPr>
        <w:t>史经验及对市场发展的预测确定上述关键数据。公司聘请了具有证券资格的资产评估机构万隆（上海）资</w:t>
      </w:r>
      <w:r>
        <w:rPr>
          <w:spacing w:val="-44"/>
        </w:rPr>
        <w:t> </w:t>
      </w:r>
      <w:r>
        <w:rPr>
          <w:spacing w:val="-44"/>
        </w:rPr>
      </w:r>
      <w:r>
        <w:rPr/>
        <w:t>产评估有限公司对上述包含商誉的资产组进行了评估，并出具了万隆评报字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10207</w:t>
      </w:r>
      <w:r>
        <w:rPr/>
        <w:t>号评估报告。</w:t>
      </w:r>
    </w:p>
    <w:p>
      <w:pPr>
        <w:pStyle w:val="BodyText"/>
        <w:spacing w:line="240" w:lineRule="auto"/>
        <w:ind w:left="573" w:right="1133"/>
        <w:jc w:val="left"/>
      </w:pPr>
      <w:r>
        <w:rPr/>
        <w:t>商誉减值测试结果如下：</w:t>
      </w:r>
    </w:p>
    <w:p>
      <w:pPr>
        <w:spacing w:after="0" w:line="240" w:lineRule="auto"/>
        <w:jc w:val="left"/>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47"/>
        <w:gridCol w:w="4693"/>
      </w:tblGrid>
      <w:tr>
        <w:trPr>
          <w:trHeight w:val="694"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商誉账面价值（</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61,966.16</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商誉整体价值（</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61,966.16</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资产组账面价值（</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39,136.70</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101,102.86</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38,991.64</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-62,111.22</w:t>
            </w:r>
          </w:p>
        </w:tc>
      </w:tr>
    </w:tbl>
    <w:p>
      <w:pPr>
        <w:pStyle w:val="BodyText"/>
        <w:spacing w:line="240" w:lineRule="auto" w:before="74"/>
        <w:ind w:left="573" w:right="982"/>
        <w:jc w:val="left"/>
      </w:pPr>
      <w:r>
        <w:rPr/>
        <w:t>经测算，中经汇通电子商务有限公司、汇通宝支付有限责任公司资产组发生商誉减值</w:t>
      </w:r>
      <w:r>
        <w:rPr>
          <w:rFonts w:ascii="Times New Roman" w:hAnsi="Times New Roman" w:cs="Times New Roman" w:eastAsia="Times New Roman" w:hint="default"/>
        </w:rPr>
        <w:t>62,111.22</w:t>
      </w:r>
      <w:r>
        <w:rPr/>
        <w:t>万元。</w:t>
      </w:r>
    </w:p>
    <w:p>
      <w:pPr>
        <w:pStyle w:val="BodyText"/>
        <w:spacing w:line="240" w:lineRule="auto" w:before="108"/>
        <w:ind w:left="573" w:right="1133"/>
        <w:jc w:val="left"/>
      </w:pPr>
      <w:r>
        <w:rPr/>
        <w:t>（</w:t>
      </w:r>
      <w:r>
        <w:rPr>
          <w:rFonts w:ascii="Times New Roman" w:hAnsi="Times New Roman" w:cs="Times New Roman" w:eastAsia="Times New Roman" w:hint="default"/>
        </w:rPr>
        <w:t>3</w:t>
      </w:r>
      <w:r>
        <w:rPr/>
        <w:t>）深圳市蓝盾满泰科技发展有限公司</w:t>
      </w:r>
    </w:p>
    <w:p>
      <w:pPr>
        <w:pStyle w:val="BodyText"/>
        <w:spacing w:line="350" w:lineRule="auto" w:before="110"/>
        <w:ind w:left="573" w:right="1133"/>
        <w:jc w:val="left"/>
        <w:rPr>
          <w:rFonts w:ascii="Times New Roman" w:hAnsi="Times New Roman" w:cs="Times New Roman" w:eastAsia="Times New Roman" w:hint="default"/>
        </w:rPr>
      </w:pPr>
      <w:r>
        <w:rPr/>
        <w:t>①商誉所在资产组组合的未来预期收益及收益实现时点</w:t>
      </w:r>
      <w:r>
        <w:rPr>
          <w:w w:val="100"/>
        </w:rPr>
        <w:t> </w:t>
      </w:r>
      <w:r>
        <w:rPr/>
        <w:t>预期收益采用资产组组合现金流量口径预测，实现收益的时点按年中折算。根据《企业会计准则第</w:t>
      </w:r>
      <w:r>
        <w:rPr>
          <w:rFonts w:ascii="Times New Roman" w:hAnsi="Times New Roman" w:cs="Times New Roman" w:eastAsia="Times New Roman" w:hint="default"/>
        </w:rPr>
        <w:t>8</w:t>
      </w:r>
    </w:p>
    <w:p>
      <w:pPr>
        <w:pStyle w:val="BodyText"/>
        <w:spacing w:line="331" w:lineRule="auto"/>
        <w:ind w:right="1126"/>
        <w:jc w:val="both"/>
      </w:pPr>
      <w:r>
        <w:rPr>
          <w:spacing w:val="-2"/>
        </w:rPr>
        <w:t>号</w:t>
      </w:r>
      <w:r>
        <w:rPr>
          <w:rFonts w:ascii="Times New Roman" w:hAnsi="Times New Roman" w:cs="Times New Roman" w:eastAsia="Times New Roman" w:hint="default"/>
          <w:spacing w:val="-2"/>
        </w:rPr>
        <w:t>——</w:t>
      </w:r>
      <w:r>
        <w:rPr>
          <w:spacing w:val="-2"/>
        </w:rPr>
        <w:t>资产减值》（</w:t>
      </w:r>
      <w:r>
        <w:rPr>
          <w:rFonts w:ascii="Times New Roman" w:hAnsi="Times New Roman" w:cs="Times New Roman" w:eastAsia="Times New Roman" w:hint="default"/>
          <w:spacing w:val="-2"/>
        </w:rPr>
        <w:t>2006</w:t>
      </w:r>
      <w:r>
        <w:rPr>
          <w:spacing w:val="-2"/>
        </w:rPr>
        <w:t>）第十二条，商誉所在资产组或资产组组合产生的未来现金流量不考虑筹资活动</w:t>
      </w:r>
      <w:r>
        <w:rPr>
          <w:spacing w:val="-41"/>
        </w:rPr>
        <w:t> </w:t>
      </w:r>
      <w:r>
        <w:rPr>
          <w:spacing w:val="-41"/>
        </w:rPr>
      </w:r>
      <w:r>
        <w:rPr/>
        <w:t>的现金流入或流出以及与所得税收付有关的现金流量，则：</w:t>
      </w:r>
    </w:p>
    <w:p>
      <w:pPr>
        <w:pStyle w:val="BodyText"/>
        <w:spacing w:line="240" w:lineRule="auto" w:before="46"/>
        <w:ind w:left="573" w:right="1133"/>
        <w:jc w:val="left"/>
      </w:pPr>
      <w:r>
        <w:rPr/>
        <w:t>息税前现金净流量</w:t>
      </w:r>
      <w:r>
        <w:rPr>
          <w:rFonts w:ascii="Times New Roman" w:hAnsi="Times New Roman" w:cs="Times New Roman" w:eastAsia="Times New Roman" w:hint="default"/>
        </w:rPr>
        <w:t>=</w:t>
      </w:r>
      <w:r>
        <w:rPr/>
        <w:t>息税前利润</w:t>
      </w:r>
      <w:r>
        <w:rPr>
          <w:rFonts w:ascii="Times New Roman" w:hAnsi="Times New Roman" w:cs="Times New Roman" w:eastAsia="Times New Roman" w:hint="default"/>
        </w:rPr>
        <w:t>+</w:t>
      </w:r>
      <w:r>
        <w:rPr/>
        <w:t>折旧与摊销－营运资金增加额－资本性支出</w:t>
      </w:r>
    </w:p>
    <w:p>
      <w:pPr>
        <w:pStyle w:val="BodyText"/>
        <w:spacing w:line="350" w:lineRule="auto" w:before="107"/>
        <w:ind w:left="573" w:right="1133"/>
        <w:jc w:val="left"/>
      </w:pPr>
      <w:r>
        <w:rPr/>
        <w:t>②商誉所在资产组组合预期收益的持续时间</w:t>
      </w:r>
      <w:r>
        <w:rPr>
          <w:w w:val="100"/>
        </w:rPr>
        <w:t> </w:t>
      </w:r>
      <w:r>
        <w:rPr>
          <w:spacing w:val="-2"/>
        </w:rPr>
        <w:t>国家有关法律法规未对企业的经营期限有所限制，本次评估设定在正常情况下，资产组组合将一直持</w:t>
      </w:r>
    </w:p>
    <w:p>
      <w:pPr>
        <w:pStyle w:val="BodyText"/>
        <w:spacing w:line="331" w:lineRule="auto" w:before="29"/>
        <w:ind w:right="1127"/>
        <w:jc w:val="both"/>
      </w:pPr>
      <w:r>
        <w:rPr>
          <w:spacing w:val="-2"/>
        </w:rPr>
        <w:t>续经营，因此，商誉所在资产组组合预期收益按永续经营计算。其中，第一阶段为</w:t>
      </w:r>
      <w:r>
        <w:rPr>
          <w:rFonts w:ascii="Times New Roman" w:hAnsi="Times New Roman" w:cs="Times New Roman" w:eastAsia="Times New Roman" w:hint="default"/>
          <w:spacing w:val="-2"/>
        </w:rPr>
        <w:t>2020</w:t>
      </w:r>
      <w:r>
        <w:rPr>
          <w:spacing w:val="-2"/>
        </w:rPr>
        <w:t>年至</w:t>
      </w:r>
      <w:r>
        <w:rPr>
          <w:rFonts w:ascii="Times New Roman" w:hAnsi="Times New Roman" w:cs="Times New Roman" w:eastAsia="Times New Roman" w:hint="default"/>
          <w:spacing w:val="-2"/>
        </w:rPr>
        <w:t>2024</w:t>
      </w:r>
      <w:r>
        <w:rPr>
          <w:spacing w:val="-2"/>
        </w:rPr>
        <w:t>年，在此</w:t>
      </w:r>
      <w:r>
        <w:rPr>
          <w:spacing w:val="-33"/>
        </w:rPr>
        <w:t> </w:t>
      </w:r>
      <w:r>
        <w:rPr>
          <w:spacing w:val="-33"/>
        </w:rPr>
      </w:r>
      <w:r>
        <w:rPr>
          <w:spacing w:val="-2"/>
        </w:rPr>
        <w:t>阶段根据被评估对象的经营情况及经营计划，收益状况处于变化中；第二阶段自</w:t>
      </w:r>
      <w:r>
        <w:rPr>
          <w:rFonts w:ascii="Times New Roman" w:hAnsi="Times New Roman" w:cs="Times New Roman" w:eastAsia="Times New Roman" w:hint="default"/>
          <w:spacing w:val="-2"/>
        </w:rPr>
        <w:t>2025</w:t>
      </w:r>
      <w:r>
        <w:rPr>
          <w:spacing w:val="-2"/>
        </w:rPr>
        <w:t>年起为永续经营，在</w:t>
      </w:r>
      <w:r>
        <w:rPr>
          <w:spacing w:val="-39"/>
        </w:rPr>
        <w:t> </w:t>
      </w:r>
      <w:r>
        <w:rPr>
          <w:spacing w:val="-39"/>
        </w:rPr>
      </w:r>
      <w:r>
        <w:rPr/>
        <w:t>此阶段被评估对象将保持稳定的盈利水平。</w:t>
      </w:r>
    </w:p>
    <w:p>
      <w:pPr>
        <w:pStyle w:val="BodyText"/>
        <w:spacing w:line="348" w:lineRule="auto" w:before="46"/>
        <w:ind w:right="1133" w:firstLine="420"/>
        <w:jc w:val="left"/>
        <w:rPr>
          <w:rFonts w:ascii="Times New Roman" w:hAnsi="Times New Roman" w:cs="Times New Roman" w:eastAsia="Times New Roman" w:hint="default"/>
        </w:rPr>
      </w:pPr>
      <w:r>
        <w:rPr>
          <w:spacing w:val="2"/>
        </w:rPr>
        <w:t>③根据企业加权资金成本考虑与资产预计现金流有关的特定风险作适当调整后确定的计算预计未来</w:t>
      </w:r>
      <w:r>
        <w:rPr>
          <w:w w:val="100"/>
        </w:rPr>
        <w:t> </w:t>
      </w:r>
      <w:r>
        <w:rPr/>
        <w:t>现金流量现值的税前折现率为</w:t>
      </w:r>
      <w:r>
        <w:rPr>
          <w:rFonts w:ascii="Times New Roman" w:hAnsi="Times New Roman" w:cs="Times New Roman" w:eastAsia="Times New Roman" w:hint="default"/>
        </w:rPr>
        <w:t>15.78%</w:t>
      </w:r>
    </w:p>
    <w:p>
      <w:pPr>
        <w:pStyle w:val="BodyText"/>
        <w:spacing w:line="348" w:lineRule="auto" w:before="5"/>
        <w:ind w:right="1126" w:firstLine="420"/>
        <w:jc w:val="both"/>
      </w:pPr>
      <w:r>
        <w:rPr>
          <w:spacing w:val="-2"/>
        </w:rPr>
        <w:t>减值测试中采用的其他关键数据包括：产品预计售价、销量、采购成本及其他相关费用，公司根据历</w:t>
      </w:r>
      <w:r>
        <w:rPr>
          <w:w w:val="100"/>
        </w:rPr>
        <w:t> </w:t>
      </w:r>
      <w:r>
        <w:rPr>
          <w:spacing w:val="-2"/>
        </w:rPr>
        <w:t>史经验及对市场发展的预测确定上述关键数据。公司聘请了具有证券资格的资产评估机构广东中广信资产</w:t>
      </w:r>
      <w:r>
        <w:rPr>
          <w:spacing w:val="-43"/>
        </w:rPr>
        <w:t> </w:t>
      </w:r>
      <w:r>
        <w:rPr>
          <w:spacing w:val="-43"/>
        </w:rPr>
      </w:r>
      <w:r>
        <w:rPr/>
        <w:t>评估有限公司对上述包含商誉的资产组进行了评估，并出具了中广信评报字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099</w:t>
      </w:r>
      <w:r>
        <w:rPr/>
        <w:t>号评估报告。</w:t>
      </w:r>
    </w:p>
    <w:p>
      <w:pPr>
        <w:pStyle w:val="BodyText"/>
        <w:spacing w:line="240" w:lineRule="auto" w:before="5"/>
        <w:ind w:left="573" w:right="1133"/>
        <w:jc w:val="left"/>
      </w:pPr>
      <w:r>
        <w:rPr/>
        <w:t>商誉减值测试结果如下：</w:t>
      </w:r>
    </w:p>
    <w:p>
      <w:pPr>
        <w:spacing w:before="6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47"/>
        <w:gridCol w:w="4693"/>
      </w:tblGrid>
      <w:tr>
        <w:trPr>
          <w:trHeight w:val="694"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商誉账面价值（</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49,358.60</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32,905.74</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商誉整体价值（</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82,264.34</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资产组账面价值（</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10,980.58</w:t>
            </w:r>
          </w:p>
        </w:tc>
      </w:tr>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93,244.92</w:t>
            </w:r>
          </w:p>
        </w:tc>
      </w:tr>
      <w:tr>
        <w:trPr>
          <w:trHeight w:val="346"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95,270.00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947"/>
        <w:gridCol w:w="4693"/>
      </w:tblGrid>
      <w:tr>
        <w:trPr>
          <w:trHeight w:val="348" w:hRule="exact"/>
        </w:trPr>
        <w:tc>
          <w:tcPr>
            <w:tcW w:w="4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4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2,025.08</w:t>
            </w:r>
          </w:p>
        </w:tc>
      </w:tr>
    </w:tbl>
    <w:p>
      <w:pPr>
        <w:pStyle w:val="BodyText"/>
        <w:spacing w:line="350" w:lineRule="auto" w:before="74"/>
        <w:ind w:right="2602" w:firstLine="420"/>
        <w:jc w:val="left"/>
      </w:pPr>
      <w:r>
        <w:rPr>
          <w:spacing w:val="-2"/>
        </w:rPr>
        <w:t>经测算，深圳市蓝盾满泰科技发展有限公司资产组未发生商誉减值。</w:t>
      </w:r>
      <w:r>
        <w:rPr>
          <w:w w:val="100"/>
        </w:rPr>
        <w:t> </w:t>
      </w:r>
      <w:r>
        <w:rPr/>
        <w:t>商誉减值测试的影响</w:t>
      </w:r>
    </w:p>
    <w:p>
      <w:pPr>
        <w:pStyle w:val="BodyText"/>
        <w:spacing w:line="331" w:lineRule="auto" w:before="27"/>
        <w:ind w:right="1126" w:firstLine="420"/>
        <w:jc w:val="both"/>
      </w:pPr>
      <w:r>
        <w:rPr>
          <w:spacing w:val="-2"/>
        </w:rPr>
        <w:t>根据本所对深圳市蓝盾满泰科技发展有限公司</w:t>
      </w:r>
      <w:r>
        <w:rPr>
          <w:rFonts w:ascii="Times New Roman" w:hAnsi="Times New Roman" w:cs="Times New Roman" w:eastAsia="Times New Roman" w:hint="default"/>
          <w:spacing w:val="-2"/>
        </w:rPr>
        <w:t>2019</w:t>
      </w:r>
      <w:r>
        <w:rPr>
          <w:spacing w:val="-2"/>
        </w:rPr>
        <w:t>年的审计结果，深圳市蓝盾满泰科技发展有限公司</w:t>
      </w:r>
      <w:r>
        <w:rPr>
          <w:w w:val="100"/>
        </w:rPr>
        <w:t> </w:t>
      </w:r>
      <w:r>
        <w:rPr>
          <w:spacing w:val="-2"/>
        </w:rPr>
        <w:t>扣除非经常性损益后的净利润为</w:t>
      </w:r>
      <w:r>
        <w:rPr>
          <w:rFonts w:ascii="Times New Roman" w:hAnsi="Times New Roman" w:cs="Times New Roman" w:eastAsia="Times New Roman" w:hint="default"/>
          <w:spacing w:val="-2"/>
        </w:rPr>
        <w:t>9,967.86</w:t>
      </w:r>
      <w:r>
        <w:rPr>
          <w:spacing w:val="-2"/>
        </w:rPr>
        <w:t>万元，扣除资金使用成本后的实际完成金额为</w:t>
      </w:r>
      <w:r>
        <w:rPr>
          <w:rFonts w:ascii="Times New Roman" w:hAnsi="Times New Roman" w:cs="Times New Roman" w:eastAsia="Times New Roman" w:hint="default"/>
          <w:spacing w:val="-2"/>
        </w:rPr>
        <w:t>9,967.86</w:t>
      </w:r>
      <w:r>
        <w:rPr>
          <w:spacing w:val="-2"/>
        </w:rPr>
        <w:t>万元。出让</w:t>
      </w:r>
      <w:r>
        <w:rPr>
          <w:spacing w:val="-27"/>
        </w:rPr>
        <w:t> </w:t>
      </w:r>
      <w:r>
        <w:rPr>
          <w:spacing w:val="-27"/>
        </w:rPr>
      </w:r>
      <w:r>
        <w:rPr/>
        <w:t>方已完成对标的资产深圳市蓝盾满泰科技发展有限公司</w:t>
      </w:r>
      <w:r>
        <w:rPr>
          <w:rFonts w:ascii="Times New Roman" w:hAnsi="Times New Roman" w:cs="Times New Roman" w:eastAsia="Times New Roman" w:hint="default"/>
        </w:rPr>
        <w:t>2017-2019</w:t>
      </w:r>
      <w:r>
        <w:rPr/>
        <w:t>年度的平均业绩承诺。</w:t>
      </w:r>
    </w:p>
    <w:p>
      <w:pPr>
        <w:spacing w:line="240" w:lineRule="auto" w:before="10"/>
        <w:rPr>
          <w:rFonts w:ascii="宋体" w:hAnsi="宋体" w:cs="宋体" w:eastAsia="宋体" w:hint="default"/>
          <w:sz w:val="17"/>
          <w:szCs w:val="17"/>
        </w:rPr>
      </w:pPr>
    </w:p>
    <w:p>
      <w:pPr>
        <w:pStyle w:val="Heading3"/>
        <w:spacing w:line="240" w:lineRule="auto"/>
        <w:ind w:right="1133"/>
        <w:jc w:val="left"/>
        <w:rPr>
          <w:b w:val="0"/>
          <w:bCs w:val="0"/>
        </w:rPr>
      </w:pPr>
      <w:bookmarkStart w:name="19、长期待摊费用" w:id="304"/>
      <w:bookmarkEnd w:id="304"/>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544"/>
        <w:gridCol w:w="1546"/>
        <w:gridCol w:w="1544"/>
        <w:gridCol w:w="1546"/>
        <w:gridCol w:w="1546"/>
      </w:tblGrid>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9,661,169.91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476,990.11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5,176,199.10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4,961,960.92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605,419.51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654,101.00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627,240.87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632,279.64</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校企合作配套设施费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1,528,118.35</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416,759.57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1,111,358.78</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11,794,707.77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1,131,091.11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6,220,199.54</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6,705,599.34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20、递延所得税资产/递延所得税负债" w:id="305"/>
      <w:bookmarkEnd w:id="305"/>
      <w:r>
        <w:rPr>
          <w:b w:val="0"/>
          <w:bCs w:val="0"/>
        </w:rPr>
      </w: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7,402,210.61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294,690.41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6,847,499.92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1,052,823.93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36,814,899.77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5,889,884.09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23,703,586.67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3,046,215.47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795,374,233.15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106,415,857.16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370,005,451.06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52,906,966.92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3,624.09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63,131,051.02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8,539,423.94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48,910,544.36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6,595,695.92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43,594,559.85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4,997,117.21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46,584,511.17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5,683,171.25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2,020,859.99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252,786.00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2,020,859.99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252,786.00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3,015,342.60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407,462.09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2,329,993.01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295,573.55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2,298,093.01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344,713.95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110,838,407.51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11,083,840.75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99,580,556.82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18,343,451.54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1,161,086,771.73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156,112,624.65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503,422,129.66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70,293,459.62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35,656,981.83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3,522,478.18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33,766,233.26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5,339,772.15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66,249,961.94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9,937,494.30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87,021,725.36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13,053,258.80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所有者投入资产与计税 基础的差异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2,599,722.67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389,958.40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2,599,722.67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389,958.40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126,006,666.44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19,224,930.88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123,387,681.29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18,782,989.35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33"/>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156,112,624.66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70,293,459.62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19,224,930.88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18,782,989.35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117,230,662.76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72,017,245.82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5,739,026.58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1,185,516.44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7,598,946.77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905,860.67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131,474,496.78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73,202,762.26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5,720,557.19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2,607,990.62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12,214,938.27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9,833,120.28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25,816,726.25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28,353,109.90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34,294,229.71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31,207,846.34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39,184,211.34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117,230,662.76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72,002,067.14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1、其他非流动资产" w:id="311"/>
      <w:bookmarkEnd w:id="311"/>
      <w:r>
        <w:rPr>
          <w:b w:val="0"/>
          <w:bCs w:val="0"/>
        </w:rPr>
      </w:r>
      <w:r>
        <w:rPr>
          <w:rFonts w:ascii="Times New Roman" w:hAnsi="Times New Roman" w:cs="Times New Roman" w:eastAsia="Times New Roman" w:hint="default"/>
        </w:rPr>
        <w:t>21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335"/>
        <w:gridCol w:w="1334"/>
        <w:gridCol w:w="1335"/>
        <w:gridCol w:w="1337"/>
        <w:gridCol w:w="1335"/>
        <w:gridCol w:w="1334"/>
      </w:tblGrid>
      <w:tr>
        <w:trPr>
          <w:trHeight w:val="401"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center"/>
              <w:rPr>
                <w:rFonts w:ascii="Times New Roman" w:hAnsi="Times New Roman" w:cs="Times New Roman" w:eastAsia="Times New Roman" w:hint="default"/>
                <w:sz w:val="18"/>
                <w:szCs w:val="18"/>
              </w:rPr>
            </w:pPr>
            <w:r>
              <w:rPr>
                <w:rFonts w:ascii="Times New Roman"/>
                <w:sz w:val="18"/>
              </w:rPr>
              <w:t>206,687,702.78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206,687,702.78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268,356,665.12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268,356,665.12</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center"/>
              <w:rPr>
                <w:rFonts w:ascii="Times New Roman" w:hAnsi="Times New Roman" w:cs="Times New Roman" w:eastAsia="Times New Roman" w:hint="default"/>
                <w:sz w:val="18"/>
                <w:szCs w:val="18"/>
              </w:rPr>
            </w:pPr>
            <w:r>
              <w:rPr>
                <w:rFonts w:ascii="Times New Roman"/>
                <w:sz w:val="18"/>
              </w:rPr>
              <w:t>142,898,904.78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289,730,816.72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324,098,466.87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324,098,466.87</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待处理财产损益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219,778.21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219,778.21</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center"/>
              <w:rPr>
                <w:rFonts w:ascii="Times New Roman" w:hAnsi="Times New Roman" w:cs="Times New Roman" w:eastAsia="Times New Roman" w:hint="default"/>
                <w:sz w:val="18"/>
                <w:szCs w:val="18"/>
              </w:rPr>
            </w:pPr>
            <w:r>
              <w:rPr>
                <w:rFonts w:ascii="Times New Roman"/>
                <w:sz w:val="18"/>
              </w:rPr>
              <w:t>496,418,519.50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349,586,607.56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592,674,910.20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592,674,910.20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2、短期借款" w:id="312"/>
      <w:bookmarkEnd w:id="312"/>
      <w:r>
        <w:rPr>
          <w:b w:val="0"/>
          <w:bCs w:val="0"/>
        </w:rPr>
      </w:r>
      <w:r>
        <w:rPr>
          <w:rFonts w:ascii="Times New Roman" w:hAnsi="Times New Roman" w:cs="Times New Roman" w:eastAsia="Times New Roman" w:hint="default"/>
        </w:rPr>
        <w:t>22</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1,387,513,166.64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1,537,700,000.00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130,335,858.72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411,598,400.00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未到期票据贴现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98,135,910.00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2,047,447,425.36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2,121,835,910.00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Heading3"/>
        <w:spacing w:line="240" w:lineRule="auto" w:before="96"/>
        <w:ind w:left="993" w:right="1133"/>
        <w:jc w:val="left"/>
        <w:rPr>
          <w:b w:val="0"/>
          <w:bCs w:val="0"/>
        </w:rPr>
      </w:pPr>
      <w:r>
        <w:rPr/>
        <w:t>（</w:t>
      </w:r>
      <w:r>
        <w:rPr>
          <w:rFonts w:ascii="Times New Roman" w:hAnsi="Times New Roman" w:cs="Times New Roman" w:eastAsia="Times New Roman" w:hint="default"/>
        </w:rPr>
        <w:t>1</w:t>
      </w:r>
      <w:r>
        <w:rPr/>
        <w:t>）保证借款</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542"/>
        <w:gridCol w:w="1419"/>
        <w:gridCol w:w="3516"/>
        <w:gridCol w:w="977"/>
        <w:gridCol w:w="955"/>
      </w:tblGrid>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4"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厦门国际银行股份有限公司珠海 前山支行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20,000,000.00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3"/>
                <w:sz w:val="18"/>
                <w:szCs w:val="18"/>
              </w:rPr>
              <w:t>蓝盾信息安全技术有限公司、柯宗贵、柯宗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2019/8/20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2020/8/9</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兴业银行股份有限公司广州分行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30,000,000.00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蓝盾信息安全技术有限公司、中经汇通有限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责任公司、中经汇通电子商务有限公司、柯</w:t>
            </w:r>
            <w:r>
              <w:rPr>
                <w:rFonts w:ascii="宋体" w:hAnsi="宋体" w:cs="宋体" w:eastAsia="宋体" w:hint="default"/>
                <w:sz w:val="18"/>
                <w:szCs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2019/12/31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2020/12/30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542"/>
        <w:gridCol w:w="1419"/>
        <w:gridCol w:w="3516"/>
        <w:gridCol w:w="977"/>
        <w:gridCol w:w="955"/>
      </w:tblGrid>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宗贵、柯宗庆、柯宗耀</w:t>
            </w:r>
          </w:p>
        </w:tc>
        <w:tc>
          <w:tcPr>
            <w:tcW w:w="97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2019/4/11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2020/4/10</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8,500,000.00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2019/11/12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2020/11/11</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2019/11/25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2020/11/24</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7,600,000.00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2019/11/27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2020/11/26</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23,000,000.00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2019/11/28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2020/11/27</w:t>
            </w:r>
          </w:p>
        </w:tc>
      </w:tr>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广发银行股份有限公司天河支行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29,954,286.93</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2019/5/15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2020/5/14</w:t>
            </w:r>
          </w:p>
        </w:tc>
      </w:tr>
      <w:tr>
        <w:trPr>
          <w:trHeight w:val="967"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广州银行股份有限公司淘金支行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中经汇通电子商务有限公司、柯宗庆、柯宗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耀</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2019/9/4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left"/>
              <w:rPr>
                <w:rFonts w:ascii="Times New Roman" w:hAnsi="Times New Roman" w:cs="Times New Roman" w:eastAsia="Times New Roman" w:hint="default"/>
                <w:sz w:val="18"/>
                <w:szCs w:val="18"/>
              </w:rPr>
            </w:pPr>
            <w:r>
              <w:rPr>
                <w:rFonts w:ascii="Times New Roman"/>
                <w:sz w:val="18"/>
              </w:rPr>
              <w:t>2020/9/4</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5,200,000.00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2019/11/18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2020/1/17</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4,411,507.50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2019/12/11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2020/1/10</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3,500,000.00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2019/12/2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53" w:right="0"/>
              <w:jc w:val="left"/>
              <w:rPr>
                <w:rFonts w:ascii="Times New Roman" w:hAnsi="Times New Roman" w:cs="Times New Roman" w:eastAsia="Times New Roman" w:hint="default"/>
                <w:sz w:val="18"/>
                <w:szCs w:val="18"/>
              </w:rPr>
            </w:pPr>
            <w:r>
              <w:rPr>
                <w:rFonts w:ascii="Times New Roman"/>
                <w:sz w:val="18"/>
              </w:rPr>
              <w:t>2020/1/2</w:t>
            </w:r>
          </w:p>
        </w:tc>
      </w:tr>
      <w:tr>
        <w:trPr>
          <w:trHeight w:val="656"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3,500,000.00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9" w:right="0"/>
              <w:jc w:val="left"/>
              <w:rPr>
                <w:rFonts w:ascii="Times New Roman" w:hAnsi="Times New Roman" w:cs="Times New Roman" w:eastAsia="Times New Roman" w:hint="default"/>
                <w:sz w:val="18"/>
                <w:szCs w:val="18"/>
              </w:rPr>
            </w:pPr>
            <w:r>
              <w:rPr>
                <w:rFonts w:ascii="Times New Roman"/>
                <w:sz w:val="18"/>
              </w:rPr>
              <w:t>2019/12/3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left"/>
              <w:rPr>
                <w:rFonts w:ascii="Times New Roman" w:hAnsi="Times New Roman" w:cs="Times New Roman" w:eastAsia="Times New Roman" w:hint="default"/>
                <w:sz w:val="18"/>
                <w:szCs w:val="18"/>
              </w:rPr>
            </w:pPr>
            <w:r>
              <w:rPr>
                <w:rFonts w:ascii="Times New Roman"/>
                <w:sz w:val="18"/>
              </w:rPr>
              <w:t>2020/1/3</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3,500,000.00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2019/12/4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53" w:right="0"/>
              <w:jc w:val="left"/>
              <w:rPr>
                <w:rFonts w:ascii="Times New Roman" w:hAnsi="Times New Roman" w:cs="Times New Roman" w:eastAsia="Times New Roman" w:hint="default"/>
                <w:sz w:val="18"/>
                <w:szCs w:val="18"/>
              </w:rPr>
            </w:pPr>
            <w:r>
              <w:rPr>
                <w:rFonts w:ascii="Times New Roman"/>
                <w:sz w:val="18"/>
              </w:rPr>
              <w:t>2020/1/3</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3,500,000.00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9" w:right="0"/>
              <w:jc w:val="left"/>
              <w:rPr>
                <w:rFonts w:ascii="Times New Roman" w:hAnsi="Times New Roman" w:cs="Times New Roman" w:eastAsia="Times New Roman" w:hint="default"/>
                <w:sz w:val="18"/>
                <w:szCs w:val="18"/>
              </w:rPr>
            </w:pPr>
            <w:r>
              <w:rPr>
                <w:rFonts w:ascii="Times New Roman"/>
                <w:sz w:val="18"/>
              </w:rPr>
              <w:t>2019/12/9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left"/>
              <w:rPr>
                <w:rFonts w:ascii="Times New Roman" w:hAnsi="Times New Roman" w:cs="Times New Roman" w:eastAsia="Times New Roman" w:hint="default"/>
                <w:sz w:val="18"/>
                <w:szCs w:val="18"/>
              </w:rPr>
            </w:pPr>
            <w:r>
              <w:rPr>
                <w:rFonts w:ascii="Times New Roman"/>
                <w:sz w:val="18"/>
              </w:rPr>
              <w:t>2020/1/3</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4,673,625.00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2019/12/16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2020/1/13</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柯宗贵、柯瑞达、柯宗耀、李庆红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2019/12/30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2020/1/31</w:t>
            </w:r>
          </w:p>
        </w:tc>
      </w:tr>
      <w:tr>
        <w:trPr>
          <w:trHeight w:val="96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中国建设银行股份有限公司广州 天河工业园支行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45,917,135.56</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柯宗庆、西咸新区蓝盾信息安全技术有限公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司、成都蓝盾网信科技有限公司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2019/12/30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2020/12/29</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49,250,000.00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2019/6/3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left"/>
              <w:rPr>
                <w:rFonts w:ascii="Times New Roman" w:hAnsi="Times New Roman" w:cs="Times New Roman" w:eastAsia="Times New Roman" w:hint="default"/>
                <w:sz w:val="18"/>
                <w:szCs w:val="18"/>
              </w:rPr>
            </w:pPr>
            <w:r>
              <w:rPr>
                <w:rFonts w:ascii="Times New Roman"/>
                <w:sz w:val="18"/>
              </w:rPr>
              <w:t>2020/6/2</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2019/6/12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2020/6/11</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18,825,000.00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柯宗庆、成都蓝盾网信科技有限公司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9" w:right="0"/>
              <w:jc w:val="left"/>
              <w:rPr>
                <w:rFonts w:ascii="Times New Roman" w:hAnsi="Times New Roman" w:cs="Times New Roman" w:eastAsia="Times New Roman" w:hint="default"/>
                <w:sz w:val="18"/>
                <w:szCs w:val="18"/>
              </w:rPr>
            </w:pPr>
            <w:r>
              <w:rPr>
                <w:rFonts w:ascii="Times New Roman"/>
                <w:sz w:val="18"/>
              </w:rPr>
              <w:t>2019/6/12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left"/>
              <w:rPr>
                <w:rFonts w:ascii="Times New Roman" w:hAnsi="Times New Roman" w:cs="Times New Roman" w:eastAsia="Times New Roman" w:hint="default"/>
                <w:sz w:val="18"/>
                <w:szCs w:val="18"/>
              </w:rPr>
            </w:pPr>
            <w:r>
              <w:rPr>
                <w:rFonts w:ascii="Times New Roman"/>
                <w:sz w:val="18"/>
              </w:rPr>
              <w:t>2020/6/8</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 广州东风支行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27,665,596.67</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2019/4/30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2019/11/17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542"/>
        <w:gridCol w:w="1419"/>
        <w:gridCol w:w="3516"/>
        <w:gridCol w:w="977"/>
        <w:gridCol w:w="955"/>
      </w:tblGrid>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 广州东风支行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13,000,000.00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2019/5/16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2019/11/16</w:t>
            </w:r>
          </w:p>
        </w:tc>
      </w:tr>
      <w:tr>
        <w:trPr>
          <w:trHeight w:val="967"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兴业银行股份有限公司广州分行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19,400,000.00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蓝盾信息安全技术股份有限公司、中经汇通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电子商务有限公司、柯宗庆、柯宗贵、柯宗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耀、中经汇通有限责任公司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2019/12/31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2020/12/30</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2019/3/22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2020/3/21</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9" w:right="0"/>
              <w:jc w:val="left"/>
              <w:rPr>
                <w:rFonts w:ascii="Times New Roman" w:hAnsi="Times New Roman" w:cs="Times New Roman" w:eastAsia="Times New Roman" w:hint="default"/>
                <w:sz w:val="18"/>
                <w:szCs w:val="18"/>
              </w:rPr>
            </w:pPr>
            <w:r>
              <w:rPr>
                <w:rFonts w:ascii="Times New Roman"/>
                <w:sz w:val="18"/>
              </w:rPr>
              <w:t>2019/6/26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2020/6/25</w:t>
            </w:r>
          </w:p>
        </w:tc>
      </w:tr>
      <w:tr>
        <w:trPr>
          <w:trHeight w:val="96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中信银行股份有限公司广州国防 大厦支行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29,853,278.27</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蓝盾信息安全技术股份有限公司、中经汇通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电子商务有限公司、柯宗庆、柯宗贵、柯宗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耀</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2018/12/24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2019/12/24</w:t>
            </w:r>
          </w:p>
        </w:tc>
      </w:tr>
      <w:tr>
        <w:trPr>
          <w:trHeight w:val="656"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 东圃支行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100,000,000.00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蓝盾信息安全技术股份有限公司、中经汇通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有限责任公司、柯宗耀、柯瑞达、李庆红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2018/12/25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4" w:right="0"/>
              <w:jc w:val="left"/>
              <w:rPr>
                <w:rFonts w:ascii="Times New Roman" w:hAnsi="Times New Roman" w:cs="Times New Roman" w:eastAsia="Times New Roman" w:hint="default"/>
                <w:sz w:val="18"/>
                <w:szCs w:val="18"/>
              </w:rPr>
            </w:pPr>
            <w:r>
              <w:rPr>
                <w:rFonts w:ascii="Times New Roman"/>
                <w:sz w:val="18"/>
              </w:rPr>
              <w:t>2019/12/23</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 东圃支行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80,000,000.00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蓝盾信息安全技术股份有限公司、中经汇通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有限责任公司、柯宗耀、柯瑞达、李庆红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2018/12/26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2019/12/23</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广州农村商业银行股份有限公司 东圃支行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蓝盾信息安全技术股份有限公司、中经汇通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有限责任公司、柯宗耀、柯瑞达、李庆红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2019/1/3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2019/12/23</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兴业银行股份有限公司广州分行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2019/4/28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2020/4/27</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47,000,000.00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柯宗庆、柯宗贵、柯瑞达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9" w:right="0"/>
              <w:jc w:val="left"/>
              <w:rPr>
                <w:rFonts w:ascii="Times New Roman" w:hAnsi="Times New Roman" w:cs="Times New Roman" w:eastAsia="Times New Roman" w:hint="default"/>
                <w:sz w:val="18"/>
                <w:szCs w:val="18"/>
              </w:rPr>
            </w:pPr>
            <w:r>
              <w:rPr>
                <w:rFonts w:ascii="Times New Roman"/>
                <w:sz w:val="18"/>
              </w:rPr>
              <w:t>2018/9/26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2020/9/25</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柯宗庆、柯宗贵、柯瑞达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2018/10/18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2020/10/17</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柯宗庆、柯宗贵、柯瑞达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2018/10/19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2020/10/18</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 越华支行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19,000,000.00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柯宗耀、柯宗庆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2019/4/8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53" w:right="0"/>
              <w:jc w:val="left"/>
              <w:rPr>
                <w:rFonts w:ascii="Times New Roman" w:hAnsi="Times New Roman" w:cs="Times New Roman" w:eastAsia="Times New Roman" w:hint="default"/>
                <w:sz w:val="18"/>
                <w:szCs w:val="18"/>
              </w:rPr>
            </w:pPr>
            <w:r>
              <w:rPr>
                <w:rFonts w:ascii="Times New Roman"/>
                <w:sz w:val="18"/>
              </w:rPr>
              <w:t>2020/4/7</w:t>
            </w:r>
          </w:p>
        </w:tc>
      </w:tr>
      <w:tr>
        <w:trPr>
          <w:trHeight w:val="967"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 越华支行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柯宗耀、柯宗庆、成都蓝盾网信科技有限公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9" w:right="0"/>
              <w:jc w:val="left"/>
              <w:rPr>
                <w:rFonts w:ascii="Times New Roman" w:hAnsi="Times New Roman" w:cs="Times New Roman" w:eastAsia="Times New Roman" w:hint="default"/>
                <w:sz w:val="18"/>
                <w:szCs w:val="18"/>
              </w:rPr>
            </w:pPr>
            <w:r>
              <w:rPr>
                <w:rFonts w:ascii="Times New Roman"/>
                <w:sz w:val="18"/>
              </w:rPr>
              <w:t>2019/5/27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2020/5/26</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2019/1/22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0" w:right="0"/>
              <w:jc w:val="left"/>
              <w:rPr>
                <w:rFonts w:ascii="Times New Roman" w:hAnsi="Times New Roman" w:cs="Times New Roman" w:eastAsia="Times New Roman" w:hint="default"/>
                <w:sz w:val="18"/>
                <w:szCs w:val="18"/>
              </w:rPr>
            </w:pPr>
            <w:r>
              <w:rPr>
                <w:rFonts w:ascii="Times New Roman"/>
                <w:sz w:val="18"/>
              </w:rPr>
              <w:t>2020/1/21</w:t>
            </w:r>
          </w:p>
        </w:tc>
      </w:tr>
      <w:tr>
        <w:trPr>
          <w:trHeight w:val="96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广州银行股份有限公司淘金支行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蓝盾信息安全技术股份有限公司、蓝盾信息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安全技术有限公司、柯宗庆、柯宗贵、柯宗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耀</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Times New Roman"/>
                <w:sz w:val="18"/>
              </w:rPr>
              <w:t>2019/9/6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left"/>
              <w:rPr>
                <w:rFonts w:ascii="Times New Roman" w:hAnsi="Times New Roman" w:cs="Times New Roman" w:eastAsia="Times New Roman" w:hint="default"/>
                <w:sz w:val="18"/>
                <w:szCs w:val="18"/>
              </w:rPr>
            </w:pPr>
            <w:r>
              <w:rPr>
                <w:rFonts w:ascii="Times New Roman"/>
                <w:sz w:val="18"/>
              </w:rPr>
              <w:t>2020/8/6</w:t>
            </w:r>
          </w:p>
        </w:tc>
      </w:tr>
      <w:tr>
        <w:trPr>
          <w:trHeight w:val="96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广州银行股份有限公司淘金支行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32,388,500.00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蓝盾信息安全技术股份有限公司、蓝盾信息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安全技术有限公司、柯宗庆、柯宗贵、柯宗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耀</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2019/9/6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53" w:right="0"/>
              <w:jc w:val="left"/>
              <w:rPr>
                <w:rFonts w:ascii="Times New Roman" w:hAnsi="Times New Roman" w:cs="Times New Roman" w:eastAsia="Times New Roman" w:hint="default"/>
                <w:sz w:val="18"/>
                <w:szCs w:val="18"/>
              </w:rPr>
            </w:pPr>
            <w:r>
              <w:rPr>
                <w:rFonts w:ascii="Times New Roman"/>
                <w:sz w:val="18"/>
              </w:rPr>
              <w:t>2020/9/6</w:t>
            </w:r>
          </w:p>
        </w:tc>
      </w:tr>
      <w:tr>
        <w:trPr>
          <w:trHeight w:val="967"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中信银行股份有限公司广州国防 大厦支行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蓝盾信息安全技术股份有限公司、蓝盾信息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安全技术有限公司、柯宗庆、柯宗贵、柯宗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耀</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2018/12/26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2019/12/26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542"/>
        <w:gridCol w:w="1419"/>
        <w:gridCol w:w="3516"/>
        <w:gridCol w:w="977"/>
        <w:gridCol w:w="955"/>
      </w:tblGrid>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 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49,994,236.71</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2019/5/17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2019/11/16</w:t>
            </w:r>
          </w:p>
        </w:tc>
      </w:tr>
      <w:tr>
        <w:trPr>
          <w:trHeight w:val="34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兴业银行股份有限公司深圳分行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蓝盾信息安全技术股份有限公司、柯宗贵</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2020/3/4</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上海银行股份有限公司深圳分行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2019/4/22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2020/4/18</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2019/5/15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2020/3/10</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20,000,000.00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2019/6/13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2020/6/9</w:t>
            </w:r>
          </w:p>
        </w:tc>
      </w:tr>
      <w:tr>
        <w:trPr>
          <w:trHeight w:val="655"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5,000,000.00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2019/6/18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2020/3/10</w:t>
            </w:r>
          </w:p>
        </w:tc>
      </w:tr>
      <w:tr>
        <w:trPr>
          <w:trHeight w:val="65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汇丰银行（中国）有限公司广州 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29,880,000.00</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蓝盾信息安全技术股份有限公司、柯宗贵、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柯宗耀、柯宗庆、李庆红、柯瑞达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2019/7/18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2019/10/17</w:t>
            </w:r>
          </w:p>
        </w:tc>
      </w:tr>
      <w:tr>
        <w:trPr>
          <w:trHeight w:val="34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1,387,513,166.64</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Times New Roman" w:hAnsi="Times New Roman" w:cs="Times New Roman" w:eastAsia="Times New Roman" w:hint="default"/>
          <w:sz w:val="9"/>
          <w:szCs w:val="9"/>
        </w:rPr>
      </w:pPr>
    </w:p>
    <w:p>
      <w:pPr>
        <w:pStyle w:val="Heading3"/>
        <w:spacing w:line="240" w:lineRule="auto" w:before="36"/>
        <w:ind w:left="573" w:right="1133"/>
        <w:jc w:val="left"/>
        <w:rPr>
          <w:b w:val="0"/>
          <w:bCs w:val="0"/>
        </w:rPr>
      </w:pPr>
      <w:r>
        <w:rPr/>
        <w:t>（</w:t>
      </w:r>
      <w:r>
        <w:rPr>
          <w:rFonts w:ascii="Times New Roman" w:hAnsi="Times New Roman" w:cs="Times New Roman" w:eastAsia="Times New Roman" w:hint="default"/>
        </w:rPr>
        <w:t>2</w:t>
      </w:r>
      <w:r>
        <w:rPr/>
        <w:t>）质押</w:t>
      </w:r>
      <w:r>
        <w:rPr>
          <w:rFonts w:ascii="Times New Roman" w:hAnsi="Times New Roman" w:cs="Times New Roman" w:eastAsia="Times New Roman" w:hint="default"/>
        </w:rPr>
        <w:t>+</w:t>
      </w:r>
      <w:r>
        <w:rPr/>
        <w:t>保证借款</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002"/>
        <w:gridCol w:w="1270"/>
        <w:gridCol w:w="4222"/>
        <w:gridCol w:w="977"/>
        <w:gridCol w:w="955"/>
      </w:tblGrid>
      <w:tr>
        <w:trPr>
          <w:trHeight w:val="343"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质押物</w:t>
            </w:r>
            <w:r>
              <w:rPr>
                <w:rFonts w:ascii="Times New Roman" w:hAnsi="Times New Roman" w:cs="Times New Roman" w:eastAsia="Times New Roman" w:hint="default"/>
                <w:sz w:val="18"/>
                <w:szCs w:val="18"/>
              </w:rPr>
              <w:t>/</w:t>
            </w:r>
            <w:r>
              <w:rPr>
                <w:rFonts w:ascii="宋体" w:hAnsi="宋体" w:cs="宋体" w:eastAsia="宋体" w:hint="default"/>
                <w:sz w:val="18"/>
                <w:szCs w:val="18"/>
              </w:rPr>
              <w:t>担保人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4"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653"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江西银行股份有限公司广 州分行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14,000,000.00</w:t>
            </w:r>
          </w:p>
        </w:tc>
        <w:tc>
          <w:tcPr>
            <w:tcW w:w="4222" w:type="dxa"/>
            <w:vMerge w:val="restart"/>
            <w:tcBorders>
              <w:top w:val="single" w:sz="4" w:space="0" w:color="000000"/>
              <w:left w:val="single" w:sz="4" w:space="0" w:color="000000"/>
              <w:right w:val="single" w:sz="4" w:space="0" w:color="000000"/>
            </w:tcBorders>
          </w:tcPr>
          <w:p>
            <w:pPr>
              <w:pStyle w:val="TableParagraph"/>
              <w:spacing w:line="309"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质押物：广州华炜科技有限公司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股权、西咸新区</w:t>
            </w:r>
            <w:r>
              <w:rPr>
                <w:rFonts w:ascii="宋体" w:hAnsi="宋体" w:cs="宋体" w:eastAsia="宋体" w:hint="default"/>
                <w:spacing w:val="-87"/>
                <w:sz w:val="18"/>
                <w:szCs w:val="18"/>
              </w:rPr>
              <w:t> </w:t>
            </w:r>
            <w:r>
              <w:rPr>
                <w:rFonts w:ascii="宋体" w:hAnsi="宋体" w:cs="宋体" w:eastAsia="宋体" w:hint="default"/>
                <w:sz w:val="18"/>
                <w:szCs w:val="18"/>
              </w:rPr>
              <w:t>蓝盾信息安全技术有限公司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宋体" w:hAnsi="宋体" w:cs="宋体" w:eastAsia="宋体" w:hint="default"/>
                <w:spacing w:val="2"/>
                <w:sz w:val="18"/>
                <w:szCs w:val="18"/>
              </w:rPr>
              <w:t>担保人：西咸新区蓝盾信息安全技术有限公司、成都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蓝盾网信科技有限公司、柯宗贵、柯宗庆、柯宗耀、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陈色琴、谭爱武、李庆红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2"/>
              <w:jc w:val="right"/>
              <w:rPr>
                <w:rFonts w:ascii="Times New Roman" w:hAnsi="Times New Roman" w:cs="Times New Roman" w:eastAsia="Times New Roman" w:hint="default"/>
                <w:sz w:val="18"/>
                <w:szCs w:val="18"/>
              </w:rPr>
            </w:pPr>
            <w:r>
              <w:rPr>
                <w:rFonts w:ascii="Times New Roman"/>
                <w:w w:val="95"/>
                <w:sz w:val="18"/>
              </w:rPr>
              <w:t>2018/12/28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2020/9/25</w:t>
            </w:r>
          </w:p>
        </w:tc>
      </w:tr>
      <w:tr>
        <w:trPr>
          <w:trHeight w:val="936"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江西银行股份有限公司广 州分行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sz w:val="18"/>
              </w:rPr>
              <w:t>286,000,000.00</w:t>
            </w:r>
          </w:p>
        </w:tc>
        <w:tc>
          <w:tcPr>
            <w:tcW w:w="4222" w:type="dxa"/>
            <w:vMerge/>
            <w:tcBorders>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2"/>
              <w:jc w:val="right"/>
              <w:rPr>
                <w:rFonts w:ascii="Times New Roman" w:hAnsi="Times New Roman" w:cs="Times New Roman" w:eastAsia="Times New Roman" w:hint="default"/>
                <w:sz w:val="18"/>
                <w:szCs w:val="18"/>
              </w:rPr>
            </w:pPr>
            <w:r>
              <w:rPr>
                <w:rFonts w:ascii="Times New Roman"/>
                <w:w w:val="95"/>
                <w:sz w:val="18"/>
              </w:rPr>
              <w:t>2018/12/29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2020/9/25</w:t>
            </w:r>
          </w:p>
        </w:tc>
      </w:tr>
      <w:tr>
        <w:trPr>
          <w:trHeight w:val="968"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平安银行股份有限公司广 州流花支行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62,198,400.00</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质押物：江西银行股份有限公司广州分行保证金存款 </w:t>
            </w:r>
            <w:r>
              <w:rPr>
                <w:rFonts w:ascii="宋体" w:hAnsi="宋体" w:cs="宋体" w:eastAsia="宋体" w:hint="default"/>
                <w:spacing w:val="2"/>
                <w:sz w:val="18"/>
                <w:szCs w:val="18"/>
              </w:rPr>
              <w:t>担保人：蓝盾信息安全技术股份有限公司、柯宗贵、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柯宗耀、柯宗庆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2019/2/21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2020/1/8</w:t>
            </w:r>
          </w:p>
        </w:tc>
      </w:tr>
      <w:tr>
        <w:trPr>
          <w:trHeight w:val="2213"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招商银行股份有限公司广 州富力中心支行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13,000,000.00</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质押物：中经汇通电子商务有限公司与中国大地财产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保险股份有</w:t>
            </w:r>
          </w:p>
          <w:p>
            <w:pPr>
              <w:pStyle w:val="TableParagraph"/>
              <w:spacing w:line="309" w:lineRule="auto" w:before="19"/>
              <w:ind w:left="4" w:right="2"/>
              <w:jc w:val="left"/>
              <w:rPr>
                <w:rFonts w:ascii="宋体" w:hAnsi="宋体" w:cs="宋体" w:eastAsia="宋体" w:hint="default"/>
                <w:sz w:val="18"/>
                <w:szCs w:val="18"/>
              </w:rPr>
            </w:pPr>
            <w:r>
              <w:rPr>
                <w:rFonts w:ascii="宋体" w:hAnsi="宋体" w:cs="宋体" w:eastAsia="宋体" w:hint="default"/>
                <w:sz w:val="18"/>
                <w:szCs w:val="18"/>
              </w:rPr>
              <w:t>限 公 司 广 东 分 公 司 签 署 的 合 同 编 号</w:t>
            </w:r>
            <w:r>
              <w:rPr>
                <w:rFonts w:ascii="宋体" w:hAnsi="宋体" w:cs="宋体" w:eastAsia="宋体" w:hint="default"/>
                <w:spacing w:val="-36"/>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z w:val="18"/>
                <w:szCs w:val="18"/>
              </w:rPr>
              <w:t>ZTDS-BX-GD20180110103</w:t>
            </w:r>
            <w:r>
              <w:rPr>
                <w:rFonts w:ascii="Times New Roman" w:hAnsi="Times New Roman" w:cs="Times New Roman" w:eastAsia="Times New Roman" w:hint="default"/>
                <w:spacing w:val="-32"/>
                <w:sz w:val="18"/>
                <w:szCs w:val="18"/>
              </w:rPr>
              <w:t> </w:t>
            </w:r>
            <w:r>
              <w:rPr>
                <w:rFonts w:ascii="宋体" w:hAnsi="宋体" w:cs="宋体" w:eastAsia="宋体" w:hint="default"/>
                <w:spacing w:val="12"/>
                <w:sz w:val="18"/>
                <w:szCs w:val="18"/>
              </w:rPr>
              <w:t>的增值服务合作协议项下</w:t>
            </w:r>
            <w:r>
              <w:rPr>
                <w:rFonts w:ascii="宋体" w:hAnsi="宋体" w:cs="宋体" w:eastAsia="宋体" w:hint="default"/>
                <w:sz w:val="18"/>
                <w:szCs w:val="18"/>
              </w:rPr>
              <w:t> 的应收账款共计</w:t>
            </w:r>
            <w:r>
              <w:rPr>
                <w:rFonts w:ascii="Times New Roman" w:hAnsi="Times New Roman" w:cs="Times New Roman" w:eastAsia="Times New Roman" w:hint="default"/>
                <w:sz w:val="18"/>
                <w:szCs w:val="18"/>
              </w:rPr>
              <w:t>30,625,522.00</w:t>
            </w:r>
            <w:r>
              <w:rPr>
                <w:rFonts w:ascii="宋体" w:hAnsi="宋体" w:cs="宋体" w:eastAsia="宋体" w:hint="default"/>
                <w:sz w:val="18"/>
                <w:szCs w:val="18"/>
              </w:rPr>
              <w:t>元； </w:t>
            </w:r>
            <w:r>
              <w:rPr>
                <w:rFonts w:ascii="宋体" w:hAnsi="宋体" w:cs="宋体" w:eastAsia="宋体" w:hint="default"/>
                <w:spacing w:val="2"/>
                <w:sz w:val="18"/>
                <w:szCs w:val="18"/>
              </w:rPr>
              <w:t>担保人：蓝盾信息安全技术股份有限公司、蓝盾信息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安全技术有限公司、柯宗庆、柯宗贵、柯宗耀</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2019/4/4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2019/10/2</w:t>
            </w:r>
          </w:p>
        </w:tc>
      </w:tr>
      <w:tr>
        <w:trPr>
          <w:trHeight w:val="2216"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招商银行股份有限公司广 州富力中心支行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1" w:right="0"/>
              <w:jc w:val="left"/>
              <w:rPr>
                <w:rFonts w:ascii="Times New Roman" w:hAnsi="Times New Roman" w:cs="Times New Roman" w:eastAsia="Times New Roman" w:hint="default"/>
                <w:sz w:val="18"/>
                <w:szCs w:val="18"/>
              </w:rPr>
            </w:pPr>
            <w:r>
              <w:rPr>
                <w:rFonts w:ascii="Times New Roman"/>
                <w:sz w:val="18"/>
              </w:rPr>
              <w:t>6,400,000.00</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质押物：中经汇通电子商务有限公司与中国大地财产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保险股份有</w:t>
            </w:r>
          </w:p>
          <w:p>
            <w:pPr>
              <w:pStyle w:val="TableParagraph"/>
              <w:spacing w:line="309" w:lineRule="auto" w:before="19"/>
              <w:ind w:left="4" w:right="2"/>
              <w:jc w:val="left"/>
              <w:rPr>
                <w:rFonts w:ascii="宋体" w:hAnsi="宋体" w:cs="宋体" w:eastAsia="宋体" w:hint="default"/>
                <w:sz w:val="18"/>
                <w:szCs w:val="18"/>
              </w:rPr>
            </w:pPr>
            <w:r>
              <w:rPr>
                <w:rFonts w:ascii="宋体" w:hAnsi="宋体" w:cs="宋体" w:eastAsia="宋体" w:hint="default"/>
                <w:sz w:val="18"/>
                <w:szCs w:val="18"/>
              </w:rPr>
              <w:t>限 公 司 广 东 分 公 司 签 署 的 合 同 编 号</w:t>
            </w:r>
            <w:r>
              <w:rPr>
                <w:rFonts w:ascii="宋体" w:hAnsi="宋体" w:cs="宋体" w:eastAsia="宋体" w:hint="default"/>
                <w:spacing w:val="-36"/>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z w:val="18"/>
                <w:szCs w:val="18"/>
              </w:rPr>
              <w:t>ZTDS-BX-GD20180110103</w:t>
            </w:r>
            <w:r>
              <w:rPr>
                <w:rFonts w:ascii="Times New Roman" w:hAnsi="Times New Roman" w:cs="Times New Roman" w:eastAsia="Times New Roman" w:hint="default"/>
                <w:spacing w:val="-32"/>
                <w:sz w:val="18"/>
                <w:szCs w:val="18"/>
              </w:rPr>
              <w:t> </w:t>
            </w:r>
            <w:r>
              <w:rPr>
                <w:rFonts w:ascii="宋体" w:hAnsi="宋体" w:cs="宋体" w:eastAsia="宋体" w:hint="default"/>
                <w:spacing w:val="12"/>
                <w:sz w:val="18"/>
                <w:szCs w:val="18"/>
              </w:rPr>
              <w:t>的增值服务合作协议项下</w:t>
            </w:r>
            <w:r>
              <w:rPr>
                <w:rFonts w:ascii="宋体" w:hAnsi="宋体" w:cs="宋体" w:eastAsia="宋体" w:hint="default"/>
                <w:sz w:val="18"/>
                <w:szCs w:val="18"/>
              </w:rPr>
              <w:t> 的应收账款共计</w:t>
            </w:r>
            <w:r>
              <w:rPr>
                <w:rFonts w:ascii="Times New Roman" w:hAnsi="Times New Roman" w:cs="Times New Roman" w:eastAsia="Times New Roman" w:hint="default"/>
                <w:sz w:val="18"/>
                <w:szCs w:val="18"/>
              </w:rPr>
              <w:t>8,248,864.00</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宋体" w:hAnsi="宋体" w:cs="宋体" w:eastAsia="宋体" w:hint="default"/>
                <w:spacing w:val="2"/>
                <w:sz w:val="18"/>
                <w:szCs w:val="18"/>
              </w:rPr>
              <w:t>担保人：蓝盾信息安全技术股份有限公司、蓝盾信息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安全技术有限公司、柯宗庆、柯宗贵、柯宗耀</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2019/4/15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2019/10/14</w:t>
            </w:r>
          </w:p>
        </w:tc>
      </w:tr>
      <w:tr>
        <w:trPr>
          <w:trHeight w:val="1277"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招商银行股份有限公司广 州富力中心支行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30,000,000.00</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质押物：中经汇通电子商务有限公司与中国大地财产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保险股份有</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限 公 司 广 东 分 公 司 签 署 的 合 同 编 号</w:t>
            </w:r>
            <w:r>
              <w:rPr>
                <w:rFonts w:ascii="宋体" w:hAnsi="宋体" w:cs="宋体" w:eastAsia="宋体" w:hint="default"/>
                <w:spacing w:val="-36"/>
                <w:sz w:val="18"/>
                <w:szCs w:val="18"/>
              </w:rPr>
              <w:t> </w:t>
            </w:r>
            <w:r>
              <w:rPr>
                <w:rFonts w:ascii="宋体" w:hAnsi="宋体" w:cs="宋体" w:eastAsia="宋体" w:hint="default"/>
                <w:sz w:val="18"/>
                <w:szCs w:val="18"/>
              </w:rPr>
              <w:t>为</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ZTDS-BX-GD20180110103</w:t>
            </w:r>
            <w:r>
              <w:rPr>
                <w:rFonts w:ascii="Times New Roman" w:hAnsi="Times New Roman" w:cs="Times New Roman" w:eastAsia="Times New Roman" w:hint="default"/>
                <w:spacing w:val="-35"/>
                <w:sz w:val="18"/>
                <w:szCs w:val="18"/>
              </w:rPr>
              <w:t> </w:t>
            </w:r>
            <w:r>
              <w:rPr>
                <w:rFonts w:ascii="宋体" w:hAnsi="宋体" w:cs="宋体" w:eastAsia="宋体" w:hint="default"/>
                <w:spacing w:val="12"/>
                <w:sz w:val="18"/>
                <w:szCs w:val="18"/>
              </w:rPr>
              <w:t>的增值服务合作协议项下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2019/4/28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2019/10/27</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002"/>
        <w:gridCol w:w="1270"/>
        <w:gridCol w:w="4222"/>
        <w:gridCol w:w="977"/>
        <w:gridCol w:w="955"/>
      </w:tblGrid>
      <w:tr>
        <w:trPr>
          <w:trHeight w:val="965" w:hRule="exact"/>
        </w:trPr>
        <w:tc>
          <w:tcPr>
            <w:tcW w:w="20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的应收账款合计</w:t>
            </w:r>
            <w:r>
              <w:rPr>
                <w:rFonts w:ascii="Times New Roman" w:hAnsi="Times New Roman" w:cs="Times New Roman" w:eastAsia="Times New Roman" w:hint="default"/>
                <w:sz w:val="18"/>
                <w:szCs w:val="18"/>
              </w:rPr>
              <w:t>37,515,042.00</w:t>
            </w:r>
            <w:r>
              <w:rPr>
                <w:rFonts w:ascii="宋体" w:hAnsi="宋体" w:cs="宋体" w:eastAsia="宋体" w:hint="default"/>
                <w:sz w:val="18"/>
                <w:szCs w:val="18"/>
              </w:rPr>
              <w:t>元； </w:t>
            </w:r>
            <w:r>
              <w:rPr>
                <w:rFonts w:ascii="宋体" w:hAnsi="宋体" w:cs="宋体" w:eastAsia="宋体" w:hint="default"/>
                <w:spacing w:val="2"/>
                <w:sz w:val="18"/>
                <w:szCs w:val="18"/>
              </w:rPr>
              <w:t>担保人：蓝盾信息安全技术股份有限公司、蓝盾信息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安全技术有限公司、柯宗庆、柯宗贵、柯宗耀</w:t>
            </w:r>
          </w:p>
        </w:tc>
        <w:tc>
          <w:tcPr>
            <w:tcW w:w="97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411,598,400.00</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8"/>
          <w:szCs w:val="8"/>
        </w:rPr>
      </w:pPr>
    </w:p>
    <w:p>
      <w:pPr>
        <w:pStyle w:val="Heading3"/>
        <w:spacing w:line="240" w:lineRule="auto" w:before="36"/>
        <w:ind w:left="573" w:right="1133"/>
        <w:jc w:val="left"/>
        <w:rPr>
          <w:b w:val="0"/>
          <w:bCs w:val="0"/>
        </w:rPr>
      </w:pPr>
      <w:r>
        <w:rPr/>
        <w:t>（</w:t>
      </w:r>
      <w:r>
        <w:rPr>
          <w:rFonts w:ascii="Times New Roman" w:hAnsi="Times New Roman" w:cs="Times New Roman" w:eastAsia="Times New Roman" w:hint="default"/>
        </w:rPr>
        <w:t>3</w:t>
      </w:r>
      <w:r>
        <w:rPr/>
        <w:t>）抵押借款</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242"/>
        <w:gridCol w:w="1781"/>
        <w:gridCol w:w="3286"/>
        <w:gridCol w:w="963"/>
        <w:gridCol w:w="1008"/>
      </w:tblGrid>
      <w:tr>
        <w:trPr>
          <w:trHeight w:val="34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8"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65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3"/>
              <w:jc w:val="left"/>
              <w:rPr>
                <w:rFonts w:ascii="宋体" w:hAnsi="宋体" w:cs="宋体" w:eastAsia="宋体" w:hint="default"/>
                <w:sz w:val="18"/>
                <w:szCs w:val="18"/>
              </w:rPr>
            </w:pPr>
            <w:r>
              <w:rPr>
                <w:rFonts w:ascii="宋体" w:hAnsi="宋体" w:cs="宋体" w:eastAsia="宋体" w:hint="default"/>
                <w:sz w:val="18"/>
                <w:szCs w:val="18"/>
              </w:rPr>
              <w:t>交通银行股份有限公司广州 天河北支行</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47,300,000.00</w:t>
            </w:r>
          </w:p>
        </w:tc>
        <w:tc>
          <w:tcPr>
            <w:tcW w:w="3286" w:type="dxa"/>
            <w:vMerge w:val="restart"/>
            <w:tcBorders>
              <w:top w:val="single" w:sz="4" w:space="0" w:color="000000"/>
              <w:left w:val="single" w:sz="4" w:space="0" w:color="000000"/>
              <w:right w:val="single" w:sz="4" w:space="0" w:color="000000"/>
            </w:tcBorders>
          </w:tcPr>
          <w:p>
            <w:pPr>
              <w:pStyle w:val="TableParagraph"/>
              <w:spacing w:line="300" w:lineRule="auto" w:before="17"/>
              <w:ind w:left="7" w:right="-8"/>
              <w:jc w:val="both"/>
              <w:rPr>
                <w:rFonts w:ascii="宋体" w:hAnsi="宋体" w:cs="宋体" w:eastAsia="宋体" w:hint="default"/>
                <w:sz w:val="18"/>
                <w:szCs w:val="18"/>
              </w:rPr>
            </w:pPr>
            <w:r>
              <w:rPr>
                <w:rFonts w:ascii="宋体" w:hAnsi="宋体" w:cs="宋体" w:eastAsia="宋体" w:hint="default"/>
                <w:spacing w:val="6"/>
                <w:sz w:val="18"/>
                <w:szCs w:val="18"/>
              </w:rPr>
              <w:t>广州市天河区天慧路</w:t>
            </w:r>
            <w:r>
              <w:rPr>
                <w:rFonts w:ascii="Times New Roman" w:hAnsi="Times New Roman" w:cs="Times New Roman" w:eastAsia="Times New Roman" w:hint="default"/>
                <w:spacing w:val="6"/>
                <w:sz w:val="18"/>
                <w:szCs w:val="18"/>
              </w:rPr>
              <w:t>16</w:t>
            </w:r>
            <w:r>
              <w:rPr>
                <w:rFonts w:ascii="宋体" w:hAnsi="宋体" w:cs="宋体" w:eastAsia="宋体" w:hint="default"/>
                <w:spacing w:val="6"/>
                <w:sz w:val="18"/>
                <w:szCs w:val="18"/>
              </w:rPr>
              <w:t>号首层等</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套科研</w:t>
            </w:r>
            <w:r>
              <w:rPr>
                <w:rFonts w:ascii="宋体" w:hAnsi="宋体" w:cs="宋体" w:eastAsia="宋体" w:hint="default"/>
                <w:spacing w:val="-85"/>
                <w:sz w:val="18"/>
                <w:szCs w:val="18"/>
              </w:rPr>
              <w:t> </w:t>
            </w:r>
            <w:r>
              <w:rPr>
                <w:rFonts w:ascii="宋体" w:hAnsi="宋体" w:cs="宋体" w:eastAsia="宋体" w:hint="default"/>
                <w:spacing w:val="-4"/>
                <w:sz w:val="18"/>
                <w:szCs w:val="18"/>
              </w:rPr>
              <w:t>用房及</w:t>
            </w:r>
            <w:r>
              <w:rPr>
                <w:rFonts w:ascii="Times New Roman" w:hAnsi="Times New Roman" w:cs="Times New Roman" w:eastAsia="Times New Roman" w:hint="default"/>
                <w:spacing w:val="-4"/>
                <w:sz w:val="18"/>
                <w:szCs w:val="18"/>
              </w:rPr>
              <w:t>188</w:t>
            </w:r>
            <w:r>
              <w:rPr>
                <w:rFonts w:ascii="宋体" w:hAnsi="宋体" w:cs="宋体" w:eastAsia="宋体" w:hint="default"/>
                <w:spacing w:val="-4"/>
                <w:sz w:val="18"/>
                <w:szCs w:val="18"/>
              </w:rPr>
              <w:t>套车库；广州市萝岗区瑞和路以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西、瑞源路以北地块编号</w:t>
            </w:r>
            <w:r>
              <w:rPr>
                <w:rFonts w:ascii="Times New Roman" w:hAnsi="Times New Roman" w:cs="Times New Roman" w:eastAsia="Times New Roman" w:hint="default"/>
                <w:spacing w:val="-3"/>
                <w:sz w:val="18"/>
                <w:szCs w:val="18"/>
              </w:rPr>
              <w:t>KXCD-D2-</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土地</w:t>
            </w:r>
            <w:r>
              <w:rPr>
                <w:rFonts w:ascii="宋体" w:hAnsi="宋体" w:cs="宋体" w:eastAsia="宋体" w:hint="default"/>
                <w:w w:val="99"/>
                <w:sz w:val="18"/>
                <w:szCs w:val="18"/>
              </w:rPr>
              <w:t> </w:t>
            </w:r>
            <w:r>
              <w:rPr>
                <w:rFonts w:ascii="宋体" w:hAnsi="宋体" w:cs="宋体" w:eastAsia="宋体" w:hint="default"/>
                <w:sz w:val="18"/>
                <w:szCs w:val="18"/>
              </w:rPr>
              <w:t>使用权及在建工程</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2019/1/4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2020/5/15</w:t>
            </w:r>
          </w:p>
        </w:tc>
      </w:tr>
      <w:tr>
        <w:trPr>
          <w:trHeight w:val="65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3"/>
              <w:jc w:val="left"/>
              <w:rPr>
                <w:rFonts w:ascii="宋体" w:hAnsi="宋体" w:cs="宋体" w:eastAsia="宋体" w:hint="default"/>
                <w:sz w:val="18"/>
                <w:szCs w:val="18"/>
              </w:rPr>
            </w:pPr>
            <w:r>
              <w:rPr>
                <w:rFonts w:ascii="宋体" w:hAnsi="宋体" w:cs="宋体" w:eastAsia="宋体" w:hint="default"/>
                <w:sz w:val="18"/>
                <w:szCs w:val="18"/>
              </w:rPr>
              <w:t>交通银行股份有限公司广州 天河北支行</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20,700,000.00</w:t>
            </w:r>
          </w:p>
        </w:tc>
        <w:tc>
          <w:tcPr>
            <w:tcW w:w="3286" w:type="dxa"/>
            <w:vMerge/>
            <w:tcBorders>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2019/3/27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2020/3/26</w:t>
            </w:r>
          </w:p>
        </w:tc>
      </w:tr>
      <w:tr>
        <w:trPr>
          <w:trHeight w:val="34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68,000,000.00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8"/>
          <w:szCs w:val="8"/>
        </w:rPr>
      </w:pPr>
    </w:p>
    <w:p>
      <w:pPr>
        <w:pStyle w:val="Heading3"/>
        <w:spacing w:line="240" w:lineRule="auto" w:before="36"/>
        <w:ind w:left="573" w:right="1133"/>
        <w:jc w:val="left"/>
        <w:rPr>
          <w:b w:val="0"/>
          <w:bCs w:val="0"/>
        </w:rPr>
      </w:pPr>
      <w:r>
        <w:rPr/>
        <w:t>（</w:t>
      </w:r>
      <w:r>
        <w:rPr>
          <w:rFonts w:ascii="Times New Roman" w:hAnsi="Times New Roman" w:cs="Times New Roman" w:eastAsia="Times New Roman" w:hint="default"/>
        </w:rPr>
        <w:t>4</w:t>
      </w:r>
      <w:r>
        <w:rPr/>
        <w:t>）抵押</w:t>
      </w:r>
      <w:r>
        <w:rPr>
          <w:rFonts w:ascii="Times New Roman" w:hAnsi="Times New Roman" w:cs="Times New Roman" w:eastAsia="Times New Roman" w:hint="default"/>
        </w:rPr>
        <w:t>+</w:t>
      </w:r>
      <w:r>
        <w:rPr/>
        <w:t>保证借款</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228"/>
        <w:gridCol w:w="1474"/>
        <w:gridCol w:w="3591"/>
        <w:gridCol w:w="963"/>
        <w:gridCol w:w="1010"/>
      </w:tblGrid>
      <w:tr>
        <w:trPr>
          <w:trHeight w:val="34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w:t>
            </w:r>
            <w:r>
              <w:rPr>
                <w:rFonts w:ascii="宋体" w:hAnsi="宋体" w:cs="宋体" w:eastAsia="宋体" w:hint="default"/>
                <w:sz w:val="18"/>
                <w:szCs w:val="18"/>
              </w:rPr>
              <w:t>担保人</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8"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65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8"/>
              <w:jc w:val="left"/>
              <w:rPr>
                <w:rFonts w:ascii="宋体" w:hAnsi="宋体" w:cs="宋体" w:eastAsia="宋体" w:hint="default"/>
                <w:sz w:val="18"/>
                <w:szCs w:val="18"/>
              </w:rPr>
            </w:pPr>
            <w:r>
              <w:rPr>
                <w:rFonts w:ascii="宋体" w:hAnsi="宋体" w:cs="宋体" w:eastAsia="宋体" w:hint="default"/>
                <w:sz w:val="18"/>
                <w:szCs w:val="18"/>
              </w:rPr>
              <w:t>交通银行股份有限公司广州 天河北支行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7,000,000.00</w:t>
            </w:r>
          </w:p>
        </w:tc>
        <w:tc>
          <w:tcPr>
            <w:tcW w:w="3591" w:type="dxa"/>
            <w:vMerge w:val="restart"/>
            <w:tcBorders>
              <w:top w:val="single" w:sz="4" w:space="0" w:color="000000"/>
              <w:left w:val="single" w:sz="4" w:space="0" w:color="000000"/>
              <w:right w:val="single" w:sz="4" w:space="0" w:color="000000"/>
            </w:tcBorders>
          </w:tcPr>
          <w:p>
            <w:pPr>
              <w:pStyle w:val="TableParagraph"/>
              <w:spacing w:line="304"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抵押品：广州市萝岗区瑞和路以西、瑞源路以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北地块编号</w:t>
            </w:r>
            <w:r>
              <w:rPr>
                <w:rFonts w:ascii="Times New Roman" w:hAnsi="Times New Roman" w:cs="Times New Roman" w:eastAsia="Times New Roman" w:hint="default"/>
                <w:spacing w:val="4"/>
                <w:sz w:val="18"/>
                <w:szCs w:val="18"/>
              </w:rPr>
              <w:t>KXCD-D2-5</w:t>
            </w:r>
            <w:r>
              <w:rPr>
                <w:rFonts w:ascii="宋体" w:hAnsi="宋体" w:cs="宋体" w:eastAsia="宋体" w:hint="default"/>
                <w:spacing w:val="4"/>
                <w:sz w:val="18"/>
                <w:szCs w:val="18"/>
              </w:rPr>
              <w:t>土地使用权及在建工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程、广州市天河区天慧路</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号首层等</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套科研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用房及</w:t>
            </w:r>
            <w:r>
              <w:rPr>
                <w:rFonts w:ascii="Times New Roman" w:hAnsi="Times New Roman" w:cs="Times New Roman" w:eastAsia="Times New Roman" w:hint="default"/>
                <w:sz w:val="18"/>
                <w:szCs w:val="18"/>
              </w:rPr>
              <w:t>188</w:t>
            </w:r>
            <w:r>
              <w:rPr>
                <w:rFonts w:ascii="宋体" w:hAnsi="宋体" w:cs="宋体" w:eastAsia="宋体" w:hint="default"/>
                <w:sz w:val="18"/>
                <w:szCs w:val="18"/>
              </w:rPr>
              <w:t>套车库；</w:t>
            </w:r>
            <w:r>
              <w:rPr>
                <w:rFonts w:ascii="宋体" w:hAnsi="宋体" w:cs="宋体" w:eastAsia="宋体" w:hint="default"/>
                <w:spacing w:val="-88"/>
                <w:sz w:val="18"/>
                <w:szCs w:val="18"/>
              </w:rPr>
              <w:t> </w:t>
            </w:r>
            <w:r>
              <w:rPr>
                <w:rFonts w:ascii="宋体" w:hAnsi="宋体" w:cs="宋体" w:eastAsia="宋体" w:hint="default"/>
                <w:sz w:val="18"/>
                <w:szCs w:val="18"/>
              </w:rPr>
              <w:t>担保人：蓝盾信息安全技术股份有限公司</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2019/5/29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2020/5/29</w:t>
            </w:r>
          </w:p>
        </w:tc>
      </w:tr>
      <w:tr>
        <w:trPr>
          <w:trHeight w:val="936"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8"/>
              <w:jc w:val="left"/>
              <w:rPr>
                <w:rFonts w:ascii="宋体" w:hAnsi="宋体" w:cs="宋体" w:eastAsia="宋体" w:hint="default"/>
                <w:sz w:val="18"/>
                <w:szCs w:val="18"/>
              </w:rPr>
            </w:pPr>
            <w:r>
              <w:rPr>
                <w:rFonts w:ascii="宋体" w:hAnsi="宋体" w:cs="宋体" w:eastAsia="宋体" w:hint="default"/>
                <w:sz w:val="18"/>
                <w:szCs w:val="18"/>
              </w:rPr>
              <w:t>交通银行股份有限公司广州 天河北支行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5,000,000.00</w:t>
            </w:r>
          </w:p>
        </w:tc>
        <w:tc>
          <w:tcPr>
            <w:tcW w:w="3591" w:type="dxa"/>
            <w:vMerge/>
            <w:tcBorders>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2019/5/30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2020/5/30</w:t>
            </w:r>
          </w:p>
        </w:tc>
      </w:tr>
      <w:tr>
        <w:trPr>
          <w:trHeight w:val="655"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8"/>
              <w:jc w:val="left"/>
              <w:rPr>
                <w:rFonts w:ascii="宋体" w:hAnsi="宋体" w:cs="宋体" w:eastAsia="宋体" w:hint="default"/>
                <w:sz w:val="18"/>
                <w:szCs w:val="18"/>
              </w:rPr>
            </w:pPr>
            <w:r>
              <w:rPr>
                <w:rFonts w:ascii="宋体" w:hAnsi="宋体" w:cs="宋体" w:eastAsia="宋体" w:hint="default"/>
                <w:sz w:val="18"/>
                <w:szCs w:val="18"/>
              </w:rPr>
              <w:t>长沙银行股份有限公司广州 分行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8,335,858.72</w:t>
            </w:r>
          </w:p>
        </w:tc>
        <w:tc>
          <w:tcPr>
            <w:tcW w:w="3591" w:type="dxa"/>
            <w:vMerge w:val="restart"/>
            <w:tcBorders>
              <w:top w:val="single" w:sz="4" w:space="0" w:color="000000"/>
              <w:left w:val="single" w:sz="4" w:space="0" w:color="000000"/>
              <w:right w:val="single" w:sz="4" w:space="0" w:color="000000"/>
            </w:tcBorders>
          </w:tcPr>
          <w:p>
            <w:pPr>
              <w:pStyle w:val="TableParagraph"/>
              <w:spacing w:line="307" w:lineRule="auto" w:before="20"/>
              <w:ind w:left="4" w:right="-1"/>
              <w:jc w:val="left"/>
              <w:rPr>
                <w:rFonts w:ascii="宋体" w:hAnsi="宋体" w:cs="宋体" w:eastAsia="宋体" w:hint="default"/>
                <w:sz w:val="18"/>
                <w:szCs w:val="18"/>
              </w:rPr>
            </w:pPr>
            <w:r>
              <w:rPr>
                <w:rFonts w:ascii="宋体" w:hAnsi="宋体" w:cs="宋体" w:eastAsia="宋体" w:hint="default"/>
                <w:spacing w:val="-2"/>
                <w:sz w:val="18"/>
                <w:szCs w:val="18"/>
              </w:rPr>
              <w:t>抵押物：西咸新区编号为陕（</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）咸阳市不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动产权第</w:t>
            </w:r>
            <w:r>
              <w:rPr>
                <w:rFonts w:ascii="Times New Roman" w:hAnsi="Times New Roman" w:cs="Times New Roman" w:eastAsia="Times New Roman" w:hint="default"/>
                <w:sz w:val="18"/>
                <w:szCs w:val="18"/>
              </w:rPr>
              <w:t>0000097</w:t>
            </w:r>
            <w:r>
              <w:rPr>
                <w:rFonts w:ascii="宋体" w:hAnsi="宋体" w:cs="宋体" w:eastAsia="宋体" w:hint="default"/>
                <w:sz w:val="18"/>
                <w:szCs w:val="18"/>
              </w:rPr>
              <w:t>号的土地； </w:t>
            </w:r>
            <w:r>
              <w:rPr>
                <w:rFonts w:ascii="宋体" w:hAnsi="宋体" w:cs="宋体" w:eastAsia="宋体" w:hint="default"/>
                <w:spacing w:val="-2"/>
                <w:sz w:val="18"/>
                <w:szCs w:val="18"/>
              </w:rPr>
              <w:t>担保人：蓝盾信息安全技术股份有限公司、柯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宗贵、柯宗庆</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2018/11/8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2019/11/7</w:t>
            </w:r>
          </w:p>
        </w:tc>
      </w:tr>
      <w:tr>
        <w:trPr>
          <w:trHeight w:val="65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8"/>
              <w:jc w:val="left"/>
              <w:rPr>
                <w:rFonts w:ascii="宋体" w:hAnsi="宋体" w:cs="宋体" w:eastAsia="宋体" w:hint="default"/>
                <w:sz w:val="18"/>
                <w:szCs w:val="18"/>
              </w:rPr>
            </w:pPr>
            <w:r>
              <w:rPr>
                <w:rFonts w:ascii="宋体" w:hAnsi="宋体" w:cs="宋体" w:eastAsia="宋体" w:hint="default"/>
                <w:sz w:val="18"/>
                <w:szCs w:val="18"/>
              </w:rPr>
              <w:t>长沙银行股份有限公司广州 分行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3591" w:type="dxa"/>
            <w:vMerge/>
            <w:tcBorders>
              <w:left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2018/11/15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2019/11/14</w:t>
            </w:r>
          </w:p>
        </w:tc>
      </w:tr>
      <w:tr>
        <w:trPr>
          <w:trHeight w:val="655"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8"/>
              <w:jc w:val="left"/>
              <w:rPr>
                <w:rFonts w:ascii="宋体" w:hAnsi="宋体" w:cs="宋体" w:eastAsia="宋体" w:hint="default"/>
                <w:sz w:val="18"/>
                <w:szCs w:val="18"/>
              </w:rPr>
            </w:pPr>
            <w:r>
              <w:rPr>
                <w:rFonts w:ascii="宋体" w:hAnsi="宋体" w:cs="宋体" w:eastAsia="宋体" w:hint="default"/>
                <w:sz w:val="18"/>
                <w:szCs w:val="18"/>
              </w:rPr>
              <w:t>长沙银行股份有限公司广州 分行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3591" w:type="dxa"/>
            <w:vMerge/>
            <w:tcBorders>
              <w:left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2019/4/24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2020/2/23</w:t>
            </w:r>
          </w:p>
        </w:tc>
      </w:tr>
      <w:tr>
        <w:trPr>
          <w:trHeight w:val="65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8"/>
              <w:jc w:val="left"/>
              <w:rPr>
                <w:rFonts w:ascii="宋体" w:hAnsi="宋体" w:cs="宋体" w:eastAsia="宋体" w:hint="default"/>
                <w:sz w:val="18"/>
                <w:szCs w:val="18"/>
              </w:rPr>
            </w:pPr>
            <w:r>
              <w:rPr>
                <w:rFonts w:ascii="宋体" w:hAnsi="宋体" w:cs="宋体" w:eastAsia="宋体" w:hint="default"/>
                <w:sz w:val="18"/>
                <w:szCs w:val="18"/>
              </w:rPr>
              <w:t>长沙银行股份有限公司广州 分行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3591" w:type="dxa"/>
            <w:vMerge/>
            <w:tcBorders>
              <w:left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2019/5/23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2020/3/10</w:t>
            </w:r>
          </w:p>
        </w:tc>
      </w:tr>
      <w:tr>
        <w:trPr>
          <w:trHeight w:val="655"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8"/>
              <w:jc w:val="left"/>
              <w:rPr>
                <w:rFonts w:ascii="宋体" w:hAnsi="宋体" w:cs="宋体" w:eastAsia="宋体" w:hint="default"/>
                <w:sz w:val="18"/>
                <w:szCs w:val="18"/>
              </w:rPr>
            </w:pPr>
            <w:r>
              <w:rPr>
                <w:rFonts w:ascii="宋体" w:hAnsi="宋体" w:cs="宋体" w:eastAsia="宋体" w:hint="default"/>
                <w:sz w:val="18"/>
                <w:szCs w:val="18"/>
              </w:rPr>
              <w:t>长沙银行股份有限公司广州 分行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50,000,000.00</w:t>
            </w:r>
          </w:p>
        </w:tc>
        <w:tc>
          <w:tcPr>
            <w:tcW w:w="3591" w:type="dxa"/>
            <w:vMerge/>
            <w:tcBorders>
              <w:left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2019/7/12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2020/3/10</w:t>
            </w:r>
          </w:p>
        </w:tc>
      </w:tr>
      <w:tr>
        <w:trPr>
          <w:trHeight w:val="65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8"/>
              <w:jc w:val="left"/>
              <w:rPr>
                <w:rFonts w:ascii="宋体" w:hAnsi="宋体" w:cs="宋体" w:eastAsia="宋体" w:hint="default"/>
                <w:sz w:val="18"/>
                <w:szCs w:val="18"/>
              </w:rPr>
            </w:pPr>
            <w:r>
              <w:rPr>
                <w:rFonts w:ascii="宋体" w:hAnsi="宋体" w:cs="宋体" w:eastAsia="宋体" w:hint="default"/>
                <w:sz w:val="18"/>
                <w:szCs w:val="18"/>
              </w:rPr>
              <w:t>长沙银行股份有限公司广州 分行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30,000,000.00</w:t>
            </w:r>
          </w:p>
        </w:tc>
        <w:tc>
          <w:tcPr>
            <w:tcW w:w="3591" w:type="dxa"/>
            <w:vMerge/>
            <w:tcBorders>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2019/8/28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2020/2/27</w:t>
            </w:r>
          </w:p>
        </w:tc>
      </w:tr>
      <w:tr>
        <w:trPr>
          <w:trHeight w:val="34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130,335,858.72</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8"/>
          <w:szCs w:val="8"/>
        </w:rPr>
      </w:pPr>
    </w:p>
    <w:p>
      <w:pPr>
        <w:pStyle w:val="Heading3"/>
        <w:spacing w:line="240" w:lineRule="auto" w:before="36"/>
        <w:ind w:left="573" w:right="1133"/>
        <w:jc w:val="left"/>
        <w:rPr>
          <w:b w:val="0"/>
          <w:bCs w:val="0"/>
        </w:rPr>
      </w:pPr>
      <w:r>
        <w:rPr/>
        <w:t>（</w:t>
      </w:r>
      <w:r>
        <w:rPr>
          <w:rFonts w:ascii="Times New Roman" w:hAnsi="Times New Roman" w:cs="Times New Roman" w:eastAsia="Times New Roman" w:hint="default"/>
        </w:rPr>
        <w:t>5</w:t>
      </w:r>
      <w:r>
        <w:rPr/>
        <w:t>）质押借款</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222"/>
        <w:gridCol w:w="1421"/>
        <w:gridCol w:w="2300"/>
        <w:gridCol w:w="1054"/>
        <w:gridCol w:w="1104"/>
      </w:tblGrid>
      <w:tr>
        <w:trPr>
          <w:trHeight w:val="363"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质押物</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6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z w:val="18"/>
              </w:rPr>
              <w:t>30,000,000.00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万定期存款质押</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9" w:right="0"/>
              <w:jc w:val="left"/>
              <w:rPr>
                <w:rFonts w:ascii="Times New Roman" w:hAnsi="Times New Roman" w:cs="Times New Roman" w:eastAsia="Times New Roman" w:hint="default"/>
                <w:sz w:val="18"/>
                <w:szCs w:val="18"/>
              </w:rPr>
            </w:pPr>
            <w:r>
              <w:rPr>
                <w:rFonts w:ascii="Times New Roman"/>
                <w:sz w:val="18"/>
              </w:rPr>
              <w:t>2019/6/19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2020/6/19</w:t>
            </w:r>
          </w:p>
        </w:tc>
      </w:tr>
      <w:tr>
        <w:trPr>
          <w:trHeight w:val="374"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71" w:right="0"/>
              <w:jc w:val="left"/>
              <w:rPr>
                <w:rFonts w:ascii="Times New Roman" w:hAnsi="Times New Roman" w:cs="Times New Roman" w:eastAsia="Times New Roman" w:hint="default"/>
                <w:sz w:val="18"/>
                <w:szCs w:val="18"/>
              </w:rPr>
            </w:pPr>
            <w:r>
              <w:rPr>
                <w:rFonts w:ascii="Times New Roman"/>
                <w:sz w:val="18"/>
              </w:rPr>
              <w:t>30,000,000.00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8"/>
          <w:szCs w:val="8"/>
        </w:rPr>
      </w:pPr>
    </w:p>
    <w:p>
      <w:pPr>
        <w:pStyle w:val="Heading3"/>
        <w:spacing w:line="240" w:lineRule="auto" w:before="36"/>
        <w:ind w:left="573" w:right="1133"/>
        <w:jc w:val="left"/>
        <w:rPr>
          <w:b w:val="0"/>
          <w:bCs w:val="0"/>
        </w:rPr>
      </w:pPr>
      <w:r>
        <w:rPr/>
        <w:t>（</w:t>
      </w:r>
      <w:r>
        <w:rPr>
          <w:rFonts w:ascii="Times New Roman" w:hAnsi="Times New Roman" w:cs="Times New Roman" w:eastAsia="Times New Roman" w:hint="default"/>
        </w:rPr>
        <w:t>6</w:t>
      </w:r>
      <w:r>
        <w:rPr/>
        <w:t>）未到期票据贴现</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232"/>
        <w:gridCol w:w="1409"/>
        <w:gridCol w:w="1601"/>
        <w:gridCol w:w="1858"/>
      </w:tblGrid>
      <w:tr>
        <w:trPr>
          <w:trHeight w:val="341"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贴现银行</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票据起始日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票据到期日</w:t>
            </w:r>
          </w:p>
        </w:tc>
      </w:tr>
      <w:tr>
        <w:trPr>
          <w:trHeight w:val="343"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9" w:right="0"/>
              <w:jc w:val="left"/>
              <w:rPr>
                <w:rFonts w:ascii="Times New Roman" w:hAnsi="Times New Roman" w:cs="Times New Roman" w:eastAsia="Times New Roman" w:hint="default"/>
                <w:sz w:val="18"/>
                <w:szCs w:val="18"/>
              </w:rPr>
            </w:pPr>
            <w:r>
              <w:rPr>
                <w:rFonts w:ascii="Times New Roman"/>
                <w:sz w:val="18"/>
              </w:rPr>
              <w:t>20,000,000.00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2019/6/12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2020/6/11</w:t>
            </w:r>
          </w:p>
        </w:tc>
      </w:tr>
      <w:tr>
        <w:trPr>
          <w:trHeight w:val="341"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9" w:right="0"/>
              <w:jc w:val="left"/>
              <w:rPr>
                <w:rFonts w:ascii="Times New Roman" w:hAnsi="Times New Roman" w:cs="Times New Roman" w:eastAsia="Times New Roman" w:hint="default"/>
                <w:sz w:val="18"/>
                <w:szCs w:val="18"/>
              </w:rPr>
            </w:pPr>
            <w:r>
              <w:rPr>
                <w:rFonts w:ascii="Times New Roman"/>
                <w:sz w:val="18"/>
              </w:rPr>
              <w:t>20,000,000.00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b/>
          <w:bCs/>
          <w:sz w:val="20"/>
          <w:szCs w:val="20"/>
        </w:rPr>
      </w:pPr>
    </w:p>
    <w:p>
      <w:pPr>
        <w:pStyle w:val="Heading3"/>
        <w:spacing w:line="240" w:lineRule="auto" w:before="36"/>
        <w:ind w:right="1133"/>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498,128,970.37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元，其中重要的已逾期未偿还的短期借款情况如下：</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浦发银行广州东风支行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27,665,596.67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浦发银行广州东风支行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长沙银行广州分行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8,335,858.72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长沙银行广州分行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中信银行广州国防大厦 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29,853,278.27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广州农村商业银行东圃 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广州农村商业银行东圃 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广州农村商业银行东圃 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招商银行广州分行富力 中心支行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招商银行广州分行富力 中心支行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招商银行广州分行富力 中心支行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中信银行广州国防大厦 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浦发银行广州分行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49,994,236.71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汇丰银行广州分行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498,128,970.37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right="1133"/>
        <w:jc w:val="left"/>
      </w:pPr>
      <w:r>
        <w:rPr/>
        <w:t>其他说明：</w:t>
      </w:r>
    </w:p>
    <w:p>
      <w:pPr>
        <w:pStyle w:val="BodyText"/>
        <w:spacing w:line="259" w:lineRule="auto" w:before="75"/>
        <w:ind w:right="1133" w:firstLine="420"/>
        <w:jc w:val="left"/>
      </w:pPr>
      <w:r>
        <w:rPr/>
        <w:t>蓝盾信息安全技术股份有限公司的江西银行广州分行</w:t>
      </w:r>
      <w:r>
        <w:rPr>
          <w:rFonts w:ascii="Times New Roman" w:hAnsi="Times New Roman" w:cs="Times New Roman" w:eastAsia="Times New Roman" w:hint="default"/>
        </w:rPr>
        <w:t>3</w:t>
      </w:r>
      <w:r>
        <w:rPr/>
        <w:t>亿元短期借款已于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日到期，经与</w:t>
      </w:r>
      <w:r>
        <w:rPr>
          <w:w w:val="100"/>
        </w:rPr>
        <w:t> </w:t>
      </w:r>
      <w:r>
        <w:rPr/>
        <w:t>银行协商后将该借款展期至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日，展期期间利率变更为</w:t>
      </w:r>
      <w:r>
        <w:rPr>
          <w:rFonts w:ascii="Times New Roman" w:hAnsi="Times New Roman" w:cs="Times New Roman" w:eastAsia="Times New Roman" w:hint="default"/>
        </w:rPr>
        <w:t>7.300%</w:t>
      </w:r>
      <w:r>
        <w:rPr/>
        <w:t>。</w:t>
      </w:r>
    </w:p>
    <w:p>
      <w:pPr>
        <w:pStyle w:val="BodyText"/>
        <w:spacing w:line="256" w:lineRule="auto" w:before="2"/>
        <w:ind w:right="1133" w:firstLine="420"/>
        <w:jc w:val="left"/>
      </w:pPr>
      <w:r>
        <w:rPr>
          <w:spacing w:val="-3"/>
        </w:rPr>
        <w:t>蓝盾信息安全技术股份有限公司的交通银行高科支行</w:t>
      </w:r>
      <w:r>
        <w:rPr>
          <w:rFonts w:ascii="Times New Roman" w:hAnsi="Times New Roman" w:cs="Times New Roman" w:eastAsia="Times New Roman" w:hint="default"/>
          <w:spacing w:val="-3"/>
        </w:rPr>
        <w:t>4,730</w:t>
      </w:r>
      <w:r>
        <w:rPr>
          <w:spacing w:val="-3"/>
        </w:rPr>
        <w:t>万元短期借款已于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18</w:t>
      </w:r>
      <w:r>
        <w:rPr>
          <w:spacing w:val="-3"/>
        </w:rPr>
        <w:t>日到期，经</w:t>
      </w:r>
      <w:r>
        <w:rPr>
          <w:w w:val="100"/>
        </w:rPr>
        <w:t> </w:t>
      </w:r>
      <w:r>
        <w:rPr/>
        <w:t>与银行协商后将该借款展期至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日，展期期间利率不变。</w:t>
      </w:r>
    </w:p>
    <w:p>
      <w:pPr>
        <w:pStyle w:val="BodyText"/>
        <w:spacing w:line="256" w:lineRule="auto" w:before="5"/>
        <w:ind w:right="1133" w:firstLine="420"/>
        <w:jc w:val="left"/>
      </w:pPr>
      <w:r>
        <w:rPr/>
        <w:t>蓝盾信息安全技术有限公司的汇丰银行广州分行</w:t>
      </w:r>
      <w:r>
        <w:rPr>
          <w:rFonts w:ascii="Times New Roman" w:hAnsi="Times New Roman" w:cs="Times New Roman" w:eastAsia="Times New Roman" w:hint="default"/>
        </w:rPr>
        <w:t>520</w:t>
      </w:r>
      <w:r>
        <w:rPr/>
        <w:t>万短期借款已于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日到期，经与银行</w:t>
      </w:r>
      <w:r>
        <w:rPr>
          <w:w w:val="100"/>
        </w:rPr>
        <w:t> </w:t>
      </w:r>
      <w:r>
        <w:rPr/>
        <w:t>协商后将该借款展期至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日，展期期间利率不变。</w:t>
      </w:r>
    </w:p>
    <w:p>
      <w:pPr>
        <w:pStyle w:val="BodyText"/>
        <w:spacing w:line="256" w:lineRule="auto" w:before="5"/>
        <w:ind w:right="982" w:firstLine="336"/>
        <w:jc w:val="left"/>
      </w:pPr>
      <w:r>
        <w:rPr/>
        <w:t>中经汇通电子商务有限公司的东莞银行广州分行</w:t>
      </w:r>
      <w:r>
        <w:rPr>
          <w:rFonts w:ascii="Times New Roman" w:hAnsi="Times New Roman" w:cs="Times New Roman" w:eastAsia="Times New Roman" w:hint="default"/>
        </w:rPr>
        <w:t>4,700</w:t>
      </w:r>
      <w:r>
        <w:rPr/>
        <w:t>万、</w:t>
      </w:r>
      <w:r>
        <w:rPr>
          <w:rFonts w:ascii="Times New Roman" w:hAnsi="Times New Roman" w:cs="Times New Roman" w:eastAsia="Times New Roman" w:hint="default"/>
        </w:rPr>
        <w:t>3,000</w:t>
      </w:r>
      <w:r>
        <w:rPr/>
        <w:t>万、</w:t>
      </w:r>
      <w:r>
        <w:rPr>
          <w:rFonts w:ascii="Times New Roman" w:hAnsi="Times New Roman" w:cs="Times New Roman" w:eastAsia="Times New Roman" w:hint="default"/>
        </w:rPr>
        <w:t>2,000</w:t>
      </w:r>
      <w:r>
        <w:rPr/>
        <w:t>万短期借款已分别于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rFonts w:ascii="Times New Roman" w:hAnsi="Times New Roman" w:cs="Times New Roman" w:eastAsia="Times New Roman" w:hint="default"/>
          <w:w w:val="100"/>
        </w:rPr>
        <w:t> </w:t>
      </w:r>
      <w:r>
        <w:rPr>
          <w:spacing w:val="-4"/>
        </w:rPr>
        <w:t>月</w:t>
      </w:r>
      <w:r>
        <w:rPr>
          <w:rFonts w:ascii="Times New Roman" w:hAnsi="Times New Roman" w:cs="Times New Roman" w:eastAsia="Times New Roman" w:hint="default"/>
          <w:spacing w:val="-4"/>
        </w:rPr>
        <w:t>25</w:t>
      </w:r>
      <w:r>
        <w:rPr>
          <w:spacing w:val="-4"/>
        </w:rPr>
        <w:t>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17</w:t>
      </w:r>
      <w:r>
        <w:rPr>
          <w:spacing w:val="-4"/>
        </w:rPr>
        <w:t>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18</w:t>
      </w:r>
      <w:r>
        <w:rPr>
          <w:spacing w:val="-4"/>
        </w:rPr>
        <w:t>日到期，经与银行协商后将该</w:t>
      </w:r>
      <w:r>
        <w:rPr>
          <w:rFonts w:ascii="Times New Roman" w:hAnsi="Times New Roman" w:cs="Times New Roman" w:eastAsia="Times New Roman" w:hint="default"/>
          <w:spacing w:val="-4"/>
        </w:rPr>
        <w:t>3</w:t>
      </w:r>
      <w:r>
        <w:rPr>
          <w:spacing w:val="-4"/>
        </w:rPr>
        <w:t>笔借款分别展期至</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25</w:t>
      </w:r>
      <w:r>
        <w:rPr>
          <w:spacing w:val="-4"/>
        </w:rPr>
        <w:t>日、</w:t>
      </w:r>
      <w:r>
        <w:rPr>
          <w:spacing w:val="-10"/>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日，展期期间利率不变。</w:t>
      </w:r>
    </w:p>
    <w:p>
      <w:pPr>
        <w:spacing w:after="0" w:line="256" w:lineRule="auto"/>
        <w:jc w:val="left"/>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3、应付票据" w:id="315"/>
      <w:bookmarkEnd w:id="315"/>
      <w:r>
        <w:rPr>
          <w:b w:val="0"/>
          <w:bCs w:val="0"/>
        </w:rPr>
      </w:r>
      <w:r>
        <w:rPr>
          <w:rFonts w:ascii="Times New Roman" w:hAnsi="Times New Roman" w:cs="Times New Roman" w:eastAsia="Times New Roman" w:hint="default"/>
        </w:rPr>
        <w:t>23</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69,314,221.84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69,314,221.84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4、应付账款" w:id="316"/>
      <w:bookmarkEnd w:id="316"/>
      <w:r>
        <w:rPr>
          <w:b w:val="0"/>
          <w:bCs w:val="0"/>
        </w:rPr>
      </w: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317"/>
      <w:bookmarkEnd w:id="31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372,360,215.11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320,204,474.38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931,157.84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3,252,919.39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2,272,193.45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12,540,971.51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应付消费款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70,821,350.40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36,219,788.79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446,384,916.80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372,218,154.07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318"/>
      <w:bookmarkEnd w:id="318"/>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中经电商商户十六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和宇健康科技股份有限公司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60,815,844.69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集成收入项目未收齐款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创业慧康科技股份有限公司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11,518,993.55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集成收入项目未收齐款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广州市康软信息科技有限公司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9,285,128.38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集成收入项目未收齐款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中经电商商户十七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8,850,014.84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广州市雅格布通信技术有限公司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8,471,085.44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集成收入项目未收齐款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8,850,014.84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广州市雅格布通信技术有限公司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8,471,085.44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上海弘连网络科技有限公司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7,542,715.02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广州市高科通信技术股份有限公司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6,364,024.52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湖南省瑾鋆电力发展有限公司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5,054,230.69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广州市睿塔软件科技有限公司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4,915,094.34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广州瑞柯萨自动化科技有限公司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4,445,612.54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广州锦峰信息技术有限公司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3,911,010.62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艾索信息股份有限公司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深圳市云海麒麟计算机系统有限公司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1,388,809.00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广州市睿塔软件科技有限公司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韶关市超航电子科技有限公司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网易（杭州）网络有限公司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1,637,433.96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175,956,647.87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5、预收款项" w:id="319"/>
      <w:bookmarkEnd w:id="319"/>
      <w:r>
        <w:rPr>
          <w:b w:val="0"/>
          <w:bCs w:val="0"/>
        </w:rPr>
      </w:r>
      <w:r>
        <w:rPr>
          <w:rFonts w:ascii="Times New Roman" w:hAnsi="Times New Roman" w:cs="Times New Roman" w:eastAsia="Times New Roman" w:hint="default"/>
        </w:rPr>
        <w:t>25</w:t>
      </w:r>
      <w:r>
        <w:rPr/>
        <w:t>、预收款项</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预收款项列示" w:id="320"/>
      <w:bookmarkEnd w:id="32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230,509,824.36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334,354,349.39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预收培训费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4,558,275.38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7,282,916.62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消费充值款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136,443,945.43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414,009,218.41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客户备付款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4,865,427.82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2,770,405.72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376,719,352.99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759,512,890.14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321"/>
      <w:bookmarkEnd w:id="321"/>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河北丰宁抽水蓄能有限公司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10,790,316.90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中国建筑第五工程局有限公司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10,278,000.00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中共株洲市委办公室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5,649,365.12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中经电商客户六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5,113,304.75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中经电商客户七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4,488,833.03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龙建路桥股份有限公司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深圳市金众装饰工程有限公司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2,867,134.13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中海石油深圳天然气有限公司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2,535,138.40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中海油粤东液化天然气有限责任公司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2,502,455.00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成都精灵云科技有限公司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2,488,440.00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广州市天河区人民医院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2,418,903.63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广州市城市管理和综合执法局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中国共产党大理白族自治州纪律检查委 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2,081,762.92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中经电商客户八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预收商品消费款未消费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58,570,553.88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期末建造合同形成的已结算未完工项目情况" w:id="322"/>
      <w:bookmarkEnd w:id="32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6、应付职工薪酬" w:id="323"/>
      <w:bookmarkEnd w:id="323"/>
      <w:r>
        <w:rPr>
          <w:b w:val="0"/>
          <w:bCs w:val="0"/>
        </w:rPr>
      </w:r>
      <w:r>
        <w:rPr>
          <w:rFonts w:ascii="Times New Roman" w:hAnsi="Times New Roman" w:cs="Times New Roman" w:eastAsia="Times New Roman" w:hint="default"/>
        </w:rPr>
        <w:t>26</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324"/>
      <w:bookmarkEnd w:id="32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31,091,490.13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182,353,748.02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176,205,050.35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37,240,187.80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127,426.63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13,972,226.80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13,641,559.92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458,093.51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486,066.92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486,066.92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31,218,916.76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196,812,041.74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190,332,677.19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37,698,281.31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325"/>
      <w:bookmarkEnd w:id="32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30,897,643.77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159,603,258.71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153,754,402.60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36,746,499.88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4,442,208.57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4,442,208.57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73,793.82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9,240,971.12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9,095,277.83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219,487.11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62,997.24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7,932,033.93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7,827,296.66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167,734.51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1,046.45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161,731.02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158,755.73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4,021.74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5,087.52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846,219.92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826,629.62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24,677.82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300,986.25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289,452.91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16,195.95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6,869,143.45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6,845,898.55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53,653.75</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89,643.69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2,198,166.17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2,067,262.80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220,547.06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31,091,490.13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182,353,748.02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176,205,050.35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37,240,187.80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326"/>
      <w:bookmarkEnd w:id="32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122,723.04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13,553,007.12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13,229,223.55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446,506.61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4,703.59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419,219.68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412,336.37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11,586.90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127,426.63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13,972,226.80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13,641,559.92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458,093.51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7、应交税费" w:id="327"/>
      <w:bookmarkEnd w:id="327"/>
      <w:r>
        <w:rPr>
          <w:b w:val="0"/>
          <w:bCs w:val="0"/>
        </w:rPr>
      </w:r>
      <w:r>
        <w:rPr>
          <w:rFonts w:ascii="Times New Roman" w:hAnsi="Times New Roman" w:cs="Times New Roman" w:eastAsia="Times New Roman" w:hint="default"/>
        </w:rPr>
        <w:t>27</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58,934,291.06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30,470,848.61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56,583,243.30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50,834,097.10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209,523.27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378,429.50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358,176.97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1,968,248.09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266,355.35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891,688.52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552,620.47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3,883.22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2,685.15</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644,585.49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365,729.08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170,642.62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74,009.00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1,236.33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117,218,775.65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85,710,234.47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8、其他应付款" w:id="328"/>
      <w:bookmarkEnd w:id="328"/>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8,159,382.67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18,306,326.43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271,409,246.46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195,139,032.06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279,568,629.13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213,445,358.49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注：上表中其他应付款指扣除应付利息、应付股利后的其他应付款。</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应付利息" w:id="329"/>
      <w:bookmarkEnd w:id="32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812,464.12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1,361,424.50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232,918.87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12,467,786.29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6,909,310.44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4,477,115.64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融资租赁展期利息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204,689.24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8,159,382.67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18,306,326.43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其他应付款" w:id="330"/>
      <w:bookmarkEnd w:id="330"/>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331"/>
      <w:bookmarkEnd w:id="331"/>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82,930,737.93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138,109,603.58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63,681,297.40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3,264,561.25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5,662,134.82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506,425.04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14,205,151.41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7,667,715.25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15,858,900.00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35,173,620.00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89,071,024.90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10,417,106.94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271,409,246.46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195,139,032.06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账龄超过1年的重要其他应付款" w:id="332"/>
      <w:bookmarkEnd w:id="332"/>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中经电商户十八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华南师范大学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广东工业大学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工业和信息化部电子第五研究所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9、持有待售负债" w:id="333"/>
      <w:bookmarkEnd w:id="333"/>
      <w:r>
        <w:rPr>
          <w:b w:val="0"/>
          <w:bCs w:val="0"/>
        </w:rPr>
      </w:r>
      <w:r>
        <w:rPr>
          <w:rFonts w:ascii="Times New Roman" w:hAnsi="Times New Roman" w:cs="Times New Roman" w:eastAsia="Times New Roman" w:hint="default"/>
        </w:rPr>
        <w:t>29</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广东和诚科技孵化器有限公司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10,062,791.91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10,062,791.91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133"/>
        <w:jc w:val="left"/>
      </w:pPr>
      <w:r>
        <w:rPr/>
        <w:t>其他说明：</w:t>
      </w:r>
    </w:p>
    <w:p>
      <w:pPr>
        <w:pStyle w:val="BodyText"/>
        <w:spacing w:line="240" w:lineRule="auto" w:before="159"/>
        <w:ind w:left="0" w:right="1210"/>
        <w:jc w:val="right"/>
      </w:pPr>
      <w:r>
        <w:rPr>
          <w:spacing w:val="-2"/>
        </w:rPr>
        <w:t>详见附注十二、承诺及或有事项（一）重要承诺事项</w:t>
      </w:r>
      <w:r>
        <w:rPr>
          <w:rFonts w:ascii="Times New Roman" w:hAnsi="Times New Roman" w:cs="Times New Roman" w:eastAsia="Times New Roman" w:hint="default"/>
          <w:spacing w:val="-2"/>
        </w:rPr>
        <w:t>1</w:t>
      </w:r>
      <w:r>
        <w:rPr>
          <w:spacing w:val="-2"/>
        </w:rPr>
        <w:t>、已签订的正在或准备履行的资产处置情况。</w:t>
      </w:r>
    </w:p>
    <w:p>
      <w:pPr>
        <w:spacing w:line="240" w:lineRule="auto" w:before="5"/>
        <w:rPr>
          <w:rFonts w:ascii="宋体" w:hAnsi="宋体" w:cs="宋体" w:eastAsia="宋体" w:hint="default"/>
          <w:sz w:val="24"/>
          <w:szCs w:val="24"/>
        </w:rPr>
      </w:pPr>
    </w:p>
    <w:p>
      <w:pPr>
        <w:pStyle w:val="Heading3"/>
        <w:spacing w:line="240" w:lineRule="auto"/>
        <w:ind w:right="1133"/>
        <w:jc w:val="left"/>
        <w:rPr>
          <w:b w:val="0"/>
          <w:bCs w:val="0"/>
        </w:rPr>
      </w:pPr>
      <w:bookmarkStart w:name="30、一年内到期的非流动负债" w:id="334"/>
      <w:bookmarkEnd w:id="334"/>
      <w:r>
        <w:rPr>
          <w:b w:val="0"/>
          <w:bCs w:val="0"/>
        </w:rPr>
      </w:r>
      <w:r>
        <w:rPr>
          <w:rFonts w:ascii="Times New Roman" w:hAnsi="Times New Roman" w:cs="Times New Roman" w:eastAsia="Times New Roman" w:hint="default"/>
        </w:rPr>
        <w:t>30</w:t>
      </w:r>
      <w:r>
        <w:rPr/>
        <w:t>、一年内到期的非流动负债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307,507,381.08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157,504,428.64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149,979,370.39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228,892,309.57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78,274,746.06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一年内到期的租赁负债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536,399,690.65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385,758,545.09</w:t>
            </w:r>
          </w:p>
        </w:tc>
      </w:tr>
    </w:tbl>
    <w:p>
      <w:pPr>
        <w:spacing w:line="340" w:lineRule="auto" w:before="49"/>
        <w:ind w:left="152" w:right="1594" w:firstLine="0"/>
        <w:jc w:val="left"/>
        <w:rPr>
          <w:rFonts w:ascii="宋体" w:hAnsi="宋体" w:cs="宋体" w:eastAsia="宋体" w:hint="default"/>
          <w:sz w:val="18"/>
          <w:szCs w:val="18"/>
        </w:rPr>
      </w:pPr>
      <w:r>
        <w:rPr>
          <w:rFonts w:ascii="宋体" w:hAnsi="宋体" w:cs="宋体" w:eastAsia="宋体" w:hint="default"/>
          <w:sz w:val="18"/>
          <w:szCs w:val="18"/>
        </w:rPr>
        <w:t>注：自资产负债表日起一年内到期应予以清偿的租赁负债的期末账面价值，在</w:t>
      </w:r>
      <w:r>
        <w:rPr>
          <w:rFonts w:ascii="Times New Roman" w:hAnsi="Times New Roman" w:cs="Times New Roman" w:eastAsia="Times New Roman" w:hint="default"/>
          <w:sz w:val="18"/>
          <w:szCs w:val="18"/>
        </w:rPr>
        <w:t>“</w:t>
      </w:r>
      <w:r>
        <w:rPr>
          <w:rFonts w:ascii="宋体" w:hAnsi="宋体" w:cs="宋体" w:eastAsia="宋体" w:hint="default"/>
          <w:sz w:val="18"/>
          <w:szCs w:val="18"/>
        </w:rPr>
        <w:t>一年内到期的非流动负债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 其他说明：无。</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31、长期借款" w:id="335"/>
      <w:bookmarkEnd w:id="335"/>
      <w:r>
        <w:rPr>
          <w:b w:val="0"/>
          <w:bCs w:val="0"/>
        </w:rPr>
      </w:r>
      <w:r>
        <w:rPr>
          <w:rFonts w:ascii="Times New Roman" w:hAnsi="Times New Roman" w:cs="Times New Roman" w:eastAsia="Times New Roman" w:hint="default"/>
        </w:rPr>
        <w:t>31</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借款分类" w:id="336"/>
      <w:bookmarkEnd w:id="33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7"/>
        <w:gridCol w:w="3191"/>
        <w:gridCol w:w="3190"/>
      </w:tblGrid>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117,038,381.61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130,542,810.25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Times New Roman" w:hAnsi="Times New Roman" w:cs="Times New Roman" w:eastAsia="Times New Roman" w:hint="default"/>
                <w:sz w:val="18"/>
                <w:szCs w:val="18"/>
              </w:rPr>
              <w:t>+</w:t>
            </w: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一年内到期的长期借款（抵减以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-307,507,381.08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-157,504,428.64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412,531,000.53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609,038,381.61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40" w:lineRule="auto" w:before="94"/>
        <w:ind w:left="573" w:right="1133"/>
        <w:jc w:val="left"/>
      </w:pPr>
      <w:r>
        <w:rPr/>
        <w:t>（</w:t>
      </w:r>
      <w:r>
        <w:rPr>
          <w:rFonts w:ascii="Times New Roman" w:hAnsi="Times New Roman" w:cs="Times New Roman" w:eastAsia="Times New Roman" w:hint="default"/>
        </w:rPr>
        <w:t>1</w:t>
      </w:r>
      <w:r>
        <w:rPr/>
        <w:t>）抵押借款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48"/>
        <w:gridCol w:w="1277"/>
        <w:gridCol w:w="2398"/>
        <w:gridCol w:w="2492"/>
        <w:gridCol w:w="941"/>
        <w:gridCol w:w="898"/>
      </w:tblGrid>
      <w:tr>
        <w:trPr>
          <w:trHeight w:val="341"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房产证编号</w:t>
            </w:r>
            <w:r>
              <w:rPr>
                <w:rFonts w:ascii="Times New Roman" w:hAnsi="Times New Roman" w:cs="Times New Roman" w:eastAsia="Times New Roman" w:hint="default"/>
                <w:sz w:val="18"/>
                <w:szCs w:val="18"/>
              </w:rPr>
              <w:t>-</w:t>
            </w:r>
            <w:r>
              <w:rPr>
                <w:rFonts w:ascii="宋体" w:hAnsi="宋体" w:cs="宋体" w:eastAsia="宋体" w:hint="default"/>
                <w:sz w:val="18"/>
                <w:szCs w:val="18"/>
              </w:rPr>
              <w:t>土地使用权编号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起息日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967"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08"/>
              <w:jc w:val="left"/>
              <w:rPr>
                <w:rFonts w:ascii="宋体" w:hAnsi="宋体" w:cs="宋体" w:eastAsia="宋体" w:hint="default"/>
                <w:sz w:val="18"/>
                <w:szCs w:val="18"/>
              </w:rPr>
            </w:pPr>
            <w:r>
              <w:rPr>
                <w:rFonts w:ascii="宋体" w:hAnsi="宋体" w:cs="宋体" w:eastAsia="宋体" w:hint="default"/>
                <w:sz w:val="18"/>
                <w:szCs w:val="18"/>
              </w:rPr>
              <w:t>交通银行股份有限公 司广州天河北支行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25,662,000.00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159"/>
              <w:jc w:val="left"/>
              <w:rPr>
                <w:rFonts w:ascii="宋体" w:hAnsi="宋体" w:cs="宋体" w:eastAsia="宋体" w:hint="default"/>
                <w:sz w:val="18"/>
                <w:szCs w:val="18"/>
              </w:rPr>
            </w:pPr>
            <w:r>
              <w:rPr>
                <w:rFonts w:ascii="宋体" w:hAnsi="宋体" w:cs="宋体" w:eastAsia="宋体" w:hint="default"/>
                <w:sz w:val="18"/>
                <w:szCs w:val="18"/>
              </w:rPr>
              <w:t>天河区天慧路</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-6</w:t>
            </w:r>
            <w:r>
              <w:rPr>
                <w:rFonts w:ascii="宋体" w:hAnsi="宋体" w:cs="宋体" w:eastAsia="宋体" w:hint="default"/>
                <w:sz w:val="18"/>
                <w:szCs w:val="18"/>
              </w:rPr>
              <w:t>层办 公楼及地下车位、穗国府用 </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492"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层办公楼：穗字第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0150277328</w:t>
            </w:r>
            <w:r>
              <w:rPr>
                <w:rFonts w:ascii="宋体" w:hAnsi="宋体" w:cs="宋体" w:eastAsia="宋体" w:hint="default"/>
                <w:sz w:val="18"/>
                <w:szCs w:val="18"/>
              </w:rPr>
              <w:t>号、穗字第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0150277133</w:t>
            </w:r>
            <w:r>
              <w:rPr>
                <w:rFonts w:ascii="宋体" w:hAnsi="宋体" w:cs="宋体" w:eastAsia="宋体" w:hint="default"/>
                <w:sz w:val="18"/>
                <w:szCs w:val="18"/>
              </w:rPr>
              <w:t>号、穗字第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0150277134</w:t>
            </w:r>
            <w:r>
              <w:rPr>
                <w:rFonts w:ascii="宋体" w:hAnsi="宋体" w:cs="宋体" w:eastAsia="宋体" w:hint="default"/>
                <w:sz w:val="18"/>
                <w:szCs w:val="18"/>
              </w:rPr>
              <w:t>号、穗字第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0150277135</w:t>
            </w:r>
            <w:r>
              <w:rPr>
                <w:rFonts w:ascii="宋体" w:hAnsi="宋体" w:cs="宋体" w:eastAsia="宋体" w:hint="default"/>
                <w:sz w:val="18"/>
                <w:szCs w:val="18"/>
              </w:rPr>
              <w:t>号、穗字第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0150277136</w:t>
            </w:r>
            <w:r>
              <w:rPr>
                <w:rFonts w:ascii="宋体" w:hAnsi="宋体" w:cs="宋体" w:eastAsia="宋体" w:hint="default"/>
                <w:sz w:val="18"/>
                <w:szCs w:val="18"/>
              </w:rPr>
              <w:t>号、穗字第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0150277137</w:t>
            </w:r>
            <w:r>
              <w:rPr>
                <w:rFonts w:ascii="宋体" w:hAnsi="宋体" w:cs="宋体" w:eastAsia="宋体" w:hint="default"/>
                <w:sz w:val="18"/>
                <w:szCs w:val="18"/>
              </w:rPr>
              <w:t>号；</w:t>
            </w:r>
          </w:p>
          <w:p>
            <w:pPr>
              <w:pStyle w:val="TableParagraph"/>
              <w:spacing w:line="300" w:lineRule="auto" w:before="63"/>
              <w:ind w:left="7" w:right="2"/>
              <w:jc w:val="left"/>
              <w:rPr>
                <w:rFonts w:ascii="宋体" w:hAnsi="宋体" w:cs="宋体" w:eastAsia="宋体" w:hint="default"/>
                <w:sz w:val="18"/>
                <w:szCs w:val="18"/>
              </w:rPr>
            </w:pPr>
            <w:r>
              <w:rPr>
                <w:rFonts w:ascii="宋体" w:hAnsi="宋体" w:cs="宋体" w:eastAsia="宋体" w:hint="default"/>
                <w:spacing w:val="-3"/>
                <w:sz w:val="18"/>
                <w:szCs w:val="18"/>
              </w:rPr>
              <w:t>土地：穗国府用</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第</w:t>
            </w:r>
            <w:r>
              <w:rPr>
                <w:rFonts w:ascii="Times New Roman" w:hAnsi="Times New Roman" w:cs="Times New Roman" w:eastAsia="Times New Roman" w:hint="default"/>
                <w:spacing w:val="-3"/>
                <w:sz w:val="18"/>
                <w:szCs w:val="18"/>
              </w:rPr>
              <w:t>05000113</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号土地；</w:t>
            </w:r>
          </w:p>
          <w:p>
            <w:pPr>
              <w:pStyle w:val="TableParagraph"/>
              <w:spacing w:line="240" w:lineRule="auto" w:before="31"/>
              <w:ind w:left="7" w:right="0"/>
              <w:jc w:val="left"/>
              <w:rPr>
                <w:rFonts w:ascii="宋体" w:hAnsi="宋体" w:cs="宋体" w:eastAsia="宋体" w:hint="default"/>
                <w:sz w:val="18"/>
                <w:szCs w:val="18"/>
              </w:rPr>
            </w:pPr>
            <w:r>
              <w:rPr>
                <w:rFonts w:ascii="宋体" w:hAnsi="宋体" w:cs="宋体" w:eastAsia="宋体" w:hint="default"/>
                <w:sz w:val="18"/>
                <w:szCs w:val="18"/>
              </w:rPr>
              <w:t>地下车位：</w:t>
            </w:r>
          </w:p>
          <w:p>
            <w:pPr>
              <w:pStyle w:val="TableParagraph"/>
              <w:spacing w:line="240" w:lineRule="auto" w:before="7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0150277124-0150277224</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0150277451-0150277499</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0150277501-0150277549</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0150277551-0150277552</w:t>
            </w:r>
            <w:r>
              <w:rPr>
                <w:rFonts w:ascii="宋体" w:hAnsi="宋体" w:cs="宋体" w:eastAsia="宋体" w:hint="default"/>
                <w:sz w:val="18"/>
                <w:szCs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2015-4-17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2023-3-5</w:t>
            </w:r>
          </w:p>
        </w:tc>
      </w:tr>
      <w:tr>
        <w:trPr>
          <w:trHeight w:val="965"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08"/>
              <w:jc w:val="left"/>
              <w:rPr>
                <w:rFonts w:ascii="宋体" w:hAnsi="宋体" w:cs="宋体" w:eastAsia="宋体" w:hint="default"/>
                <w:sz w:val="18"/>
                <w:szCs w:val="18"/>
              </w:rPr>
            </w:pPr>
            <w:r>
              <w:rPr>
                <w:rFonts w:ascii="宋体" w:hAnsi="宋体" w:cs="宋体" w:eastAsia="宋体" w:hint="default"/>
                <w:sz w:val="18"/>
                <w:szCs w:val="18"/>
              </w:rPr>
              <w:t>交通银行股份有限公 司广州天河北支行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69,345,714.94</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4" w:right="159"/>
              <w:jc w:val="left"/>
              <w:rPr>
                <w:rFonts w:ascii="宋体" w:hAnsi="宋体" w:cs="宋体" w:eastAsia="宋体" w:hint="default"/>
                <w:sz w:val="18"/>
                <w:szCs w:val="18"/>
              </w:rPr>
            </w:pPr>
            <w:r>
              <w:rPr>
                <w:rFonts w:ascii="宋体" w:hAnsi="宋体" w:cs="宋体" w:eastAsia="宋体" w:hint="default"/>
                <w:sz w:val="18"/>
                <w:szCs w:val="18"/>
              </w:rPr>
              <w:t>天河区天慧路</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-6</w:t>
            </w:r>
            <w:r>
              <w:rPr>
                <w:rFonts w:ascii="宋体" w:hAnsi="宋体" w:cs="宋体" w:eastAsia="宋体" w:hint="default"/>
                <w:sz w:val="18"/>
                <w:szCs w:val="18"/>
              </w:rPr>
              <w:t>层办 公楼及地下车位、穗国府用 </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492" w:type="dxa"/>
            <w:vMerge/>
            <w:tcBorders>
              <w:left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2015-5-12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2023-3-5</w:t>
            </w:r>
          </w:p>
        </w:tc>
      </w:tr>
      <w:tr>
        <w:trPr>
          <w:trHeight w:val="2468"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08"/>
              <w:jc w:val="left"/>
              <w:rPr>
                <w:rFonts w:ascii="宋体" w:hAnsi="宋体" w:cs="宋体" w:eastAsia="宋体" w:hint="default"/>
                <w:sz w:val="18"/>
                <w:szCs w:val="18"/>
              </w:rPr>
            </w:pPr>
            <w:r>
              <w:rPr>
                <w:rFonts w:ascii="宋体" w:hAnsi="宋体" w:cs="宋体" w:eastAsia="宋体" w:hint="default"/>
                <w:sz w:val="18"/>
                <w:szCs w:val="18"/>
              </w:rPr>
              <w:t>交通银行股份有限公 司广州天河北支行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22,030,666.67</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159"/>
              <w:jc w:val="left"/>
              <w:rPr>
                <w:rFonts w:ascii="宋体" w:hAnsi="宋体" w:cs="宋体" w:eastAsia="宋体" w:hint="default"/>
                <w:sz w:val="18"/>
                <w:szCs w:val="18"/>
              </w:rPr>
            </w:pPr>
            <w:r>
              <w:rPr>
                <w:rFonts w:ascii="宋体" w:hAnsi="宋体" w:cs="宋体" w:eastAsia="宋体" w:hint="default"/>
                <w:sz w:val="18"/>
                <w:szCs w:val="18"/>
              </w:rPr>
              <w:t>天河区天慧路</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-6</w:t>
            </w:r>
            <w:r>
              <w:rPr>
                <w:rFonts w:ascii="宋体" w:hAnsi="宋体" w:cs="宋体" w:eastAsia="宋体" w:hint="default"/>
                <w:sz w:val="18"/>
                <w:szCs w:val="18"/>
              </w:rPr>
              <w:t>层办 公楼及地下车位、穗国府用 </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492" w:type="dxa"/>
            <w:vMerge/>
            <w:tcBorders>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2015-3-6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2023-3-5</w:t>
            </w:r>
          </w:p>
        </w:tc>
      </w:tr>
      <w:tr>
        <w:trPr>
          <w:trHeight w:val="34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117,038,381.61</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8"/>
          <w:szCs w:val="8"/>
        </w:rPr>
      </w:pPr>
    </w:p>
    <w:p>
      <w:pPr>
        <w:pStyle w:val="BodyText"/>
        <w:spacing w:line="256" w:lineRule="auto" w:before="36"/>
        <w:ind w:right="1133" w:firstLine="420"/>
        <w:jc w:val="left"/>
      </w:pPr>
      <w:r>
        <w:rPr>
          <w:spacing w:val="-2"/>
        </w:rPr>
        <w:t>注：①交通银行股份有限公司广州天河北支行借款期限为</w:t>
      </w:r>
      <w:r>
        <w:rPr>
          <w:rFonts w:ascii="Times New Roman" w:hAnsi="Times New Roman" w:cs="Times New Roman" w:eastAsia="Times New Roman" w:hint="default"/>
          <w:spacing w:val="-2"/>
        </w:rPr>
        <w:t>2015-4-17</w:t>
      </w:r>
      <w:r>
        <w:rPr>
          <w:spacing w:val="-2"/>
        </w:rPr>
        <w:t>至</w:t>
      </w:r>
      <w:r>
        <w:rPr>
          <w:rFonts w:ascii="Times New Roman" w:hAnsi="Times New Roman" w:cs="Times New Roman" w:eastAsia="Times New Roman" w:hint="default"/>
          <w:spacing w:val="-2"/>
        </w:rPr>
        <w:t>2023-3-5</w:t>
      </w:r>
      <w:r>
        <w:rPr>
          <w:spacing w:val="-2"/>
        </w:rPr>
        <w:t>的借款将于一年内到期</w:t>
      </w:r>
      <w:r>
        <w:rPr>
          <w:w w:val="100"/>
        </w:rPr>
        <w:t> </w:t>
      </w:r>
      <w:r>
        <w:rPr/>
        <w:t>的金额为 </w:t>
      </w:r>
      <w:r>
        <w:rPr>
          <w:rFonts w:ascii="Times New Roman" w:hAnsi="Times New Roman" w:cs="Times New Roman" w:eastAsia="Times New Roman" w:hint="default"/>
        </w:rPr>
        <w:t>4,935,000.00</w:t>
      </w:r>
      <w:r>
        <w:rPr>
          <w:rFonts w:ascii="Times New Roman" w:hAnsi="Times New Roman" w:cs="Times New Roman" w:eastAsia="Times New Roman" w:hint="default"/>
          <w:spacing w:val="12"/>
        </w:rPr>
        <w:t> </w:t>
      </w:r>
      <w:r>
        <w:rPr>
          <w:spacing w:val="-3"/>
        </w:rPr>
        <w:t>元。</w:t>
      </w:r>
      <w:r>
        <w:rPr/>
      </w:r>
    </w:p>
    <w:p>
      <w:pPr>
        <w:pStyle w:val="BodyText"/>
        <w:spacing w:line="256" w:lineRule="auto" w:before="5"/>
        <w:ind w:right="1133" w:firstLine="420"/>
        <w:jc w:val="left"/>
      </w:pPr>
      <w:r>
        <w:rPr>
          <w:spacing w:val="-2"/>
        </w:rPr>
        <w:t>②交通银行股份有限公司广州天河北支行借款期限为</w:t>
      </w:r>
      <w:r>
        <w:rPr>
          <w:rFonts w:ascii="Times New Roman" w:hAnsi="Times New Roman" w:cs="Times New Roman" w:eastAsia="Times New Roman" w:hint="default"/>
          <w:spacing w:val="-2"/>
        </w:rPr>
        <w:t>2015-5-12</w:t>
      </w:r>
      <w:r>
        <w:rPr>
          <w:spacing w:val="-2"/>
        </w:rPr>
        <w:t>至</w:t>
      </w:r>
      <w:r>
        <w:rPr>
          <w:rFonts w:ascii="Times New Roman" w:hAnsi="Times New Roman" w:cs="Times New Roman" w:eastAsia="Times New Roman" w:hint="default"/>
          <w:spacing w:val="-2"/>
        </w:rPr>
        <w:t>2023-3-5</w:t>
      </w:r>
      <w:r>
        <w:rPr>
          <w:spacing w:val="-2"/>
        </w:rPr>
        <w:t>的借款将于一年内到期的金</w:t>
      </w:r>
      <w:r>
        <w:rPr>
          <w:w w:val="100"/>
        </w:rPr>
        <w:t> </w:t>
      </w:r>
      <w:r>
        <w:rPr/>
        <w:t>额为 </w:t>
      </w:r>
      <w:r>
        <w:rPr>
          <w:rFonts w:ascii="Times New Roman" w:hAnsi="Times New Roman" w:cs="Times New Roman" w:eastAsia="Times New Roman" w:hint="default"/>
        </w:rPr>
        <w:t>13,335,714.41</w:t>
      </w:r>
      <w:r>
        <w:rPr>
          <w:rFonts w:ascii="Times New Roman" w:hAnsi="Times New Roman" w:cs="Times New Roman" w:eastAsia="Times New Roman" w:hint="default"/>
          <w:spacing w:val="12"/>
        </w:rPr>
        <w:t> </w:t>
      </w:r>
      <w:r>
        <w:rPr>
          <w:spacing w:val="-3"/>
        </w:rPr>
        <w:t>元。</w:t>
      </w:r>
      <w:r>
        <w:rPr/>
      </w:r>
    </w:p>
    <w:p>
      <w:pPr>
        <w:pStyle w:val="BodyText"/>
        <w:spacing w:line="256" w:lineRule="auto" w:before="5"/>
        <w:ind w:right="1133" w:firstLine="420"/>
        <w:jc w:val="left"/>
      </w:pPr>
      <w:r>
        <w:rPr>
          <w:spacing w:val="-2"/>
        </w:rPr>
        <w:t>③交通银行股份有限公司广州天河北支行借款期限为</w:t>
      </w:r>
      <w:r>
        <w:rPr>
          <w:rFonts w:ascii="Times New Roman" w:hAnsi="Times New Roman" w:cs="Times New Roman" w:eastAsia="Times New Roman" w:hint="default"/>
          <w:spacing w:val="-2"/>
        </w:rPr>
        <w:t>2015-3-6</w:t>
      </w:r>
      <w:r>
        <w:rPr>
          <w:spacing w:val="-2"/>
        </w:rPr>
        <w:t>至</w:t>
      </w:r>
      <w:r>
        <w:rPr>
          <w:rFonts w:ascii="Times New Roman" w:hAnsi="Times New Roman" w:cs="Times New Roman" w:eastAsia="Times New Roman" w:hint="default"/>
          <w:spacing w:val="-2"/>
        </w:rPr>
        <w:t>2023-3-5</w:t>
      </w:r>
      <w:r>
        <w:rPr>
          <w:spacing w:val="-2"/>
        </w:rPr>
        <w:t>的借款将于一年内到期的金</w:t>
      </w:r>
      <w:r>
        <w:rPr>
          <w:w w:val="100"/>
        </w:rPr>
        <w:t> </w:t>
      </w:r>
      <w:r>
        <w:rPr/>
        <w:t>额为 </w:t>
      </w:r>
      <w:r>
        <w:rPr>
          <w:rFonts w:ascii="Times New Roman" w:hAnsi="Times New Roman" w:cs="Times New Roman" w:eastAsia="Times New Roman" w:hint="default"/>
        </w:rPr>
        <w:t>4,236,666.67</w:t>
      </w:r>
      <w:r>
        <w:rPr>
          <w:rFonts w:ascii="Times New Roman" w:hAnsi="Times New Roman" w:cs="Times New Roman" w:eastAsia="Times New Roman" w:hint="default"/>
          <w:spacing w:val="12"/>
        </w:rPr>
        <w:t> </w:t>
      </w:r>
      <w:r>
        <w:rPr/>
        <w:t>元。</w:t>
      </w:r>
    </w:p>
    <w:p>
      <w:pPr>
        <w:pStyle w:val="BodyText"/>
        <w:spacing w:line="240" w:lineRule="auto" w:before="5"/>
        <w:ind w:left="573" w:right="1133"/>
        <w:jc w:val="left"/>
      </w:pPr>
      <w:r>
        <w:rPr/>
        <w:t>（</w:t>
      </w:r>
      <w:r>
        <w:rPr>
          <w:rFonts w:ascii="Times New Roman" w:hAnsi="Times New Roman" w:cs="Times New Roman" w:eastAsia="Times New Roman" w:hint="default"/>
        </w:rPr>
        <w:t>2</w:t>
      </w:r>
      <w:r>
        <w:rPr/>
        <w:t>）抵押</w:t>
      </w:r>
      <w:r>
        <w:rPr>
          <w:rFonts w:ascii="Times New Roman" w:hAnsi="Times New Roman" w:cs="Times New Roman" w:eastAsia="Times New Roman" w:hint="default"/>
        </w:rPr>
        <w:t>+</w:t>
      </w:r>
      <w:r>
        <w:rPr/>
        <w:t>质押</w:t>
      </w:r>
      <w:r>
        <w:rPr>
          <w:rFonts w:ascii="Times New Roman" w:hAnsi="Times New Roman" w:cs="Times New Roman" w:eastAsia="Times New Roman" w:hint="default"/>
        </w:rPr>
        <w:t>+</w:t>
      </w:r>
      <w:r>
        <w:rPr/>
        <w:t>保证借款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62"/>
        <w:gridCol w:w="1551"/>
        <w:gridCol w:w="2962"/>
        <w:gridCol w:w="1270"/>
        <w:gridCol w:w="1405"/>
      </w:tblGrid>
      <w:tr>
        <w:trPr>
          <w:trHeight w:val="341"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银</w:t>
              <w:tab/>
              <w:t>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0"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967" w:hRule="exact"/>
        </w:trPr>
        <w:tc>
          <w:tcPr>
            <w:tcW w:w="1762" w:type="dxa"/>
            <w:vMerge w:val="restart"/>
            <w:tcBorders>
              <w:top w:val="single" w:sz="4" w:space="0" w:color="000000"/>
              <w:left w:val="single" w:sz="4" w:space="0" w:color="000000"/>
              <w:right w:val="single" w:sz="4" w:space="0" w:color="000000"/>
            </w:tcBorders>
          </w:tcPr>
          <w:p>
            <w:pPr>
              <w:pStyle w:val="TableParagraph"/>
              <w:spacing w:line="316" w:lineRule="auto" w:before="17"/>
              <w:ind w:left="7" w:right="123"/>
              <w:jc w:val="left"/>
              <w:rPr>
                <w:rFonts w:ascii="宋体" w:hAnsi="宋体" w:cs="宋体" w:eastAsia="宋体" w:hint="default"/>
                <w:sz w:val="18"/>
                <w:szCs w:val="18"/>
              </w:rPr>
            </w:pPr>
            <w:r>
              <w:rPr>
                <w:rFonts w:ascii="宋体" w:hAnsi="宋体" w:cs="宋体" w:eastAsia="宋体" w:hint="default"/>
                <w:sz w:val="18"/>
                <w:szCs w:val="18"/>
              </w:rPr>
              <w:t>浙商银行股份有限公 司广州分行</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60"/>
              <w:ind w:left="407" w:right="0"/>
              <w:jc w:val="left"/>
              <w:rPr>
                <w:rFonts w:ascii="Times New Roman" w:hAnsi="Times New Roman" w:cs="Times New Roman" w:eastAsia="Times New Roman" w:hint="default"/>
                <w:sz w:val="18"/>
                <w:szCs w:val="18"/>
              </w:rPr>
            </w:pPr>
            <w:r>
              <w:rPr>
                <w:rFonts w:ascii="Times New Roman"/>
                <w:sz w:val="18"/>
              </w:rPr>
              <w:t>270,000,000.00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抵押物：成都高新区中和街道观东社 </w:t>
            </w:r>
            <w:r>
              <w:rPr>
                <w:rFonts w:ascii="宋体" w:hAnsi="宋体" w:cs="宋体" w:eastAsia="宋体" w:hint="default"/>
                <w:spacing w:val="-10"/>
                <w:sz w:val="18"/>
                <w:szCs w:val="18"/>
              </w:rPr>
              <w:t>区</w:t>
            </w:r>
            <w:r>
              <w:rPr>
                <w:rFonts w:ascii="Times New Roman" w:hAnsi="Times New Roman" w:cs="Times New Roman" w:eastAsia="Times New Roman" w:hint="default"/>
                <w:spacing w:val="-10"/>
                <w:sz w:val="18"/>
                <w:szCs w:val="18"/>
              </w:rPr>
              <w:t>8</w:t>
            </w:r>
            <w:r>
              <w:rPr>
                <w:rFonts w:ascii="宋体" w:hAnsi="宋体" w:cs="宋体" w:eastAsia="宋体" w:hint="default"/>
                <w:spacing w:val="-10"/>
                <w:sz w:val="18"/>
                <w:szCs w:val="18"/>
              </w:rPr>
              <w:t>组、</w:t>
            </w:r>
            <w:r>
              <w:rPr>
                <w:rFonts w:ascii="Times New Roman" w:hAnsi="Times New Roman" w:cs="Times New Roman" w:eastAsia="Times New Roman" w:hint="default"/>
                <w:spacing w:val="-10"/>
                <w:sz w:val="18"/>
                <w:szCs w:val="18"/>
              </w:rPr>
              <w:t>9</w:t>
            </w:r>
            <w:r>
              <w:rPr>
                <w:rFonts w:ascii="宋体" w:hAnsi="宋体" w:cs="宋体" w:eastAsia="宋体" w:hint="default"/>
                <w:spacing w:val="-10"/>
                <w:sz w:val="18"/>
                <w:szCs w:val="18"/>
              </w:rPr>
              <w:t>组（成高国用（</w:t>
            </w:r>
            <w:r>
              <w:rPr>
                <w:rFonts w:ascii="Times New Roman" w:hAnsi="Times New Roman" w:cs="Times New Roman" w:eastAsia="Times New Roman" w:hint="default"/>
                <w:spacing w:val="-10"/>
                <w:sz w:val="18"/>
                <w:szCs w:val="18"/>
              </w:rPr>
              <w:t>2016</w:t>
            </w:r>
            <w:r>
              <w:rPr>
                <w:rFonts w:ascii="宋体" w:hAnsi="宋体" w:cs="宋体" w:eastAsia="宋体" w:hint="default"/>
                <w:spacing w:val="-10"/>
                <w:sz w:val="18"/>
                <w:szCs w:val="18"/>
              </w:rPr>
              <w:t>）第</w:t>
            </w:r>
            <w:r>
              <w:rPr>
                <w:rFonts w:ascii="Times New Roman" w:hAnsi="Times New Roman" w:cs="Times New Roman" w:eastAsia="Times New Roman" w:hint="default"/>
                <w:spacing w:val="-10"/>
                <w:sz w:val="18"/>
                <w:szCs w:val="18"/>
              </w:rPr>
              <w:t>31151</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号及在建工程</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60"/>
              <w:ind w:left="256" w:right="0"/>
              <w:jc w:val="left"/>
              <w:rPr>
                <w:rFonts w:ascii="Times New Roman" w:hAnsi="Times New Roman" w:cs="Times New Roman" w:eastAsia="Times New Roman" w:hint="default"/>
                <w:sz w:val="18"/>
                <w:szCs w:val="18"/>
              </w:rPr>
            </w:pPr>
            <w:r>
              <w:rPr>
                <w:rFonts w:ascii="Times New Roman"/>
                <w:sz w:val="18"/>
              </w:rPr>
              <w:t>2017-6-13</w:t>
            </w:r>
          </w:p>
        </w:tc>
        <w:tc>
          <w:tcPr>
            <w:tcW w:w="1405" w:type="dxa"/>
            <w:vMerge w:val="restart"/>
            <w:tcBorders>
              <w:top w:val="single" w:sz="4" w:space="0" w:color="000000"/>
              <w:left w:val="single" w:sz="4" w:space="0" w:color="000000"/>
              <w:right w:val="single" w:sz="4"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2021-12-21</w:t>
            </w:r>
          </w:p>
        </w:tc>
      </w:tr>
      <w:tr>
        <w:trPr>
          <w:trHeight w:val="653" w:hRule="exact"/>
        </w:trPr>
        <w:tc>
          <w:tcPr>
            <w:tcW w:w="1762" w:type="dxa"/>
            <w:vMerge/>
            <w:tcBorders>
              <w:left w:val="single" w:sz="4" w:space="0" w:color="000000"/>
              <w:right w:val="single" w:sz="4" w:space="0" w:color="000000"/>
            </w:tcBorders>
          </w:tcPr>
          <w:p>
            <w:pPr/>
          </w:p>
        </w:tc>
        <w:tc>
          <w:tcPr>
            <w:tcW w:w="1551" w:type="dxa"/>
            <w:vMerge/>
            <w:tcBorders>
              <w:left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质押物：成都蓝盾网信科技有限公司 股权</w:t>
            </w:r>
          </w:p>
        </w:tc>
        <w:tc>
          <w:tcPr>
            <w:tcW w:w="1270"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r>
      <w:tr>
        <w:trPr>
          <w:trHeight w:val="655" w:hRule="exact"/>
        </w:trPr>
        <w:tc>
          <w:tcPr>
            <w:tcW w:w="1762"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保证人：蓝盾信息安全技术股份有限 公司、柯宗庆、柯宗贵</w:t>
            </w:r>
          </w:p>
        </w:tc>
        <w:tc>
          <w:tcPr>
            <w:tcW w:w="1270" w:type="dxa"/>
            <w:vMerge/>
            <w:tcBorders>
              <w:left w:val="single" w:sz="4" w:space="0" w:color="000000"/>
              <w:bottom w:val="single" w:sz="4" w:space="0" w:color="000000"/>
              <w:right w:val="single" w:sz="4" w:space="0" w:color="000000"/>
            </w:tcBorders>
          </w:tcPr>
          <w:p>
            <w:pPr/>
          </w:p>
        </w:tc>
        <w:tc>
          <w:tcPr>
            <w:tcW w:w="1405" w:type="dxa"/>
            <w:vMerge/>
            <w:tcBorders>
              <w:left w:val="single" w:sz="4" w:space="0" w:color="000000"/>
              <w:bottom w:val="single" w:sz="4" w:space="0" w:color="000000"/>
              <w:right w:val="single" w:sz="4" w:space="0" w:color="000000"/>
            </w:tcBorders>
          </w:tcPr>
          <w:p>
            <w:pPr/>
          </w:p>
        </w:tc>
      </w:tr>
    </w:tbl>
    <w:p>
      <w:pPr>
        <w:spacing w:after="0"/>
        <w:sectPr>
          <w:footerReference w:type="default" r:id="rId33"/>
          <w:pgSz w:w="11910" w:h="16840"/>
          <w:pgMar w:footer="980" w:header="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62"/>
        <w:gridCol w:w="1551"/>
        <w:gridCol w:w="2962"/>
        <w:gridCol w:w="1270"/>
        <w:gridCol w:w="1405"/>
      </w:tblGrid>
      <w:tr>
        <w:trPr>
          <w:trHeight w:val="34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Times New Roman" w:hAnsi="Times New Roman" w:cs="Times New Roman" w:eastAsia="Times New Roman" w:hint="default"/>
                <w:sz w:val="18"/>
                <w:szCs w:val="18"/>
              </w:rPr>
            </w:pPr>
            <w:r>
              <w:rPr>
                <w:rFonts w:ascii="Times New Roman"/>
                <w:sz w:val="18"/>
              </w:rPr>
              <w:t>270,000,000.00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8"/>
          <w:szCs w:val="8"/>
        </w:rPr>
      </w:pPr>
    </w:p>
    <w:p>
      <w:pPr>
        <w:pStyle w:val="BodyText"/>
        <w:spacing w:line="256" w:lineRule="auto" w:before="36"/>
        <w:ind w:right="1133" w:firstLine="420"/>
        <w:jc w:val="left"/>
      </w:pPr>
      <w:r>
        <w:rPr>
          <w:spacing w:val="-2"/>
        </w:rPr>
        <w:t>注：浙商银行股份有限公司广州分行借款期限为</w:t>
      </w:r>
      <w:r>
        <w:rPr>
          <w:rFonts w:ascii="Times New Roman" w:hAnsi="Times New Roman" w:cs="Times New Roman" w:eastAsia="Times New Roman" w:hint="default"/>
          <w:spacing w:val="-2"/>
        </w:rPr>
        <w:t>2017-6-13</w:t>
      </w:r>
      <w:r>
        <w:rPr>
          <w:spacing w:val="-2"/>
        </w:rPr>
        <w:t>至</w:t>
      </w:r>
      <w:r>
        <w:rPr>
          <w:rFonts w:ascii="Times New Roman" w:hAnsi="Times New Roman" w:cs="Times New Roman" w:eastAsia="Times New Roman" w:hint="default"/>
          <w:spacing w:val="-2"/>
        </w:rPr>
        <w:t>2021-12-21</w:t>
      </w:r>
      <w:r>
        <w:rPr>
          <w:spacing w:val="-2"/>
        </w:rPr>
        <w:t>的借款将于一年内到期的金额</w:t>
      </w:r>
      <w:r>
        <w:rPr>
          <w:w w:val="100"/>
        </w:rPr>
        <w:t> </w:t>
      </w:r>
      <w:r>
        <w:rPr/>
        <w:t>为</w:t>
      </w:r>
      <w:r>
        <w:rPr>
          <w:rFonts w:ascii="Times New Roman" w:hAnsi="Times New Roman" w:cs="Times New Roman" w:eastAsia="Times New Roman" w:hint="default"/>
        </w:rPr>
        <w:t>120,000,000.00</w:t>
      </w:r>
      <w:r>
        <w:rPr/>
        <w:t>元。</w:t>
      </w:r>
    </w:p>
    <w:p>
      <w:pPr>
        <w:pStyle w:val="BodyText"/>
        <w:spacing w:line="240" w:lineRule="auto" w:before="161"/>
        <w:ind w:left="573" w:right="1133"/>
        <w:jc w:val="left"/>
      </w:pPr>
      <w:r>
        <w:rPr/>
        <w:t>（</w:t>
      </w:r>
      <w:r>
        <w:rPr>
          <w:rFonts w:ascii="Times New Roman" w:hAnsi="Times New Roman" w:cs="Times New Roman" w:eastAsia="Times New Roman" w:hint="default"/>
        </w:rPr>
        <w:t>3</w:t>
      </w:r>
      <w:r>
        <w:rPr/>
        <w:t>）质押</w:t>
      </w:r>
      <w:r>
        <w:rPr>
          <w:rFonts w:ascii="Times New Roman" w:hAnsi="Times New Roman" w:cs="Times New Roman" w:eastAsia="Times New Roman" w:hint="default"/>
        </w:rPr>
        <w:t>+</w:t>
      </w:r>
      <w:r>
        <w:rPr/>
        <w:t>保证借款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16"/>
        <w:gridCol w:w="1551"/>
        <w:gridCol w:w="2996"/>
        <w:gridCol w:w="1270"/>
        <w:gridCol w:w="1405"/>
      </w:tblGrid>
      <w:tr>
        <w:trPr>
          <w:trHeight w:val="34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银</w:t>
              <w:tab/>
              <w:t>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967"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7"/>
              <w:jc w:val="both"/>
              <w:rPr>
                <w:rFonts w:ascii="宋体" w:hAnsi="宋体" w:cs="宋体" w:eastAsia="宋体" w:hint="default"/>
                <w:sz w:val="18"/>
                <w:szCs w:val="18"/>
              </w:rPr>
            </w:pPr>
            <w:r>
              <w:rPr>
                <w:rFonts w:ascii="宋体" w:hAnsi="宋体" w:cs="宋体" w:eastAsia="宋体" w:hint="default"/>
                <w:sz w:val="18"/>
                <w:szCs w:val="18"/>
              </w:rPr>
              <w:t>中国工商银行股份有 限公司广州陵园西路 支行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10" w:right="0"/>
              <w:jc w:val="left"/>
              <w:rPr>
                <w:rFonts w:ascii="Times New Roman" w:hAnsi="Times New Roman" w:cs="Times New Roman" w:eastAsia="Times New Roman" w:hint="default"/>
                <w:sz w:val="18"/>
                <w:szCs w:val="18"/>
              </w:rPr>
            </w:pPr>
            <w:r>
              <w:rPr>
                <w:rFonts w:ascii="Times New Roman"/>
                <w:sz w:val="18"/>
              </w:rPr>
              <w:t>333,000,000.00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7" w:right="0"/>
              <w:jc w:val="left"/>
              <w:rPr>
                <w:rFonts w:ascii="宋体" w:hAnsi="宋体" w:cs="宋体" w:eastAsia="宋体" w:hint="default"/>
                <w:sz w:val="18"/>
                <w:szCs w:val="18"/>
              </w:rPr>
            </w:pPr>
            <w:r>
              <w:rPr>
                <w:rFonts w:ascii="宋体" w:hAnsi="宋体" w:cs="宋体" w:eastAsia="宋体" w:hint="default"/>
                <w:spacing w:val="-5"/>
                <w:sz w:val="18"/>
                <w:szCs w:val="18"/>
              </w:rPr>
              <w:t>质押物：深圳市蓝盾满泰科技发展有限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 保证人：柯宗庆、柯宗贵</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2016-12-16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2021-12-16</w:t>
            </w:r>
          </w:p>
        </w:tc>
      </w:tr>
      <w:tr>
        <w:trPr>
          <w:trHeight w:val="34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10" w:right="0"/>
              <w:jc w:val="left"/>
              <w:rPr>
                <w:rFonts w:ascii="Times New Roman" w:hAnsi="Times New Roman" w:cs="Times New Roman" w:eastAsia="Times New Roman" w:hint="default"/>
                <w:sz w:val="18"/>
                <w:szCs w:val="18"/>
              </w:rPr>
            </w:pPr>
            <w:r>
              <w:rPr>
                <w:rFonts w:ascii="Times New Roman"/>
                <w:sz w:val="18"/>
              </w:rPr>
              <w:t>333,000,000.00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56" w:lineRule="auto"/>
        <w:ind w:right="982"/>
        <w:jc w:val="left"/>
      </w:pPr>
      <w:r>
        <w:rPr>
          <w:spacing w:val="-3"/>
          <w:w w:val="100"/>
        </w:rPr>
        <w:t>注：中国工商银行股份有限公司广州陵园西路支行借款期限为</w:t>
      </w:r>
      <w:r>
        <w:rPr>
          <w:rFonts w:ascii="Times New Roman" w:hAnsi="Times New Roman" w:cs="Times New Roman" w:eastAsia="Times New Roman" w:hint="default"/>
          <w:spacing w:val="-3"/>
          <w:w w:val="100"/>
        </w:rPr>
        <w:t>2016-12-16</w:t>
      </w:r>
      <w:r>
        <w:rPr>
          <w:spacing w:val="-3"/>
          <w:w w:val="100"/>
        </w:rPr>
        <w:t>至</w:t>
      </w:r>
      <w:r>
        <w:rPr>
          <w:rFonts w:ascii="Times New Roman" w:hAnsi="Times New Roman" w:cs="Times New Roman" w:eastAsia="Times New Roman" w:hint="default"/>
          <w:spacing w:val="-3"/>
          <w:w w:val="100"/>
        </w:rPr>
        <w:t>2021-12-16</w:t>
      </w:r>
      <w:r>
        <w:rPr>
          <w:spacing w:val="-3"/>
          <w:w w:val="100"/>
        </w:rPr>
        <w:t>的借款将于一年内到</w:t>
      </w:r>
      <w:r>
        <w:rPr>
          <w:spacing w:val="-92"/>
          <w:w w:val="100"/>
        </w:rPr>
        <w:t> </w:t>
      </w:r>
      <w:r>
        <w:rPr>
          <w:spacing w:val="-92"/>
          <w:w w:val="100"/>
        </w:rPr>
      </w:r>
      <w:r>
        <w:rPr/>
        <w:t>期的金额为 </w:t>
      </w:r>
      <w:r>
        <w:rPr>
          <w:rFonts w:ascii="Times New Roman" w:hAnsi="Times New Roman" w:cs="Times New Roman" w:eastAsia="Times New Roman" w:hint="default"/>
        </w:rPr>
        <w:t>165,000,000.00</w:t>
      </w:r>
      <w:r>
        <w:rPr>
          <w:rFonts w:ascii="Times New Roman" w:hAnsi="Times New Roman" w:cs="Times New Roman" w:eastAsia="Times New Roman" w:hint="default"/>
          <w:spacing w:val="11"/>
        </w:rPr>
        <w:t> </w:t>
      </w:r>
      <w:r>
        <w:rPr/>
        <w:t>元。</w:t>
      </w:r>
    </w:p>
    <w:p>
      <w:pPr>
        <w:spacing w:line="240" w:lineRule="auto" w:before="7"/>
        <w:rPr>
          <w:rFonts w:ascii="宋体" w:hAnsi="宋体" w:cs="宋体" w:eastAsia="宋体" w:hint="default"/>
          <w:sz w:val="30"/>
          <w:szCs w:val="30"/>
        </w:rPr>
      </w:pPr>
    </w:p>
    <w:p>
      <w:pPr>
        <w:pStyle w:val="BodyText"/>
        <w:spacing w:line="307" w:lineRule="auto"/>
        <w:ind w:left="573" w:right="1133" w:hanging="421"/>
        <w:jc w:val="left"/>
      </w:pPr>
      <w:r>
        <w:rPr/>
        <w:t>其他说明，包括利率区间：</w:t>
      </w:r>
      <w:r>
        <w:rPr>
          <w:w w:val="100"/>
        </w:rPr>
        <w:t> </w:t>
      </w:r>
      <w:r>
        <w:rPr>
          <w:spacing w:val="-2"/>
        </w:rPr>
        <w:t>蓝盾信息安全技术股份有限公司的中国工商银行股份有限公司广州陵园西路支行</w:t>
      </w:r>
      <w:r>
        <w:rPr>
          <w:rFonts w:ascii="Times New Roman" w:hAnsi="Times New Roman" w:cs="Times New Roman" w:eastAsia="Times New Roman" w:hint="default"/>
          <w:spacing w:val="-2"/>
        </w:rPr>
        <w:t>3.33</w:t>
      </w:r>
      <w:r>
        <w:rPr>
          <w:spacing w:val="-2"/>
        </w:rPr>
        <w:t>亿元长期借款，</w:t>
      </w:r>
    </w:p>
    <w:p>
      <w:pPr>
        <w:pStyle w:val="BodyText"/>
        <w:spacing w:line="247" w:lineRule="exact"/>
        <w:ind w:right="982"/>
        <w:jc w:val="left"/>
      </w:pPr>
      <w:r>
        <w:rPr/>
        <w:t>其中</w:t>
      </w:r>
      <w:r>
        <w:rPr>
          <w:rFonts w:ascii="Times New Roman" w:hAnsi="Times New Roman" w:cs="Times New Roman" w:eastAsia="Times New Roman" w:hint="default"/>
        </w:rPr>
        <w:t>8,400</w:t>
      </w:r>
      <w:r>
        <w:rPr/>
        <w:t>万元已于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日到期，公司当天仅归还</w:t>
      </w:r>
      <w:r>
        <w:rPr>
          <w:rFonts w:ascii="Times New Roman" w:hAnsi="Times New Roman" w:cs="Times New Roman" w:eastAsia="Times New Roman" w:hint="default"/>
        </w:rPr>
        <w:t>300</w:t>
      </w:r>
      <w:r>
        <w:rPr/>
        <w:t>万元，经与银行协商后对长期借款归还计划</w:t>
      </w:r>
    </w:p>
    <w:p>
      <w:pPr>
        <w:pStyle w:val="BodyText"/>
        <w:spacing w:line="256" w:lineRule="auto" w:before="21"/>
        <w:ind w:right="1133"/>
        <w:jc w:val="left"/>
      </w:pPr>
      <w:r>
        <w:rPr>
          <w:spacing w:val="-3"/>
        </w:rPr>
        <w:t>进行修改，修改后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日前需归还</w:t>
      </w:r>
      <w:r>
        <w:rPr>
          <w:rFonts w:ascii="Times New Roman" w:hAnsi="Times New Roman" w:cs="Times New Roman" w:eastAsia="Times New Roman" w:hint="default"/>
          <w:spacing w:val="-3"/>
        </w:rPr>
        <w:t>8,400</w:t>
      </w:r>
      <w:r>
        <w:rPr>
          <w:spacing w:val="-3"/>
        </w:rPr>
        <w:t>万元，剩余部分按照原合同约定在</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日前需归</w:t>
      </w:r>
      <w:r>
        <w:rPr>
          <w:spacing w:val="-18"/>
        </w:rPr>
        <w:t> </w:t>
      </w:r>
      <w:r>
        <w:rPr>
          <w:spacing w:val="-18"/>
        </w:rPr>
      </w:r>
      <w:r>
        <w:rPr/>
        <w:t>还</w:t>
      </w:r>
      <w:r>
        <w:rPr>
          <w:rFonts w:ascii="Times New Roman" w:hAnsi="Times New Roman" w:cs="Times New Roman" w:eastAsia="Times New Roman" w:hint="default"/>
        </w:rPr>
        <w:t>8,150</w:t>
      </w:r>
      <w:r>
        <w:rPr/>
        <w:t>万元。展期期间的利率与原借款合同一致。</w:t>
      </w:r>
    </w:p>
    <w:p>
      <w:pPr>
        <w:pStyle w:val="BodyText"/>
        <w:spacing w:line="240" w:lineRule="auto" w:before="5"/>
        <w:ind w:left="472" w:right="1279"/>
        <w:jc w:val="center"/>
      </w:pPr>
      <w:r>
        <w:rPr/>
        <w:t>成都蓝盾网信科技有限公司的浙商银行股份有限公司广州分行</w:t>
      </w:r>
      <w:r>
        <w:rPr>
          <w:rFonts w:ascii="Times New Roman" w:hAnsi="Times New Roman" w:cs="Times New Roman" w:eastAsia="Times New Roman" w:hint="default"/>
        </w:rPr>
        <w:t>2.7</w:t>
      </w:r>
      <w:r>
        <w:rPr/>
        <w:t>亿元长期借款，其中</w:t>
      </w:r>
      <w:r>
        <w:rPr>
          <w:rFonts w:ascii="Times New Roman" w:hAnsi="Times New Roman" w:cs="Times New Roman" w:eastAsia="Times New Roman" w:hint="default"/>
        </w:rPr>
        <w:t>3,000</w:t>
      </w:r>
      <w:r>
        <w:rPr/>
        <w:t>万元已于</w:t>
      </w:r>
    </w:p>
    <w:p>
      <w:pPr>
        <w:pStyle w:val="BodyText"/>
        <w:spacing w:line="240" w:lineRule="auto" w:before="21"/>
        <w:ind w:right="98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日到期，经与银行协商后对长期借款归还计划进行修改，将该笔</w:t>
      </w:r>
      <w:r>
        <w:rPr>
          <w:rFonts w:ascii="Times New Roman" w:hAnsi="Times New Roman" w:cs="Times New Roman" w:eastAsia="Times New Roman" w:hint="default"/>
        </w:rPr>
        <w:t>3,000</w:t>
      </w:r>
      <w:r>
        <w:rPr/>
        <w:t>万元展期至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p>
    <w:p>
      <w:pPr>
        <w:pStyle w:val="BodyText"/>
        <w:spacing w:line="240" w:lineRule="auto" w:before="21"/>
        <w:ind w:right="1133"/>
        <w:jc w:val="left"/>
      </w:pPr>
      <w:r>
        <w:rPr>
          <w:rFonts w:ascii="Times New Roman" w:hAnsi="Times New Roman" w:cs="Times New Roman" w:eastAsia="Times New Roman" w:hint="default"/>
        </w:rPr>
        <w:t>21</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日前一共需归还</w:t>
      </w:r>
      <w:r>
        <w:rPr>
          <w:rFonts w:ascii="Times New Roman" w:hAnsi="Times New Roman" w:cs="Times New Roman" w:eastAsia="Times New Roman" w:hint="default"/>
        </w:rPr>
        <w:t>6,000</w:t>
      </w:r>
      <w:r>
        <w:rPr/>
        <w:t>万元。展期期间的利率与原借款合同一致。</w:t>
      </w:r>
    </w:p>
    <w:p>
      <w:pPr>
        <w:spacing w:line="240" w:lineRule="auto" w:before="7"/>
        <w:rPr>
          <w:rFonts w:ascii="宋体" w:hAnsi="宋体" w:cs="宋体" w:eastAsia="宋体" w:hint="default"/>
          <w:sz w:val="24"/>
          <w:szCs w:val="24"/>
        </w:rPr>
      </w:pPr>
    </w:p>
    <w:p>
      <w:pPr>
        <w:pStyle w:val="Heading3"/>
        <w:spacing w:line="240" w:lineRule="auto"/>
        <w:ind w:right="1133"/>
        <w:jc w:val="left"/>
        <w:rPr>
          <w:b w:val="0"/>
          <w:bCs w:val="0"/>
        </w:rPr>
      </w:pPr>
      <w:bookmarkStart w:name="32、应付债券" w:id="337"/>
      <w:bookmarkEnd w:id="337"/>
      <w:r>
        <w:rPr>
          <w:b w:val="0"/>
          <w:bCs w:val="0"/>
        </w:rPr>
      </w:r>
      <w:r>
        <w:rPr>
          <w:rFonts w:ascii="Times New Roman" w:hAnsi="Times New Roman" w:cs="Times New Roman" w:eastAsia="Times New Roman" w:hint="default"/>
        </w:rPr>
        <w:t>32</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债券" w:id="338"/>
      <w:bookmarkEnd w:id="33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87,097,076.87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442,418,873.41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其他应付债券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149,979,370.39</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一年内到期的应付债券（抵减以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-149,979,370.39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87,097,076.87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442,418,873.41</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80" w:header="0" w:top="1100" w:bottom="1160" w:left="980" w:right="0"/>
        </w:sectPr>
      </w:pPr>
    </w:p>
    <w:p>
      <w:pPr>
        <w:spacing w:line="240" w:lineRule="auto" w:before="5"/>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716299pt;width:700.9pt;height:.1pt;mso-position-horizontal-relative:page;mso-position-vertical-relative:paragraph;z-index:2200" coordorigin="1411,-14" coordsize="14018,2">
            <v:shape style="position:absolute;left:1411;top:-14;width:14018;height:2" coordorigin="1411,-14" coordsize="14018,0" path="m1411,-14l15429,-14e" filled="false" stroked="true" strokeweight=".72pt" strokecolor="#000000">
              <v:path arrowok="t"/>
            </v:shape>
            <w10:wrap type="none"/>
          </v:group>
        </w:pict>
      </w:r>
      <w:bookmarkStart w:name="（2）应付债券的增减变动（不包括划分为金融负债的优先股、永续债等其他金融工具）" w:id="339"/>
      <w:bookmarkEnd w:id="339"/>
      <w:r>
        <w:rPr>
          <w:b w:val="0"/>
          <w:bCs w:val="0"/>
        </w:rPr>
      </w:r>
      <w:r>
        <w:rPr>
          <w:spacing w:val="-1"/>
        </w:rPr>
        <w:t>（</w:t>
      </w:r>
      <w:r>
        <w:rPr>
          <w:rFonts w:ascii="Times New Roman" w:hAnsi="Times New Roman" w:cs="Times New Roman" w:eastAsia="Times New Roman" w:hint="default"/>
          <w:spacing w:val="-1"/>
        </w:rPr>
        <w:t>2</w:t>
      </w:r>
      <w:r>
        <w:rPr>
          <w:spacing w:val="-1"/>
        </w:rPr>
        <w:t>）应付债券的增减变动（不包括划分为金融负债的优先股、永续债等其他金融工具）</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35"/>
          <w:footerReference w:type="default" r:id="rId36"/>
          <w:pgSz w:w="16840" w:h="11910" w:orient="landscape"/>
          <w:pgMar w:header="0" w:footer="0" w:top="800" w:bottom="0" w:left="1300" w:right="1300"/>
          <w:cols w:num="2" w:equalWidth="0">
            <w:col w:w="8258" w:space="1830"/>
            <w:col w:w="4152"/>
          </w:cols>
        </w:sectPr>
      </w:pPr>
    </w:p>
    <w:p>
      <w:pPr>
        <w:spacing w:line="240" w:lineRule="auto" w:before="9"/>
        <w:rPr>
          <w:rFonts w:ascii="宋体" w:hAnsi="宋体" w:cs="宋体" w:eastAsia="宋体" w:hint="default"/>
          <w:sz w:val="23"/>
          <w:szCs w:val="23"/>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53"/>
        <w:gridCol w:w="1298"/>
        <w:gridCol w:w="799"/>
        <w:gridCol w:w="797"/>
        <w:gridCol w:w="1195"/>
        <w:gridCol w:w="1200"/>
        <w:gridCol w:w="797"/>
        <w:gridCol w:w="1018"/>
        <w:gridCol w:w="1231"/>
        <w:gridCol w:w="1229"/>
        <w:gridCol w:w="1261"/>
        <w:gridCol w:w="1289"/>
      </w:tblGrid>
      <w:tr>
        <w:trPr>
          <w:trHeight w:val="16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53"/>
              <w:ind w:left="324" w:right="53" w:hanging="272"/>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1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01"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1018" w:type="dxa"/>
            <w:vMerge/>
            <w:tcBorders>
              <w:left w:val="single" w:sz="4" w:space="0" w:color="000000"/>
              <w:right w:val="single" w:sz="4" w:space="0" w:color="000000"/>
            </w:tcBorders>
            <w:shd w:val="clear" w:color="auto" w:fill="D2D2D2"/>
          </w:tcPr>
          <w:p>
            <w:pP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本期偿还</w:t>
            </w:r>
          </w:p>
        </w:tc>
        <w:tc>
          <w:tcPr>
            <w:tcW w:w="1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本期转股</w:t>
            </w:r>
          </w:p>
        </w:tc>
        <w:tc>
          <w:tcPr>
            <w:tcW w:w="12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9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5"/>
              <w:jc w:val="left"/>
              <w:rPr>
                <w:rFonts w:ascii="宋体" w:hAnsi="宋体" w:cs="宋体" w:eastAsia="宋体" w:hint="default"/>
                <w:sz w:val="18"/>
                <w:szCs w:val="18"/>
              </w:rPr>
            </w:pPr>
            <w:r>
              <w:rPr>
                <w:rFonts w:ascii="宋体" w:hAnsi="宋体" w:cs="宋体" w:eastAsia="宋体" w:hint="default"/>
                <w:sz w:val="18"/>
                <w:szCs w:val="18"/>
              </w:rPr>
              <w:t>蓝盾信息安全 技术股份有限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 公开发行公司 债券</w:t>
            </w:r>
          </w:p>
        </w:tc>
        <w:tc>
          <w:tcPr>
            <w:tcW w:w="12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2016/1/15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300,000,000.00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149,979,370.39</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64,109.59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20,629.61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150,000,000.00</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169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6"/>
              <w:ind w:left="11" w:right="55"/>
              <w:jc w:val="left"/>
              <w:rPr>
                <w:rFonts w:ascii="宋体" w:hAnsi="宋体" w:cs="宋体" w:eastAsia="宋体" w:hint="default"/>
                <w:sz w:val="18"/>
                <w:szCs w:val="18"/>
              </w:rPr>
            </w:pPr>
            <w:r>
              <w:rPr>
                <w:rFonts w:ascii="宋体" w:hAnsi="宋体" w:cs="宋体" w:eastAsia="宋体" w:hint="default"/>
                <w:sz w:val="18"/>
                <w:szCs w:val="18"/>
              </w:rPr>
              <w:t>蓝盾信息安全 技术股份有限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 开发行可转换 公司债券</w:t>
            </w:r>
          </w:p>
        </w:tc>
        <w:tc>
          <w:tcPr>
            <w:tcW w:w="12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538,000,000.00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2018/8/13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538,000,000.00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442,418,873.41</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1,053,444.54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82,187,203.46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437,509,000.00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87,097,076.87</w:t>
            </w:r>
          </w:p>
        </w:tc>
      </w:tr>
      <w:tr>
        <w:trPr>
          <w:trHeight w:val="4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838,000,000.00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592,398,243.80</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1,117,554.13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82,207,833.07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center"/>
              <w:rPr>
                <w:rFonts w:ascii="Times New Roman" w:hAnsi="Times New Roman" w:cs="Times New Roman" w:eastAsia="Times New Roman" w:hint="default"/>
                <w:sz w:val="18"/>
                <w:szCs w:val="18"/>
              </w:rPr>
            </w:pPr>
            <w:r>
              <w:rPr>
                <w:rFonts w:ascii="Times New Roman"/>
                <w:sz w:val="18"/>
              </w:rPr>
              <w:t>150,000,000.00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437,509,000.00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87,097,076.87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202</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31"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bookmarkStart w:name="（3）可转换公司债券的转股条件、转股时间说明" w:id="340"/>
      <w:bookmarkEnd w:id="34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8" w:firstLine="420"/>
        <w:jc w:val="both"/>
      </w:pPr>
      <w:r>
        <w:rPr>
          <w:spacing w:val="-2"/>
        </w:rPr>
        <w:t>转股条件：可转债持有人在转股期内申请转股时，转股数量</w:t>
      </w:r>
      <w:r>
        <w:rPr>
          <w:rFonts w:ascii="Times New Roman" w:hAnsi="Times New Roman" w:cs="Times New Roman" w:eastAsia="Times New Roman" w:hint="default"/>
          <w:spacing w:val="-2"/>
        </w:rPr>
        <w:t>=</w:t>
      </w:r>
      <w:r>
        <w:rPr>
          <w:spacing w:val="-2"/>
        </w:rPr>
        <w:t>申请转股的可转债票面总金额</w:t>
      </w:r>
      <w:r>
        <w:rPr>
          <w:rFonts w:ascii="Times New Roman" w:hAnsi="Times New Roman" w:cs="Times New Roman" w:eastAsia="Times New Roman" w:hint="default"/>
          <w:spacing w:val="-2"/>
        </w:rPr>
        <w:t>/</w:t>
      </w:r>
      <w:r>
        <w:rPr>
          <w:spacing w:val="-2"/>
        </w:rPr>
        <w:t>申请转股</w:t>
      </w:r>
      <w:r>
        <w:rPr>
          <w:w w:val="100"/>
        </w:rPr>
        <w:t> </w:t>
      </w:r>
      <w:r>
        <w:rPr/>
        <w:t>当日有效的转股价格，并以尾数取</w:t>
      </w:r>
      <w:r>
        <w:rPr>
          <w:rFonts w:ascii="Times New Roman" w:hAnsi="Times New Roman" w:cs="Times New Roman" w:eastAsia="Times New Roman" w:hint="default"/>
        </w:rPr>
        <w:t>1</w:t>
      </w:r>
      <w:r>
        <w:rPr/>
        <w:t>股的整数倍。可转债持有人申请转换成的股份需为整数股，转股时不</w:t>
      </w:r>
      <w:r>
        <w:rPr>
          <w:spacing w:val="-23"/>
        </w:rPr>
        <w:t> </w:t>
      </w:r>
      <w:r>
        <w:rPr>
          <w:spacing w:val="-23"/>
        </w:rPr>
      </w:r>
      <w:r>
        <w:rPr/>
        <w:t>足转股为</w:t>
      </w:r>
      <w:r>
        <w:rPr>
          <w:rFonts w:ascii="Times New Roman" w:hAnsi="Times New Roman" w:cs="Times New Roman" w:eastAsia="Times New Roman" w:hint="default"/>
        </w:rPr>
        <w:t>1</w:t>
      </w:r>
      <w:r>
        <w:rPr/>
        <w:t>股股票的可转债余额，公司将按照深交所、证券登记机构等部门的有关规定，在本次可转债持</w:t>
      </w:r>
      <w:r>
        <w:rPr>
          <w:spacing w:val="-25"/>
        </w:rPr>
        <w:t> </w:t>
      </w:r>
      <w:r>
        <w:rPr>
          <w:spacing w:val="-25"/>
        </w:rPr>
      </w:r>
      <w:r>
        <w:rPr>
          <w:spacing w:val="2"/>
        </w:rPr>
        <w:t>有人转股当日后的</w:t>
      </w:r>
      <w:r>
        <w:rPr>
          <w:rFonts w:ascii="Times New Roman" w:hAnsi="Times New Roman" w:cs="Times New Roman" w:eastAsia="Times New Roman" w:hint="default"/>
          <w:spacing w:val="2"/>
        </w:rPr>
        <w:t>5</w:t>
      </w:r>
      <w:r>
        <w:rPr>
          <w:spacing w:val="2"/>
        </w:rPr>
        <w:t>个交易日内以现金兑付该不足转换为</w:t>
      </w:r>
      <w:r>
        <w:rPr>
          <w:rFonts w:ascii="Times New Roman" w:hAnsi="Times New Roman" w:cs="Times New Roman" w:eastAsia="Times New Roman" w:hint="default"/>
          <w:spacing w:val="2"/>
        </w:rPr>
        <w:t>1</w:t>
      </w:r>
      <w:r>
        <w:rPr>
          <w:spacing w:val="2"/>
        </w:rPr>
        <w:t>股股票的本次可转债余额及该余额所对应的当</w:t>
      </w:r>
      <w:r>
        <w:rPr>
          <w:spacing w:val="-21"/>
        </w:rPr>
        <w:t> </w:t>
      </w:r>
      <w:r>
        <w:rPr>
          <w:spacing w:val="-21"/>
        </w:rPr>
      </w:r>
      <w:r>
        <w:rPr/>
        <w:t>期应计利息。</w:t>
      </w:r>
    </w:p>
    <w:p>
      <w:pPr>
        <w:pStyle w:val="BodyText"/>
        <w:spacing w:line="256" w:lineRule="auto" w:before="63"/>
        <w:ind w:right="1131" w:firstLine="336"/>
        <w:jc w:val="both"/>
      </w:pPr>
      <w:r>
        <w:rPr>
          <w:spacing w:val="-3"/>
        </w:rPr>
        <w:t>转股期限：本次发行的可转债转股期限为自发行结束之日（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日）起满六个月后的第一个交</w:t>
      </w:r>
      <w:r>
        <w:rPr>
          <w:w w:val="100"/>
        </w:rPr>
        <w:t> </w:t>
      </w:r>
      <w:r>
        <w:rPr/>
        <w:t>易日（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日）起至可转债到期日（</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日）止。</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240" w:lineRule="auto"/>
        <w:ind w:right="1133"/>
        <w:jc w:val="left"/>
        <w:rPr>
          <w:b w:val="0"/>
          <w:bCs w:val="0"/>
        </w:rPr>
      </w:pPr>
      <w:bookmarkStart w:name="33、长期应付款" w:id="341"/>
      <w:bookmarkEnd w:id="341"/>
      <w:r>
        <w:rPr>
          <w:b w:val="0"/>
          <w:bCs w:val="0"/>
        </w:rPr>
      </w:r>
      <w:r>
        <w:rPr>
          <w:rFonts w:ascii="Times New Roman" w:hAnsi="Times New Roman" w:cs="Times New Roman" w:eastAsia="Times New Roman" w:hint="default"/>
        </w:rPr>
        <w:t>33</w:t>
      </w:r>
      <w:r>
        <w:rPr/>
        <w:t>、长期应付款</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106,771,186.78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104,712,532.88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106,771,186.78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104,712,532.88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注：上表中长期应付款指扣除专项应付款后的长期应付款。</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按款项性质列示长期应付款" w:id="342"/>
      <w:bookmarkEnd w:id="34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335,663,496.35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182,987,278.94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228,892,309.57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78,274,746.06</w:t>
            </w:r>
          </w:p>
        </w:tc>
      </w:tr>
    </w:tbl>
    <w:p>
      <w:pPr>
        <w:pStyle w:val="BodyText"/>
        <w:spacing w:line="240" w:lineRule="auto" w:before="28"/>
        <w:ind w:right="1133"/>
        <w:jc w:val="left"/>
      </w:pPr>
      <w:r>
        <w:rPr/>
        <w:t>其他说明：</w:t>
      </w:r>
    </w:p>
    <w:p>
      <w:pPr>
        <w:pStyle w:val="BodyText"/>
        <w:spacing w:line="240" w:lineRule="auto" w:before="75"/>
        <w:ind w:left="573" w:right="1133"/>
        <w:jc w:val="left"/>
      </w:pPr>
      <w:r>
        <w:rPr/>
        <w:t>（</w:t>
      </w:r>
      <w:r>
        <w:rPr>
          <w:rFonts w:ascii="Times New Roman" w:hAnsi="Times New Roman" w:cs="Times New Roman" w:eastAsia="Times New Roman" w:hint="default"/>
        </w:rPr>
        <w:t>1</w:t>
      </w:r>
      <w:r>
        <w:rPr/>
        <w:t>）广发融资租赁</w:t>
      </w:r>
    </w:p>
    <w:p>
      <w:pPr>
        <w:pStyle w:val="BodyText"/>
        <w:spacing w:line="256" w:lineRule="auto" w:before="21"/>
        <w:ind w:right="1126" w:firstLine="420"/>
        <w:jc w:val="left"/>
      </w:pPr>
      <w:r>
        <w:rPr>
          <w:spacing w:val="-2"/>
        </w:rPr>
        <w:t>①</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日，公司与广发融资租赁（广东）有限公司签订《售后回租赁合同》和《所有权转让</w:t>
      </w:r>
      <w:r>
        <w:rPr>
          <w:w w:val="100"/>
        </w:rPr>
        <w:t> </w:t>
      </w:r>
      <w:r>
        <w:rPr>
          <w:spacing w:val="-3"/>
        </w:rPr>
        <w:t>协议》，融资租赁借款</w:t>
      </w:r>
      <w:r>
        <w:rPr>
          <w:rFonts w:ascii="Times New Roman" w:hAnsi="Times New Roman" w:cs="Times New Roman" w:eastAsia="Times New Roman" w:hint="default"/>
          <w:spacing w:val="-3"/>
        </w:rPr>
        <w:t>40,000,000</w:t>
      </w:r>
      <w:r>
        <w:rPr>
          <w:spacing w:val="-3"/>
        </w:rPr>
        <w:t>元，租赁期限为</w:t>
      </w:r>
      <w:r>
        <w:rPr>
          <w:rFonts w:ascii="Times New Roman" w:hAnsi="Times New Roman" w:cs="Times New Roman" w:eastAsia="Times New Roman" w:hint="default"/>
          <w:spacing w:val="-3"/>
        </w:rPr>
        <w:t>36</w:t>
      </w:r>
      <w:r>
        <w:rPr>
          <w:spacing w:val="-3"/>
        </w:rPr>
        <w:t>个月，分</w:t>
      </w:r>
      <w:r>
        <w:rPr>
          <w:rFonts w:ascii="Times New Roman" w:hAnsi="Times New Roman" w:cs="Times New Roman" w:eastAsia="Times New Roman" w:hint="default"/>
          <w:spacing w:val="-3"/>
        </w:rPr>
        <w:t>12</w:t>
      </w:r>
      <w:r>
        <w:rPr>
          <w:spacing w:val="-3"/>
        </w:rPr>
        <w:t>期还款，第</w:t>
      </w:r>
      <w:r>
        <w:rPr>
          <w:rFonts w:ascii="Times New Roman" w:hAnsi="Times New Roman" w:cs="Times New Roman" w:eastAsia="Times New Roman" w:hint="default"/>
          <w:spacing w:val="-3"/>
        </w:rPr>
        <w:t>1-4</w:t>
      </w:r>
      <w:r>
        <w:rPr>
          <w:spacing w:val="-3"/>
        </w:rPr>
        <w:t>期租金为</w:t>
      </w:r>
      <w:r>
        <w:rPr>
          <w:rFonts w:ascii="Times New Roman" w:hAnsi="Times New Roman" w:cs="Times New Roman" w:eastAsia="Times New Roman" w:hint="default"/>
          <w:spacing w:val="-3"/>
        </w:rPr>
        <w:t>5,101,500</w:t>
      </w:r>
      <w:r>
        <w:rPr>
          <w:spacing w:val="-3"/>
        </w:rPr>
        <w:t>元，第</w:t>
      </w:r>
      <w:r>
        <w:rPr>
          <w:rFonts w:ascii="Times New Roman" w:hAnsi="Times New Roman" w:cs="Times New Roman" w:eastAsia="Times New Roman" w:hint="default"/>
          <w:spacing w:val="-3"/>
        </w:rPr>
        <w:t>5-8</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3"/>
        </w:rPr>
        <w:t>期租金为</w:t>
      </w:r>
      <w:r>
        <w:rPr>
          <w:rFonts w:ascii="Times New Roman" w:hAnsi="Times New Roman" w:cs="Times New Roman" w:eastAsia="Times New Roman" w:hint="default"/>
          <w:spacing w:val="-3"/>
        </w:rPr>
        <w:t>3,120,900</w:t>
      </w:r>
      <w:r>
        <w:rPr>
          <w:spacing w:val="-3"/>
        </w:rPr>
        <w:t>元，第</w:t>
      </w:r>
      <w:r>
        <w:rPr>
          <w:rFonts w:ascii="Times New Roman" w:hAnsi="Times New Roman" w:cs="Times New Roman" w:eastAsia="Times New Roman" w:hint="default"/>
          <w:spacing w:val="-3"/>
        </w:rPr>
        <w:t>9-12</w:t>
      </w:r>
      <w:r>
        <w:rPr>
          <w:spacing w:val="-3"/>
        </w:rPr>
        <w:t>期租金为</w:t>
      </w:r>
      <w:r>
        <w:rPr>
          <w:rFonts w:ascii="Times New Roman" w:hAnsi="Times New Roman" w:cs="Times New Roman" w:eastAsia="Times New Roman" w:hint="default"/>
          <w:spacing w:val="-3"/>
        </w:rPr>
        <w:t>2,593,500</w:t>
      </w:r>
      <w:r>
        <w:rPr>
          <w:spacing w:val="-3"/>
        </w:rPr>
        <w:t>元，期满后回购价为</w:t>
      </w:r>
      <w:r>
        <w:rPr>
          <w:rFonts w:ascii="Times New Roman" w:hAnsi="Times New Roman" w:cs="Times New Roman" w:eastAsia="Times New Roman" w:hint="default"/>
          <w:spacing w:val="-3"/>
        </w:rPr>
        <w:t>100</w:t>
      </w:r>
      <w:r>
        <w:rPr>
          <w:spacing w:val="-3"/>
        </w:rPr>
        <w:t>元。该借款以公司的《计算机软件</w:t>
      </w:r>
      <w:r>
        <w:rPr>
          <w:spacing w:val="-31"/>
        </w:rPr>
        <w:t> </w:t>
      </w:r>
      <w:r>
        <w:rPr>
          <w:spacing w:val="-31"/>
        </w:rPr>
      </w:r>
      <w:r>
        <w:rPr>
          <w:spacing w:val="-2"/>
        </w:rPr>
        <w:t>著作权》作为质押。公司于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日对该笔融资租赁进行展期，将原定于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日偿还的第</w:t>
      </w:r>
      <w:r>
        <w:rPr>
          <w:spacing w:val="-28"/>
        </w:rPr>
        <w:t> </w:t>
      </w:r>
      <w:r>
        <w:rPr>
          <w:spacing w:val="-28"/>
        </w:rPr>
      </w:r>
      <w:r>
        <w:rPr>
          <w:rFonts w:ascii="Times New Roman" w:hAnsi="Times New Roman" w:cs="Times New Roman" w:eastAsia="Times New Roman" w:hint="default"/>
        </w:rPr>
        <w:t>4</w:t>
      </w:r>
      <w:r>
        <w:rPr/>
        <w:t>期租金</w:t>
      </w:r>
      <w:r>
        <w:rPr>
          <w:rFonts w:ascii="Times New Roman" w:hAnsi="Times New Roman" w:cs="Times New Roman" w:eastAsia="Times New Roman" w:hint="default"/>
        </w:rPr>
        <w:t>5,101,500</w:t>
      </w:r>
      <w:r>
        <w:rPr/>
        <w:t>元展期到</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日偿还，需支付</w:t>
      </w:r>
      <w:r>
        <w:rPr>
          <w:rFonts w:ascii="Times New Roman" w:hAnsi="Times New Roman" w:cs="Times New Roman" w:eastAsia="Times New Roman" w:hint="default"/>
        </w:rPr>
        <w:t>451,634.08</w:t>
      </w:r>
      <w:r>
        <w:rPr/>
        <w:t>元的展期利息，剩余期间租金按原定期</w:t>
      </w:r>
      <w:r>
        <w:rPr>
          <w:w w:val="100"/>
        </w:rPr>
        <w:t> </w:t>
      </w:r>
      <w:r>
        <w:rPr/>
        <w:t>间偿还。</w:t>
      </w:r>
    </w:p>
    <w:p>
      <w:pPr>
        <w:pStyle w:val="BodyText"/>
        <w:spacing w:line="240" w:lineRule="auto" w:before="22"/>
        <w:ind w:left="573" w:right="1133"/>
        <w:jc w:val="left"/>
      </w:pPr>
      <w:r>
        <w:rPr/>
        <w:t>（</w:t>
      </w:r>
      <w:r>
        <w:rPr>
          <w:rFonts w:ascii="Times New Roman" w:hAnsi="Times New Roman" w:cs="Times New Roman" w:eastAsia="Times New Roman" w:hint="default"/>
        </w:rPr>
        <w:t>2</w:t>
      </w:r>
      <w:r>
        <w:rPr/>
        <w:t>）中航国际租赁有限公司</w:t>
      </w:r>
    </w:p>
    <w:p>
      <w:pPr>
        <w:pStyle w:val="BodyText"/>
        <w:spacing w:line="256" w:lineRule="auto" w:before="21"/>
        <w:ind w:right="1210" w:firstLine="420"/>
        <w:jc w:val="both"/>
      </w:pPr>
      <w:r>
        <w:rPr>
          <w:spacing w:val="-2"/>
        </w:rPr>
        <w:t>①</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日，公司全资子公司深圳市蓝盾满泰科技发展有限公司与中航国际租赁有限公司签订</w:t>
      </w:r>
      <w:r>
        <w:rPr>
          <w:w w:val="100"/>
        </w:rPr>
        <w:t> </w:t>
      </w:r>
      <w:r>
        <w:rPr>
          <w:spacing w:val="-2"/>
        </w:rPr>
        <w:t>了《售后回租赁合同》，融资租赁借款</w:t>
      </w:r>
      <w:r>
        <w:rPr>
          <w:rFonts w:ascii="Times New Roman" w:hAnsi="Times New Roman" w:cs="Times New Roman" w:eastAsia="Times New Roman" w:hint="default"/>
          <w:spacing w:val="-2"/>
        </w:rPr>
        <w:t>45,000,000</w:t>
      </w:r>
      <w:r>
        <w:rPr>
          <w:spacing w:val="-2"/>
        </w:rPr>
        <w:t>元，租赁期限为</w:t>
      </w:r>
      <w:r>
        <w:rPr>
          <w:rFonts w:ascii="Times New Roman" w:hAnsi="Times New Roman" w:cs="Times New Roman" w:eastAsia="Times New Roman" w:hint="default"/>
          <w:spacing w:val="-2"/>
        </w:rPr>
        <w:t>36</w:t>
      </w:r>
      <w:r>
        <w:rPr>
          <w:spacing w:val="-2"/>
        </w:rPr>
        <w:t>个月，分</w:t>
      </w:r>
      <w:r>
        <w:rPr>
          <w:rFonts w:ascii="Times New Roman" w:hAnsi="Times New Roman" w:cs="Times New Roman" w:eastAsia="Times New Roman" w:hint="default"/>
          <w:spacing w:val="-2"/>
        </w:rPr>
        <w:t>12</w:t>
      </w:r>
      <w:r>
        <w:rPr>
          <w:spacing w:val="-2"/>
        </w:rPr>
        <w:t>期还款，每期租金不等，</w:t>
      </w:r>
      <w:r>
        <w:rPr>
          <w:spacing w:val="-11"/>
        </w:rPr>
        <w:t> </w:t>
      </w:r>
      <w:r>
        <w:rPr>
          <w:spacing w:val="-11"/>
        </w:rPr>
      </w:r>
      <w:r>
        <w:rPr/>
        <w:t>期满后回购价为</w:t>
      </w:r>
      <w:r>
        <w:rPr>
          <w:rFonts w:ascii="Times New Roman" w:hAnsi="Times New Roman" w:cs="Times New Roman" w:eastAsia="Times New Roman" w:hint="default"/>
        </w:rPr>
        <w:t>100</w:t>
      </w:r>
      <w:r>
        <w:rPr/>
        <w:t>元。该借款由蓝盾股份提供连带责任保证，柯宗贵、柯宗庆提供连带责任保证。</w:t>
      </w:r>
    </w:p>
    <w:p>
      <w:pPr>
        <w:pStyle w:val="BodyText"/>
        <w:spacing w:line="240" w:lineRule="auto" w:before="5"/>
        <w:ind w:left="573" w:right="1133"/>
        <w:jc w:val="left"/>
      </w:pPr>
      <w:r>
        <w:rPr/>
        <w:t>（</w:t>
      </w:r>
      <w:r>
        <w:rPr>
          <w:rFonts w:ascii="Times New Roman" w:hAnsi="Times New Roman" w:cs="Times New Roman" w:eastAsia="Times New Roman" w:hint="default"/>
        </w:rPr>
        <w:t>3</w:t>
      </w:r>
      <w:r>
        <w:rPr/>
        <w:t>）广东恒孚融资租赁有限公司</w:t>
      </w:r>
    </w:p>
    <w:p>
      <w:pPr>
        <w:pStyle w:val="BodyText"/>
        <w:spacing w:line="256" w:lineRule="auto" w:before="21"/>
        <w:ind w:right="1126" w:firstLine="420"/>
        <w:jc w:val="both"/>
      </w:pPr>
      <w:r>
        <w:rPr>
          <w:spacing w:val="-4"/>
        </w:rPr>
        <w:t>①</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21</w:t>
      </w:r>
      <w:r>
        <w:rPr>
          <w:spacing w:val="-4"/>
        </w:rPr>
        <w:t>日，公司全资子公司蓝盾信息安全技术有限公司与广东恒孚融资租赁有限公司签订《售</w:t>
      </w:r>
      <w:r>
        <w:rPr>
          <w:w w:val="100"/>
        </w:rPr>
        <w:t> </w:t>
      </w:r>
      <w:r>
        <w:rPr>
          <w:spacing w:val="-2"/>
        </w:rPr>
        <w:t>后回租赁合同》和《所有权转让协议》，融资租赁借款</w:t>
      </w:r>
      <w:r>
        <w:rPr>
          <w:rFonts w:ascii="Times New Roman" w:hAnsi="Times New Roman" w:cs="Times New Roman" w:eastAsia="Times New Roman" w:hint="default"/>
          <w:spacing w:val="-2"/>
        </w:rPr>
        <w:t>30,000,000</w:t>
      </w:r>
      <w:r>
        <w:rPr>
          <w:spacing w:val="-2"/>
        </w:rPr>
        <w:t>元，租赁期限为</w:t>
      </w:r>
      <w:r>
        <w:rPr>
          <w:rFonts w:ascii="Times New Roman" w:hAnsi="Times New Roman" w:cs="Times New Roman" w:eastAsia="Times New Roman" w:hint="default"/>
          <w:spacing w:val="-2"/>
        </w:rPr>
        <w:t>36</w:t>
      </w:r>
      <w:r>
        <w:rPr>
          <w:spacing w:val="-2"/>
        </w:rPr>
        <w:t>个月，分</w:t>
      </w:r>
      <w:r>
        <w:rPr>
          <w:rFonts w:ascii="Times New Roman" w:hAnsi="Times New Roman" w:cs="Times New Roman" w:eastAsia="Times New Roman" w:hint="default"/>
          <w:spacing w:val="-2"/>
        </w:rPr>
        <w:t>8</w:t>
      </w:r>
      <w:r>
        <w:rPr>
          <w:spacing w:val="-2"/>
        </w:rPr>
        <w:t>期还款，每</w:t>
      </w:r>
      <w:r>
        <w:rPr>
          <w:spacing w:val="-33"/>
        </w:rPr>
        <w:t> </w:t>
      </w:r>
      <w:r>
        <w:rPr>
          <w:spacing w:val="-33"/>
        </w:rPr>
      </w:r>
      <w:r>
        <w:rPr/>
        <w:t>期租金不等，期满后回购价为</w:t>
      </w:r>
      <w:r>
        <w:rPr>
          <w:rFonts w:ascii="Times New Roman" w:hAnsi="Times New Roman" w:cs="Times New Roman" w:eastAsia="Times New Roman" w:hint="default"/>
        </w:rPr>
        <w:t>1</w:t>
      </w:r>
      <w:r>
        <w:rPr/>
        <w:t>元。该借款由蓝盾股份提供连带责任保证，柯宗贵、柯宗庆提供连带责任</w:t>
      </w:r>
    </w:p>
    <w:p>
      <w:pPr>
        <w:spacing w:after="0" w:line="256" w:lineRule="auto"/>
        <w:jc w:val="both"/>
        <w:sectPr>
          <w:footerReference w:type="default" r:id="rId37"/>
          <w:pgSz w:w="11910" w:h="16840"/>
          <w:pgMar w:footer="980" w:header="0" w:top="1100" w:bottom="1160" w:left="980" w:right="0"/>
          <w:pgNumType w:start="203"/>
        </w:sectPr>
      </w:pPr>
    </w:p>
    <w:p>
      <w:pPr>
        <w:spacing w:line="240" w:lineRule="auto" w:before="11"/>
        <w:rPr>
          <w:rFonts w:ascii="宋体" w:hAnsi="宋体" w:cs="宋体" w:eastAsia="宋体" w:hint="default"/>
          <w:sz w:val="20"/>
          <w:szCs w:val="20"/>
        </w:rPr>
      </w:pPr>
    </w:p>
    <w:p>
      <w:pPr>
        <w:pStyle w:val="BodyText"/>
        <w:spacing w:line="240" w:lineRule="auto" w:before="36"/>
        <w:ind w:left="392" w:right="0"/>
        <w:jc w:val="left"/>
      </w:pPr>
      <w:r>
        <w:rPr/>
        <w:t>保证。</w:t>
      </w:r>
    </w:p>
    <w:p>
      <w:pPr>
        <w:pStyle w:val="BodyText"/>
        <w:spacing w:line="240" w:lineRule="auto" w:before="37"/>
        <w:ind w:left="813" w:right="0"/>
        <w:jc w:val="left"/>
      </w:pPr>
      <w:r>
        <w:rPr/>
        <w:t>（</w:t>
      </w:r>
      <w:r>
        <w:rPr>
          <w:rFonts w:ascii="Times New Roman" w:hAnsi="Times New Roman" w:cs="Times New Roman" w:eastAsia="Times New Roman" w:hint="default"/>
        </w:rPr>
        <w:t>4</w:t>
      </w:r>
      <w:r>
        <w:rPr/>
        <w:t>）科学城</w:t>
      </w:r>
      <w:r>
        <w:rPr>
          <w:rFonts w:ascii="Times New Roman" w:hAnsi="Times New Roman" w:cs="Times New Roman" w:eastAsia="Times New Roman" w:hint="default"/>
        </w:rPr>
        <w:t>(</w:t>
      </w:r>
      <w:r>
        <w:rPr/>
        <w:t>广州</w:t>
      </w:r>
      <w:r>
        <w:rPr>
          <w:rFonts w:ascii="Times New Roman" w:hAnsi="Times New Roman" w:cs="Times New Roman" w:eastAsia="Times New Roman" w:hint="default"/>
        </w:rPr>
        <w:t>)</w:t>
      </w:r>
      <w:r>
        <w:rPr/>
        <w:t>融资租赁有限公司</w:t>
      </w:r>
    </w:p>
    <w:p>
      <w:pPr>
        <w:pStyle w:val="BodyText"/>
        <w:spacing w:line="256" w:lineRule="auto" w:before="21"/>
        <w:ind w:left="392" w:right="1126" w:firstLine="420"/>
        <w:jc w:val="both"/>
      </w:pPr>
      <w:r>
        <w:rPr>
          <w:spacing w:val="-2"/>
        </w:rPr>
        <w:t>①</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日，公司全资子公司西咸新区蓝盾信息技术安全有限公司与科学城</w:t>
      </w:r>
      <w:r>
        <w:rPr>
          <w:rFonts w:ascii="Times New Roman" w:hAnsi="Times New Roman" w:cs="Times New Roman" w:eastAsia="Times New Roman" w:hint="default"/>
          <w:spacing w:val="-2"/>
        </w:rPr>
        <w:t>(</w:t>
      </w:r>
      <w:r>
        <w:rPr>
          <w:spacing w:val="-2"/>
        </w:rPr>
        <w:t>广州</w:t>
      </w:r>
      <w:r>
        <w:rPr>
          <w:rFonts w:ascii="Times New Roman" w:hAnsi="Times New Roman" w:cs="Times New Roman" w:eastAsia="Times New Roman" w:hint="default"/>
          <w:spacing w:val="-2"/>
        </w:rPr>
        <w:t>)</w:t>
      </w:r>
      <w:r>
        <w:rPr>
          <w:spacing w:val="-2"/>
        </w:rPr>
        <w:t>融资租赁有限</w:t>
      </w:r>
      <w:r>
        <w:rPr>
          <w:w w:val="100"/>
        </w:rPr>
        <w:t> </w:t>
      </w:r>
      <w:r>
        <w:rPr/>
        <w:t>公司签订《融资租赁合同》，融资租赁借款</w:t>
      </w:r>
      <w:r>
        <w:rPr>
          <w:rFonts w:ascii="Times New Roman" w:hAnsi="Times New Roman" w:cs="Times New Roman" w:eastAsia="Times New Roman" w:hint="default"/>
        </w:rPr>
        <w:t>28,220,000</w:t>
      </w:r>
      <w:r>
        <w:rPr/>
        <w:t>元，租赁期限为</w:t>
      </w:r>
      <w:r>
        <w:rPr>
          <w:rFonts w:ascii="Times New Roman" w:hAnsi="Times New Roman" w:cs="Times New Roman" w:eastAsia="Times New Roman" w:hint="default"/>
        </w:rPr>
        <w:t>20</w:t>
      </w:r>
      <w:r>
        <w:rPr/>
        <w:t>个月，分</w:t>
      </w:r>
      <w:r>
        <w:rPr>
          <w:rFonts w:ascii="Times New Roman" w:hAnsi="Times New Roman" w:cs="Times New Roman" w:eastAsia="Times New Roman" w:hint="default"/>
        </w:rPr>
        <w:t>20</w:t>
      </w:r>
      <w:r>
        <w:rPr/>
        <w:t>期还款，每期租金不</w:t>
      </w:r>
      <w:r>
        <w:rPr>
          <w:w w:val="100"/>
        </w:rPr>
        <w:t> </w:t>
      </w:r>
      <w:r>
        <w:rPr>
          <w:spacing w:val="-3"/>
        </w:rPr>
        <w:t>等，期满后回购价为</w:t>
      </w:r>
      <w:r>
        <w:rPr>
          <w:rFonts w:ascii="Times New Roman" w:hAnsi="Times New Roman" w:cs="Times New Roman" w:eastAsia="Times New Roman" w:hint="default"/>
          <w:spacing w:val="-3"/>
        </w:rPr>
        <w:t>1,000</w:t>
      </w:r>
      <w:r>
        <w:rPr>
          <w:spacing w:val="-3"/>
        </w:rPr>
        <w:t>元。该借款由蓝盾股份提供连带责任保证，柯宗贵提供连带责任保证，以子公司</w:t>
      </w:r>
      <w:r>
        <w:rPr>
          <w:spacing w:val="-43"/>
        </w:rPr>
        <w:t> </w:t>
      </w:r>
      <w:r>
        <w:rPr>
          <w:spacing w:val="-43"/>
        </w:rPr>
      </w:r>
      <w:r>
        <w:rPr/>
        <w:t>西咸新区蓝盾信息技术安全有限公司的电子设备作为抵押。</w:t>
      </w:r>
    </w:p>
    <w:p>
      <w:pPr>
        <w:pStyle w:val="BodyText"/>
        <w:spacing w:line="240" w:lineRule="auto" w:before="22"/>
        <w:ind w:left="813" w:right="0"/>
        <w:jc w:val="left"/>
      </w:pPr>
      <w:r>
        <w:rPr>
          <w:spacing w:val="-3"/>
        </w:rPr>
        <w:t>②</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24</w:t>
      </w:r>
      <w:r>
        <w:rPr>
          <w:spacing w:val="-3"/>
        </w:rPr>
        <w:t>日，公司全资子公司中经汇通电子商务有限公司与科学城</w:t>
      </w:r>
      <w:r>
        <w:rPr>
          <w:rFonts w:ascii="Times New Roman" w:hAnsi="Times New Roman" w:cs="Times New Roman" w:eastAsia="Times New Roman" w:hint="default"/>
          <w:spacing w:val="-3"/>
        </w:rPr>
        <w:t>(</w:t>
      </w:r>
      <w:r>
        <w:rPr>
          <w:spacing w:val="-3"/>
        </w:rPr>
        <w:t>广州</w:t>
      </w:r>
      <w:r>
        <w:rPr>
          <w:rFonts w:ascii="Times New Roman" w:hAnsi="Times New Roman" w:cs="Times New Roman" w:eastAsia="Times New Roman" w:hint="default"/>
          <w:spacing w:val="-3"/>
        </w:rPr>
        <w:t>)</w:t>
      </w:r>
      <w:r>
        <w:rPr>
          <w:spacing w:val="-3"/>
        </w:rPr>
        <w:t>融资租赁有限公司签订</w:t>
      </w:r>
    </w:p>
    <w:p>
      <w:pPr>
        <w:pStyle w:val="BodyText"/>
        <w:spacing w:line="256" w:lineRule="auto" w:before="21"/>
        <w:ind w:left="392" w:right="0"/>
        <w:jc w:val="left"/>
      </w:pPr>
      <w:r>
        <w:rPr/>
        <w:t>《售后回租赁合同》，融资租赁借款</w:t>
      </w:r>
      <w:r>
        <w:rPr>
          <w:rFonts w:ascii="Times New Roman" w:hAnsi="Times New Roman" w:cs="Times New Roman" w:eastAsia="Times New Roman" w:hint="default"/>
        </w:rPr>
        <w:t>59,500,000</w:t>
      </w:r>
      <w:r>
        <w:rPr/>
        <w:t>元，租赁期限为</w:t>
      </w:r>
      <w:r>
        <w:rPr>
          <w:rFonts w:ascii="Times New Roman" w:hAnsi="Times New Roman" w:cs="Times New Roman" w:eastAsia="Times New Roman" w:hint="default"/>
        </w:rPr>
        <w:t>24</w:t>
      </w:r>
      <w:r>
        <w:rPr/>
        <w:t>个月，分</w:t>
      </w:r>
      <w:r>
        <w:rPr>
          <w:rFonts w:ascii="Times New Roman" w:hAnsi="Times New Roman" w:cs="Times New Roman" w:eastAsia="Times New Roman" w:hint="default"/>
        </w:rPr>
        <w:t>24</w:t>
      </w:r>
      <w:r>
        <w:rPr/>
        <w:t>期还款，每期租金不等，期</w:t>
      </w:r>
      <w:r>
        <w:rPr>
          <w:w w:val="100"/>
        </w:rPr>
        <w:t> </w:t>
      </w:r>
      <w:r>
        <w:rPr>
          <w:spacing w:val="-3"/>
        </w:rPr>
        <w:t>满后回购价为</w:t>
      </w:r>
      <w:r>
        <w:rPr>
          <w:rFonts w:ascii="Times New Roman" w:hAnsi="Times New Roman" w:cs="Times New Roman" w:eastAsia="Times New Roman" w:hint="default"/>
          <w:spacing w:val="-3"/>
        </w:rPr>
        <w:t>1,000</w:t>
      </w:r>
      <w:r>
        <w:rPr>
          <w:spacing w:val="-3"/>
        </w:rPr>
        <w:t>元。该借款由蓝盾股份提供连带责任保证，柯宗贵、柯宗耀提供连带责任保证，并以中</w:t>
      </w:r>
      <w:r>
        <w:rPr>
          <w:spacing w:val="-42"/>
        </w:rPr>
        <w:t> </w:t>
      </w:r>
      <w:r>
        <w:rPr>
          <w:spacing w:val="-42"/>
        </w:rPr>
      </w:r>
      <w:r>
        <w:rPr/>
        <w:t>经汇通电子商务有限公司的电子设备作为抵押。</w:t>
      </w:r>
    </w:p>
    <w:p>
      <w:pPr>
        <w:pStyle w:val="BodyText"/>
        <w:spacing w:line="261" w:lineRule="auto" w:before="22"/>
        <w:ind w:left="392" w:right="0" w:firstLine="420"/>
        <w:jc w:val="left"/>
      </w:pPr>
      <w:r>
        <w:rPr>
          <w:spacing w:val="-2"/>
        </w:rPr>
        <w:t>上述融资租赁涉及的固定资产出售及租赁交易相互关联、且能确定将在租赁期满后回购，把这一系列</w:t>
      </w:r>
      <w:r>
        <w:rPr>
          <w:w w:val="100"/>
        </w:rPr>
        <w:t> </w:t>
      </w:r>
      <w:r>
        <w:rPr>
          <w:spacing w:val="-2"/>
        </w:rPr>
        <w:t>交易作为一个整体更能反映其总体经济影响，上述售后租回形成融资租赁的交易实质上是以</w:t>
      </w:r>
      <w:r>
        <w:rPr>
          <w:rFonts w:ascii="Times New Roman" w:hAnsi="Times New Roman" w:cs="Times New Roman" w:eastAsia="Times New Roman" w:hint="default"/>
          <w:spacing w:val="-2"/>
        </w:rPr>
        <w:t>“</w:t>
      </w:r>
      <w:r>
        <w:rPr>
          <w:spacing w:val="-2"/>
        </w:rPr>
        <w:t>固定资产</w:t>
      </w:r>
      <w:r>
        <w:rPr>
          <w:rFonts w:ascii="Times New Roman" w:hAnsi="Times New Roman" w:cs="Times New Roman" w:eastAsia="Times New Roman" w:hint="default"/>
          <w:spacing w:val="-2"/>
        </w:rPr>
        <w:t>”</w:t>
      </w:r>
      <w:r>
        <w:rPr>
          <w:spacing w:val="-2"/>
        </w:rPr>
        <w:t>的</w:t>
      </w:r>
      <w:r>
        <w:rPr>
          <w:spacing w:val="-20"/>
        </w:rPr>
        <w:t> </w:t>
      </w:r>
      <w:r>
        <w:rPr/>
        <w:t>所有权为抵押进行的融资，故本公司按照抵押借款进行会计处理，收到的融资款作为抵押借款在</w:t>
      </w:r>
      <w:r>
        <w:rPr>
          <w:rFonts w:ascii="Times New Roman" w:hAnsi="Times New Roman" w:cs="Times New Roman" w:eastAsia="Times New Roman" w:hint="default"/>
        </w:rPr>
        <w:t>“</w:t>
      </w:r>
      <w:r>
        <w:rPr/>
        <w:t>长期应</w:t>
      </w:r>
      <w:r>
        <w:rPr>
          <w:spacing w:val="-3"/>
          <w:w w:val="100"/>
        </w:rPr>
        <w:t> </w:t>
      </w:r>
      <w:r>
        <w:rPr/>
        <w:t>付款</w:t>
      </w:r>
      <w:r>
        <w:rPr>
          <w:rFonts w:ascii="Times New Roman" w:hAnsi="Times New Roman" w:cs="Times New Roman" w:eastAsia="Times New Roman" w:hint="default"/>
        </w:rPr>
        <w:t>”</w:t>
      </w:r>
      <w:r>
        <w:rPr/>
        <w:t>列示，并采用实际利率法按照摊余成本计量。</w:t>
      </w:r>
    </w:p>
    <w:p>
      <w:pPr>
        <w:spacing w:line="240" w:lineRule="auto" w:before="12"/>
        <w:rPr>
          <w:rFonts w:ascii="宋体" w:hAnsi="宋体" w:cs="宋体" w:eastAsia="宋体" w:hint="default"/>
          <w:sz w:val="22"/>
          <w:szCs w:val="22"/>
        </w:rPr>
      </w:pPr>
    </w:p>
    <w:p>
      <w:pPr>
        <w:pStyle w:val="Heading3"/>
        <w:spacing w:line="240" w:lineRule="auto"/>
        <w:ind w:left="392" w:right="0"/>
        <w:jc w:val="left"/>
        <w:rPr>
          <w:b w:val="0"/>
          <w:bCs w:val="0"/>
        </w:rPr>
      </w:pPr>
      <w:bookmarkStart w:name="34、递延收益" w:id="343"/>
      <w:bookmarkEnd w:id="343"/>
      <w:r>
        <w:rPr>
          <w:b w:val="0"/>
          <w:bCs w:val="0"/>
        </w:rPr>
      </w:r>
      <w:r>
        <w:rPr>
          <w:rFonts w:ascii="Times New Roman" w:hAnsi="Times New Roman" w:cs="Times New Roman" w:eastAsia="Times New Roman" w:hint="default"/>
        </w:rPr>
        <w:t>34</w:t>
      </w:r>
      <w:r>
        <w:rPr/>
        <w:t>、递延收益</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100,067,892.00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18,248,309.14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22,661,900.20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95,654,300.94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奖励积分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1,221,674.53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60,536.73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1,282,211.26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101,289,566.53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18,308,845.87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22,661,900.20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96,936,512.20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39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628"/>
        <w:gridCol w:w="1250"/>
        <w:gridCol w:w="1009"/>
        <w:gridCol w:w="1010"/>
        <w:gridCol w:w="1011"/>
        <w:gridCol w:w="1010"/>
        <w:gridCol w:w="1010"/>
        <w:gridCol w:w="1249"/>
        <w:gridCol w:w="1010"/>
      </w:tblGrid>
      <w:tr>
        <w:trPr>
          <w:trHeight w:val="1026" w:hRule="exact"/>
        </w:trPr>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4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蓝盾大数据安全产 业园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4,000,000.00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网络安全云服务平 台技术改造项目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3,699,814.48</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2,700,079.56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999,734.92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面向大数据安全产 业链的协同创新项 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2,720,000.00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面向云计算与大数 据应用的安全服务 平台关键技术研发 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2,500,000.00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面向中小企业信息 安全技术公共服务 平台项目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2,119,565.19</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652,173.96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1,467,391.23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0" w:footer="980" w:top="1100" w:bottom="116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1628"/>
        <w:gridCol w:w="1250"/>
        <w:gridCol w:w="1009"/>
        <w:gridCol w:w="1010"/>
        <w:gridCol w:w="1011"/>
        <w:gridCol w:w="1010"/>
        <w:gridCol w:w="1010"/>
        <w:gridCol w:w="1249"/>
        <w:gridCol w:w="1010"/>
      </w:tblGrid>
      <w:tr>
        <w:trPr>
          <w:trHeight w:val="1025" w:hRule="exact"/>
        </w:trPr>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4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大数据安全管理及 检测关键技术研发 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新型研发机构新购 科研仪器设备补助</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1,595,760.74</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602,119.64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993,641.10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91"/>
              <w:jc w:val="both"/>
              <w:rPr>
                <w:rFonts w:ascii="宋体" w:hAnsi="宋体" w:cs="宋体" w:eastAsia="宋体" w:hint="default"/>
                <w:sz w:val="18"/>
                <w:szCs w:val="18"/>
              </w:rPr>
            </w:pPr>
            <w:r>
              <w:rPr>
                <w:rFonts w:ascii="宋体" w:hAnsi="宋体" w:cs="宋体" w:eastAsia="宋体" w:hint="default"/>
                <w:sz w:val="18"/>
                <w:szCs w:val="18"/>
              </w:rPr>
              <w:t>基于智能分析的安 全运营中心（</w:t>
            </w:r>
            <w:r>
              <w:rPr>
                <w:rFonts w:ascii="Times New Roman" w:hAnsi="Times New Roman" w:cs="Times New Roman" w:eastAsia="Times New Roman" w:hint="default"/>
                <w:sz w:val="18"/>
                <w:szCs w:val="18"/>
              </w:rPr>
              <w:t>soc</w:t>
            </w:r>
            <w:r>
              <w:rPr>
                <w:rFonts w:ascii="宋体" w:hAnsi="宋体" w:cs="宋体" w:eastAsia="宋体" w:hint="default"/>
                <w:sz w:val="18"/>
                <w:szCs w:val="18"/>
              </w:rPr>
              <w:t>） 平台研发及产业化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1,186,164.64</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1,186,164.64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广东省网络安全应 急工程技术研究中 心</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基于自主国密芯片 的云安全身份认证 系统研发及产业化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339,999.84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1,260,000.16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面向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网络的高 性能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 及产业化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广州市天河区创新 领军人才创新工作</w:t>
            </w:r>
            <w:r>
              <w:rPr>
                <w:rFonts w:ascii="Times New Roman" w:hAnsi="Times New Roman" w:cs="Times New Roman" w:eastAsia="Times New Roman" w:hint="default"/>
                <w:sz w:val="18"/>
                <w:szCs w:val="18"/>
              </w:rPr>
              <w:t>- </w:t>
            </w:r>
            <w:r>
              <w:rPr>
                <w:rFonts w:ascii="宋体" w:hAnsi="宋体" w:cs="宋体" w:eastAsia="宋体" w:hint="default"/>
                <w:sz w:val="18"/>
                <w:szCs w:val="18"/>
              </w:rPr>
              <w:t>云安全技术公共服 务平台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信息安全创新产业 化示范基地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云环境下安全防护 与服务关键技术研 发及产业化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年创新平台专 项拟入库项目</w:t>
            </w:r>
            <w:r>
              <w:rPr>
                <w:rFonts w:ascii="Times New Roman" w:hAnsi="Times New Roman" w:cs="Times New Roman" w:eastAsia="Times New Roman" w:hint="default"/>
                <w:sz w:val="18"/>
                <w:szCs w:val="18"/>
              </w:rPr>
              <w:t>-</w:t>
            </w:r>
            <w:r>
              <w:rPr>
                <w:rFonts w:ascii="宋体" w:hAnsi="宋体" w:cs="宋体" w:eastAsia="宋体" w:hint="default"/>
                <w:sz w:val="18"/>
                <w:szCs w:val="18"/>
              </w:rPr>
              <w:t>企业 研究院试点</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349,478.20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149,478.20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53"/>
              <w:jc w:val="both"/>
              <w:rPr>
                <w:rFonts w:ascii="Times New Roman" w:hAnsi="Times New Roman" w:cs="Times New Roman" w:eastAsia="Times New Roman" w:hint="default"/>
                <w:sz w:val="18"/>
                <w:szCs w:val="18"/>
              </w:rPr>
            </w:pPr>
            <w:r>
              <w:rPr>
                <w:rFonts w:ascii="宋体" w:hAnsi="宋体" w:cs="宋体" w:eastAsia="宋体" w:hint="default"/>
                <w:sz w:val="18"/>
                <w:szCs w:val="18"/>
              </w:rPr>
              <w:t>面向云计算的网络 应用安全监测审计 平台产业化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333,333.34</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333,333.34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年度园区产业 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310,270.61</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161,880.36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148,390.25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面向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网络的高 性能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 及产业化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0" w:footer="980" w:top="1100" w:bottom="116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1628"/>
        <w:gridCol w:w="1250"/>
        <w:gridCol w:w="1009"/>
        <w:gridCol w:w="1010"/>
        <w:gridCol w:w="1011"/>
        <w:gridCol w:w="1010"/>
        <w:gridCol w:w="1010"/>
        <w:gridCol w:w="1249"/>
        <w:gridCol w:w="1010"/>
      </w:tblGrid>
      <w:tr>
        <w:trPr>
          <w:trHeight w:val="1025" w:hRule="exact"/>
        </w:trPr>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4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新一代互联网隐私 保护关键技术研究 与应用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蓝盾云安全综合监 测审计平台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新一代安全运营中 心平台关键技术研 发及产业化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90,909.11</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54,545.44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36,363.67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物联网资源与数据 安全可信管理平台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大数据安全综合管 理平台项目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4,063,636.38</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1,718,181.80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2,345,454.58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面向下一代互联网 的异构协同式安全 管理平台研究及产 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1,301,333.35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909,333.32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632,000.03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面向云计算及下一 代互联网异构协同 式安全管理平台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494,693.86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1,232,653.08</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142,040.78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广东省大数据安全 </w:t>
            </w:r>
            <w:r>
              <w:rPr>
                <w:rFonts w:ascii="宋体" w:hAnsi="宋体" w:cs="宋体" w:eastAsia="宋体" w:hint="default"/>
                <w:spacing w:val="-6"/>
                <w:sz w:val="18"/>
                <w:szCs w:val="18"/>
              </w:rPr>
              <w:t>与测试（蓝盾）工程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技术研究中心建设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1,592,845.85</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542,530.60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1,050,315.25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面向移动互联网的 云安全审计与防护 技术研究及产业</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技术的云 安全与审计平台的 建设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基于大数据技术的 网络安全态势感知 与协同防护平台研 发及产业化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1,720,000.01</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573,333.32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1,146,666.69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蓝盾网络安全态势 感知与情报监管平 台研发及产业化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4,226,250.00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1,449,000.00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2,777,250.00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城镇公共安全立体 化网络构建与应急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820,092.05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626,209.14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1,446,301.19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0" w:footer="980" w:top="1100" w:bottom="116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1628"/>
        <w:gridCol w:w="1250"/>
        <w:gridCol w:w="1009"/>
        <w:gridCol w:w="1010"/>
        <w:gridCol w:w="1011"/>
        <w:gridCol w:w="1010"/>
        <w:gridCol w:w="1010"/>
        <w:gridCol w:w="1249"/>
        <w:gridCol w:w="1010"/>
      </w:tblGrid>
      <w:tr>
        <w:trPr>
          <w:trHeight w:val="1025" w:hRule="exact"/>
        </w:trPr>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4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86"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14"/>
              <w:jc w:val="left"/>
              <w:rPr>
                <w:rFonts w:ascii="宋体" w:hAnsi="宋体" w:cs="宋体" w:eastAsia="宋体" w:hint="default"/>
                <w:sz w:val="18"/>
                <w:szCs w:val="18"/>
              </w:rPr>
            </w:pPr>
            <w:r>
              <w:rPr>
                <w:rFonts w:ascii="宋体" w:hAnsi="宋体" w:cs="宋体" w:eastAsia="宋体" w:hint="default"/>
                <w:sz w:val="18"/>
                <w:szCs w:val="18"/>
              </w:rPr>
              <w:t>响应示范（课题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一带一路</w:t>
            </w:r>
            <w:r>
              <w:rPr>
                <w:rFonts w:ascii="Times New Roman" w:hAnsi="Times New Roman" w:cs="Times New Roman" w:eastAsia="Times New Roman" w:hint="default"/>
                <w:sz w:val="18"/>
                <w:szCs w:val="18"/>
              </w:rPr>
              <w:t>"</w:t>
            </w:r>
            <w:r>
              <w:rPr>
                <w:rFonts w:ascii="宋体" w:hAnsi="宋体" w:cs="宋体" w:eastAsia="宋体" w:hint="default"/>
                <w:sz w:val="18"/>
                <w:szCs w:val="18"/>
              </w:rPr>
              <w:t>典型城 镇综合应用示范）</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城镇公共安全立体 化网络构建与应急 响应示范（课题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跨部门跨层级应急 响应与辅助指挥信 息交互技术）</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494,693.86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452,100.00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基于海洋船舶卫星 通信的智能网关研 发与运用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428,790.99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6"/>
                <w:sz w:val="18"/>
                <w:szCs w:val="18"/>
              </w:rPr>
              <w:t>面向工业企业、工业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互联网平台企业等 的网络安全解决方 案供应商</w:t>
            </w:r>
          </w:p>
          <w:p>
            <w:pPr>
              <w:pStyle w:val="TableParagraph"/>
              <w:spacing w:line="362" w:lineRule="auto" w:before="61"/>
              <w:ind w:left="24" w:right="60"/>
              <w:jc w:val="left"/>
              <w:rPr>
                <w:rFonts w:ascii="Times New Roman" w:hAnsi="Times New Roman" w:cs="Times New Roman" w:eastAsia="Times New Roman" w:hint="default"/>
                <w:sz w:val="18"/>
                <w:szCs w:val="18"/>
              </w:rPr>
            </w:pPr>
            <w:r>
              <w:rPr>
                <w:rFonts w:ascii="Times New Roman"/>
                <w:sz w:val="18"/>
              </w:rPr>
              <w:t>(XM-10019A100000 000PEXBT)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网络在线教育互动 一体化综合培训服 务平台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294,812.23</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294,812.23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中小学生安全应急 宣教系统</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428,790.99</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142,930.32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285,860.67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基于大数据的重大 </w:t>
            </w:r>
            <w:r>
              <w:rPr>
                <w:rFonts w:ascii="宋体" w:hAnsi="宋体" w:cs="宋体" w:eastAsia="宋体" w:hint="default"/>
                <w:spacing w:val="-6"/>
                <w:sz w:val="18"/>
                <w:szCs w:val="18"/>
              </w:rPr>
              <w:t>危险源智能监测、预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警、管控及应急救援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研发与应 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349,478.20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新兴产业培育资金 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333,333.34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蓝盾信息安全技术 研发产业园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46,640,000.00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YF007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具有自断弧 装置的电源浪涌保 护器的研制</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YF008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安全型防雷 过压保护关键器件 的研制</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0" w:footer="980" w:top="1100" w:bottom="116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1628"/>
        <w:gridCol w:w="1250"/>
        <w:gridCol w:w="1009"/>
        <w:gridCol w:w="1010"/>
        <w:gridCol w:w="1011"/>
        <w:gridCol w:w="1010"/>
        <w:gridCol w:w="1010"/>
        <w:gridCol w:w="1249"/>
        <w:gridCol w:w="1010"/>
      </w:tblGrid>
      <w:tr>
        <w:trPr>
          <w:trHeight w:val="1025" w:hRule="exact"/>
        </w:trPr>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4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年科技三项费用 </w:t>
            </w:r>
            <w:r>
              <w:rPr>
                <w:rFonts w:ascii="宋体" w:hAnsi="宋体" w:cs="宋体" w:eastAsia="宋体" w:hint="default"/>
                <w:spacing w:val="-6"/>
                <w:sz w:val="18"/>
                <w:szCs w:val="18"/>
              </w:rPr>
              <w:t>科技创新资金：创新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性科技企业</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江西华炜土地返还 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4,021,952.35</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110,442.60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3,911,509.75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广州市工业和信息 化委员会面向传统 零售企业的汇通宝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电子平台项目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55,384.56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344,615.44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广州市战略性主导 产业发展资金新业 态项目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111,111.06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88,888.95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22,222.11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年南沙区科技 </w:t>
            </w:r>
            <w:r>
              <w:rPr>
                <w:rFonts w:ascii="宋体" w:hAnsi="宋体" w:cs="宋体" w:eastAsia="宋体" w:hint="default"/>
                <w:spacing w:val="-6"/>
                <w:sz w:val="18"/>
                <w:szCs w:val="18"/>
              </w:rPr>
              <w:t>项目（汽车后市消费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行为大数据处理平 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69,230.76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102,439.05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-33,208.29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年南沙区科技 </w:t>
            </w:r>
            <w:r>
              <w:rPr>
                <w:rFonts w:ascii="宋体" w:hAnsi="宋体" w:cs="宋体" w:eastAsia="宋体" w:hint="default"/>
                <w:spacing w:val="-7"/>
                <w:sz w:val="18"/>
                <w:szCs w:val="18"/>
              </w:rPr>
              <w:t>项目（汇通宝</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MPAY</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支付平台）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170,731.68</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-69,268.32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中经油马创新电子 商务车主移动服务 平台科技经费</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87,103.52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312,896.48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电网运行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模拟检 测控制系统研发项 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低压机组计算机监 控软件在排污水泵 站运营中的应用示 范</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74,999.96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1" w:right="0"/>
              <w:jc w:val="left"/>
              <w:rPr>
                <w:rFonts w:ascii="Times New Roman" w:hAnsi="Times New Roman" w:cs="Times New Roman" w:eastAsia="Times New Roman" w:hint="default"/>
                <w:sz w:val="18"/>
                <w:szCs w:val="18"/>
              </w:rPr>
            </w:pPr>
            <w:r>
              <w:rPr>
                <w:rFonts w:ascii="Times New Roman"/>
                <w:sz w:val="18"/>
              </w:rPr>
              <w:t>2,250,000.00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基于汽车后市场消 费行为协同服务链 云平台的关键技术 研发及应用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799,281.63</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514,593.60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284,688.03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基于网络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的汇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电子商务服</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37,119.29</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37,119.29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中经电商车队管理 应用平台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74,999.96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37,119.29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37,880.67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0" w:footer="980" w:top="1100" w:bottom="116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1628"/>
        <w:gridCol w:w="1250"/>
        <w:gridCol w:w="1009"/>
        <w:gridCol w:w="1010"/>
        <w:gridCol w:w="1011"/>
        <w:gridCol w:w="1010"/>
        <w:gridCol w:w="1010"/>
        <w:gridCol w:w="1249"/>
        <w:gridCol w:w="1010"/>
      </w:tblGrid>
      <w:tr>
        <w:trPr>
          <w:trHeight w:val="1025" w:hRule="exact"/>
        </w:trPr>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0" w:right="4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先进制造业创 </w:t>
            </w:r>
            <w:r>
              <w:rPr>
                <w:rFonts w:ascii="宋体" w:hAnsi="宋体" w:cs="宋体" w:eastAsia="宋体" w:hint="default"/>
                <w:spacing w:val="-6"/>
                <w:sz w:val="18"/>
                <w:szCs w:val="18"/>
              </w:rPr>
              <w:t>新发展资金（大数据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方向）</w:t>
            </w:r>
            <w:r>
              <w:rPr>
                <w:rFonts w:ascii="Times New Roman" w:hAnsi="Times New Roman" w:cs="Times New Roman" w:eastAsia="Times New Roman" w:hint="default"/>
                <w:sz w:val="18"/>
                <w:szCs w:val="18"/>
              </w:rPr>
              <w:t>--</w:t>
            </w:r>
            <w:r>
              <w:rPr>
                <w:rFonts w:ascii="宋体" w:hAnsi="宋体" w:cs="宋体" w:eastAsia="宋体" w:hint="default"/>
                <w:sz w:val="18"/>
                <w:szCs w:val="18"/>
              </w:rPr>
              <w:t>基于云计算 平台的汽车后市场 消费行为大数据分 析与应用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1,449,999.96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年广州市商务 </w:t>
            </w:r>
            <w:r>
              <w:rPr>
                <w:rFonts w:ascii="宋体" w:hAnsi="宋体" w:cs="宋体" w:eastAsia="宋体" w:hint="default"/>
                <w:spacing w:val="-6"/>
                <w:sz w:val="18"/>
                <w:szCs w:val="18"/>
              </w:rPr>
              <w:t>发展专项资金（商贸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流通领域）项目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z w:val="18"/>
                <w:szCs w:val="18"/>
              </w:rPr>
              <w:t>翔安区装修补贴款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985,714.24</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492,857.14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492,857.10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392" w:right="0"/>
        <w:jc w:val="left"/>
        <w:rPr>
          <w:b w:val="0"/>
          <w:bCs w:val="0"/>
        </w:rPr>
      </w:pPr>
      <w:bookmarkStart w:name="35、股本" w:id="344"/>
      <w:bookmarkEnd w:id="344"/>
      <w:r>
        <w:rPr>
          <w:b w:val="0"/>
          <w:bCs w:val="0"/>
        </w:rPr>
      </w:r>
      <w:r>
        <w:rPr>
          <w:rFonts w:ascii="Times New Roman" w:hAnsi="Times New Roman" w:cs="Times New Roman" w:eastAsia="Times New Roman" w:hint="default"/>
        </w:rPr>
        <w:t>35</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1184"/>
        <w:gridCol w:w="1414"/>
        <w:gridCol w:w="1184"/>
        <w:gridCol w:w="1008"/>
        <w:gridCol w:w="1198"/>
        <w:gridCol w:w="1195"/>
        <w:gridCol w:w="1185"/>
        <w:gridCol w:w="133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770" w:type="dxa"/>
            <w:gridSpan w:val="5"/>
            <w:vMerge/>
            <w:tcBorders>
              <w:left w:val="single" w:sz="4" w:space="0" w:color="000000"/>
              <w:bottom w:val="single" w:sz="4" w:space="0" w:color="000000"/>
              <w:right w:val="single" w:sz="4" w:space="0" w:color="000000"/>
            </w:tcBorders>
            <w:shd w:val="clear" w:color="auto" w:fill="D2D2D2"/>
          </w:tcPr>
          <w:p>
            <w:pPr/>
          </w:p>
        </w:tc>
        <w:tc>
          <w:tcPr>
            <w:tcW w:w="1338" w:type="dxa"/>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38" w:type="dxa"/>
            <w:vMerge w:val="restart"/>
            <w:tcBorders>
              <w:top w:val="single" w:sz="4" w:space="0" w:color="000000"/>
              <w:left w:val="single" w:sz="10" w:space="0" w:color="D2D2D2"/>
              <w:right w:val="single" w:sz="4" w:space="0" w:color="000000"/>
            </w:tcBorders>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338" w:type="dxa"/>
            <w:vMerge/>
            <w:tcBorders>
              <w:left w:val="single" w:sz="10" w:space="0" w:color="D2D2D2"/>
              <w:bottom w:val="single" w:sz="4" w:space="0" w:color="000000"/>
              <w:right w:val="single" w:sz="4" w:space="0" w:color="000000"/>
            </w:tcBorders>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97" w:right="0"/>
              <w:jc w:val="left"/>
              <w:rPr>
                <w:rFonts w:ascii="Times New Roman" w:hAnsi="Times New Roman" w:cs="Times New Roman" w:eastAsia="Times New Roman" w:hint="default"/>
                <w:sz w:val="18"/>
                <w:szCs w:val="18"/>
              </w:rPr>
            </w:pPr>
            <w:r>
              <w:rPr>
                <w:rFonts w:ascii="Times New Roman"/>
                <w:sz w:val="18"/>
              </w:rPr>
              <w:t>1,175,061,904.00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8" w:right="0"/>
              <w:jc w:val="left"/>
              <w:rPr>
                <w:rFonts w:ascii="Times New Roman" w:hAnsi="Times New Roman" w:cs="Times New Roman" w:eastAsia="Times New Roman" w:hint="default"/>
                <w:sz w:val="18"/>
                <w:szCs w:val="18"/>
              </w:rPr>
            </w:pPr>
            <w:r>
              <w:rPr>
                <w:rFonts w:ascii="Times New Roman"/>
                <w:sz w:val="18"/>
              </w:rPr>
              <w:t>75,172,290.00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-438,000.00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74,734,290.00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1,249,796,194.00</w:t>
            </w:r>
          </w:p>
        </w:tc>
      </w:tr>
    </w:tbl>
    <w:p>
      <w:pPr>
        <w:pStyle w:val="BodyText"/>
        <w:spacing w:line="240" w:lineRule="auto" w:before="28"/>
        <w:ind w:left="392" w:right="0"/>
        <w:jc w:val="left"/>
      </w:pPr>
      <w:r>
        <w:rPr/>
        <w:t>其他说明：</w:t>
      </w:r>
    </w:p>
    <w:p>
      <w:pPr>
        <w:pStyle w:val="BodyText"/>
        <w:spacing w:line="261" w:lineRule="auto" w:before="76"/>
        <w:ind w:left="392" w:right="112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日公司召开的第四届董事会第十四次会议决议审议通过的《关于调整限制性股票回购价</w:t>
      </w:r>
      <w:r>
        <w:rPr>
          <w:w w:val="100"/>
        </w:rPr>
        <w:t> </w:t>
      </w:r>
      <w:r>
        <w:rPr>
          <w:spacing w:val="-2"/>
        </w:rPr>
        <w:t>格及回购注销部分限制性股票的议案》，因激励对象中高波、李东旭、李代春、韩磊、丁度灏、吕仁宾等</w:t>
      </w:r>
      <w:r>
        <w:rPr>
          <w:spacing w:val="-42"/>
        </w:rPr>
        <w:t> </w:t>
      </w:r>
      <w:r>
        <w:rPr>
          <w:spacing w:val="-42"/>
        </w:rPr>
      </w:r>
      <w:r>
        <w:rPr>
          <w:rFonts w:ascii="Times New Roman" w:hAnsi="Times New Roman" w:cs="Times New Roman" w:eastAsia="Times New Roman" w:hint="default"/>
          <w:spacing w:val="-1"/>
        </w:rPr>
        <w:t>32</w:t>
      </w:r>
      <w:r>
        <w:rPr>
          <w:spacing w:val="-1"/>
        </w:rPr>
        <w:t>人因个人原因已离职，不符合激励条件，公司对上述</w:t>
      </w:r>
      <w:r>
        <w:rPr>
          <w:rFonts w:ascii="Times New Roman" w:hAnsi="Times New Roman" w:cs="Times New Roman" w:eastAsia="Times New Roman" w:hint="default"/>
          <w:spacing w:val="-1"/>
        </w:rPr>
        <w:t>32</w:t>
      </w:r>
      <w:r>
        <w:rPr>
          <w:spacing w:val="-1"/>
        </w:rPr>
        <w:t>人已获授但尚未解锁的限制性股票合计</w:t>
      </w:r>
      <w:r>
        <w:rPr>
          <w:rFonts w:ascii="Times New Roman" w:hAnsi="Times New Roman" w:cs="Times New Roman" w:eastAsia="Times New Roman" w:hint="default"/>
          <w:spacing w:val="-1"/>
        </w:rPr>
        <w:t>43.8</w:t>
      </w:r>
      <w:r>
        <w:rPr>
          <w:spacing w:val="-1"/>
        </w:rPr>
        <w:t>万股</w:t>
      </w:r>
      <w:r>
        <w:rPr>
          <w:spacing w:val="-24"/>
        </w:rPr>
        <w:t> </w:t>
      </w:r>
      <w:r>
        <w:rPr>
          <w:spacing w:val="-2"/>
        </w:rPr>
        <w:t>进行回购注销。</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日，公司已在中国证券登记结算有限责任公司深圳分公司完成了上述限制性股</w:t>
      </w:r>
      <w:r>
        <w:rPr>
          <w:spacing w:val="-40"/>
        </w:rPr>
        <w:t> </w:t>
      </w:r>
      <w:r>
        <w:rPr>
          <w:spacing w:val="-40"/>
        </w:rPr>
      </w:r>
      <w:r>
        <w:rPr/>
        <w:t>票的回购和注销登记手续。本次股票回购注销后，公司总股本减少至</w:t>
      </w:r>
      <w:r>
        <w:rPr>
          <w:rFonts w:ascii="Times New Roman" w:hAnsi="Times New Roman" w:cs="Times New Roman" w:eastAsia="Times New Roman" w:hint="default"/>
        </w:rPr>
        <w:t>1,174,623,904</w:t>
      </w:r>
      <w:r>
        <w:rPr/>
        <w:t>股。</w:t>
      </w:r>
    </w:p>
    <w:p>
      <w:pPr>
        <w:pStyle w:val="BodyText"/>
        <w:spacing w:line="256" w:lineRule="auto"/>
        <w:ind w:left="392" w:right="1128" w:firstLine="420"/>
        <w:jc w:val="both"/>
      </w:pPr>
      <w:r>
        <w:rPr>
          <w:spacing w:val="11"/>
        </w:rPr>
        <w:t>截至</w:t>
      </w:r>
      <w:r>
        <w:rPr>
          <w:spacing w:val="-7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t>年</w:t>
      </w:r>
      <w:r>
        <w:rPr>
          <w:spacing w:val="-76"/>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w:t>
      </w:r>
      <w:r>
        <w:rPr>
          <w:spacing w:val="-79"/>
        </w:rPr>
        <w:t> </w:t>
      </w:r>
      <w:r>
        <w:rPr>
          <w:rFonts w:ascii="Times New Roman" w:hAnsi="Times New Roman" w:cs="Times New Roman" w:eastAsia="Times New Roman" w:hint="default"/>
        </w:rPr>
        <w:t>20</w:t>
      </w:r>
      <w:r>
        <w:rPr>
          <w:rFonts w:ascii="Times New Roman" w:hAnsi="Times New Roman" w:cs="Times New Roman" w:eastAsia="Times New Roman" w:hint="default"/>
          <w:spacing w:val="-27"/>
        </w:rPr>
        <w:t> </w:t>
      </w:r>
      <w:r>
        <w:rPr>
          <w:spacing w:val="11"/>
        </w:rPr>
        <w:t>日，</w:t>
      </w:r>
      <w:r>
        <w:rPr>
          <w:spacing w:val="-80"/>
        </w:rPr>
        <w:t> </w:t>
      </w:r>
      <w:r>
        <w:rPr>
          <w:spacing w:val="14"/>
        </w:rPr>
        <w:t>公司共</w:t>
      </w:r>
      <w:r>
        <w:rPr>
          <w:spacing w:val="-76"/>
        </w:rPr>
        <w:t> </w:t>
      </w:r>
      <w:r>
        <w:rPr/>
        <w:t>有</w:t>
      </w:r>
      <w:r>
        <w:rPr>
          <w:spacing w:val="-78"/>
        </w:rPr>
        <w:t> </w:t>
      </w:r>
      <w:r>
        <w:rPr>
          <w:rFonts w:ascii="Times New Roman" w:hAnsi="Times New Roman" w:cs="Times New Roman" w:eastAsia="Times New Roman" w:hint="default"/>
        </w:rPr>
        <w:t>4,370,499</w:t>
      </w:r>
      <w:r>
        <w:rPr>
          <w:rFonts w:ascii="Times New Roman" w:hAnsi="Times New Roman" w:cs="Times New Roman" w:eastAsia="Times New Roman" w:hint="default"/>
          <w:spacing w:val="-27"/>
        </w:rPr>
        <w:t> </w:t>
      </w:r>
      <w:r>
        <w:rPr/>
        <w:t>张</w:t>
      </w:r>
      <w:r>
        <w:rPr>
          <w:spacing w:val="-76"/>
        </w:rPr>
        <w:t> </w:t>
      </w:r>
      <w:r>
        <w:rPr>
          <w:spacing w:val="16"/>
        </w:rPr>
        <w:t>可转债合</w:t>
      </w:r>
      <w:r>
        <w:rPr>
          <w:spacing w:val="-76"/>
        </w:rPr>
        <w:t> </w:t>
      </w:r>
      <w:r>
        <w:rPr>
          <w:spacing w:val="14"/>
        </w:rPr>
        <w:t>计转股</w:t>
      </w:r>
      <w:r>
        <w:rPr>
          <w:spacing w:val="-75"/>
        </w:rPr>
        <w:t> </w:t>
      </w:r>
      <w:r>
        <w:rPr>
          <w:rFonts w:ascii="Times New Roman" w:hAnsi="Times New Roman" w:cs="Times New Roman" w:eastAsia="Times New Roman" w:hint="default"/>
        </w:rPr>
        <w:t>75,093,028</w:t>
      </w:r>
      <w:r>
        <w:rPr>
          <w:rFonts w:ascii="Times New Roman" w:hAnsi="Times New Roman" w:cs="Times New Roman" w:eastAsia="Times New Roman" w:hint="default"/>
          <w:spacing w:val="-27"/>
        </w:rPr>
        <w:t> </w:t>
      </w:r>
      <w:r>
        <w:rPr>
          <w:spacing w:val="11"/>
        </w:rPr>
        <w:t>股，</w:t>
      </w:r>
      <w:r>
        <w:rPr>
          <w:spacing w:val="-80"/>
        </w:rPr>
        <w:t> </w:t>
      </w:r>
      <w:r>
        <w:rPr/>
        <w:t>公</w:t>
      </w:r>
      <w:r>
        <w:rPr>
          <w:spacing w:val="-76"/>
        </w:rPr>
        <w:t> </w:t>
      </w:r>
      <w:r>
        <w:rPr>
          <w:spacing w:val="18"/>
        </w:rPr>
        <w:t>司总股本增加</w:t>
      </w:r>
      <w:r>
        <w:rPr>
          <w:spacing w:val="-76"/>
        </w:rPr>
        <w:t> </w:t>
      </w:r>
      <w:r>
        <w:rPr/>
        <w:t>至</w:t>
      </w:r>
      <w:r>
        <w:rPr>
          <w:w w:val="100"/>
        </w:rPr>
        <w:t> </w:t>
      </w:r>
      <w:r>
        <w:rPr>
          <w:rFonts w:ascii="Times New Roman" w:hAnsi="Times New Roman" w:cs="Times New Roman" w:eastAsia="Times New Roman" w:hint="default"/>
          <w:spacing w:val="-2"/>
        </w:rPr>
        <w:t>1,249,716,932</w:t>
      </w:r>
      <w:r>
        <w:rPr>
          <w:spacing w:val="-2"/>
        </w:rPr>
        <w:t>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日至</w:t>
      </w:r>
      <w:r>
        <w:rPr>
          <w:rFonts w:ascii="Times New Roman" w:hAnsi="Times New Roman" w:cs="Times New Roman" w:eastAsia="Times New Roman" w:hint="default"/>
          <w:spacing w:val="-2"/>
        </w:rPr>
        <w:t>30</w:t>
      </w:r>
      <w:r>
        <w:rPr>
          <w:spacing w:val="-2"/>
        </w:rPr>
        <w:t>日公司可转债共计转股</w:t>
      </w:r>
      <w:r>
        <w:rPr>
          <w:rFonts w:ascii="Times New Roman" w:hAnsi="Times New Roman" w:cs="Times New Roman" w:eastAsia="Times New Roman" w:hint="default"/>
          <w:spacing w:val="-2"/>
        </w:rPr>
        <w:t>3,075</w:t>
      </w:r>
      <w:r>
        <w:rPr>
          <w:spacing w:val="-2"/>
        </w:rPr>
        <w:t>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日，公司总股本增</w:t>
      </w:r>
      <w:r>
        <w:rPr>
          <w:spacing w:val="-16"/>
        </w:rPr>
        <w:t> </w:t>
      </w:r>
      <w:r>
        <w:rPr>
          <w:spacing w:val="-16"/>
        </w:rPr>
      </w:r>
      <w:r>
        <w:rPr/>
        <w:t>加至</w:t>
      </w:r>
      <w:r>
        <w:rPr>
          <w:rFonts w:ascii="Times New Roman" w:hAnsi="Times New Roman" w:cs="Times New Roman" w:eastAsia="Times New Roman" w:hint="default"/>
        </w:rPr>
        <w:t>1,249,720,007</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日，公司可转债共计转股</w:t>
      </w:r>
      <w:r>
        <w:rPr>
          <w:rFonts w:ascii="Times New Roman" w:hAnsi="Times New Roman" w:cs="Times New Roman" w:eastAsia="Times New Roman" w:hint="default"/>
        </w:rPr>
        <w:t>76,187</w:t>
      </w:r>
      <w:r>
        <w:rPr/>
        <w:t>股，截至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spacing w:val="-30"/>
        </w:rPr>
        <w:t> </w:t>
      </w:r>
      <w:r>
        <w:rPr>
          <w:rFonts w:ascii="Times New Roman" w:hAnsi="Times New Roman" w:cs="Times New Roman" w:eastAsia="Times New Roman" w:hint="default"/>
        </w:rPr>
        <w:t>31</w:t>
      </w:r>
      <w:r>
        <w:rPr/>
        <w:t>日，公司总股本增加至</w:t>
      </w:r>
      <w:r>
        <w:rPr>
          <w:rFonts w:ascii="Times New Roman" w:hAnsi="Times New Roman" w:cs="Times New Roman" w:eastAsia="Times New Roman" w:hint="default"/>
        </w:rPr>
        <w:t>1,249,796,194</w:t>
      </w:r>
      <w:r>
        <w:rPr/>
        <w:t>股。</w:t>
      </w:r>
    </w:p>
    <w:p>
      <w:pPr>
        <w:spacing w:line="240" w:lineRule="auto" w:before="4"/>
        <w:rPr>
          <w:rFonts w:ascii="宋体" w:hAnsi="宋体" w:cs="宋体" w:eastAsia="宋体" w:hint="default"/>
          <w:sz w:val="23"/>
          <w:szCs w:val="23"/>
        </w:rPr>
      </w:pPr>
    </w:p>
    <w:p>
      <w:pPr>
        <w:pStyle w:val="Heading3"/>
        <w:spacing w:line="240" w:lineRule="auto"/>
        <w:ind w:left="392" w:right="0"/>
        <w:jc w:val="left"/>
        <w:rPr>
          <w:b w:val="0"/>
          <w:bCs w:val="0"/>
        </w:rPr>
      </w:pPr>
      <w:bookmarkStart w:name="36、其他权益工具" w:id="345"/>
      <w:bookmarkEnd w:id="345"/>
      <w:r>
        <w:rPr>
          <w:b w:val="0"/>
          <w:bCs w:val="0"/>
        </w:rPr>
      </w:r>
      <w:r>
        <w:rPr>
          <w:rFonts w:ascii="Times New Roman" w:hAnsi="Times New Roman" w:cs="Times New Roman" w:eastAsia="Times New Roman" w:hint="default"/>
        </w:rPr>
        <w:t>36</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0"/>
        <w:jc w:val="left"/>
        <w:rPr>
          <w:b w:val="0"/>
          <w:bCs w:val="0"/>
        </w:rPr>
      </w:pPr>
      <w:bookmarkStart w:name="（1）期末发行在外的优先股、永续债等其他金融工具基本情况" w:id="346"/>
      <w:bookmarkEnd w:id="34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5"/>
          <w:szCs w:val="25"/>
        </w:rPr>
      </w:pPr>
    </w:p>
    <w:tbl>
      <w:tblPr>
        <w:tblW w:w="0" w:type="auto"/>
        <w:jc w:val="left"/>
        <w:tblInd w:w="385" w:type="dxa"/>
        <w:tblLayout w:type="fixed"/>
        <w:tblCellMar>
          <w:top w:w="0" w:type="dxa"/>
          <w:left w:w="0" w:type="dxa"/>
          <w:bottom w:w="0" w:type="dxa"/>
          <w:right w:w="0" w:type="dxa"/>
        </w:tblCellMar>
        <w:tblLook w:val="01E0"/>
      </w:tblPr>
      <w:tblGrid>
        <w:gridCol w:w="2062"/>
        <w:gridCol w:w="1702"/>
        <w:gridCol w:w="1983"/>
        <w:gridCol w:w="924"/>
        <w:gridCol w:w="2969"/>
      </w:tblGrid>
      <w:tr>
        <w:trPr>
          <w:trHeight w:val="427"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4"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上市时间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会计分类</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利息率</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6" w:right="0"/>
              <w:jc w:val="left"/>
              <w:rPr>
                <w:rFonts w:ascii="宋体" w:hAnsi="宋体" w:cs="宋体" w:eastAsia="宋体" w:hint="default"/>
                <w:sz w:val="18"/>
                <w:szCs w:val="18"/>
              </w:rPr>
            </w:pPr>
            <w:r>
              <w:rPr>
                <w:rFonts w:ascii="宋体" w:hAnsi="宋体" w:cs="宋体" w:eastAsia="宋体" w:hint="default"/>
                <w:sz w:val="18"/>
                <w:szCs w:val="18"/>
              </w:rPr>
              <w:t>发行价格</w:t>
            </w:r>
          </w:p>
        </w:tc>
      </w:tr>
      <w:tr>
        <w:trPr>
          <w:trHeight w:val="430"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复合金融工具</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r>
    </w:tbl>
    <w:p>
      <w:pPr>
        <w:spacing w:line="240" w:lineRule="auto" w:before="6"/>
        <w:rPr>
          <w:rFonts w:ascii="宋体" w:hAnsi="宋体" w:cs="宋体" w:eastAsia="宋体" w:hint="default"/>
          <w:b/>
          <w:bCs/>
          <w:sz w:val="5"/>
          <w:szCs w:val="5"/>
        </w:rPr>
      </w:pPr>
    </w:p>
    <w:p>
      <w:pPr>
        <w:pStyle w:val="BodyText"/>
        <w:spacing w:line="240" w:lineRule="auto" w:before="36"/>
        <w:ind w:left="813" w:right="0"/>
        <w:jc w:val="left"/>
      </w:pPr>
      <w:r>
        <w:rPr/>
        <w:t>续表：</w:t>
      </w:r>
    </w:p>
    <w:p>
      <w:pPr>
        <w:spacing w:line="240" w:lineRule="auto" w:before="8"/>
        <w:rPr>
          <w:rFonts w:ascii="宋体" w:hAnsi="宋体" w:cs="宋体" w:eastAsia="宋体" w:hint="default"/>
          <w:sz w:val="3"/>
          <w:szCs w:val="3"/>
        </w:rPr>
      </w:pPr>
    </w:p>
    <w:tbl>
      <w:tblPr>
        <w:tblW w:w="0" w:type="auto"/>
        <w:jc w:val="left"/>
        <w:tblInd w:w="385" w:type="dxa"/>
        <w:tblLayout w:type="fixed"/>
        <w:tblCellMar>
          <w:top w:w="0" w:type="dxa"/>
          <w:left w:w="0" w:type="dxa"/>
          <w:bottom w:w="0" w:type="dxa"/>
          <w:right w:w="0" w:type="dxa"/>
        </w:tblCellMar>
        <w:tblLook w:val="01E0"/>
      </w:tblPr>
      <w:tblGrid>
        <w:gridCol w:w="2093"/>
        <w:gridCol w:w="1136"/>
        <w:gridCol w:w="1133"/>
        <w:gridCol w:w="1702"/>
        <w:gridCol w:w="1133"/>
        <w:gridCol w:w="2444"/>
      </w:tblGrid>
      <w:tr>
        <w:trPr>
          <w:trHeight w:val="42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0"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4"/>
              <w:jc w:val="right"/>
              <w:rPr>
                <w:rFonts w:ascii="宋体" w:hAnsi="宋体" w:cs="宋体" w:eastAsia="宋体" w:hint="default"/>
                <w:sz w:val="18"/>
                <w:szCs w:val="18"/>
              </w:rPr>
            </w:pPr>
            <w:r>
              <w:rPr>
                <w:rFonts w:ascii="宋体" w:hAnsi="宋体" w:cs="宋体" w:eastAsia="宋体" w:hint="default"/>
                <w:sz w:val="18"/>
                <w:szCs w:val="18"/>
              </w:rPr>
              <w:t>转股条件</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转股情况</w:t>
            </w:r>
          </w:p>
        </w:tc>
      </w:tr>
      <w:tr>
        <w:trPr>
          <w:trHeight w:val="43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538</w:t>
            </w:r>
            <w:r>
              <w:rPr>
                <w:rFonts w:ascii="宋体" w:hAnsi="宋体" w:cs="宋体" w:eastAsia="宋体" w:hint="default"/>
                <w:sz w:val="18"/>
                <w:szCs w:val="18"/>
              </w:rPr>
              <w:t>万张</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5.38</w:t>
            </w:r>
            <w:r>
              <w:rPr>
                <w:rFonts w:ascii="宋体" w:hAnsi="宋体" w:cs="宋体" w:eastAsia="宋体" w:hint="default"/>
                <w:sz w:val="18"/>
                <w:szCs w:val="18"/>
              </w:rPr>
              <w:t>亿元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4"/>
              <w:jc w:val="right"/>
              <w:rPr>
                <w:rFonts w:ascii="宋体" w:hAnsi="宋体" w:cs="宋体" w:eastAsia="宋体" w:hint="default"/>
                <w:sz w:val="18"/>
                <w:szCs w:val="18"/>
              </w:rPr>
            </w:pPr>
            <w:r>
              <w:rPr>
                <w:rFonts w:ascii="宋体" w:hAnsi="宋体" w:cs="宋体" w:eastAsia="宋体" w:hint="default"/>
                <w:sz w:val="18"/>
                <w:szCs w:val="18"/>
              </w:rPr>
              <w:t>自愿转股</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详见注释</w:t>
            </w:r>
            <w:r>
              <w:rPr>
                <w:rFonts w:ascii="Times New Roman" w:hAnsi="Times New Roman" w:cs="Times New Roman" w:eastAsia="Times New Roman" w:hint="default"/>
                <w:sz w:val="18"/>
                <w:szCs w:val="18"/>
              </w:rPr>
              <w:t>35.</w:t>
            </w:r>
            <w:r>
              <w:rPr>
                <w:rFonts w:ascii="宋体" w:hAnsi="宋体" w:cs="宋体" w:eastAsia="宋体" w:hint="default"/>
                <w:sz w:val="18"/>
                <w:szCs w:val="18"/>
              </w:rPr>
              <w:t>股本变动情况说明</w:t>
            </w:r>
          </w:p>
        </w:tc>
      </w:tr>
    </w:tbl>
    <w:p>
      <w:pPr>
        <w:spacing w:after="0" w:line="240" w:lineRule="auto"/>
        <w:jc w:val="center"/>
        <w:rPr>
          <w:rFonts w:ascii="宋体" w:hAnsi="宋体" w:cs="宋体" w:eastAsia="宋体" w:hint="default"/>
          <w:sz w:val="18"/>
          <w:szCs w:val="18"/>
        </w:rPr>
        <w:sectPr>
          <w:pgSz w:w="11910" w:h="16840"/>
          <w:pgMar w:header="0" w:footer="980" w:top="1100" w:bottom="1160" w:left="740" w:right="0"/>
        </w:sectPr>
      </w:pPr>
    </w:p>
    <w:p>
      <w:pPr>
        <w:spacing w:line="240" w:lineRule="auto" w:before="11"/>
        <w:rPr>
          <w:rFonts w:ascii="宋体" w:hAnsi="宋体" w:cs="宋体" w:eastAsia="宋体" w:hint="default"/>
          <w:sz w:val="20"/>
          <w:szCs w:val="20"/>
        </w:rPr>
      </w:pPr>
    </w:p>
    <w:p>
      <w:pPr>
        <w:pStyle w:val="BodyText"/>
        <w:spacing w:line="256" w:lineRule="auto" w:before="36"/>
        <w:ind w:right="1133" w:firstLine="420"/>
        <w:jc w:val="left"/>
      </w:pPr>
      <w:r>
        <w:rPr>
          <w:spacing w:val="-7"/>
        </w:rPr>
        <w:t>注</w:t>
      </w:r>
      <w:r>
        <w:rPr>
          <w:rFonts w:ascii="Times New Roman" w:hAnsi="Times New Roman" w:cs="Times New Roman" w:eastAsia="Times New Roman" w:hint="default"/>
          <w:spacing w:val="-7"/>
        </w:rPr>
        <w:t>1</w:t>
      </w:r>
      <w:r>
        <w:rPr>
          <w:spacing w:val="-7"/>
        </w:rPr>
        <w:t>：第一年为</w:t>
      </w:r>
      <w:r>
        <w:rPr>
          <w:rFonts w:ascii="Times New Roman" w:hAnsi="Times New Roman" w:cs="Times New Roman" w:eastAsia="Times New Roman" w:hint="default"/>
          <w:spacing w:val="-7"/>
        </w:rPr>
        <w:t>0.4%</w:t>
      </w:r>
      <w:r>
        <w:rPr>
          <w:spacing w:val="-7"/>
        </w:rPr>
        <w:t>，第二年为</w:t>
      </w:r>
      <w:r>
        <w:rPr>
          <w:rFonts w:ascii="Times New Roman" w:hAnsi="Times New Roman" w:cs="Times New Roman" w:eastAsia="Times New Roman" w:hint="default"/>
          <w:spacing w:val="-7"/>
        </w:rPr>
        <w:t>0.6%</w:t>
      </w:r>
      <w:r>
        <w:rPr>
          <w:spacing w:val="-7"/>
        </w:rPr>
        <w:t>，第三年为</w:t>
      </w:r>
      <w:r>
        <w:rPr>
          <w:rFonts w:ascii="Times New Roman" w:hAnsi="Times New Roman" w:cs="Times New Roman" w:eastAsia="Times New Roman" w:hint="default"/>
          <w:spacing w:val="-7"/>
        </w:rPr>
        <w:t>1.0%</w:t>
      </w:r>
      <w:r>
        <w:rPr>
          <w:spacing w:val="-7"/>
        </w:rPr>
        <w:t>，第四年为</w:t>
      </w:r>
      <w:r>
        <w:rPr>
          <w:rFonts w:ascii="Times New Roman" w:hAnsi="Times New Roman" w:cs="Times New Roman" w:eastAsia="Times New Roman" w:hint="default"/>
          <w:spacing w:val="-7"/>
        </w:rPr>
        <w:t>1.5%</w:t>
      </w:r>
      <w:r>
        <w:rPr>
          <w:spacing w:val="-7"/>
        </w:rPr>
        <w:t>，第五年为</w:t>
      </w:r>
      <w:r>
        <w:rPr>
          <w:rFonts w:ascii="Times New Roman" w:hAnsi="Times New Roman" w:cs="Times New Roman" w:eastAsia="Times New Roman" w:hint="default"/>
          <w:spacing w:val="-7"/>
        </w:rPr>
        <w:t>1.8%</w:t>
      </w:r>
      <w:r>
        <w:rPr>
          <w:spacing w:val="-7"/>
        </w:rPr>
        <w:t>，第六年为</w:t>
      </w:r>
      <w:r>
        <w:rPr>
          <w:rFonts w:ascii="Times New Roman" w:hAnsi="Times New Roman" w:cs="Times New Roman" w:eastAsia="Times New Roman" w:hint="default"/>
          <w:spacing w:val="-7"/>
        </w:rPr>
        <w:t>8%</w:t>
      </w:r>
      <w:r>
        <w:rPr>
          <w:spacing w:val="-7"/>
        </w:rPr>
        <w:t>（其</w:t>
      </w:r>
      <w:r>
        <w:rPr>
          <w:spacing w:val="-3"/>
          <w:w w:val="100"/>
        </w:rPr>
        <w:t> </w:t>
      </w:r>
      <w:r>
        <w:rPr/>
        <w:t>中第六年利率</w:t>
      </w:r>
      <w:r>
        <w:rPr>
          <w:rFonts w:ascii="Times New Roman" w:hAnsi="Times New Roman" w:cs="Times New Roman" w:eastAsia="Times New Roman" w:hint="default"/>
        </w:rPr>
        <w:t>2%,</w:t>
      </w:r>
      <w:r>
        <w:rPr/>
        <w:t>补偿到期赎回利率</w:t>
      </w:r>
      <w:r>
        <w:rPr>
          <w:rFonts w:ascii="Times New Roman" w:hAnsi="Times New Roman" w:cs="Times New Roman" w:eastAsia="Times New Roman" w:hint="default"/>
        </w:rPr>
        <w:t>6%</w:t>
      </w:r>
      <w:r>
        <w:rPr/>
        <w:t>）。</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bookmarkStart w:name="（2）期末发行在外的优先股、永续债等金融工具变动情况表" w:id="347"/>
      <w:bookmarkEnd w:id="34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155"/>
        <w:gridCol w:w="1063"/>
        <w:gridCol w:w="1064"/>
        <w:gridCol w:w="1063"/>
        <w:gridCol w:w="1162"/>
        <w:gridCol w:w="1061"/>
        <w:gridCol w:w="1202"/>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8"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2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可转换公司 债券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5,380,000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92,184,474.55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4,375,090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74,965,682.67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1,004,910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17,218,791.88</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5,380,000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92,184,474.55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4,375,090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74,965,682.67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1,004,910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17,218,791.88</w:t>
            </w:r>
          </w:p>
        </w:tc>
      </w:tr>
    </w:tbl>
    <w:p>
      <w:pPr>
        <w:pStyle w:val="BodyText"/>
        <w:spacing w:line="307" w:lineRule="auto" w:before="29"/>
        <w:ind w:left="573" w:right="1133" w:hanging="421"/>
        <w:jc w:val="left"/>
      </w:pPr>
      <w:r>
        <w:rPr>
          <w:spacing w:val="-2"/>
        </w:rPr>
        <w:t>其他权益工具本期增减变动情况、变动原因说明，以及相关会计处理的依据：</w:t>
      </w:r>
      <w:r>
        <w:rPr>
          <w:spacing w:val="-42"/>
        </w:rPr>
        <w:t> </w:t>
      </w:r>
      <w:r>
        <w:rPr>
          <w:spacing w:val="-42"/>
        </w:rPr>
      </w:r>
      <w:r>
        <w:rPr/>
        <w:t>可转换公司债券基本情况详见本节注释</w:t>
      </w:r>
      <w:r>
        <w:rPr>
          <w:rFonts w:ascii="Times New Roman" w:hAnsi="Times New Roman" w:cs="Times New Roman" w:eastAsia="Times New Roman" w:hint="default"/>
        </w:rPr>
        <w:t>32</w:t>
      </w:r>
      <w:r>
        <w:rPr/>
        <w:t>应付债券</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6"/>
          <w:szCs w:val="26"/>
        </w:rPr>
      </w:pPr>
    </w:p>
    <w:p>
      <w:pPr>
        <w:pStyle w:val="BodyText"/>
        <w:spacing w:line="240" w:lineRule="auto"/>
        <w:ind w:right="1133"/>
        <w:jc w:val="left"/>
      </w:pPr>
      <w:r>
        <w:rPr/>
        <w:t>其他说明：无。</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bookmarkStart w:name="37、资本公积" w:id="348"/>
      <w:bookmarkEnd w:id="348"/>
      <w:r>
        <w:rPr>
          <w:b w:val="0"/>
          <w:bCs w:val="0"/>
        </w:rPr>
      </w:r>
      <w:r>
        <w:rPr>
          <w:rFonts w:ascii="Times New Roman" w:hAnsi="Times New Roman" w:cs="Times New Roman" w:eastAsia="Times New Roman" w:hint="default"/>
        </w:rPr>
        <w:t>37</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1,893,758,477.62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355,400,396.13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5,112,380.00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2,244,046,493.75</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1,176,929.85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240,869.61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256,159.46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1,894,935,407.47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355,641,265.74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6,274,020.00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2,244,302,653.21</w:t>
            </w:r>
          </w:p>
        </w:tc>
      </w:tr>
    </w:tbl>
    <w:p>
      <w:pPr>
        <w:pStyle w:val="BodyText"/>
        <w:spacing w:line="240" w:lineRule="auto" w:before="28"/>
        <w:ind w:right="1133"/>
        <w:jc w:val="left"/>
      </w:pPr>
      <w:r>
        <w:rPr/>
        <w:t>其他说明，包括本期增减变动情况、变动原因说明：</w:t>
      </w:r>
    </w:p>
    <w:p>
      <w:pPr>
        <w:pStyle w:val="BodyText"/>
        <w:spacing w:line="256" w:lineRule="auto" w:before="78"/>
        <w:ind w:right="1020" w:firstLine="42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21</w:t>
      </w:r>
      <w:r>
        <w:rPr>
          <w:spacing w:val="-4"/>
        </w:rPr>
        <w:t>日，公司第三期解锁的限制性股票上市流通，数量为获授限制性股票总数的</w:t>
      </w:r>
      <w:r>
        <w:rPr>
          <w:rFonts w:ascii="Times New Roman" w:hAnsi="Times New Roman" w:cs="Times New Roman" w:eastAsia="Times New Roman" w:hint="default"/>
          <w:spacing w:val="-4"/>
        </w:rPr>
        <w:t>30.00%</w:t>
      </w:r>
      <w:r>
        <w:rPr>
          <w:spacing w:val="-4"/>
        </w:rPr>
        <w:t>，</w:t>
      </w:r>
      <w:r>
        <w:rPr>
          <w:w w:val="100"/>
        </w:rPr>
        <w:t> </w:t>
      </w:r>
      <w:r>
        <w:rPr/>
        <w:t>将其对应的原计入资本公积</w:t>
      </w:r>
      <w:r>
        <w:rPr>
          <w:rFonts w:ascii="Times New Roman" w:hAnsi="Times New Roman" w:cs="Times New Roman" w:eastAsia="Times New Roman" w:hint="default"/>
        </w:rPr>
        <w:t>-</w:t>
      </w:r>
      <w:r>
        <w:rPr/>
        <w:t>其他资本公积的溢价调整至股本溢价，调整金额为</w:t>
      </w:r>
      <w:r>
        <w:rPr>
          <w:rFonts w:ascii="Times New Roman" w:hAnsi="Times New Roman" w:cs="Times New Roman" w:eastAsia="Times New Roman" w:hint="default"/>
        </w:rPr>
        <w:t>3,256,200.00</w:t>
      </w:r>
      <w:r>
        <w:rPr/>
        <w:t>元。</w:t>
      </w:r>
    </w:p>
    <w:p>
      <w:pPr>
        <w:pStyle w:val="BodyText"/>
        <w:spacing w:line="256" w:lineRule="auto" w:before="5"/>
        <w:ind w:right="1126" w:firstLine="420"/>
        <w:jc w:val="both"/>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年公开发行可转换公司债券募集资金转股，在</w:t>
      </w:r>
      <w:r>
        <w:rPr>
          <w:rFonts w:ascii="Times New Roman" w:hAnsi="Times New Roman" w:cs="Times New Roman" w:eastAsia="Times New Roman" w:hint="default"/>
        </w:rPr>
        <w:t>2019</w:t>
      </w:r>
      <w:r>
        <w:rPr/>
        <w:t>年度共计转股比例为</w:t>
      </w:r>
      <w:r>
        <w:rPr>
          <w:rFonts w:ascii="Times New Roman" w:hAnsi="Times New Roman" w:cs="Times New Roman" w:eastAsia="Times New Roman" w:hint="default"/>
        </w:rPr>
        <w:t>81.3154%</w:t>
      </w:r>
      <w:r>
        <w:rPr/>
        <w:t>，将</w:t>
      </w:r>
      <w:r>
        <w:rPr>
          <w:spacing w:val="2"/>
          <w:w w:val="100"/>
        </w:rPr>
        <w:t> </w:t>
      </w:r>
      <w:r>
        <w:rPr/>
        <w:t>可转债超出股本的部分计入资本公积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352,144,196.13</w:t>
      </w:r>
      <w:r>
        <w:rPr/>
        <w:t>元。</w:t>
      </w:r>
    </w:p>
    <w:p>
      <w:pPr>
        <w:pStyle w:val="BodyText"/>
        <w:spacing w:line="256" w:lineRule="auto" w:before="5"/>
        <w:ind w:right="1131" w:firstLine="420"/>
        <w:jc w:val="both"/>
      </w:pPr>
      <w:r>
        <w:rPr>
          <w:spacing w:val="-3"/>
        </w:rPr>
        <w:t>（</w:t>
      </w:r>
      <w:r>
        <w:rPr>
          <w:rFonts w:ascii="Times New Roman" w:hAnsi="Times New Roman" w:cs="Times New Roman" w:eastAsia="Times New Roman" w:hint="default"/>
          <w:spacing w:val="-3"/>
        </w:rPr>
        <w:t>3</w:t>
      </w:r>
      <w:r>
        <w:rPr>
          <w:spacing w:val="-3"/>
        </w:rPr>
        <w:t>）公司第二次回购注销的</w:t>
      </w:r>
      <w:r>
        <w:rPr>
          <w:rFonts w:ascii="Times New Roman" w:hAnsi="Times New Roman" w:cs="Times New Roman" w:eastAsia="Times New Roman" w:hint="default"/>
          <w:spacing w:val="-3"/>
        </w:rPr>
        <w:t>30.40</w:t>
      </w:r>
      <w:r>
        <w:rPr>
          <w:spacing w:val="-3"/>
        </w:rPr>
        <w:t>万限制性股票已完成工商变更，将其对应的原计入资本公积</w:t>
      </w:r>
      <w:r>
        <w:rPr>
          <w:rFonts w:ascii="Times New Roman" w:hAnsi="Times New Roman" w:cs="Times New Roman" w:eastAsia="Times New Roman" w:hint="default"/>
          <w:spacing w:val="-3"/>
        </w:rPr>
        <w:t>-</w:t>
      </w:r>
      <w:r>
        <w:rPr>
          <w:spacing w:val="-3"/>
        </w:rPr>
        <w:t>其他资</w:t>
      </w:r>
      <w:r>
        <w:rPr>
          <w:w w:val="100"/>
        </w:rPr>
        <w:t> </w:t>
      </w:r>
      <w:r>
        <w:rPr/>
        <w:t>本公积借方的</w:t>
      </w:r>
      <w:r>
        <w:rPr>
          <w:rFonts w:ascii="Times New Roman" w:hAnsi="Times New Roman" w:cs="Times New Roman" w:eastAsia="Times New Roman" w:hint="default"/>
        </w:rPr>
        <w:t>2,094,560.00</w:t>
      </w:r>
      <w:r>
        <w:rPr/>
        <w:t>元调整至资本公积</w:t>
      </w:r>
      <w:r>
        <w:rPr>
          <w:rFonts w:ascii="Times New Roman" w:hAnsi="Times New Roman" w:cs="Times New Roman" w:eastAsia="Times New Roman" w:hint="default"/>
        </w:rPr>
        <w:t>-</w:t>
      </w:r>
      <w:r>
        <w:rPr/>
        <w:t>股本溢价。</w:t>
      </w:r>
    </w:p>
    <w:p>
      <w:pPr>
        <w:pStyle w:val="BodyText"/>
        <w:spacing w:line="261" w:lineRule="auto" w:before="5"/>
        <w:ind w:right="1126" w:firstLine="42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日公司召开的第四届董事会第十四次会议决议审议通过的《关于调整限制性股票回</w:t>
      </w:r>
      <w:r>
        <w:rPr>
          <w:w w:val="100"/>
        </w:rPr>
        <w:t> </w:t>
      </w:r>
      <w:r>
        <w:rPr>
          <w:spacing w:val="-2"/>
        </w:rPr>
        <w:t>购价格及回购注销部分限制性股票的议案》，因激励对象高波、李东旭、李代春、韩磊、丁度灏、吕仁宾</w:t>
      </w:r>
      <w:r>
        <w:rPr>
          <w:spacing w:val="-45"/>
        </w:rPr>
        <w:t> </w:t>
      </w:r>
      <w:r>
        <w:rPr>
          <w:spacing w:val="-45"/>
        </w:rPr>
      </w:r>
      <w:r>
        <w:rPr>
          <w:spacing w:val="-3"/>
        </w:rPr>
        <w:t>等</w:t>
      </w:r>
      <w:r>
        <w:rPr>
          <w:rFonts w:ascii="Times New Roman" w:hAnsi="Times New Roman" w:cs="Times New Roman" w:eastAsia="Times New Roman" w:hint="default"/>
          <w:spacing w:val="-3"/>
        </w:rPr>
        <w:t>32</w:t>
      </w:r>
      <w:r>
        <w:rPr>
          <w:spacing w:val="-3"/>
        </w:rPr>
        <w:t>人因个人原因已离职，不符合激励条件，公司对上述</w:t>
      </w:r>
      <w:r>
        <w:rPr>
          <w:rFonts w:ascii="Times New Roman" w:hAnsi="Times New Roman" w:cs="Times New Roman" w:eastAsia="Times New Roman" w:hint="default"/>
          <w:spacing w:val="-3"/>
        </w:rPr>
        <w:t>32</w:t>
      </w:r>
      <w:r>
        <w:rPr>
          <w:spacing w:val="-3"/>
        </w:rPr>
        <w:t>人已获授权但尚未解锁的限制性股票合计</w:t>
      </w:r>
      <w:r>
        <w:rPr>
          <w:rFonts w:ascii="Times New Roman" w:hAnsi="Times New Roman" w:cs="Times New Roman" w:eastAsia="Times New Roman" w:hint="default"/>
          <w:spacing w:val="-3"/>
        </w:rPr>
        <w:t>43.80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3"/>
        </w:rPr>
        <w:t>万股进行回购注销，公司以</w:t>
      </w:r>
      <w:r>
        <w:rPr>
          <w:rFonts w:ascii="Times New Roman" w:hAnsi="Times New Roman" w:cs="Times New Roman" w:eastAsia="Times New Roman" w:hint="default"/>
          <w:spacing w:val="-3"/>
        </w:rPr>
        <w:t>7.82</w:t>
      </w:r>
      <w:r>
        <w:rPr>
          <w:spacing w:val="-3"/>
        </w:rPr>
        <w:t>元</w:t>
      </w:r>
      <w:r>
        <w:rPr>
          <w:rFonts w:ascii="Times New Roman" w:hAnsi="Times New Roman" w:cs="Times New Roman" w:eastAsia="Times New Roman" w:hint="default"/>
          <w:spacing w:val="-3"/>
        </w:rPr>
        <w:t>/</w:t>
      </w:r>
      <w:r>
        <w:rPr>
          <w:spacing w:val="-3"/>
        </w:rPr>
        <w:t>股回购并注销，回购价与账面价之间差额为</w:t>
      </w:r>
      <w:r>
        <w:rPr>
          <w:rFonts w:ascii="Times New Roman" w:hAnsi="Times New Roman" w:cs="Times New Roman" w:eastAsia="Times New Roman" w:hint="default"/>
          <w:spacing w:val="-3"/>
        </w:rPr>
        <w:t>3,017,820.00</w:t>
      </w:r>
      <w:r>
        <w:rPr>
          <w:spacing w:val="-3"/>
        </w:rPr>
        <w:t>元，计入资本公</w:t>
      </w:r>
      <w:r>
        <w:rPr>
          <w:spacing w:val="-29"/>
        </w:rPr>
        <w:t> </w:t>
      </w:r>
      <w:r>
        <w:rPr>
          <w:spacing w:val="-29"/>
        </w:rPr>
      </w:r>
      <w:r>
        <w:rPr/>
        <w:t>积</w:t>
      </w:r>
      <w:r>
        <w:rPr>
          <w:rFonts w:ascii="Times New Roman" w:hAnsi="Times New Roman" w:cs="Times New Roman" w:eastAsia="Times New Roman" w:hint="default"/>
        </w:rPr>
        <w:t>-</w:t>
      </w:r>
      <w:r>
        <w:rPr/>
        <w:t>股本溢价。</w:t>
      </w:r>
    </w:p>
    <w:p>
      <w:pPr>
        <w:pStyle w:val="BodyText"/>
        <w:spacing w:line="256" w:lineRule="auto"/>
        <w:ind w:right="1126" w:firstLine="420"/>
        <w:jc w:val="both"/>
      </w:pPr>
      <w:r>
        <w:rPr>
          <w:spacing w:val="-2"/>
        </w:rPr>
        <w:t>（</w:t>
      </w:r>
      <w:r>
        <w:rPr>
          <w:rFonts w:ascii="Times New Roman" w:hAnsi="Times New Roman" w:cs="Times New Roman" w:eastAsia="Times New Roman" w:hint="default"/>
          <w:spacing w:val="-2"/>
        </w:rPr>
        <w:t>5</w:t>
      </w:r>
      <w:r>
        <w:rPr>
          <w:spacing w:val="-2"/>
        </w:rPr>
        <w:t>）公司以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日作为公司限制性股票激励计划的授予日，授予价格为</w:t>
      </w:r>
      <w:r>
        <w:rPr>
          <w:rFonts w:ascii="Times New Roman" w:hAnsi="Times New Roman" w:cs="Times New Roman" w:eastAsia="Times New Roman" w:hint="default"/>
          <w:spacing w:val="-2"/>
        </w:rPr>
        <w:t>7.89</w:t>
      </w:r>
      <w:r>
        <w:rPr>
          <w:spacing w:val="-2"/>
        </w:rPr>
        <w:t>元</w:t>
      </w:r>
      <w:r>
        <w:rPr>
          <w:rFonts w:ascii="Times New Roman" w:hAnsi="Times New Roman" w:cs="Times New Roman" w:eastAsia="Times New Roman" w:hint="default"/>
          <w:spacing w:val="-2"/>
        </w:rPr>
        <w:t>/</w:t>
      </w:r>
      <w:r>
        <w:rPr>
          <w:spacing w:val="-2"/>
        </w:rPr>
        <w:t>股，于</w:t>
      </w:r>
      <w:r>
        <w:rPr>
          <w:rFonts w:ascii="Times New Roman" w:hAnsi="Times New Roman" w:cs="Times New Roman" w:eastAsia="Times New Roman" w:hint="default"/>
          <w:spacing w:val="-2"/>
        </w:rPr>
        <w:t>2016</w:t>
      </w:r>
      <w:r>
        <w:rPr>
          <w:spacing w:val="-2"/>
        </w:rPr>
        <w:t>年</w:t>
      </w:r>
      <w:r>
        <w:rPr>
          <w:w w:val="100"/>
        </w:rPr>
        <w:t> </w:t>
      </w:r>
      <w:r>
        <w:rPr>
          <w:rFonts w:ascii="Times New Roman" w:hAnsi="Times New Roman" w:cs="Times New Roman" w:eastAsia="Times New Roman" w:hint="default"/>
          <w:spacing w:val="-3"/>
        </w:rPr>
        <w:t>4</w:t>
      </w:r>
      <w:r>
        <w:rPr>
          <w:spacing w:val="-3"/>
        </w:rPr>
        <w:t>月向</w:t>
      </w:r>
      <w:r>
        <w:rPr>
          <w:rFonts w:ascii="Times New Roman" w:hAnsi="Times New Roman" w:cs="Times New Roman" w:eastAsia="Times New Roman" w:hint="default"/>
          <w:spacing w:val="-3"/>
        </w:rPr>
        <w:t>214</w:t>
      </w:r>
      <w:r>
        <w:rPr>
          <w:spacing w:val="-3"/>
        </w:rPr>
        <w:t>名激励对象非公开发行限制性股票</w:t>
      </w:r>
      <w:r>
        <w:rPr>
          <w:rFonts w:ascii="Times New Roman" w:hAnsi="Times New Roman" w:cs="Times New Roman" w:eastAsia="Times New Roman" w:hint="default"/>
          <w:spacing w:val="-3"/>
        </w:rPr>
        <w:t>7,900,000</w:t>
      </w:r>
      <w:r>
        <w:rPr>
          <w:spacing w:val="-3"/>
        </w:rPr>
        <w:t>股，每股面值</w:t>
      </w:r>
      <w:r>
        <w:rPr>
          <w:rFonts w:ascii="Times New Roman" w:hAnsi="Times New Roman" w:cs="Times New Roman" w:eastAsia="Times New Roman" w:hint="default"/>
          <w:spacing w:val="-3"/>
        </w:rPr>
        <w:t>1</w:t>
      </w:r>
      <w:r>
        <w:rPr>
          <w:spacing w:val="-3"/>
        </w:rPr>
        <w:t>元，每股发行价为人民币</w:t>
      </w:r>
      <w:r>
        <w:rPr>
          <w:rFonts w:ascii="Times New Roman" w:hAnsi="Times New Roman" w:cs="Times New Roman" w:eastAsia="Times New Roman" w:hint="default"/>
          <w:spacing w:val="-3"/>
        </w:rPr>
        <w:t>7.89</w:t>
      </w:r>
      <w:r>
        <w:rPr>
          <w:spacing w:val="-3"/>
        </w:rPr>
        <w:t>元。截至</w:t>
      </w:r>
      <w:r>
        <w:rPr>
          <w:spacing w:val="-28"/>
        </w:rPr>
        <w:t> </w:t>
      </w:r>
      <w:r>
        <w:rPr>
          <w:spacing w:val="-28"/>
        </w:rPr>
      </w:r>
      <w:r>
        <w:rPr/>
        <w:t>本报告期末累计有</w:t>
      </w:r>
      <w:r>
        <w:rPr>
          <w:rFonts w:ascii="Times New Roman" w:hAnsi="Times New Roman" w:cs="Times New Roman" w:eastAsia="Times New Roman" w:hint="default"/>
        </w:rPr>
        <w:t>62</w:t>
      </w:r>
      <w:r>
        <w:rPr/>
        <w:t>名持有限制性股份的员工离职，已回购股票数量为</w:t>
      </w:r>
      <w:r>
        <w:rPr>
          <w:rFonts w:ascii="Times New Roman" w:hAnsi="Times New Roman" w:cs="Times New Roman" w:eastAsia="Times New Roman" w:hint="default"/>
        </w:rPr>
        <w:t>832,000</w:t>
      </w:r>
      <w:r>
        <w:rPr/>
        <w:t>股，累计已解锁</w:t>
      </w:r>
      <w:r>
        <w:rPr>
          <w:rFonts w:ascii="Times New Roman" w:hAnsi="Times New Roman" w:cs="Times New Roman" w:eastAsia="Times New Roman" w:hint="default"/>
        </w:rPr>
        <w:t>5,058,000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股，剩余待解锁股份数量</w:t>
      </w:r>
      <w:r>
        <w:rPr>
          <w:rFonts w:ascii="Times New Roman" w:hAnsi="Times New Roman" w:cs="Times New Roman" w:eastAsia="Times New Roman" w:hint="default"/>
          <w:spacing w:val="-2"/>
        </w:rPr>
        <w:t>2,010,000</w:t>
      </w:r>
      <w:r>
        <w:rPr>
          <w:spacing w:val="-2"/>
        </w:rPr>
        <w:t>股，按照授予日的公允价值，以授予日作为会计成本分摊的起点，本期</w:t>
      </w:r>
      <w:r>
        <w:rPr>
          <w:spacing w:val="-40"/>
        </w:rPr>
        <w:t> </w:t>
      </w:r>
      <w:r>
        <w:rPr>
          <w:spacing w:val="-40"/>
        </w:rPr>
      </w:r>
      <w:r>
        <w:rPr/>
        <w:t>应分摊的成本为</w:t>
      </w:r>
      <w:r>
        <w:rPr>
          <w:rFonts w:ascii="Times New Roman" w:hAnsi="Times New Roman" w:cs="Times New Roman" w:eastAsia="Times New Roman" w:hint="default"/>
        </w:rPr>
        <w:t>240,869.61</w:t>
      </w:r>
      <w:r>
        <w:rPr/>
        <w:t>元，计入资本公积</w:t>
      </w:r>
      <w:r>
        <w:rPr>
          <w:rFonts w:ascii="Times New Roman" w:hAnsi="Times New Roman" w:cs="Times New Roman" w:eastAsia="Times New Roman" w:hint="default"/>
        </w:rPr>
        <w:t>-</w:t>
      </w:r>
      <w:r>
        <w:rPr/>
        <w:t>其他资本公积。</w:t>
      </w:r>
    </w:p>
    <w:p>
      <w:pPr>
        <w:spacing w:after="0" w:line="256" w:lineRule="auto"/>
        <w:jc w:val="both"/>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8、库存股" w:id="349"/>
      <w:bookmarkEnd w:id="349"/>
      <w:r>
        <w:rPr>
          <w:b w:val="0"/>
          <w:bCs w:val="0"/>
        </w:rPr>
      </w:r>
      <w:r>
        <w:rPr>
          <w:rFonts w:ascii="Times New Roman" w:hAnsi="Times New Roman" w:cs="Times New Roman" w:eastAsia="Times New Roman" w:hint="default"/>
        </w:rPr>
        <w:t>38</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35,173,620.00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19,314,720.00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15,858,900.00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2,199,741.81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2,199,741.81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35,173,620.00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2,199,741.81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19,314,720.00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18,058,641.81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9、其他综合收益" w:id="350"/>
      <w:bookmarkEnd w:id="350"/>
      <w:r>
        <w:rPr>
          <w:b w:val="0"/>
          <w:bCs w:val="0"/>
        </w:rPr>
      </w:r>
      <w:r>
        <w:rPr>
          <w:rFonts w:ascii="Times New Roman" w:hAnsi="Times New Roman" w:cs="Times New Roman" w:eastAsia="Times New Roman" w:hint="default"/>
        </w:rPr>
        <w:t>39</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53"/>
        <w:gridCol w:w="987"/>
        <w:gridCol w:w="1313"/>
        <w:gridCol w:w="1052"/>
        <w:gridCol w:w="852"/>
        <w:gridCol w:w="1114"/>
        <w:gridCol w:w="1095"/>
        <w:gridCol w:w="852"/>
        <w:gridCol w:w="1210"/>
      </w:tblGrid>
      <w:tr>
        <w:trPr>
          <w:trHeight w:val="397" w:hRule="exact"/>
        </w:trPr>
        <w:tc>
          <w:tcPr>
            <w:tcW w:w="1853" w:type="dxa"/>
            <w:vMerge w:val="restart"/>
            <w:tcBorders>
              <w:top w:val="single" w:sz="4" w:space="0" w:color="000000"/>
              <w:left w:val="single" w:sz="4" w:space="0" w:color="000000"/>
              <w:right w:val="single" w:sz="4" w:space="0" w:color="000000"/>
            </w:tcBorders>
            <w:shd w:val="clear" w:color="auto" w:fill="D2D2D2"/>
          </w:tcPr>
          <w:p>
            <w:pPr/>
          </w:p>
        </w:tc>
        <w:tc>
          <w:tcPr>
            <w:tcW w:w="987" w:type="dxa"/>
            <w:vMerge w:val="restart"/>
            <w:tcBorders>
              <w:top w:val="single" w:sz="4" w:space="0" w:color="000000"/>
              <w:left w:val="single" w:sz="4" w:space="0" w:color="000000"/>
              <w:right w:val="single" w:sz="4" w:space="0" w:color="000000"/>
            </w:tcBorders>
            <w:shd w:val="clear" w:color="auto" w:fill="D2D2D2"/>
          </w:tcPr>
          <w:p>
            <w:pPr/>
          </w:p>
        </w:tc>
        <w:tc>
          <w:tcPr>
            <w:tcW w:w="627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6" w:hRule="exact"/>
        </w:trPr>
        <w:tc>
          <w:tcPr>
            <w:tcW w:w="1853"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313" w:type="dxa"/>
            <w:vMerge w:val="restart"/>
            <w:tcBorders>
              <w:top w:val="single" w:sz="4" w:space="0" w:color="000000"/>
              <w:left w:val="single" w:sz="4" w:space="0" w:color="000000"/>
              <w:right w:val="single" w:sz="4" w:space="0" w:color="FFFFFF"/>
            </w:tcBorders>
            <w:shd w:val="clear" w:color="auto" w:fill="D2D2D2"/>
          </w:tcPr>
          <w:p>
            <w:pPr/>
          </w:p>
        </w:tc>
        <w:tc>
          <w:tcPr>
            <w:tcW w:w="1052" w:type="dxa"/>
            <w:tcBorders>
              <w:top w:val="single" w:sz="4" w:space="0" w:color="000000"/>
              <w:left w:val="single" w:sz="4" w:space="0" w:color="FFFFFF"/>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1114" w:type="dxa"/>
            <w:vMerge w:val="restart"/>
            <w:tcBorders>
              <w:top w:val="single" w:sz="4" w:space="0" w:color="000000"/>
              <w:left w:val="single" w:sz="4" w:space="0" w:color="000000"/>
              <w:right w:val="single" w:sz="4" w:space="0" w:color="000000"/>
            </w:tcBorders>
            <w:shd w:val="clear" w:color="auto" w:fill="D2D2D2"/>
          </w:tcPr>
          <w:p>
            <w:pPr/>
          </w:p>
        </w:tc>
        <w:tc>
          <w:tcPr>
            <w:tcW w:w="1095"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9" w:space="0" w:color="D2D2D2"/>
              <w:right w:val="single" w:sz="4" w:space="0" w:color="000000"/>
            </w:tcBorders>
          </w:tcPr>
          <w:p>
            <w:pPr/>
          </w:p>
        </w:tc>
      </w:tr>
      <w:tr>
        <w:trPr>
          <w:trHeight w:val="156" w:hRule="exact"/>
        </w:trPr>
        <w:tc>
          <w:tcPr>
            <w:tcW w:w="1853"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313" w:type="dxa"/>
            <w:vMerge/>
            <w:tcBorders>
              <w:left w:val="single" w:sz="4" w:space="0" w:color="000000"/>
              <w:right w:val="single" w:sz="4" w:space="0" w:color="FFFFFF"/>
            </w:tcBorders>
            <w:shd w:val="clear" w:color="auto" w:fill="D2D2D2"/>
          </w:tcPr>
          <w:p>
            <w:pPr/>
          </w:p>
        </w:tc>
        <w:tc>
          <w:tcPr>
            <w:tcW w:w="105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26"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9" w:space="0" w:color="D2D2D2"/>
              <w:right w:val="single" w:sz="4" w:space="0" w:color="000000"/>
            </w:tcBorders>
          </w:tcPr>
          <w:p>
            <w:pPr/>
          </w:p>
        </w:tc>
      </w:tr>
      <w:tr>
        <w:trPr>
          <w:trHeight w:val="133" w:hRule="exact"/>
        </w:trPr>
        <w:tc>
          <w:tcPr>
            <w:tcW w:w="1853" w:type="dxa"/>
            <w:vMerge/>
            <w:tcBorders>
              <w:left w:val="single" w:sz="4" w:space="0" w:color="000000"/>
              <w:bottom w:val="nil" w:sz="6" w:space="0" w:color="auto"/>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1313" w:type="dxa"/>
            <w:vMerge/>
            <w:tcBorders>
              <w:left w:val="single" w:sz="4" w:space="0" w:color="000000"/>
              <w:bottom w:val="nil" w:sz="6" w:space="0" w:color="auto"/>
              <w:right w:val="single" w:sz="4" w:space="0" w:color="FFFFFF"/>
            </w:tcBorders>
            <w:shd w:val="clear" w:color="auto" w:fill="D2D2D2"/>
          </w:tcPr>
          <w:p>
            <w:pPr/>
          </w:p>
        </w:tc>
        <w:tc>
          <w:tcPr>
            <w:tcW w:w="1052" w:type="dxa"/>
            <w:vMerge/>
            <w:tcBorders>
              <w:left w:val="single" w:sz="4" w:space="0" w:color="FFFFFF"/>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210" w:type="dxa"/>
            <w:vMerge/>
            <w:tcBorders>
              <w:left w:val="single" w:sz="9" w:space="0" w:color="D2D2D2"/>
              <w:right w:val="single" w:sz="4" w:space="0" w:color="000000"/>
            </w:tcBorders>
          </w:tcPr>
          <w:p>
            <w:pPr/>
          </w:p>
        </w:tc>
      </w:tr>
      <w:tr>
        <w:trPr>
          <w:trHeight w:val="371" w:hRule="exact"/>
        </w:trPr>
        <w:tc>
          <w:tcPr>
            <w:tcW w:w="1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3"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71"/>
              <w:ind w:left="383" w:right="108" w:hanging="272"/>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052" w:type="dxa"/>
            <w:vMerge/>
            <w:tcBorders>
              <w:left w:val="single" w:sz="4" w:space="0" w:color="FFFFFF"/>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60" w:right="21" w:hanging="437"/>
              <w:jc w:val="left"/>
              <w:rPr>
                <w:rFonts w:ascii="宋体" w:hAnsi="宋体" w:cs="宋体" w:eastAsia="宋体" w:hint="default"/>
                <w:sz w:val="18"/>
                <w:szCs w:val="18"/>
              </w:rPr>
            </w:pPr>
            <w:r>
              <w:rPr>
                <w:rFonts w:ascii="宋体" w:hAnsi="宋体" w:cs="宋体" w:eastAsia="宋体" w:hint="default"/>
                <w:spacing w:val="-4"/>
                <w:sz w:val="18"/>
                <w:szCs w:val="18"/>
              </w:rPr>
              <w:t>减：所得税费</w:t>
            </w:r>
            <w:r>
              <w:rPr>
                <w:rFonts w:ascii="宋体" w:hAnsi="宋体" w:cs="宋体" w:eastAsia="宋体" w:hint="default"/>
                <w:sz w:val="18"/>
                <w:szCs w:val="18"/>
              </w:rPr>
              <w:t> 用</w:t>
            </w: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73" w:right="89"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52" w:type="dxa"/>
            <w:vMerge/>
            <w:tcBorders>
              <w:left w:val="single" w:sz="4" w:space="0" w:color="000000"/>
              <w:right w:val="single" w:sz="4" w:space="0" w:color="000000"/>
            </w:tcBorders>
            <w:shd w:val="clear" w:color="auto" w:fill="D2D2D2"/>
          </w:tcPr>
          <w:p>
            <w:pPr/>
          </w:p>
        </w:tc>
        <w:tc>
          <w:tcPr>
            <w:tcW w:w="1210" w:type="dxa"/>
            <w:vMerge/>
            <w:tcBorders>
              <w:left w:val="single" w:sz="9" w:space="0" w:color="D2D2D2"/>
              <w:right w:val="single" w:sz="4" w:space="0" w:color="000000"/>
            </w:tcBorders>
          </w:tcPr>
          <w:p>
            <w:pPr/>
          </w:p>
        </w:tc>
      </w:tr>
      <w:tr>
        <w:trPr>
          <w:trHeight w:val="358" w:hRule="exact"/>
        </w:trPr>
        <w:tc>
          <w:tcPr>
            <w:tcW w:w="1853" w:type="dxa"/>
            <w:vMerge w:val="restart"/>
            <w:tcBorders>
              <w:top w:val="nil" w:sz="6" w:space="0" w:color="auto"/>
              <w:left w:val="single" w:sz="4" w:space="0" w:color="000000"/>
              <w:right w:val="single" w:sz="4" w:space="0" w:color="000000"/>
            </w:tcBorders>
            <w:shd w:val="clear" w:color="auto" w:fill="D2D2D2"/>
          </w:tcPr>
          <w:p>
            <w:pPr/>
          </w:p>
        </w:tc>
        <w:tc>
          <w:tcPr>
            <w:tcW w:w="987" w:type="dxa"/>
            <w:vMerge w:val="restart"/>
            <w:tcBorders>
              <w:top w:val="nil" w:sz="6" w:space="0" w:color="auto"/>
              <w:left w:val="single" w:sz="4" w:space="0" w:color="000000"/>
              <w:right w:val="single" w:sz="4" w:space="0" w:color="000000"/>
            </w:tcBorders>
            <w:shd w:val="clear" w:color="auto" w:fill="D2D2D2"/>
          </w:tcPr>
          <w:p>
            <w:pPr/>
          </w:p>
        </w:tc>
        <w:tc>
          <w:tcPr>
            <w:tcW w:w="1313" w:type="dxa"/>
            <w:vMerge/>
            <w:tcBorders>
              <w:left w:val="single" w:sz="4" w:space="0" w:color="000000"/>
              <w:bottom w:val="nil" w:sz="6" w:space="0" w:color="auto"/>
              <w:right w:val="single" w:sz="4" w:space="0" w:color="FFFFFF"/>
            </w:tcBorders>
            <w:shd w:val="clear" w:color="auto" w:fill="D2D2D2"/>
          </w:tcPr>
          <w:p>
            <w:pPr/>
          </w:p>
        </w:tc>
        <w:tc>
          <w:tcPr>
            <w:tcW w:w="1052" w:type="dxa"/>
            <w:vMerge/>
            <w:tcBorders>
              <w:left w:val="single" w:sz="4" w:space="0" w:color="FFFFFF"/>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210" w:type="dxa"/>
            <w:vMerge/>
            <w:tcBorders>
              <w:left w:val="single" w:sz="9" w:space="0" w:color="D2D2D2"/>
              <w:right w:val="single" w:sz="4" w:space="0" w:color="000000"/>
            </w:tcBorders>
          </w:tcPr>
          <w:p>
            <w:pPr/>
          </w:p>
        </w:tc>
      </w:tr>
      <w:tr>
        <w:trPr>
          <w:trHeight w:val="156" w:hRule="exact"/>
        </w:trPr>
        <w:tc>
          <w:tcPr>
            <w:tcW w:w="1853"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313" w:type="dxa"/>
            <w:vMerge w:val="restart"/>
            <w:tcBorders>
              <w:top w:val="nil" w:sz="6" w:space="0" w:color="auto"/>
              <w:left w:val="single" w:sz="4" w:space="0" w:color="000000"/>
              <w:right w:val="single" w:sz="4" w:space="0" w:color="FFFFFF"/>
            </w:tcBorders>
            <w:shd w:val="clear" w:color="auto" w:fill="D2D2D2"/>
          </w:tcPr>
          <w:p>
            <w:pPr/>
          </w:p>
        </w:tc>
        <w:tc>
          <w:tcPr>
            <w:tcW w:w="1052" w:type="dxa"/>
            <w:vMerge/>
            <w:tcBorders>
              <w:left w:val="single" w:sz="4" w:space="0" w:color="FFFFFF"/>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9" w:space="0" w:color="D2D2D2"/>
              <w:right w:val="single" w:sz="4" w:space="0" w:color="000000"/>
            </w:tcBorders>
          </w:tcPr>
          <w:p>
            <w:pPr/>
          </w:p>
        </w:tc>
      </w:tr>
      <w:tr>
        <w:trPr>
          <w:trHeight w:val="156" w:hRule="exact"/>
        </w:trPr>
        <w:tc>
          <w:tcPr>
            <w:tcW w:w="1853"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313" w:type="dxa"/>
            <w:vMerge/>
            <w:tcBorders>
              <w:left w:val="single" w:sz="4" w:space="0" w:color="000000"/>
              <w:right w:val="single" w:sz="4" w:space="0" w:color="FFFFFF"/>
            </w:tcBorders>
            <w:shd w:val="clear" w:color="auto" w:fill="D2D2D2"/>
          </w:tcPr>
          <w:p>
            <w:pPr/>
          </w:p>
        </w:tc>
        <w:tc>
          <w:tcPr>
            <w:tcW w:w="1052" w:type="dxa"/>
            <w:vMerge/>
            <w:tcBorders>
              <w:left w:val="single" w:sz="4" w:space="0" w:color="FFFFFF"/>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9" w:space="0" w:color="D2D2D2"/>
              <w:right w:val="single" w:sz="4" w:space="0" w:color="000000"/>
            </w:tcBorders>
          </w:tcPr>
          <w:p>
            <w:pPr/>
          </w:p>
        </w:tc>
      </w:tr>
      <w:tr>
        <w:trPr>
          <w:trHeight w:val="161" w:hRule="exact"/>
        </w:trPr>
        <w:tc>
          <w:tcPr>
            <w:tcW w:w="1853"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FFFFFF"/>
            </w:tcBorders>
            <w:shd w:val="clear" w:color="auto" w:fill="D2D2D2"/>
          </w:tcPr>
          <w:p>
            <w:pPr/>
          </w:p>
        </w:tc>
        <w:tc>
          <w:tcPr>
            <w:tcW w:w="1052" w:type="dxa"/>
            <w:tcBorders>
              <w:top w:val="nil" w:sz="6" w:space="0" w:color="auto"/>
              <w:left w:val="single" w:sz="4" w:space="0" w:color="FFFFFF"/>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9" w:space="0" w:color="D2D2D2"/>
              <w:bottom w:val="single" w:sz="4" w:space="0" w:color="000000"/>
              <w:right w:val="single" w:sz="4" w:space="0" w:color="000000"/>
            </w:tcBorders>
          </w:tcPr>
          <w:p>
            <w:pPr/>
          </w:p>
        </w:tc>
      </w:tr>
      <w:tr>
        <w:trPr>
          <w:trHeight w:val="71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9"/>
              <w:jc w:val="left"/>
              <w:rPr>
                <w:rFonts w:ascii="宋体" w:hAnsi="宋体" w:cs="宋体" w:eastAsia="宋体" w:hint="default"/>
                <w:sz w:val="18"/>
                <w:szCs w:val="18"/>
              </w:rPr>
            </w:pPr>
            <w:r>
              <w:rPr>
                <w:rFonts w:ascii="宋体" w:hAnsi="宋体" w:cs="宋体" w:eastAsia="宋体" w:hint="default"/>
                <w:sz w:val="18"/>
                <w:szCs w:val="18"/>
              </w:rPr>
              <w:t>一、不能重分类进损益 的其他综合收益</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21,500,000.00</w:t>
            </w: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5,375,000.00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16,125,000.00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16,125,000.00</w:t>
            </w:r>
          </w:p>
        </w:tc>
      </w:tr>
      <w:tr>
        <w:trPr>
          <w:trHeight w:val="715"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jc w:val="left"/>
              <w:rPr>
                <w:rFonts w:ascii="宋体" w:hAnsi="宋体" w:cs="宋体" w:eastAsia="宋体" w:hint="default"/>
                <w:sz w:val="18"/>
                <w:szCs w:val="18"/>
              </w:rPr>
            </w:pPr>
            <w:r>
              <w:rPr>
                <w:rFonts w:ascii="宋体" w:hAnsi="宋体" w:cs="宋体" w:eastAsia="宋体" w:hint="default"/>
                <w:sz w:val="18"/>
                <w:szCs w:val="18"/>
              </w:rPr>
              <w:t>其中：重新计量设定受 益计划变动额</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9" w:firstLine="540"/>
              <w:jc w:val="left"/>
              <w:rPr>
                <w:rFonts w:ascii="宋体" w:hAnsi="宋体" w:cs="宋体" w:eastAsia="宋体" w:hint="default"/>
                <w:sz w:val="18"/>
                <w:szCs w:val="18"/>
              </w:rPr>
            </w:pPr>
            <w:r>
              <w:rPr>
                <w:rFonts w:ascii="宋体" w:hAnsi="宋体" w:cs="宋体" w:eastAsia="宋体" w:hint="default"/>
                <w:sz w:val="18"/>
                <w:szCs w:val="18"/>
              </w:rPr>
              <w:t>权益法下不能转 损益的其他综合收益</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firstLine="540"/>
              <w:jc w:val="left"/>
              <w:rPr>
                <w:rFonts w:ascii="宋体" w:hAnsi="宋体" w:cs="宋体" w:eastAsia="宋体" w:hint="default"/>
                <w:sz w:val="18"/>
                <w:szCs w:val="18"/>
              </w:rPr>
            </w:pPr>
            <w:r>
              <w:rPr>
                <w:rFonts w:ascii="宋体" w:hAnsi="宋体" w:cs="宋体" w:eastAsia="宋体" w:hint="default"/>
                <w:sz w:val="18"/>
                <w:szCs w:val="18"/>
              </w:rPr>
              <w:t>其他权益工具投 资公允价值变动</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21,500,000.00</w:t>
            </w: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5,375,000.00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16,125,000.00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16,125,000.00</w:t>
            </w:r>
          </w:p>
        </w:tc>
      </w:tr>
      <w:tr>
        <w:trPr>
          <w:trHeight w:val="71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9" w:firstLine="540"/>
              <w:jc w:val="left"/>
              <w:rPr>
                <w:rFonts w:ascii="宋体" w:hAnsi="宋体" w:cs="宋体" w:eastAsia="宋体" w:hint="default"/>
                <w:sz w:val="18"/>
                <w:szCs w:val="18"/>
              </w:rPr>
            </w:pPr>
            <w:r>
              <w:rPr>
                <w:rFonts w:ascii="宋体" w:hAnsi="宋体" w:cs="宋体" w:eastAsia="宋体" w:hint="default"/>
                <w:sz w:val="18"/>
                <w:szCs w:val="18"/>
              </w:rPr>
              <w:t>企业自身信用风 险公允价值变动</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jc w:val="left"/>
              <w:rPr>
                <w:rFonts w:ascii="宋体" w:hAnsi="宋体" w:cs="宋体" w:eastAsia="宋体" w:hint="default"/>
                <w:sz w:val="18"/>
                <w:szCs w:val="18"/>
              </w:rPr>
            </w:pPr>
            <w:r>
              <w:rPr>
                <w:rFonts w:ascii="宋体" w:hAnsi="宋体" w:cs="宋体" w:eastAsia="宋体" w:hint="default"/>
                <w:sz w:val="18"/>
                <w:szCs w:val="18"/>
              </w:rPr>
              <w:t>二、将重分类进损益的 其他综合收益</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18,420.00</w:t>
            </w: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18,420.00</w:t>
            </w:r>
          </w:p>
        </w:tc>
      </w:tr>
      <w:tr>
        <w:trPr>
          <w:trHeight w:val="71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9"/>
              <w:jc w:val="left"/>
              <w:rPr>
                <w:rFonts w:ascii="宋体" w:hAnsi="宋体" w:cs="宋体" w:eastAsia="宋体" w:hint="default"/>
                <w:sz w:val="18"/>
                <w:szCs w:val="18"/>
              </w:rPr>
            </w:pPr>
            <w:r>
              <w:rPr>
                <w:rFonts w:ascii="宋体" w:hAnsi="宋体" w:cs="宋体" w:eastAsia="宋体" w:hint="default"/>
                <w:sz w:val="18"/>
                <w:szCs w:val="18"/>
              </w:rPr>
              <w:t>其中：权益法下可转损 益的其他综合收益</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firstLine="540"/>
              <w:jc w:val="left"/>
              <w:rPr>
                <w:rFonts w:ascii="宋体" w:hAnsi="宋体" w:cs="宋体" w:eastAsia="宋体" w:hint="default"/>
                <w:sz w:val="18"/>
                <w:szCs w:val="18"/>
              </w:rPr>
            </w:pPr>
            <w:r>
              <w:rPr>
                <w:rFonts w:ascii="宋体" w:hAnsi="宋体" w:cs="宋体" w:eastAsia="宋体" w:hint="default"/>
                <w:sz w:val="18"/>
                <w:szCs w:val="18"/>
              </w:rPr>
              <w:t>其他债权投资公 允价值变动</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firstLine="540"/>
              <w:jc w:val="both"/>
              <w:rPr>
                <w:rFonts w:ascii="宋体" w:hAnsi="宋体" w:cs="宋体" w:eastAsia="宋体" w:hint="default"/>
                <w:sz w:val="18"/>
                <w:szCs w:val="18"/>
              </w:rPr>
            </w:pPr>
            <w:r>
              <w:rPr>
                <w:rFonts w:ascii="宋体" w:hAnsi="宋体" w:cs="宋体" w:eastAsia="宋体" w:hint="default"/>
                <w:sz w:val="18"/>
                <w:szCs w:val="18"/>
              </w:rPr>
              <w:t>金融资产重分类 计入其他综合收益的金 额</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firstLine="540"/>
              <w:jc w:val="left"/>
              <w:rPr>
                <w:rFonts w:ascii="宋体" w:hAnsi="宋体" w:cs="宋体" w:eastAsia="宋体" w:hint="default"/>
                <w:sz w:val="18"/>
                <w:szCs w:val="18"/>
              </w:rPr>
            </w:pPr>
            <w:r>
              <w:rPr>
                <w:rFonts w:ascii="宋体" w:hAnsi="宋体" w:cs="宋体" w:eastAsia="宋体" w:hint="default"/>
                <w:sz w:val="18"/>
                <w:szCs w:val="18"/>
              </w:rPr>
              <w:t>其他债权投资信 用减值准备</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2" w:right="0"/>
              <w:jc w:val="left"/>
              <w:rPr>
                <w:rFonts w:ascii="宋体" w:hAnsi="宋体" w:cs="宋体" w:eastAsia="宋体" w:hint="default"/>
                <w:sz w:val="18"/>
                <w:szCs w:val="18"/>
              </w:rPr>
            </w:pPr>
            <w:r>
              <w:rPr>
                <w:rFonts w:ascii="宋体" w:hAnsi="宋体" w:cs="宋体" w:eastAsia="宋体" w:hint="default"/>
                <w:sz w:val="18"/>
                <w:szCs w:val="18"/>
              </w:rPr>
              <w:t>现金流量套期储</w:t>
            </w:r>
          </w:p>
        </w:tc>
        <w:tc>
          <w:tcPr>
            <w:tcW w:w="987" w:type="dxa"/>
            <w:tcBorders>
              <w:top w:val="single" w:sz="4" w:space="0" w:color="000000"/>
              <w:left w:val="single" w:sz="13" w:space="0" w:color="D2D2D2"/>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FFFFFF"/>
            </w:tcBorders>
          </w:tcPr>
          <w:p>
            <w:pPr/>
          </w:p>
        </w:tc>
        <w:tc>
          <w:tcPr>
            <w:tcW w:w="1052" w:type="dxa"/>
            <w:tcBorders>
              <w:top w:val="single" w:sz="4" w:space="0" w:color="000000"/>
              <w:left w:val="single" w:sz="4" w:space="0" w:color="FFFFFF"/>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76"/>
        <w:gridCol w:w="975"/>
        <w:gridCol w:w="1313"/>
        <w:gridCol w:w="1052"/>
        <w:gridCol w:w="852"/>
        <w:gridCol w:w="1114"/>
        <w:gridCol w:w="1095"/>
        <w:gridCol w:w="852"/>
        <w:gridCol w:w="1210"/>
      </w:tblGrid>
      <w:tr>
        <w:trPr>
          <w:trHeight w:val="363" w:hRule="exact"/>
        </w:trPr>
        <w:tc>
          <w:tcPr>
            <w:tcW w:w="1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97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97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18,420.00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18,420.00</w:t>
            </w:r>
          </w:p>
        </w:tc>
      </w:tr>
      <w:tr>
        <w:trPr>
          <w:trHeight w:val="403" w:hRule="exact"/>
        </w:trPr>
        <w:tc>
          <w:tcPr>
            <w:tcW w:w="1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21,518,420.00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5,375,000.00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16,143,420.00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16,143,420.00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0、专项储备" w:id="351"/>
      <w:bookmarkEnd w:id="351"/>
      <w:r>
        <w:rPr>
          <w:b w:val="0"/>
          <w:bCs w:val="0"/>
        </w:rPr>
      </w:r>
      <w:r>
        <w:rPr>
          <w:rFonts w:ascii="Times New Roman" w:hAnsi="Times New Roman" w:cs="Times New Roman" w:eastAsia="Times New Roman" w:hint="default"/>
        </w:rPr>
        <w:t>40</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1,047,409.26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1,356,031.50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2,403,440.76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1,047,409.26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1,356,031.50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2,403,440.76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1、盈余公积" w:id="352"/>
      <w:bookmarkEnd w:id="352"/>
      <w:r>
        <w:rPr>
          <w:b w:val="0"/>
          <w:bCs w:val="0"/>
        </w:rPr>
      </w:r>
      <w:r>
        <w:rPr>
          <w:rFonts w:ascii="Times New Roman" w:hAnsi="Times New Roman" w:cs="Times New Roman" w:eastAsia="Times New Roman" w:hint="default"/>
        </w:rPr>
        <w:t>41</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42,345,939.65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1,686,310.72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44,032,250.37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42,345,939.65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1,686,310.72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44,032,250.37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2、未分配利润" w:id="353"/>
      <w:bookmarkEnd w:id="353"/>
      <w:r>
        <w:rPr>
          <w:b w:val="0"/>
          <w:bCs w:val="0"/>
        </w:rPr>
      </w:r>
      <w:r>
        <w:rPr>
          <w:rFonts w:ascii="Times New Roman" w:hAnsi="Times New Roman" w:cs="Times New Roman" w:eastAsia="Times New Roman" w:hint="default"/>
        </w:rPr>
        <w:t>42</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1,273,386,271.35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927,544,179.89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1,273,386,271.35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927,544,179.89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-936,517,823.35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397,943,111.27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1,686,310.72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9,797,254.12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39,932,624.79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42,303,765.69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295,249,512.49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1,273,386,271.35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3、营业收入和营业成本" w:id="354"/>
      <w:bookmarkEnd w:id="354"/>
      <w:r>
        <w:rPr>
          <w:b w:val="0"/>
          <w:bCs w:val="0"/>
        </w:rPr>
      </w:r>
      <w:r>
        <w:rPr>
          <w:rFonts w:ascii="Times New Roman" w:hAnsi="Times New Roman" w:cs="Times New Roman" w:eastAsia="Times New Roman" w:hint="default"/>
        </w:rPr>
        <w:t>43</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1,914,111,891.87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1,013,662,774.54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2,281,100,404.12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926,611,442.78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5,327,953.68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961,408.90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835,153.14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626,469.17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1,919,439,845.55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1,014,624,183.44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2,281,935,557.26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927,237,911.95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4、税金及附加" w:id="355"/>
      <w:bookmarkEnd w:id="355"/>
      <w:r>
        <w:rPr>
          <w:b w:val="0"/>
          <w:bCs w:val="0"/>
        </w:rPr>
      </w:r>
      <w:r>
        <w:rPr>
          <w:rFonts w:ascii="Times New Roman" w:hAnsi="Times New Roman" w:cs="Times New Roman" w:eastAsia="Times New Roman" w:hint="default"/>
        </w:rPr>
        <w:t>44</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4,954,018.01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9,444,653.80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2,181,439.96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4,815,139.58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1,378,737.88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1,986,192.61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468,455.90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478,217.90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2,331,285.21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2,753,548.11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1,440,727.77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2,157,752.90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4,311.10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12,828,729.73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21,708,206.00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5、销售费用" w:id="356"/>
      <w:bookmarkEnd w:id="356"/>
      <w:r>
        <w:rPr>
          <w:b w:val="0"/>
          <w:bCs w:val="0"/>
        </w:rPr>
      </w:r>
      <w:r>
        <w:rPr>
          <w:rFonts w:ascii="Times New Roman" w:hAnsi="Times New Roman" w:cs="Times New Roman" w:eastAsia="Times New Roman" w:hint="default"/>
        </w:rPr>
        <w:t>45</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43,549,843.70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81,027,051.02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促销推广费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7,743,163.76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21,417,713.04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6,679,152.99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10,730,839.20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3,725,290.29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8,270,553.16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1,444,050.59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4,371,182.59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2,441,356.54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4,061,720.09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售后维保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2,259,035.42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3,976,376.32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1,386,730.97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3,570,627.09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3,316,283.10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2,700,764.14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818,483.00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2,302,946.70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1,040,876.90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255,328.16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116,578.82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4,481.13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234,266.03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741,349.03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74,092,921.56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144,333,059.23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6、管理费用" w:id="357"/>
      <w:bookmarkEnd w:id="357"/>
      <w:r>
        <w:rPr>
          <w:b w:val="0"/>
          <w:bCs w:val="0"/>
        </w:rPr>
      </w:r>
      <w:r>
        <w:rPr>
          <w:rFonts w:ascii="Times New Roman" w:hAnsi="Times New Roman" w:cs="Times New Roman" w:eastAsia="Times New Roman" w:hint="default"/>
        </w:rPr>
        <w:t>46</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57,111,413.21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71,804,173.49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30,293,863.44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35,884,226.74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17,673,398.87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28,971,262.60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15,793,946.37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16,508,758.36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8,352,529.47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9,018,457.04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5,600,797.05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8,839,268.04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5,709,162.66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5,788,007.04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2,802,550.00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3,324,130.75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1,620,403.88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工程专项储备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232,467.56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209,457.40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473,738.47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2,014,252.32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602,223.91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992,624.28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146,852,245.10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182,960,769.62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left="212" w:right="0"/>
        <w:jc w:val="left"/>
        <w:rPr>
          <w:b w:val="0"/>
          <w:bCs w:val="0"/>
        </w:rPr>
      </w:pPr>
      <w:bookmarkStart w:name="47、研发费用" w:id="358"/>
      <w:bookmarkEnd w:id="358"/>
      <w:r>
        <w:rPr>
          <w:b w:val="0"/>
          <w:bCs w:val="0"/>
        </w:rPr>
      </w:r>
      <w:r>
        <w:rPr>
          <w:rFonts w:ascii="Times New Roman" w:hAnsi="Times New Roman" w:cs="Times New Roman" w:eastAsia="Times New Roman" w:hint="default"/>
        </w:rPr>
        <w:t>47</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151,330,211.90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116,687,914.49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36,464,767.40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65,301,004.47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8,400,017.23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8,617,599.12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15,454,050.17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27,850,581.83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211,649,046.70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218,457,099.91</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bookmarkStart w:name="48、财务费用" w:id="359"/>
      <w:bookmarkEnd w:id="359"/>
      <w:r>
        <w:rPr>
          <w:b w:val="0"/>
          <w:bCs w:val="0"/>
        </w:rPr>
      </w:r>
      <w:r>
        <w:rPr>
          <w:rFonts w:ascii="Times New Roman" w:hAnsi="Times New Roman" w:cs="Times New Roman" w:eastAsia="Times New Roman" w:hint="default"/>
        </w:rPr>
        <w:t>48</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175,314,668.13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154,607,694.71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6,338,419.52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5,208,784.60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-4,166,573.73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-48,756.91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12,475,205.50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6,488,523.17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4,918,653.04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9,061,943.44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182,203,533.42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164,900,619.81</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bookmarkStart w:name="49、其他收益" w:id="360"/>
      <w:bookmarkEnd w:id="360"/>
      <w:r>
        <w:rPr>
          <w:b w:val="0"/>
          <w:bCs w:val="0"/>
        </w:rPr>
      </w:r>
      <w:r>
        <w:rPr>
          <w:rFonts w:ascii="Times New Roman" w:hAnsi="Times New Roman" w:cs="Times New Roman" w:eastAsia="Times New Roman" w:hint="default"/>
        </w:rPr>
        <w:t>49</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88,052,201.95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73,827,634.79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97,411.30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493,868.93</w:t>
            </w:r>
          </w:p>
        </w:tc>
      </w:tr>
    </w:tbl>
    <w:p>
      <w:pPr>
        <w:spacing w:before="49"/>
        <w:ind w:left="212" w:right="0" w:firstLine="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676"/>
        <w:gridCol w:w="1277"/>
        <w:gridCol w:w="1274"/>
        <w:gridCol w:w="2069"/>
      </w:tblGrid>
      <w:tr>
        <w:trPr>
          <w:trHeight w:val="677"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578" w:right="556" w:hanging="2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48,008,301.35</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26,586,656.79</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99"/>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年省信息产业发展专项现代化信息服务业</w:t>
            </w:r>
            <w:r>
              <w:rPr>
                <w:rFonts w:ascii="Arial" w:hAnsi="Arial" w:cs="Arial" w:eastAsia="Arial" w:hint="default"/>
                <w:sz w:val="18"/>
                <w:szCs w:val="18"/>
              </w:rPr>
              <w:t>-</w:t>
            </w:r>
            <w:r>
              <w:rPr>
                <w:rFonts w:ascii="宋体" w:hAnsi="宋体" w:cs="宋体" w:eastAsia="宋体" w:hint="default"/>
                <w:sz w:val="18"/>
                <w:szCs w:val="18"/>
              </w:rPr>
              <w:t>云安全技 术公共服务平台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4,000,000.00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广州开发区商务局（黄埔区商务局）领取促进现代服务业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政策补助资助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3,790,000.00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网络安全云服务平台技术改造项目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2,700,079.56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2,700,079.56</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面向云计算的网络应用安全监测审计平台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2,700,000.00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76"/>
        <w:gridCol w:w="1277"/>
        <w:gridCol w:w="1274"/>
        <w:gridCol w:w="2069"/>
      </w:tblGrid>
      <w:tr>
        <w:trPr>
          <w:trHeight w:val="67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578" w:right="556" w:hanging="2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蓝盾大数据安全综合管理平台产业化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1,718,181.80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1,718,181.80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蓝盾工业互联网网络安全态势感知平台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1,700,000.00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面向下一代互联网的协同式安全管理平台技术改造项目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1,550,000.00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基于智能分析的安全运营中心（</w:t>
            </w:r>
            <w:r>
              <w:rPr>
                <w:rFonts w:ascii="Arial" w:hAnsi="Arial" w:cs="Arial" w:eastAsia="Arial" w:hint="default"/>
                <w:sz w:val="18"/>
                <w:szCs w:val="18"/>
              </w:rPr>
              <w:t>soc</w:t>
            </w:r>
            <w:r>
              <w:rPr>
                <w:rFonts w:ascii="宋体" w:hAnsi="宋体" w:cs="宋体" w:eastAsia="宋体" w:hint="default"/>
                <w:sz w:val="18"/>
                <w:szCs w:val="18"/>
              </w:rPr>
              <w:t>）平台研发及产业化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1,186,164.64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1,406,917.68</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40"/>
                <w:w w:val="95"/>
                <w:sz w:val="18"/>
                <w:szCs w:val="18"/>
              </w:rPr>
              <w:t> </w:t>
            </w:r>
            <w:r>
              <w:rPr>
                <w:rFonts w:ascii="宋体" w:hAnsi="宋体" w:cs="宋体" w:eastAsia="宋体" w:hint="default"/>
                <w:w w:val="95"/>
                <w:sz w:val="18"/>
                <w:szCs w:val="18"/>
              </w:rPr>
              <w:t>年度高新技术企业认定通过奖励资金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300,000.00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1,400,000.00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Arial" w:hAnsi="Arial" w:cs="Arial" w:eastAsia="Arial" w:hint="default"/>
                <w:sz w:val="18"/>
                <w:szCs w:val="18"/>
              </w:rPr>
            </w:pPr>
            <w:r>
              <w:rPr>
                <w:rFonts w:ascii="宋体" w:hAnsi="宋体" w:cs="宋体" w:eastAsia="宋体" w:hint="default"/>
                <w:sz w:val="18"/>
                <w:szCs w:val="18"/>
              </w:rPr>
              <w:t>云安全技术公共服务平台</w:t>
            </w:r>
            <w:r>
              <w:rPr>
                <w:rFonts w:ascii="宋体" w:hAnsi="宋体" w:cs="宋体" w:eastAsia="宋体" w:hint="default"/>
                <w:spacing w:val="-62"/>
                <w:sz w:val="18"/>
                <w:szCs w:val="18"/>
              </w:rPr>
              <w:t> </w:t>
            </w:r>
            <w:r>
              <w:rPr>
                <w:rFonts w:ascii="Arial" w:hAnsi="Arial" w:cs="Arial" w:eastAsia="Arial"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1,353,566.37</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宋体" w:hAnsi="宋体" w:cs="宋体" w:eastAsia="宋体" w:hint="default"/>
                <w:sz w:val="18"/>
                <w:szCs w:val="18"/>
              </w:rPr>
              <w:t>面向云计算的网络应用安全监测审计平台产业化</w:t>
            </w:r>
            <w:r>
              <w:rPr>
                <w:rFonts w:ascii="宋体" w:hAnsi="宋体" w:cs="宋体" w:eastAsia="宋体" w:hint="default"/>
                <w:spacing w:val="-62"/>
                <w:sz w:val="18"/>
                <w:szCs w:val="18"/>
              </w:rPr>
              <w:t> </w:t>
            </w:r>
            <w:r>
              <w:rPr>
                <w:rFonts w:ascii="Arial" w:hAnsi="Arial" w:cs="Arial" w:eastAsia="Arial"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1,200,000.00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面向云计算及下一代互联网的异构协同式安全管理平台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1,200,000.00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31"/>
                <w:w w:val="95"/>
                <w:sz w:val="18"/>
                <w:szCs w:val="18"/>
              </w:rPr>
              <w:t> </w:t>
            </w:r>
            <w:r>
              <w:rPr>
                <w:rFonts w:ascii="宋体" w:hAnsi="宋体" w:cs="宋体" w:eastAsia="宋体" w:hint="default"/>
                <w:w w:val="95"/>
                <w:sz w:val="18"/>
                <w:szCs w:val="18"/>
              </w:rPr>
              <w:t>年度广东省企业研究费后补助资金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Arial" w:hAnsi="Arial" w:cs="Arial" w:eastAsia="Arial" w:hint="default"/>
                <w:sz w:val="18"/>
                <w:szCs w:val="18"/>
              </w:rPr>
            </w:pPr>
            <w:r>
              <w:rPr>
                <w:rFonts w:ascii="Arial"/>
                <w:spacing w:val="-1"/>
                <w:w w:val="80"/>
                <w:sz w:val="18"/>
              </w:rPr>
              <w:t>1,149,400.00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蓝盾大数据安全产业园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41"/>
                <w:w w:val="95"/>
                <w:sz w:val="18"/>
                <w:szCs w:val="18"/>
              </w:rPr>
              <w:t> </w:t>
            </w:r>
            <w:r>
              <w:rPr>
                <w:rFonts w:ascii="宋体" w:hAnsi="宋体" w:cs="宋体" w:eastAsia="宋体" w:hint="default"/>
                <w:w w:val="95"/>
                <w:sz w:val="18"/>
                <w:szCs w:val="18"/>
              </w:rPr>
              <w:t>年产业扶持资金</w:t>
            </w:r>
            <w:r>
              <w:rPr>
                <w:rFonts w:ascii="Arial" w:hAnsi="Arial" w:cs="Arial" w:eastAsia="Arial" w:hint="default"/>
                <w:w w:val="95"/>
                <w:sz w:val="18"/>
                <w:szCs w:val="18"/>
              </w:rPr>
              <w:t>-</w:t>
            </w:r>
            <w:r>
              <w:rPr>
                <w:rFonts w:ascii="宋体" w:hAnsi="宋体" w:cs="宋体" w:eastAsia="宋体" w:hint="default"/>
                <w:w w:val="95"/>
                <w:sz w:val="18"/>
                <w:szCs w:val="18"/>
              </w:rPr>
              <w:t>企业贡献奖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1,000,000.00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2"/>
              <w:jc w:val="left"/>
              <w:rPr>
                <w:rFonts w:ascii="宋体" w:hAnsi="宋体" w:cs="宋体" w:eastAsia="宋体" w:hint="default"/>
                <w:sz w:val="18"/>
                <w:szCs w:val="18"/>
              </w:rPr>
            </w:pPr>
            <w:r>
              <w:rPr>
                <w:rFonts w:ascii="Arial" w:hAnsi="Arial" w:cs="Arial" w:eastAsia="Arial" w:hint="default"/>
                <w:w w:val="95"/>
                <w:sz w:val="18"/>
                <w:szCs w:val="18"/>
              </w:rPr>
              <w:t>2018 </w:t>
            </w:r>
            <w:r>
              <w:rPr>
                <w:rFonts w:ascii="宋体" w:hAnsi="宋体" w:cs="宋体" w:eastAsia="宋体" w:hint="default"/>
                <w:spacing w:val="-3"/>
                <w:w w:val="95"/>
                <w:sz w:val="18"/>
                <w:szCs w:val="18"/>
              </w:rPr>
              <w:t>年广州市科技型中小企业技术创新专题项目（创新创</w:t>
            </w:r>
            <w:r>
              <w:rPr>
                <w:rFonts w:ascii="宋体" w:hAnsi="宋体" w:cs="宋体" w:eastAsia="宋体" w:hint="default"/>
                <w:spacing w:val="-64"/>
                <w:w w:val="95"/>
                <w:sz w:val="18"/>
                <w:szCs w:val="18"/>
              </w:rPr>
              <w:t> </w:t>
            </w:r>
            <w:r>
              <w:rPr>
                <w:rFonts w:ascii="宋体" w:hAnsi="宋体" w:cs="宋体" w:eastAsia="宋体" w:hint="default"/>
                <w:spacing w:val="-64"/>
                <w:w w:val="95"/>
                <w:sz w:val="18"/>
                <w:szCs w:val="18"/>
              </w:rPr>
            </w:r>
            <w:r>
              <w:rPr>
                <w:rFonts w:ascii="宋体" w:hAnsi="宋体" w:cs="宋体" w:eastAsia="宋体" w:hint="default"/>
                <w:sz w:val="18"/>
                <w:szCs w:val="18"/>
              </w:rPr>
              <w:t>业大赛）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1,000,000.00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pacing w:val="-4"/>
                <w:w w:val="95"/>
                <w:sz w:val="18"/>
                <w:szCs w:val="18"/>
              </w:rPr>
              <w:t>广州开发区商务局（黄埔商务局）</w:t>
            </w:r>
            <w:r>
              <w:rPr>
                <w:rFonts w:ascii="Arial" w:hAnsi="Arial" w:cs="Arial" w:eastAsia="Arial" w:hint="default"/>
                <w:spacing w:val="-4"/>
                <w:w w:val="95"/>
                <w:sz w:val="18"/>
                <w:szCs w:val="18"/>
              </w:rPr>
              <w:t>2017 </w:t>
            </w:r>
            <w:r>
              <w:rPr>
                <w:rFonts w:ascii="宋体" w:hAnsi="宋体" w:cs="宋体" w:eastAsia="宋体" w:hint="default"/>
                <w:w w:val="95"/>
                <w:sz w:val="18"/>
                <w:szCs w:val="18"/>
              </w:rPr>
              <w:t>年促进现代服务业</w:t>
            </w:r>
            <w:r>
              <w:rPr>
                <w:rFonts w:ascii="宋体" w:hAnsi="宋体" w:cs="宋体" w:eastAsia="宋体" w:hint="default"/>
                <w:spacing w:val="-40"/>
                <w:w w:val="95"/>
                <w:sz w:val="18"/>
                <w:szCs w:val="18"/>
              </w:rPr>
              <w:t> </w:t>
            </w:r>
            <w:r>
              <w:rPr>
                <w:rFonts w:ascii="宋体" w:hAnsi="宋体" w:cs="宋体" w:eastAsia="宋体" w:hint="default"/>
                <w:sz w:val="18"/>
                <w:szCs w:val="18"/>
              </w:rPr>
              <w:t>发展奖励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1,000,000.00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企业研发后补助专项经费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919,200.00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宋体" w:hAnsi="宋体" w:cs="宋体" w:eastAsia="宋体" w:hint="default"/>
                <w:w w:val="95"/>
                <w:sz w:val="18"/>
                <w:szCs w:val="18"/>
              </w:rPr>
              <w:t>面向</w:t>
            </w:r>
            <w:r>
              <w:rPr>
                <w:rFonts w:ascii="宋体" w:hAnsi="宋体" w:cs="宋体" w:eastAsia="宋体" w:hint="default"/>
                <w:spacing w:val="-34"/>
                <w:w w:val="95"/>
                <w:sz w:val="18"/>
                <w:szCs w:val="18"/>
              </w:rPr>
              <w:t> </w:t>
            </w:r>
            <w:r>
              <w:rPr>
                <w:rFonts w:ascii="Arial" w:hAnsi="Arial" w:cs="Arial" w:eastAsia="Arial" w:hint="default"/>
                <w:w w:val="95"/>
                <w:sz w:val="18"/>
                <w:szCs w:val="18"/>
              </w:rPr>
              <w:t>IPv6</w:t>
            </w:r>
            <w:r>
              <w:rPr>
                <w:rFonts w:ascii="Arial" w:hAnsi="Arial" w:cs="Arial" w:eastAsia="Arial" w:hint="default"/>
                <w:spacing w:val="3"/>
                <w:w w:val="95"/>
                <w:sz w:val="18"/>
                <w:szCs w:val="18"/>
              </w:rPr>
              <w:t> </w:t>
            </w:r>
            <w:r>
              <w:rPr>
                <w:rFonts w:ascii="宋体" w:hAnsi="宋体" w:cs="宋体" w:eastAsia="宋体" w:hint="default"/>
                <w:w w:val="95"/>
                <w:sz w:val="18"/>
                <w:szCs w:val="18"/>
              </w:rPr>
              <w:t>网络的高性能</w:t>
            </w:r>
            <w:r>
              <w:rPr>
                <w:rFonts w:ascii="宋体" w:hAnsi="宋体" w:cs="宋体" w:eastAsia="宋体" w:hint="default"/>
                <w:spacing w:val="-35"/>
                <w:w w:val="95"/>
                <w:sz w:val="18"/>
                <w:szCs w:val="18"/>
              </w:rPr>
              <w:t> </w:t>
            </w:r>
            <w:r>
              <w:rPr>
                <w:rFonts w:ascii="Arial" w:hAnsi="Arial" w:cs="Arial" w:eastAsia="Arial" w:hint="default"/>
                <w:w w:val="95"/>
                <w:sz w:val="18"/>
                <w:szCs w:val="18"/>
              </w:rPr>
              <w:t>UTM</w:t>
            </w:r>
            <w:r>
              <w:rPr>
                <w:rFonts w:ascii="Arial" w:hAnsi="Arial" w:cs="Arial" w:eastAsia="Arial" w:hint="default"/>
                <w:spacing w:val="3"/>
                <w:w w:val="95"/>
                <w:sz w:val="18"/>
                <w:szCs w:val="18"/>
              </w:rPr>
              <w:t> </w:t>
            </w:r>
            <w:r>
              <w:rPr>
                <w:rFonts w:ascii="宋体" w:hAnsi="宋体" w:cs="宋体" w:eastAsia="宋体" w:hint="default"/>
                <w:w w:val="95"/>
                <w:sz w:val="18"/>
                <w:szCs w:val="18"/>
              </w:rPr>
              <w:t>系统开发及产业化</w:t>
            </w:r>
            <w:r>
              <w:rPr>
                <w:rFonts w:ascii="宋体" w:hAnsi="宋体" w:cs="宋体" w:eastAsia="宋体" w:hint="default"/>
                <w:spacing w:val="-34"/>
                <w:w w:val="95"/>
                <w:sz w:val="18"/>
                <w:szCs w:val="18"/>
              </w:rPr>
              <w:t> </w:t>
            </w:r>
            <w:r>
              <w:rPr>
                <w:rFonts w:ascii="Arial" w:hAnsi="Arial" w:cs="Arial" w:eastAsia="Arial" w:hint="default"/>
                <w:w w:val="95"/>
                <w:sz w:val="18"/>
                <w:szCs w:val="18"/>
              </w:rPr>
              <w:t>2</w:t>
            </w:r>
            <w:r>
              <w:rPr>
                <w:rFonts w:ascii="Arial" w:hAnsi="Arial" w:cs="Arial" w:eastAsia="Arial"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800,000.00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800,000.00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Arial" w:hAnsi="Arial" w:cs="Arial" w:eastAsia="Arial" w:hint="default"/>
                <w:sz w:val="18"/>
                <w:szCs w:val="18"/>
              </w:rPr>
            </w:pPr>
            <w:r>
              <w:rPr>
                <w:rFonts w:ascii="宋体" w:hAnsi="宋体" w:cs="宋体" w:eastAsia="宋体" w:hint="default"/>
                <w:sz w:val="18"/>
                <w:szCs w:val="18"/>
              </w:rPr>
              <w:t>面向云计算的网络应用安全监测审计平台产业化</w:t>
            </w:r>
            <w:r>
              <w:rPr>
                <w:rFonts w:ascii="宋体" w:hAnsi="宋体" w:cs="宋体" w:eastAsia="宋体" w:hint="default"/>
                <w:spacing w:val="-62"/>
                <w:sz w:val="18"/>
                <w:szCs w:val="18"/>
              </w:rPr>
              <w:t> </w:t>
            </w:r>
            <w:r>
              <w:rPr>
                <w:rFonts w:ascii="Arial" w:hAnsi="Arial" w:cs="Arial" w:eastAsia="Arial"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333,333.34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800,000.00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宋体" w:hAnsi="宋体" w:cs="宋体" w:eastAsia="宋体" w:hint="default"/>
                <w:w w:val="95"/>
                <w:sz w:val="18"/>
                <w:szCs w:val="18"/>
              </w:rPr>
              <w:t>面向</w:t>
            </w:r>
            <w:r>
              <w:rPr>
                <w:rFonts w:ascii="宋体" w:hAnsi="宋体" w:cs="宋体" w:eastAsia="宋体" w:hint="default"/>
                <w:spacing w:val="-34"/>
                <w:w w:val="95"/>
                <w:sz w:val="18"/>
                <w:szCs w:val="18"/>
              </w:rPr>
              <w:t> </w:t>
            </w:r>
            <w:r>
              <w:rPr>
                <w:rFonts w:ascii="Arial" w:hAnsi="Arial" w:cs="Arial" w:eastAsia="Arial" w:hint="default"/>
                <w:w w:val="95"/>
                <w:sz w:val="18"/>
                <w:szCs w:val="18"/>
              </w:rPr>
              <w:t>IPv6</w:t>
            </w:r>
            <w:r>
              <w:rPr>
                <w:rFonts w:ascii="Arial" w:hAnsi="Arial" w:cs="Arial" w:eastAsia="Arial" w:hint="default"/>
                <w:spacing w:val="3"/>
                <w:w w:val="95"/>
                <w:sz w:val="18"/>
                <w:szCs w:val="18"/>
              </w:rPr>
              <w:t> </w:t>
            </w:r>
            <w:r>
              <w:rPr>
                <w:rFonts w:ascii="宋体" w:hAnsi="宋体" w:cs="宋体" w:eastAsia="宋体" w:hint="default"/>
                <w:w w:val="95"/>
                <w:sz w:val="18"/>
                <w:szCs w:val="18"/>
              </w:rPr>
              <w:t>网络的高性能</w:t>
            </w:r>
            <w:r>
              <w:rPr>
                <w:rFonts w:ascii="宋体" w:hAnsi="宋体" w:cs="宋体" w:eastAsia="宋体" w:hint="default"/>
                <w:spacing w:val="-35"/>
                <w:w w:val="95"/>
                <w:sz w:val="18"/>
                <w:szCs w:val="18"/>
              </w:rPr>
              <w:t> </w:t>
            </w:r>
            <w:r>
              <w:rPr>
                <w:rFonts w:ascii="Arial" w:hAnsi="Arial" w:cs="Arial" w:eastAsia="Arial" w:hint="default"/>
                <w:w w:val="95"/>
                <w:sz w:val="18"/>
                <w:szCs w:val="18"/>
              </w:rPr>
              <w:t>UTM</w:t>
            </w:r>
            <w:r>
              <w:rPr>
                <w:rFonts w:ascii="Arial" w:hAnsi="Arial" w:cs="Arial" w:eastAsia="Arial" w:hint="default"/>
                <w:spacing w:val="3"/>
                <w:w w:val="95"/>
                <w:sz w:val="18"/>
                <w:szCs w:val="18"/>
              </w:rPr>
              <w:t> </w:t>
            </w:r>
            <w:r>
              <w:rPr>
                <w:rFonts w:ascii="宋体" w:hAnsi="宋体" w:cs="宋体" w:eastAsia="宋体" w:hint="default"/>
                <w:w w:val="95"/>
                <w:sz w:val="18"/>
                <w:szCs w:val="18"/>
              </w:rPr>
              <w:t>系统开发及产业化</w:t>
            </w:r>
            <w:r>
              <w:rPr>
                <w:rFonts w:ascii="宋体" w:hAnsi="宋体" w:cs="宋体" w:eastAsia="宋体" w:hint="default"/>
                <w:spacing w:val="-34"/>
                <w:w w:val="95"/>
                <w:sz w:val="18"/>
                <w:szCs w:val="18"/>
              </w:rPr>
              <w:t> </w:t>
            </w:r>
            <w:r>
              <w:rPr>
                <w:rFonts w:ascii="Arial" w:hAnsi="Arial" w:cs="Arial" w:eastAsia="Arial" w:hint="default"/>
                <w:w w:val="95"/>
                <w:sz w:val="18"/>
                <w:szCs w:val="18"/>
              </w:rPr>
              <w:t>1</w:t>
            </w:r>
            <w:r>
              <w:rPr>
                <w:rFonts w:ascii="Arial" w:hAnsi="Arial" w:cs="Arial" w:eastAsia="Arial"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200,000.00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800,000.00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广州市科技创新委员会技术创新标杆企业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745,200.00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蓝盾网络安全态势感知与情报监管平台研发及产业化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1,449,000.00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603,750.00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新型研发机构新购科研仪器设备补助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3"/>
                <w:w w:val="80"/>
                <w:sz w:val="18"/>
              </w:rPr>
              <w:t>602,119.64</w:t>
            </w:r>
            <w:r>
              <w:rPr>
                <w:rFonts w:ascii="Arial"/>
                <w:spacing w:val="-3"/>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Arial" w:hAnsi="Arial" w:cs="Arial" w:eastAsia="Arial" w:hint="default"/>
                <w:sz w:val="18"/>
                <w:szCs w:val="18"/>
              </w:rPr>
            </w:pPr>
            <w:r>
              <w:rPr>
                <w:rFonts w:ascii="Arial"/>
                <w:spacing w:val="-3"/>
                <w:w w:val="80"/>
                <w:sz w:val="18"/>
              </w:rPr>
              <w:t>602,119.64</w:t>
            </w:r>
            <w:r>
              <w:rPr>
                <w:rFonts w:ascii="Arial"/>
                <w:spacing w:val="-3"/>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中经油马创新电子商务车主移动服务平台科技经费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87,103.52</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600,000.00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w w:val="95"/>
                <w:sz w:val="18"/>
                <w:szCs w:val="18"/>
              </w:rPr>
              <w:t>收 </w:t>
            </w:r>
            <w:r>
              <w:rPr>
                <w:rFonts w:ascii="Arial" w:hAnsi="Arial" w:cs="Arial" w:eastAsia="Arial" w:hint="default"/>
                <w:w w:val="95"/>
                <w:sz w:val="18"/>
                <w:szCs w:val="18"/>
              </w:rPr>
              <w:t>2017</w:t>
            </w:r>
            <w:r>
              <w:rPr>
                <w:rFonts w:ascii="Arial" w:hAnsi="Arial" w:cs="Arial" w:eastAsia="Arial" w:hint="default"/>
                <w:spacing w:val="46"/>
                <w:w w:val="95"/>
                <w:sz w:val="18"/>
                <w:szCs w:val="18"/>
              </w:rPr>
              <w:t> </w:t>
            </w:r>
            <w:r>
              <w:rPr>
                <w:rFonts w:ascii="宋体" w:hAnsi="宋体" w:cs="宋体" w:eastAsia="宋体" w:hint="default"/>
                <w:w w:val="95"/>
                <w:sz w:val="18"/>
                <w:szCs w:val="18"/>
              </w:rPr>
              <w:t>年度省企业研究开发省级财政补助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552,200.00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3"/>
              <w:jc w:val="left"/>
              <w:rPr>
                <w:rFonts w:ascii="宋体" w:hAnsi="宋体" w:cs="宋体" w:eastAsia="宋体" w:hint="default"/>
                <w:sz w:val="18"/>
                <w:szCs w:val="18"/>
              </w:rPr>
            </w:pPr>
            <w:r>
              <w:rPr>
                <w:rFonts w:ascii="宋体" w:hAnsi="宋体" w:cs="宋体" w:eastAsia="宋体" w:hint="default"/>
                <w:spacing w:val="5"/>
                <w:sz w:val="18"/>
                <w:szCs w:val="18"/>
              </w:rPr>
              <w:t>面向下一代互联网的异构协同式安全管理平台研究及产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669,333.32</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549,333.32</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5"/>
                <w:sz w:val="18"/>
                <w:szCs w:val="18"/>
              </w:rPr>
              <w:t>基于汽车后市场消费行为协同服务链云平台的关键技术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研发及应用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514,593.60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514,593.62</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pacing w:val="-3"/>
                <w:w w:val="95"/>
                <w:sz w:val="18"/>
                <w:szCs w:val="18"/>
              </w:rPr>
              <w:t>广州开发区科技创新局（黄埔区科技局）</w:t>
            </w:r>
            <w:r>
              <w:rPr>
                <w:rFonts w:ascii="Arial" w:hAnsi="Arial" w:cs="Arial" w:eastAsia="Arial" w:hint="default"/>
                <w:spacing w:val="-3"/>
                <w:w w:val="95"/>
                <w:sz w:val="18"/>
                <w:szCs w:val="18"/>
              </w:rPr>
              <w:t>2018 </w:t>
            </w:r>
            <w:r>
              <w:rPr>
                <w:rFonts w:ascii="宋体" w:hAnsi="宋体" w:cs="宋体" w:eastAsia="宋体" w:hint="default"/>
                <w:w w:val="95"/>
                <w:sz w:val="18"/>
                <w:szCs w:val="18"/>
              </w:rPr>
              <w:t>年度瞪羚专</w:t>
            </w:r>
            <w:r>
              <w:rPr>
                <w:rFonts w:ascii="宋体" w:hAnsi="宋体" w:cs="宋体" w:eastAsia="宋体" w:hint="default"/>
                <w:spacing w:val="-54"/>
                <w:w w:val="95"/>
                <w:sz w:val="18"/>
                <w:szCs w:val="18"/>
              </w:rPr>
              <w:t> </w:t>
            </w:r>
            <w:r>
              <w:rPr>
                <w:rFonts w:ascii="宋体" w:hAnsi="宋体" w:cs="宋体" w:eastAsia="宋体" w:hint="default"/>
                <w:sz w:val="18"/>
                <w:szCs w:val="18"/>
              </w:rPr>
              <w:t>项扶持资金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500,000.00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翔安区装修补贴款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492,857.14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492,857.16</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广东省大数据安全与测试（蓝盾）工程技术研究中心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542,530.60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490,205.00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41"/>
                <w:w w:val="95"/>
                <w:sz w:val="18"/>
                <w:szCs w:val="18"/>
              </w:rPr>
              <w:t> </w:t>
            </w:r>
            <w:r>
              <w:rPr>
                <w:rFonts w:ascii="宋体" w:hAnsi="宋体" w:cs="宋体" w:eastAsia="宋体" w:hint="default"/>
                <w:w w:val="95"/>
                <w:sz w:val="18"/>
                <w:szCs w:val="18"/>
              </w:rPr>
              <w:t>年企业研究开发资助资金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482,000.00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5"/>
                <w:sz w:val="18"/>
                <w:szCs w:val="18"/>
              </w:rPr>
              <w:t>广州天河软件园促进园区优势产业发展奖励科技项目资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480,000.00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76"/>
        <w:gridCol w:w="1277"/>
        <w:gridCol w:w="1274"/>
        <w:gridCol w:w="2069"/>
      </w:tblGrid>
      <w:tr>
        <w:trPr>
          <w:trHeight w:val="67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578" w:right="556" w:hanging="2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362"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金配套</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5"/>
                <w:sz w:val="18"/>
                <w:szCs w:val="18"/>
              </w:rPr>
              <w:t>基于大数据技术的网络安全态势感知与协同防护平台研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发及产业化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573,333.32</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429,999.99</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蓝盾网络安全云平台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400,000.00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面向中小企业信息安全技术公共服务平台项目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652,173.96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380,434.81</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面向云计算及下一代互联网的异构协同式安全管理平台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1,232,653.08</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352,653.08</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收广州市越秀区科技工业和信息化局</w:t>
            </w:r>
            <w:r>
              <w:rPr>
                <w:rFonts w:ascii="宋体" w:hAnsi="宋体" w:cs="宋体" w:eastAsia="宋体" w:hint="default"/>
                <w:spacing w:val="-38"/>
                <w:sz w:val="18"/>
                <w:szCs w:val="18"/>
              </w:rPr>
              <w:t> </w:t>
            </w:r>
            <w:r>
              <w:rPr>
                <w:rFonts w:ascii="Arial" w:hAnsi="Arial" w:cs="Arial" w:eastAsia="Arial" w:hint="default"/>
                <w:sz w:val="18"/>
                <w:szCs w:val="18"/>
              </w:rPr>
              <w:t>2018 </w:t>
            </w:r>
            <w:r>
              <w:rPr>
                <w:rFonts w:ascii="宋体" w:hAnsi="宋体" w:cs="宋体" w:eastAsia="宋体" w:hint="default"/>
                <w:sz w:val="18"/>
                <w:szCs w:val="18"/>
              </w:rPr>
              <w:t>年区科技项目 </w:t>
            </w:r>
            <w:r>
              <w:rPr>
                <w:rFonts w:ascii="宋体" w:hAnsi="宋体" w:cs="宋体" w:eastAsia="宋体" w:hint="default"/>
                <w:w w:val="95"/>
                <w:sz w:val="18"/>
                <w:szCs w:val="18"/>
              </w:rPr>
              <w:t>经费（</w:t>
            </w:r>
            <w:r>
              <w:rPr>
                <w:rFonts w:ascii="Arial" w:hAnsi="Arial" w:cs="Arial" w:eastAsia="Arial" w:hint="default"/>
                <w:w w:val="95"/>
                <w:sz w:val="18"/>
                <w:szCs w:val="18"/>
              </w:rPr>
              <w:t>YF020  </w:t>
            </w:r>
            <w:r>
              <w:rPr>
                <w:rFonts w:ascii="Arial" w:hAnsi="Arial" w:cs="Arial" w:eastAsia="Arial" w:hint="default"/>
                <w:spacing w:val="12"/>
                <w:w w:val="95"/>
                <w:sz w:val="18"/>
                <w:szCs w:val="18"/>
              </w:rPr>
              <w:t> </w:t>
            </w:r>
            <w:r>
              <w:rPr>
                <w:rFonts w:ascii="宋体" w:hAnsi="宋体" w:cs="宋体" w:eastAsia="宋体" w:hint="default"/>
                <w:w w:val="95"/>
                <w:sz w:val="18"/>
                <w:szCs w:val="18"/>
              </w:rPr>
              <w:t>高脉冲超复杂环境智能电源保护系统）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350,000.00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242,882.62</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Arial" w:hAnsi="Arial" w:cs="Arial" w:eastAsia="Arial" w:hint="default"/>
                <w:sz w:val="18"/>
                <w:szCs w:val="18"/>
              </w:rPr>
            </w:pPr>
            <w:r>
              <w:rPr>
                <w:rFonts w:ascii="Arial"/>
                <w:spacing w:val="-3"/>
                <w:w w:val="80"/>
                <w:sz w:val="18"/>
              </w:rPr>
              <w:t>305,110.14</w:t>
            </w:r>
            <w:r>
              <w:rPr>
                <w:rFonts w:ascii="Arial"/>
                <w:spacing w:val="-3"/>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2"/>
                <w:w w:val="95"/>
                <w:sz w:val="18"/>
                <w:szCs w:val="18"/>
              </w:rPr>
              <w:t> </w:t>
            </w:r>
            <w:r>
              <w:rPr>
                <w:rFonts w:ascii="宋体" w:hAnsi="宋体" w:cs="宋体" w:eastAsia="宋体" w:hint="default"/>
                <w:w w:val="95"/>
                <w:sz w:val="18"/>
                <w:szCs w:val="18"/>
              </w:rPr>
              <w:t>年高新技术企业培育库拟入库通过奖励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300,000.00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31"/>
                <w:w w:val="95"/>
                <w:sz w:val="18"/>
                <w:szCs w:val="18"/>
              </w:rPr>
              <w:t> </w:t>
            </w:r>
            <w:r>
              <w:rPr>
                <w:rFonts w:ascii="宋体" w:hAnsi="宋体" w:cs="宋体" w:eastAsia="宋体" w:hint="default"/>
                <w:w w:val="95"/>
                <w:sz w:val="18"/>
                <w:szCs w:val="18"/>
              </w:rPr>
              <w:t>年标准化战略资助资金项目的费用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285,545.60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2"/>
                <w:w w:val="95"/>
                <w:sz w:val="18"/>
                <w:szCs w:val="18"/>
              </w:rPr>
              <w:t> </w:t>
            </w:r>
            <w:r>
              <w:rPr>
                <w:rFonts w:ascii="宋体" w:hAnsi="宋体" w:cs="宋体" w:eastAsia="宋体" w:hint="default"/>
                <w:w w:val="95"/>
                <w:sz w:val="18"/>
                <w:szCs w:val="18"/>
              </w:rPr>
              <w:t>年成都市重点项目后补助经费专项资金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250,000.00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5"/>
                <w:sz w:val="18"/>
                <w:szCs w:val="18"/>
              </w:rPr>
              <w:t>广州市工业和信息化委员会面向传统零售企业的汇通宝</w:t>
            </w:r>
          </w:p>
          <w:p>
            <w:pPr>
              <w:pStyle w:val="TableParagraph"/>
              <w:spacing w:line="240" w:lineRule="auto" w:before="76"/>
              <w:ind w:left="103" w:right="0"/>
              <w:jc w:val="left"/>
              <w:rPr>
                <w:rFonts w:ascii="宋体" w:hAnsi="宋体" w:cs="宋体" w:eastAsia="宋体" w:hint="default"/>
                <w:sz w:val="18"/>
                <w:szCs w:val="18"/>
              </w:rPr>
            </w:pPr>
            <w:r>
              <w:rPr>
                <w:rFonts w:ascii="Arial" w:hAnsi="Arial" w:cs="Arial" w:eastAsia="Arial" w:hint="default"/>
                <w:w w:val="95"/>
                <w:sz w:val="18"/>
                <w:szCs w:val="18"/>
              </w:rPr>
              <w:t>O2O</w:t>
            </w:r>
            <w:r>
              <w:rPr>
                <w:rFonts w:ascii="Arial" w:hAnsi="Arial" w:cs="Arial" w:eastAsia="Arial" w:hint="default"/>
                <w:spacing w:val="1"/>
                <w:w w:val="95"/>
                <w:sz w:val="18"/>
                <w:szCs w:val="18"/>
              </w:rPr>
              <w:t> </w:t>
            </w:r>
            <w:r>
              <w:rPr>
                <w:rFonts w:ascii="宋体" w:hAnsi="宋体" w:cs="宋体" w:eastAsia="宋体" w:hint="default"/>
                <w:w w:val="95"/>
                <w:sz w:val="18"/>
                <w:szCs w:val="18"/>
              </w:rPr>
              <w:t>电子平台项目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240,000.00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240,000.00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13"/>
                <w:w w:val="95"/>
                <w:sz w:val="18"/>
                <w:szCs w:val="18"/>
              </w:rPr>
              <w:t> </w:t>
            </w:r>
            <w:r>
              <w:rPr>
                <w:rFonts w:ascii="宋体" w:hAnsi="宋体" w:cs="宋体" w:eastAsia="宋体" w:hint="default"/>
                <w:w w:val="95"/>
                <w:sz w:val="18"/>
                <w:szCs w:val="18"/>
              </w:rPr>
              <w:t>年标准化战略资助资金的费用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214,159.20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11"/>
                <w:w w:val="95"/>
                <w:sz w:val="18"/>
                <w:szCs w:val="18"/>
              </w:rPr>
              <w:t> </w:t>
            </w:r>
            <w:r>
              <w:rPr>
                <w:rFonts w:ascii="宋体" w:hAnsi="宋体" w:cs="宋体" w:eastAsia="宋体" w:hint="default"/>
                <w:w w:val="95"/>
                <w:sz w:val="18"/>
                <w:szCs w:val="18"/>
              </w:rPr>
              <w:t>年一季度规模以上软件企业营收增长支持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188,800.00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200,500.00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2014  </w:t>
            </w:r>
            <w:r>
              <w:rPr>
                <w:rFonts w:ascii="Arial" w:hAnsi="Arial" w:cs="Arial" w:eastAsia="Arial" w:hint="default"/>
                <w:spacing w:val="10"/>
                <w:w w:val="95"/>
                <w:sz w:val="18"/>
                <w:szCs w:val="18"/>
              </w:rPr>
              <w:t> </w:t>
            </w:r>
            <w:r>
              <w:rPr>
                <w:rFonts w:ascii="宋体" w:hAnsi="宋体" w:cs="宋体" w:eastAsia="宋体" w:hint="default"/>
                <w:w w:val="95"/>
                <w:sz w:val="18"/>
                <w:szCs w:val="18"/>
              </w:rPr>
              <w:t>年创新平台专项拟入库项目</w:t>
            </w:r>
            <w:r>
              <w:rPr>
                <w:rFonts w:ascii="Arial" w:hAnsi="Arial" w:cs="Arial" w:eastAsia="Arial" w:hint="default"/>
                <w:w w:val="95"/>
                <w:sz w:val="18"/>
                <w:szCs w:val="18"/>
              </w:rPr>
              <w:t>-</w:t>
            </w:r>
            <w:r>
              <w:rPr>
                <w:rFonts w:ascii="宋体" w:hAnsi="宋体" w:cs="宋体" w:eastAsia="宋体" w:hint="default"/>
                <w:w w:val="95"/>
                <w:sz w:val="18"/>
                <w:szCs w:val="18"/>
              </w:rPr>
              <w:t>企业研究院试点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38"/>
                <w:w w:val="95"/>
                <w:sz w:val="18"/>
                <w:szCs w:val="18"/>
              </w:rPr>
              <w:t> </w:t>
            </w:r>
            <w:r>
              <w:rPr>
                <w:rFonts w:ascii="宋体" w:hAnsi="宋体" w:cs="宋体" w:eastAsia="宋体" w:hint="default"/>
                <w:w w:val="95"/>
                <w:sz w:val="18"/>
                <w:szCs w:val="18"/>
              </w:rPr>
              <w:t>年广州市科技型中小企业技术创新专题补助资金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99"/>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年度省级现代服务业发展引导专项资金</w:t>
            </w:r>
            <w:r>
              <w:rPr>
                <w:rFonts w:ascii="Arial" w:hAnsi="Arial" w:cs="Arial" w:eastAsia="Arial" w:hint="default"/>
                <w:sz w:val="18"/>
                <w:szCs w:val="18"/>
              </w:rPr>
              <w:t>-</w:t>
            </w:r>
            <w:r>
              <w:rPr>
                <w:rFonts w:ascii="宋体" w:hAnsi="宋体" w:cs="宋体" w:eastAsia="宋体" w:hint="default"/>
                <w:sz w:val="18"/>
                <w:szCs w:val="18"/>
              </w:rPr>
              <w:t>云安全技术 公共服务平台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174,166.71</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2014 </w:t>
            </w:r>
            <w:r>
              <w:rPr>
                <w:rFonts w:ascii="Arial" w:hAnsi="Arial" w:cs="Arial" w:eastAsia="Arial" w:hint="default"/>
                <w:spacing w:val="12"/>
                <w:w w:val="95"/>
                <w:sz w:val="18"/>
                <w:szCs w:val="18"/>
              </w:rPr>
              <w:t> </w:t>
            </w:r>
            <w:r>
              <w:rPr>
                <w:rFonts w:ascii="宋体" w:hAnsi="宋体" w:cs="宋体" w:eastAsia="宋体" w:hint="default"/>
                <w:w w:val="95"/>
                <w:sz w:val="18"/>
                <w:szCs w:val="18"/>
              </w:rPr>
              <w:t>年度园区产业扶持资金</w:t>
            </w:r>
            <w:r>
              <w:rPr>
                <w:rFonts w:ascii="Arial" w:hAnsi="Arial" w:cs="Arial" w:eastAsia="Arial" w:hint="default"/>
                <w:w w:val="95"/>
                <w:sz w:val="18"/>
                <w:szCs w:val="18"/>
              </w:rPr>
              <w:t>-</w:t>
            </w:r>
            <w:r>
              <w:rPr>
                <w:rFonts w:ascii="宋体" w:hAnsi="宋体" w:cs="宋体" w:eastAsia="宋体" w:hint="default"/>
                <w:w w:val="95"/>
                <w:sz w:val="18"/>
                <w:szCs w:val="18"/>
              </w:rPr>
              <w:t>蓝盾信息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161,880.36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161,880.36</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2017  </w:t>
            </w:r>
            <w:r>
              <w:rPr>
                <w:rFonts w:ascii="宋体" w:hAnsi="宋体" w:cs="宋体" w:eastAsia="宋体" w:hint="default"/>
                <w:spacing w:val="49"/>
                <w:sz w:val="18"/>
                <w:szCs w:val="18"/>
              </w:rPr>
              <w:t>广东省企业研究开</w:t>
            </w:r>
            <w:r>
              <w:rPr>
                <w:rFonts w:ascii="宋体" w:hAnsi="宋体" w:cs="宋体" w:eastAsia="宋体" w:hint="default"/>
                <w:spacing w:val="-46"/>
                <w:sz w:val="18"/>
                <w:szCs w:val="18"/>
              </w:rPr>
              <w:t> </w:t>
            </w:r>
            <w:r>
              <w:rPr>
                <w:rFonts w:ascii="宋体" w:hAnsi="宋体" w:cs="宋体" w:eastAsia="宋体" w:hint="default"/>
                <w:spacing w:val="50"/>
                <w:sz w:val="18"/>
                <w:szCs w:val="18"/>
              </w:rPr>
              <w:t>发省级财政补助资金</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40" w:lineRule="auto" w:before="110"/>
              <w:ind w:left="103" w:right="0"/>
              <w:jc w:val="left"/>
              <w:rPr>
                <w:rFonts w:ascii="Arial" w:hAnsi="Arial" w:cs="Arial" w:eastAsia="Arial" w:hint="default"/>
                <w:sz w:val="18"/>
                <w:szCs w:val="18"/>
              </w:rPr>
            </w:pPr>
            <w:r>
              <w:rPr>
                <w:rFonts w:ascii="Arial"/>
                <w:w w:val="90"/>
                <w:sz w:val="18"/>
              </w:rPr>
              <w:t>(XM-10019A1000000009US8I)</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153,200.00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基于三维互动的中小学生安全应急宣教软件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142,930.32</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142,930.32</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浦东新区“十二五”财政扶持资金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135,000.00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11"/>
                <w:w w:val="95"/>
                <w:sz w:val="18"/>
                <w:szCs w:val="18"/>
              </w:rPr>
              <w:t> </w:t>
            </w:r>
            <w:r>
              <w:rPr>
                <w:rFonts w:ascii="宋体" w:hAnsi="宋体" w:cs="宋体" w:eastAsia="宋体" w:hint="default"/>
                <w:w w:val="95"/>
                <w:sz w:val="18"/>
                <w:szCs w:val="18"/>
              </w:rPr>
              <w:t>年广东省企业研究开发省级财政补助资金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3"/>
                <w:w w:val="80"/>
                <w:sz w:val="18"/>
              </w:rPr>
              <w:t>119,000.00</w:t>
            </w:r>
            <w:r>
              <w:rPr>
                <w:rFonts w:ascii="Arial"/>
                <w:spacing w:val="-3"/>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土地返还款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3"/>
                <w:w w:val="80"/>
                <w:sz w:val="18"/>
              </w:rPr>
              <w:t>110,442.60</w:t>
            </w:r>
            <w:r>
              <w:rPr>
                <w:rFonts w:ascii="Arial"/>
                <w:spacing w:val="-3"/>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3"/>
                <w:w w:val="80"/>
                <w:sz w:val="18"/>
              </w:rPr>
              <w:t>110,442.60</w:t>
            </w:r>
            <w:r>
              <w:rPr>
                <w:rFonts w:ascii="Arial"/>
                <w:spacing w:val="-3"/>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活动建设费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3,000.00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103,800.00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2014 </w:t>
            </w:r>
            <w:r>
              <w:rPr>
                <w:rFonts w:ascii="宋体" w:hAnsi="宋体" w:cs="宋体" w:eastAsia="宋体" w:hint="default"/>
                <w:w w:val="95"/>
                <w:sz w:val="18"/>
                <w:szCs w:val="18"/>
              </w:rPr>
              <w:t>年南沙区科技项目（汇通宝 </w:t>
            </w:r>
            <w:r>
              <w:rPr>
                <w:rFonts w:ascii="Arial" w:hAnsi="Arial" w:cs="Arial" w:eastAsia="Arial" w:hint="default"/>
                <w:spacing w:val="-9"/>
                <w:w w:val="95"/>
                <w:sz w:val="18"/>
                <w:szCs w:val="18"/>
              </w:rPr>
              <w:t>MPAY</w:t>
            </w:r>
            <w:r>
              <w:rPr>
                <w:rFonts w:ascii="Arial" w:hAnsi="Arial" w:cs="Arial" w:eastAsia="Arial" w:hint="default"/>
                <w:spacing w:val="-2"/>
                <w:w w:val="95"/>
                <w:sz w:val="18"/>
                <w:szCs w:val="18"/>
              </w:rPr>
              <w:t> </w:t>
            </w:r>
            <w:r>
              <w:rPr>
                <w:rFonts w:ascii="宋体" w:hAnsi="宋体" w:cs="宋体" w:eastAsia="宋体" w:hint="default"/>
                <w:w w:val="95"/>
                <w:sz w:val="18"/>
                <w:szCs w:val="18"/>
              </w:rPr>
              <w:t>支付平台）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102,439.08</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102,439.05</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网络在线教育互动一体化综合培训服务平台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294,812.23</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101,078.52</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广州开发区知识产权局（黄埔区知识产权局）贯标认证资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基于多假设目标关联算法的新型船舶交管雷达的研发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海淀区胚芽企业专项资金支持项目材料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76"/>
        <w:gridCol w:w="1277"/>
        <w:gridCol w:w="1274"/>
        <w:gridCol w:w="2069"/>
      </w:tblGrid>
      <w:tr>
        <w:trPr>
          <w:trHeight w:val="67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578" w:right="556" w:hanging="2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13"/>
                <w:w w:val="95"/>
                <w:sz w:val="18"/>
                <w:szCs w:val="18"/>
              </w:rPr>
              <w:t> </w:t>
            </w:r>
            <w:r>
              <w:rPr>
                <w:rFonts w:ascii="宋体" w:hAnsi="宋体" w:cs="宋体" w:eastAsia="宋体" w:hint="default"/>
                <w:w w:val="95"/>
                <w:sz w:val="18"/>
                <w:szCs w:val="18"/>
              </w:rPr>
              <w:t>年度中关村雏鹰人才支持资金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4"/>
                <w:w w:val="95"/>
                <w:sz w:val="18"/>
                <w:szCs w:val="18"/>
              </w:rPr>
              <w:t> </w:t>
            </w:r>
            <w:r>
              <w:rPr>
                <w:rFonts w:ascii="宋体" w:hAnsi="宋体" w:cs="宋体" w:eastAsia="宋体" w:hint="default"/>
                <w:w w:val="95"/>
                <w:sz w:val="18"/>
                <w:szCs w:val="18"/>
              </w:rPr>
              <w:t>年高新技术企业新认定奖励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广州开发区科技创新委员会</w:t>
            </w:r>
            <w:r>
              <w:rPr>
                <w:rFonts w:ascii="宋体" w:hAnsi="宋体" w:cs="宋体" w:eastAsia="宋体" w:hint="default"/>
                <w:spacing w:val="-39"/>
                <w:sz w:val="18"/>
                <w:szCs w:val="18"/>
              </w:rPr>
              <w:t> </w:t>
            </w:r>
            <w:r>
              <w:rPr>
                <w:rFonts w:ascii="Arial" w:hAnsi="Arial" w:cs="Arial" w:eastAsia="Arial" w:hint="default"/>
                <w:sz w:val="18"/>
                <w:szCs w:val="18"/>
              </w:rPr>
              <w:t>2018</w:t>
            </w:r>
            <w:r>
              <w:rPr>
                <w:rFonts w:ascii="Arial" w:hAnsi="Arial" w:cs="Arial" w:eastAsia="Arial" w:hint="default"/>
                <w:spacing w:val="1"/>
                <w:sz w:val="18"/>
                <w:szCs w:val="18"/>
              </w:rPr>
              <w:t> </w:t>
            </w:r>
            <w:r>
              <w:rPr>
                <w:rFonts w:ascii="宋体" w:hAnsi="宋体" w:cs="宋体" w:eastAsia="宋体" w:hint="default"/>
                <w:sz w:val="18"/>
                <w:szCs w:val="18"/>
              </w:rPr>
              <w:t>年中经汇通电子商务有 限公司企业研发补助资金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2"/>
              <w:jc w:val="left"/>
              <w:rPr>
                <w:rFonts w:ascii="宋体" w:hAnsi="宋体" w:cs="宋体" w:eastAsia="宋体" w:hint="default"/>
                <w:sz w:val="18"/>
                <w:szCs w:val="18"/>
              </w:rPr>
            </w:pPr>
            <w:r>
              <w:rPr>
                <w:rFonts w:ascii="Arial" w:hAnsi="Arial" w:cs="Arial" w:eastAsia="Arial" w:hint="default"/>
                <w:w w:val="95"/>
                <w:sz w:val="18"/>
                <w:szCs w:val="18"/>
              </w:rPr>
              <w:t>2019 </w:t>
            </w:r>
            <w:r>
              <w:rPr>
                <w:rFonts w:ascii="宋体" w:hAnsi="宋体" w:cs="宋体" w:eastAsia="宋体" w:hint="default"/>
                <w:spacing w:val="-3"/>
                <w:w w:val="95"/>
                <w:sz w:val="18"/>
                <w:szCs w:val="18"/>
              </w:rPr>
              <w:t>年度广州市黄埔区广州开发区质量强区专项资金（奖</w:t>
            </w:r>
            <w:r>
              <w:rPr>
                <w:rFonts w:ascii="宋体" w:hAnsi="宋体" w:cs="宋体" w:eastAsia="宋体" w:hint="default"/>
                <w:spacing w:val="-64"/>
                <w:w w:val="95"/>
                <w:sz w:val="18"/>
                <w:szCs w:val="18"/>
              </w:rPr>
              <w:t> </w:t>
            </w:r>
            <w:r>
              <w:rPr>
                <w:rFonts w:ascii="宋体" w:hAnsi="宋体" w:cs="宋体" w:eastAsia="宋体" w:hint="default"/>
                <w:spacing w:val="-64"/>
                <w:w w:val="95"/>
                <w:sz w:val="18"/>
                <w:szCs w:val="18"/>
              </w:rPr>
            </w:r>
            <w:r>
              <w:rPr>
                <w:rFonts w:ascii="宋体" w:hAnsi="宋体" w:cs="宋体" w:eastAsia="宋体" w:hint="default"/>
                <w:sz w:val="18"/>
                <w:szCs w:val="18"/>
              </w:rPr>
              <w:t>励）资助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贯标补贴款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电网运行</w:t>
            </w:r>
            <w:r>
              <w:rPr>
                <w:rFonts w:ascii="宋体" w:hAnsi="宋体" w:cs="宋体" w:eastAsia="宋体" w:hint="default"/>
                <w:spacing w:val="-66"/>
                <w:sz w:val="18"/>
                <w:szCs w:val="18"/>
              </w:rPr>
              <w:t> </w:t>
            </w:r>
            <w:r>
              <w:rPr>
                <w:rFonts w:ascii="Arial" w:hAnsi="Arial" w:cs="Arial" w:eastAsia="Arial" w:hint="default"/>
                <w:sz w:val="18"/>
                <w:szCs w:val="18"/>
              </w:rPr>
              <w:t>3D</w:t>
            </w:r>
            <w:r>
              <w:rPr>
                <w:rFonts w:ascii="Arial" w:hAnsi="Arial" w:cs="Arial" w:eastAsia="Arial" w:hint="default"/>
                <w:spacing w:val="-27"/>
                <w:sz w:val="18"/>
                <w:szCs w:val="18"/>
              </w:rPr>
              <w:t> </w:t>
            </w:r>
            <w:r>
              <w:rPr>
                <w:rFonts w:ascii="宋体" w:hAnsi="宋体" w:cs="宋体" w:eastAsia="宋体" w:hint="default"/>
                <w:sz w:val="18"/>
                <w:szCs w:val="18"/>
              </w:rPr>
              <w:t>模拟检测控制系统研发项目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宋体" w:hAnsi="宋体" w:cs="宋体" w:eastAsia="宋体" w:hint="default"/>
                <w:spacing w:val="-3"/>
                <w:w w:val="95"/>
                <w:sz w:val="18"/>
                <w:szCs w:val="18"/>
              </w:rPr>
              <w:t>广州开发区科技创新局（黄埔区科技局）</w:t>
            </w:r>
            <w:r>
              <w:rPr>
                <w:rFonts w:ascii="Arial" w:hAnsi="Arial" w:cs="Arial" w:eastAsia="Arial" w:hint="default"/>
                <w:spacing w:val="-3"/>
                <w:w w:val="95"/>
                <w:sz w:val="18"/>
                <w:szCs w:val="18"/>
              </w:rPr>
              <w:t>2018 </w:t>
            </w:r>
            <w:r>
              <w:rPr>
                <w:rFonts w:ascii="宋体" w:hAnsi="宋体" w:cs="宋体" w:eastAsia="宋体" w:hint="default"/>
                <w:w w:val="95"/>
                <w:sz w:val="18"/>
                <w:szCs w:val="18"/>
              </w:rPr>
              <w:t>年高新技术</w:t>
            </w:r>
            <w:r>
              <w:rPr>
                <w:rFonts w:ascii="宋体" w:hAnsi="宋体" w:cs="宋体" w:eastAsia="宋体" w:hint="default"/>
                <w:spacing w:val="-54"/>
                <w:w w:val="95"/>
                <w:sz w:val="18"/>
                <w:szCs w:val="18"/>
              </w:rPr>
              <w:t> </w:t>
            </w:r>
            <w:r>
              <w:rPr>
                <w:rFonts w:ascii="宋体" w:hAnsi="宋体" w:cs="宋体" w:eastAsia="宋体" w:hint="default"/>
                <w:sz w:val="18"/>
                <w:szCs w:val="18"/>
              </w:rPr>
              <w:t>企业认定通过奖励第一年财政财政补助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90,000.00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广州市战略性主导产业发展资金新业态项目专项资金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88,888.92</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88,888.94</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w w:val="95"/>
                <w:sz w:val="18"/>
                <w:szCs w:val="18"/>
              </w:rPr>
              <w:t>基于网络</w:t>
            </w:r>
            <w:r>
              <w:rPr>
                <w:rFonts w:ascii="宋体" w:hAnsi="宋体" w:cs="宋体" w:eastAsia="宋体" w:hint="default"/>
                <w:spacing w:val="-32"/>
                <w:w w:val="95"/>
                <w:sz w:val="18"/>
                <w:szCs w:val="18"/>
              </w:rPr>
              <w:t> </w:t>
            </w:r>
            <w:r>
              <w:rPr>
                <w:rFonts w:ascii="Arial" w:hAnsi="Arial" w:cs="Arial" w:eastAsia="Arial" w:hint="default"/>
                <w:w w:val="95"/>
                <w:sz w:val="18"/>
                <w:szCs w:val="18"/>
              </w:rPr>
              <w:t>POS</w:t>
            </w:r>
            <w:r>
              <w:rPr>
                <w:rFonts w:ascii="Arial" w:hAnsi="Arial" w:cs="Arial" w:eastAsia="Arial" w:hint="default"/>
                <w:spacing w:val="5"/>
                <w:w w:val="95"/>
                <w:sz w:val="18"/>
                <w:szCs w:val="18"/>
              </w:rPr>
              <w:t> </w:t>
            </w:r>
            <w:r>
              <w:rPr>
                <w:rFonts w:ascii="宋体" w:hAnsi="宋体" w:cs="宋体" w:eastAsia="宋体" w:hint="default"/>
                <w:w w:val="95"/>
                <w:sz w:val="18"/>
                <w:szCs w:val="18"/>
              </w:rPr>
              <w:t>的汇通</w:t>
            </w:r>
            <w:r>
              <w:rPr>
                <w:rFonts w:ascii="宋体" w:hAnsi="宋体" w:cs="宋体" w:eastAsia="宋体" w:hint="default"/>
                <w:spacing w:val="-33"/>
                <w:w w:val="95"/>
                <w:sz w:val="18"/>
                <w:szCs w:val="18"/>
              </w:rPr>
              <w:t> </w:t>
            </w:r>
            <w:r>
              <w:rPr>
                <w:rFonts w:ascii="Arial" w:hAnsi="Arial" w:cs="Arial" w:eastAsia="Arial" w:hint="default"/>
                <w:w w:val="95"/>
                <w:sz w:val="18"/>
                <w:szCs w:val="18"/>
              </w:rPr>
              <w:t>O2O</w:t>
            </w:r>
            <w:r>
              <w:rPr>
                <w:rFonts w:ascii="Arial" w:hAnsi="Arial" w:cs="Arial" w:eastAsia="Arial" w:hint="default"/>
                <w:spacing w:val="5"/>
                <w:w w:val="95"/>
                <w:sz w:val="18"/>
                <w:szCs w:val="18"/>
              </w:rPr>
              <w:t> </w:t>
            </w:r>
            <w:r>
              <w:rPr>
                <w:rFonts w:ascii="宋体" w:hAnsi="宋体" w:cs="宋体" w:eastAsia="宋体" w:hint="default"/>
                <w:w w:val="95"/>
                <w:sz w:val="18"/>
                <w:szCs w:val="18"/>
              </w:rPr>
              <w:t>电子商务服务平台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3"/>
                <w:w w:val="80"/>
                <w:sz w:val="18"/>
              </w:rPr>
              <w:t>37,119.29</w:t>
            </w:r>
            <w:r>
              <w:rPr>
                <w:rFonts w:ascii="Arial"/>
                <w:spacing w:val="-3"/>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85,258.56</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5"/>
                <w:w w:val="95"/>
                <w:sz w:val="18"/>
                <w:szCs w:val="18"/>
              </w:rPr>
              <w:t> </w:t>
            </w:r>
            <w:r>
              <w:rPr>
                <w:rFonts w:ascii="宋体" w:hAnsi="宋体" w:cs="宋体" w:eastAsia="宋体" w:hint="default"/>
                <w:w w:val="95"/>
                <w:sz w:val="18"/>
                <w:szCs w:val="18"/>
              </w:rPr>
              <w:t>年企业入规奖励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85,000.00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14"/>
                <w:w w:val="95"/>
                <w:sz w:val="18"/>
                <w:szCs w:val="18"/>
              </w:rPr>
              <w:t> </w:t>
            </w:r>
            <w:r>
              <w:rPr>
                <w:rFonts w:ascii="宋体" w:hAnsi="宋体" w:cs="宋体" w:eastAsia="宋体" w:hint="default"/>
                <w:w w:val="95"/>
                <w:sz w:val="18"/>
                <w:szCs w:val="18"/>
              </w:rPr>
              <w:t>年企业研发后补助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68,400.00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39"/>
                <w:w w:val="95"/>
                <w:sz w:val="18"/>
                <w:szCs w:val="18"/>
              </w:rPr>
              <w:t> </w:t>
            </w:r>
            <w:r>
              <w:rPr>
                <w:rFonts w:ascii="宋体" w:hAnsi="宋体" w:cs="宋体" w:eastAsia="宋体" w:hint="default"/>
                <w:w w:val="95"/>
                <w:sz w:val="18"/>
                <w:szCs w:val="18"/>
              </w:rPr>
              <w:t>企业研发补助</w:t>
            </w:r>
            <w:r>
              <w:rPr>
                <w:rFonts w:ascii="Arial" w:hAnsi="Arial" w:cs="Arial" w:eastAsia="Arial" w:hint="default"/>
                <w:w w:val="95"/>
                <w:sz w:val="18"/>
                <w:szCs w:val="18"/>
              </w:rPr>
              <w:t>-</w:t>
            </w:r>
            <w:r>
              <w:rPr>
                <w:rFonts w:ascii="宋体" w:hAnsi="宋体" w:cs="宋体" w:eastAsia="宋体" w:hint="default"/>
                <w:w w:val="95"/>
                <w:sz w:val="18"/>
                <w:szCs w:val="18"/>
              </w:rPr>
              <w:t>东莞市科学技术局粤财工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66,719.00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32"/>
                <w:w w:val="95"/>
                <w:sz w:val="18"/>
                <w:szCs w:val="18"/>
              </w:rPr>
              <w:t> </w:t>
            </w:r>
            <w:r>
              <w:rPr>
                <w:rFonts w:ascii="宋体" w:hAnsi="宋体" w:cs="宋体" w:eastAsia="宋体" w:hint="default"/>
                <w:w w:val="95"/>
                <w:sz w:val="18"/>
                <w:szCs w:val="18"/>
              </w:rPr>
              <w:t>年省科技发展专项资金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60,000.00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11"/>
                <w:w w:val="95"/>
                <w:sz w:val="18"/>
                <w:szCs w:val="18"/>
              </w:rPr>
              <w:t> </w:t>
            </w:r>
            <w:r>
              <w:rPr>
                <w:rFonts w:ascii="宋体" w:hAnsi="宋体" w:cs="宋体" w:eastAsia="宋体" w:hint="default"/>
                <w:w w:val="95"/>
                <w:sz w:val="18"/>
                <w:szCs w:val="18"/>
              </w:rPr>
              <w:t>年度广东省产业技术创新与科技金融项目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60,000.00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Arial" w:hAnsi="Arial" w:cs="Arial" w:eastAsia="Arial" w:hint="default"/>
                <w:w w:val="95"/>
                <w:sz w:val="18"/>
                <w:szCs w:val="18"/>
              </w:rPr>
              <w:t>2013 </w:t>
            </w:r>
            <w:r>
              <w:rPr>
                <w:rFonts w:ascii="宋体" w:hAnsi="宋体" w:cs="宋体" w:eastAsia="宋体" w:hint="default"/>
                <w:spacing w:val="-3"/>
                <w:w w:val="95"/>
                <w:sz w:val="18"/>
                <w:szCs w:val="18"/>
              </w:rPr>
              <w:t>年南沙区科技项目（汽车后市消费行为大数据处理平</w:t>
            </w:r>
            <w:r>
              <w:rPr>
                <w:rFonts w:ascii="宋体" w:hAnsi="宋体" w:cs="宋体" w:eastAsia="宋体" w:hint="default"/>
                <w:spacing w:val="-64"/>
                <w:w w:val="95"/>
                <w:sz w:val="18"/>
                <w:szCs w:val="18"/>
              </w:rPr>
              <w:t> </w:t>
            </w:r>
            <w:r>
              <w:rPr>
                <w:rFonts w:ascii="宋体" w:hAnsi="宋体" w:cs="宋体" w:eastAsia="宋体" w:hint="default"/>
                <w:spacing w:val="-64"/>
                <w:w w:val="95"/>
                <w:sz w:val="18"/>
                <w:szCs w:val="18"/>
              </w:rPr>
            </w:r>
            <w:r>
              <w:rPr>
                <w:rFonts w:ascii="宋体" w:hAnsi="宋体" w:cs="宋体" w:eastAsia="宋体" w:hint="default"/>
                <w:sz w:val="18"/>
                <w:szCs w:val="18"/>
              </w:rPr>
              <w:t>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55,384.56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55,384.62</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新一代安全运营中心平台关键技术研发及产业化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54,545.44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54,545.44</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中经电商车队管理应用平台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50,000.04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50,000.04</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收广州市越秀区科技工业和信息化局</w:t>
            </w:r>
            <w:r>
              <w:rPr>
                <w:rFonts w:ascii="宋体" w:hAnsi="宋体" w:cs="宋体" w:eastAsia="宋体" w:hint="default"/>
                <w:spacing w:val="-38"/>
                <w:sz w:val="18"/>
                <w:szCs w:val="18"/>
              </w:rPr>
              <w:t> </w:t>
            </w:r>
            <w:r>
              <w:rPr>
                <w:rFonts w:ascii="Arial" w:hAnsi="Arial" w:cs="Arial" w:eastAsia="Arial" w:hint="default"/>
                <w:sz w:val="18"/>
                <w:szCs w:val="18"/>
              </w:rPr>
              <w:t>2017 </w:t>
            </w:r>
            <w:r>
              <w:rPr>
                <w:rFonts w:ascii="宋体" w:hAnsi="宋体" w:cs="宋体" w:eastAsia="宋体" w:hint="default"/>
                <w:sz w:val="18"/>
                <w:szCs w:val="18"/>
              </w:rPr>
              <w:t>年度优秀企业 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50,000.00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广州开发区科技创新局（黄埔区科技局政策兑现企业研发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后补助资助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50,000.00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广 州 市 企 业 研 发 经 费 投 入 后 补 </w:t>
            </w:r>
            <w:r>
              <w:rPr>
                <w:rFonts w:ascii="宋体" w:hAnsi="宋体" w:cs="宋体" w:eastAsia="宋体" w:hint="default"/>
                <w:spacing w:val="63"/>
                <w:sz w:val="18"/>
                <w:szCs w:val="18"/>
              </w:rPr>
              <w:t> </w:t>
            </w:r>
            <w:r>
              <w:rPr>
                <w:rFonts w:ascii="宋体" w:hAnsi="宋体" w:cs="宋体" w:eastAsia="宋体" w:hint="default"/>
                <w:sz w:val="18"/>
                <w:szCs w:val="18"/>
              </w:rPr>
              <w:t>助</w:t>
            </w:r>
          </w:p>
          <w:p>
            <w:pPr>
              <w:pStyle w:val="TableParagraph"/>
              <w:spacing w:line="240" w:lineRule="auto" w:before="110"/>
              <w:ind w:left="103" w:right="0"/>
              <w:jc w:val="left"/>
              <w:rPr>
                <w:rFonts w:ascii="Arial" w:hAnsi="Arial" w:cs="Arial" w:eastAsia="Arial" w:hint="default"/>
                <w:sz w:val="18"/>
                <w:szCs w:val="18"/>
              </w:rPr>
            </w:pPr>
            <w:r>
              <w:rPr>
                <w:rFonts w:ascii="Arial"/>
                <w:w w:val="90"/>
                <w:sz w:val="18"/>
              </w:rPr>
              <w:t>(XM-10019A100000000DLHL4)</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38,300.00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39"/>
                <w:sz w:val="18"/>
                <w:szCs w:val="18"/>
              </w:rPr>
              <w:t> </w:t>
            </w:r>
            <w:r>
              <w:rPr>
                <w:rFonts w:ascii="Arial" w:hAnsi="Arial" w:cs="Arial" w:eastAsia="Arial" w:hint="default"/>
                <w:sz w:val="18"/>
                <w:szCs w:val="18"/>
              </w:rPr>
              <w:t>2015 </w:t>
            </w:r>
            <w:r>
              <w:rPr>
                <w:rFonts w:ascii="宋体" w:hAnsi="宋体" w:cs="宋体" w:eastAsia="宋体" w:hint="default"/>
                <w:sz w:val="18"/>
                <w:szCs w:val="18"/>
              </w:rPr>
              <w:t>年广东省研究开发省级财政 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32,100.00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44,928.74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31,786.87</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高新技术企业奖励项目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30,000.00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4"/>
                <w:w w:val="95"/>
                <w:sz w:val="18"/>
                <w:szCs w:val="18"/>
              </w:rPr>
              <w:t> </w:t>
            </w:r>
            <w:r>
              <w:rPr>
                <w:rFonts w:ascii="宋体" w:hAnsi="宋体" w:cs="宋体" w:eastAsia="宋体" w:hint="default"/>
                <w:w w:val="95"/>
                <w:sz w:val="18"/>
                <w:szCs w:val="18"/>
              </w:rPr>
              <w:t>年企业研发后补助专项经费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29,700.00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17 </w:t>
            </w:r>
            <w:r>
              <w:rPr>
                <w:rFonts w:ascii="Arial" w:hAnsi="Arial" w:cs="Arial" w:eastAsia="Arial" w:hint="default"/>
                <w:spacing w:val="30"/>
                <w:w w:val="95"/>
                <w:sz w:val="18"/>
                <w:szCs w:val="18"/>
              </w:rPr>
              <w:t> </w:t>
            </w:r>
            <w:r>
              <w:rPr>
                <w:rFonts w:ascii="宋体" w:hAnsi="宋体" w:cs="宋体" w:eastAsia="宋体" w:hint="default"/>
                <w:w w:val="95"/>
                <w:sz w:val="18"/>
                <w:szCs w:val="18"/>
              </w:rPr>
              <w:t>企业研究开发省级财政补助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19,381.00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18  </w:t>
            </w:r>
            <w:r>
              <w:rPr>
                <w:rFonts w:ascii="Arial" w:hAnsi="Arial" w:cs="Arial" w:eastAsia="Arial" w:hint="default"/>
                <w:spacing w:val="28"/>
                <w:w w:val="95"/>
                <w:sz w:val="18"/>
                <w:szCs w:val="18"/>
              </w:rPr>
              <w:t> </w:t>
            </w:r>
            <w:r>
              <w:rPr>
                <w:rFonts w:ascii="宋体" w:hAnsi="宋体" w:cs="宋体" w:eastAsia="宋体" w:hint="default"/>
                <w:w w:val="95"/>
                <w:sz w:val="18"/>
                <w:szCs w:val="18"/>
              </w:rPr>
              <w:t>年东莞市科学技术局专利促进专项资金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12,000.00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76"/>
        <w:gridCol w:w="1277"/>
        <w:gridCol w:w="1274"/>
        <w:gridCol w:w="2069"/>
      </w:tblGrid>
      <w:tr>
        <w:trPr>
          <w:trHeight w:val="67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578" w:right="556" w:hanging="2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13"/>
                <w:w w:val="95"/>
                <w:sz w:val="18"/>
                <w:szCs w:val="18"/>
              </w:rPr>
              <w:t> </w:t>
            </w:r>
            <w:r>
              <w:rPr>
                <w:rFonts w:ascii="宋体" w:hAnsi="宋体" w:cs="宋体" w:eastAsia="宋体" w:hint="default"/>
                <w:w w:val="95"/>
                <w:sz w:val="18"/>
                <w:szCs w:val="18"/>
              </w:rPr>
              <w:t>年东城街道专利配套奖励项目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12,000.00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13"/>
                <w:w w:val="95"/>
                <w:sz w:val="18"/>
                <w:szCs w:val="18"/>
              </w:rPr>
              <w:t> </w:t>
            </w:r>
            <w:r>
              <w:rPr>
                <w:rFonts w:ascii="宋体" w:hAnsi="宋体" w:cs="宋体" w:eastAsia="宋体" w:hint="default"/>
                <w:w w:val="95"/>
                <w:sz w:val="18"/>
                <w:szCs w:val="18"/>
              </w:rPr>
              <w:t>年高新技术企业入库培育资金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5"/>
                <w:w w:val="95"/>
                <w:sz w:val="18"/>
                <w:szCs w:val="18"/>
              </w:rPr>
              <w:t> </w:t>
            </w:r>
            <w:r>
              <w:rPr>
                <w:rFonts w:ascii="宋体" w:hAnsi="宋体" w:cs="宋体" w:eastAsia="宋体" w:hint="default"/>
                <w:w w:val="95"/>
                <w:sz w:val="18"/>
                <w:szCs w:val="18"/>
              </w:rPr>
              <w:t>年五项专利奖励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劳务协作奖励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9,000.00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中小流域水电站群优化调度系统科技计划项目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9,000.00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2"/>
                <w:w w:val="95"/>
                <w:sz w:val="18"/>
                <w:szCs w:val="18"/>
              </w:rPr>
              <w:t> </w:t>
            </w:r>
            <w:r>
              <w:rPr>
                <w:rFonts w:ascii="宋体" w:hAnsi="宋体" w:cs="宋体" w:eastAsia="宋体" w:hint="default"/>
                <w:w w:val="95"/>
                <w:sz w:val="18"/>
                <w:szCs w:val="18"/>
              </w:rPr>
              <w:t>年度科技型中小企业贷款成本补贴资金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4,469.00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4"/>
                <w:w w:val="95"/>
                <w:sz w:val="18"/>
                <w:szCs w:val="18"/>
              </w:rPr>
              <w:t> </w:t>
            </w:r>
            <w:r>
              <w:rPr>
                <w:rFonts w:ascii="宋体" w:hAnsi="宋体" w:cs="宋体" w:eastAsia="宋体" w:hint="default"/>
                <w:w w:val="95"/>
                <w:sz w:val="18"/>
                <w:szCs w:val="18"/>
              </w:rPr>
              <w:t>年软件著作权知识产权奖励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3,000.00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2"/>
              <w:jc w:val="both"/>
              <w:rPr>
                <w:rFonts w:ascii="宋体" w:hAnsi="宋体" w:cs="宋体" w:eastAsia="宋体" w:hint="default"/>
                <w:sz w:val="18"/>
                <w:szCs w:val="18"/>
              </w:rPr>
            </w:pPr>
            <w:r>
              <w:rPr>
                <w:rFonts w:ascii="宋体" w:hAnsi="宋体" w:cs="宋体" w:eastAsia="宋体" w:hint="default"/>
                <w:spacing w:val="-2"/>
                <w:sz w:val="18"/>
                <w:szCs w:val="18"/>
              </w:rPr>
              <w:t>广州开发区知识产权局（黄埔区知识产权局）著作权登记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资助州开发区知识产权局（黄埔区知识产权局软件著作登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记资助费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2,700.00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2,400.00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11"/>
                <w:w w:val="95"/>
                <w:sz w:val="18"/>
                <w:szCs w:val="18"/>
              </w:rPr>
              <w:t> </w:t>
            </w:r>
            <w:r>
              <w:rPr>
                <w:rFonts w:ascii="宋体" w:hAnsi="宋体" w:cs="宋体" w:eastAsia="宋体" w:hint="default"/>
                <w:w w:val="95"/>
                <w:sz w:val="18"/>
                <w:szCs w:val="18"/>
              </w:rPr>
              <w:t>年第二批计算机软件著作权登记资助资金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1,800.00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4"/>
              <w:jc w:val="left"/>
              <w:rPr>
                <w:rFonts w:ascii="宋体" w:hAnsi="宋体" w:cs="宋体" w:eastAsia="宋体" w:hint="default"/>
                <w:sz w:val="18"/>
                <w:szCs w:val="18"/>
              </w:rPr>
            </w:pPr>
            <w:r>
              <w:rPr>
                <w:rFonts w:ascii="Arial" w:hAnsi="Arial" w:cs="Arial" w:eastAsia="Arial" w:hint="default"/>
                <w:w w:val="95"/>
                <w:sz w:val="18"/>
                <w:szCs w:val="18"/>
              </w:rPr>
              <w:t>2016 </w:t>
            </w:r>
            <w:r>
              <w:rPr>
                <w:rFonts w:ascii="宋体" w:hAnsi="宋体" w:cs="宋体" w:eastAsia="宋体" w:hint="default"/>
                <w:spacing w:val="-3"/>
                <w:w w:val="95"/>
                <w:sz w:val="18"/>
                <w:szCs w:val="18"/>
              </w:rPr>
              <w:t>年广州市科技创新劵（第二批）兑现资金（信息系统</w:t>
            </w:r>
            <w:r>
              <w:rPr>
                <w:rFonts w:ascii="宋体" w:hAnsi="宋体" w:cs="宋体" w:eastAsia="宋体" w:hint="default"/>
                <w:spacing w:val="-21"/>
                <w:w w:val="95"/>
                <w:sz w:val="18"/>
                <w:szCs w:val="18"/>
              </w:rPr>
              <w:t> </w:t>
            </w:r>
            <w:r>
              <w:rPr>
                <w:rFonts w:ascii="宋体" w:hAnsi="宋体" w:cs="宋体" w:eastAsia="宋体" w:hint="default"/>
                <w:spacing w:val="-21"/>
                <w:w w:val="95"/>
                <w:sz w:val="18"/>
                <w:szCs w:val="18"/>
              </w:rPr>
            </w:r>
            <w:r>
              <w:rPr>
                <w:rFonts w:ascii="宋体" w:hAnsi="宋体" w:cs="宋体" w:eastAsia="宋体" w:hint="default"/>
                <w:spacing w:val="-9"/>
                <w:sz w:val="18"/>
                <w:szCs w:val="18"/>
              </w:rPr>
              <w:t>集成资质认证（三级））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1,400.00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基层党组织活动经费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4,275.00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1,200.00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4"/>
              <w:jc w:val="left"/>
              <w:rPr>
                <w:rFonts w:ascii="Arial" w:hAnsi="Arial" w:cs="Arial" w:eastAsia="Arial" w:hint="default"/>
                <w:sz w:val="18"/>
                <w:szCs w:val="18"/>
              </w:rPr>
            </w:pPr>
            <w:r>
              <w:rPr>
                <w:rFonts w:ascii="Arial" w:hAnsi="Arial" w:cs="Arial" w:eastAsia="Arial" w:hint="default"/>
                <w:w w:val="95"/>
                <w:sz w:val="18"/>
                <w:szCs w:val="18"/>
              </w:rPr>
              <w:t>2016 </w:t>
            </w:r>
            <w:r>
              <w:rPr>
                <w:rFonts w:ascii="宋体" w:hAnsi="宋体" w:cs="宋体" w:eastAsia="宋体" w:hint="default"/>
                <w:spacing w:val="-3"/>
                <w:w w:val="95"/>
                <w:sz w:val="18"/>
                <w:szCs w:val="18"/>
              </w:rPr>
              <w:t>年广州市科技创新劵（第二批）兑现资金（信息系统</w:t>
            </w:r>
            <w:r>
              <w:rPr>
                <w:rFonts w:ascii="宋体" w:hAnsi="宋体" w:cs="宋体" w:eastAsia="宋体" w:hint="default"/>
                <w:spacing w:val="-21"/>
                <w:w w:val="95"/>
                <w:sz w:val="18"/>
                <w:szCs w:val="18"/>
              </w:rPr>
              <w:t> </w:t>
            </w:r>
            <w:r>
              <w:rPr>
                <w:rFonts w:ascii="宋体" w:hAnsi="宋体" w:cs="宋体" w:eastAsia="宋体" w:hint="default"/>
                <w:spacing w:val="-21"/>
                <w:w w:val="95"/>
                <w:sz w:val="18"/>
                <w:szCs w:val="18"/>
              </w:rPr>
            </w:r>
            <w:r>
              <w:rPr>
                <w:rFonts w:ascii="宋体" w:hAnsi="宋体" w:cs="宋体" w:eastAsia="宋体" w:hint="default"/>
                <w:sz w:val="18"/>
                <w:szCs w:val="18"/>
              </w:rPr>
              <w:t>集成资质咨询服务</w:t>
            </w:r>
            <w:r>
              <w:rPr>
                <w:rFonts w:ascii="Arial" w:hAnsi="Arial" w:cs="Arial" w:eastAsia="Arial"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1,100.00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2"/>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5"/>
                <w:sz w:val="18"/>
                <w:szCs w:val="18"/>
              </w:rPr>
              <w:t> </w:t>
            </w:r>
            <w:r>
              <w:rPr>
                <w:rFonts w:ascii="宋体" w:hAnsi="宋体" w:cs="宋体" w:eastAsia="宋体" w:hint="default"/>
                <w:spacing w:val="3"/>
                <w:sz w:val="18"/>
                <w:szCs w:val="18"/>
              </w:rPr>
              <w:t>年度按比例安排残疾人就业年审工作先进个人奖励</w:t>
            </w:r>
            <w:r>
              <w:rPr>
                <w:rFonts w:ascii="宋体" w:hAnsi="宋体" w:cs="宋体" w:eastAsia="宋体" w:hint="default"/>
                <w:sz w:val="18"/>
                <w:szCs w:val="18"/>
              </w:rPr>
              <w:t> 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1,000.00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w w:val="95"/>
                <w:sz w:val="18"/>
                <w:szCs w:val="18"/>
              </w:rPr>
              <w:t>广州市科技创新委员会 </w:t>
            </w:r>
            <w:r>
              <w:rPr>
                <w:rFonts w:ascii="Arial" w:hAnsi="Arial" w:cs="Arial" w:eastAsia="Arial" w:hint="default"/>
                <w:w w:val="95"/>
                <w:sz w:val="18"/>
                <w:szCs w:val="18"/>
              </w:rPr>
              <w:t>ISMSITSMS</w:t>
            </w:r>
            <w:r>
              <w:rPr>
                <w:rFonts w:ascii="Arial" w:hAnsi="Arial" w:cs="Arial" w:eastAsia="Arial" w:hint="default"/>
                <w:spacing w:val="-29"/>
                <w:w w:val="95"/>
                <w:sz w:val="18"/>
                <w:szCs w:val="18"/>
              </w:rPr>
              <w:t> </w:t>
            </w:r>
            <w:r>
              <w:rPr>
                <w:rFonts w:ascii="宋体" w:hAnsi="宋体" w:cs="宋体" w:eastAsia="宋体" w:hint="default"/>
                <w:w w:val="95"/>
                <w:sz w:val="18"/>
                <w:szCs w:val="18"/>
              </w:rPr>
              <w:t>咨询服务补贴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750.00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广州开发区知识产权局计算机软件著作登记补贴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600.00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3"/>
              <w:jc w:val="left"/>
              <w:rPr>
                <w:rFonts w:ascii="宋体" w:hAnsi="宋体" w:cs="宋体" w:eastAsia="宋体" w:hint="default"/>
                <w:sz w:val="18"/>
                <w:szCs w:val="18"/>
              </w:rPr>
            </w:pPr>
            <w:r>
              <w:rPr>
                <w:rFonts w:ascii="宋体" w:hAnsi="宋体" w:cs="宋体" w:eastAsia="宋体" w:hint="default"/>
                <w:w w:val="95"/>
                <w:sz w:val="18"/>
                <w:szCs w:val="18"/>
              </w:rPr>
              <w:t>广州市科技创新委员会</w:t>
            </w:r>
            <w:r>
              <w:rPr>
                <w:rFonts w:ascii="宋体" w:hAnsi="宋体" w:cs="宋体" w:eastAsia="宋体" w:hint="default"/>
                <w:spacing w:val="-37"/>
                <w:w w:val="95"/>
                <w:sz w:val="18"/>
                <w:szCs w:val="18"/>
              </w:rPr>
              <w:t> </w:t>
            </w:r>
            <w:r>
              <w:rPr>
                <w:rFonts w:ascii="Arial" w:hAnsi="Arial" w:cs="Arial" w:eastAsia="Arial" w:hint="default"/>
                <w:w w:val="95"/>
                <w:sz w:val="18"/>
                <w:szCs w:val="18"/>
              </w:rPr>
              <w:t>ISO90011400118001</w:t>
            </w:r>
            <w:r>
              <w:rPr>
                <w:rFonts w:ascii="Arial" w:hAnsi="Arial" w:cs="Arial" w:eastAsia="Arial" w:hint="default"/>
                <w:spacing w:val="2"/>
                <w:w w:val="95"/>
                <w:sz w:val="18"/>
                <w:szCs w:val="18"/>
              </w:rPr>
              <w:t> </w:t>
            </w:r>
            <w:r>
              <w:rPr>
                <w:rFonts w:ascii="宋体" w:hAnsi="宋体" w:cs="宋体" w:eastAsia="宋体" w:hint="default"/>
                <w:w w:val="95"/>
                <w:sz w:val="18"/>
                <w:szCs w:val="18"/>
              </w:rPr>
              <w:t>认证咨询服务</w:t>
            </w:r>
            <w:r>
              <w:rPr>
                <w:rFonts w:ascii="宋体" w:hAnsi="宋体" w:cs="宋体" w:eastAsia="宋体" w:hint="default"/>
                <w:sz w:val="18"/>
                <w:szCs w:val="18"/>
              </w:rPr>
              <w:t> 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150.00</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5"/>
                <w:sz w:val="18"/>
                <w:szCs w:val="18"/>
              </w:rPr>
              <w:t>面向云计算与大数据应用的安全服务平台关键技术研发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2,500,000.00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广东省网络安全应急工程技术研究中心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1,000,000.00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基于自主国密芯片的云安全身份认证系统研发及产业化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339,999.84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信息安全创新产业化示范基地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Arial" w:hAnsi="Arial" w:cs="Arial" w:eastAsia="Arial" w:hint="default"/>
                <w:sz w:val="18"/>
                <w:szCs w:val="18"/>
              </w:rPr>
            </w:pPr>
            <w:r>
              <w:rPr>
                <w:rFonts w:ascii="Arial"/>
                <w:spacing w:val="-1"/>
                <w:w w:val="80"/>
                <w:sz w:val="18"/>
              </w:rPr>
              <w:t>500,000.00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云环境下安全防护与服务关键技术研发及产业化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400,000.00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新一代互联网隐私保护关键技术研究与应用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150,000.00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蓝盾云安全综合监测审计平台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物联网资源与数据安全可信管理平台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40,000.00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39"/>
                <w:sz w:val="18"/>
                <w:szCs w:val="18"/>
              </w:rPr>
              <w:t> </w:t>
            </w:r>
            <w:r>
              <w:rPr>
                <w:rFonts w:ascii="Arial" w:hAnsi="Arial" w:cs="Arial" w:eastAsia="Arial" w:hint="default"/>
                <w:sz w:val="18"/>
                <w:szCs w:val="18"/>
              </w:rPr>
              <w:t>2017 </w:t>
            </w:r>
            <w:r>
              <w:rPr>
                <w:rFonts w:ascii="宋体" w:hAnsi="宋体" w:cs="宋体" w:eastAsia="宋体" w:hint="default"/>
                <w:sz w:val="18"/>
                <w:szCs w:val="18"/>
              </w:rPr>
              <w:t>年度第二批拟科技小巨人企 业及高新技术企业培育行动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80,000.00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76"/>
        <w:gridCol w:w="1277"/>
        <w:gridCol w:w="1274"/>
        <w:gridCol w:w="2069"/>
      </w:tblGrid>
      <w:tr>
        <w:trPr>
          <w:trHeight w:val="67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578" w:right="556" w:hanging="2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13"/>
                <w:w w:val="95"/>
                <w:sz w:val="18"/>
                <w:szCs w:val="18"/>
              </w:rPr>
              <w:t> </w:t>
            </w:r>
            <w:r>
              <w:rPr>
                <w:rFonts w:ascii="宋体" w:hAnsi="宋体" w:cs="宋体" w:eastAsia="宋体" w:hint="default"/>
                <w:w w:val="95"/>
                <w:sz w:val="18"/>
                <w:szCs w:val="18"/>
              </w:rPr>
              <w:t>企业研发后补助专题（市级）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578,700.00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2"/>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5"/>
                <w:sz w:val="18"/>
                <w:szCs w:val="18"/>
              </w:rPr>
              <w:t> </w:t>
            </w:r>
            <w:r>
              <w:rPr>
                <w:rFonts w:ascii="宋体" w:hAnsi="宋体" w:cs="宋体" w:eastAsia="宋体" w:hint="default"/>
                <w:spacing w:val="3"/>
                <w:sz w:val="18"/>
                <w:szCs w:val="18"/>
              </w:rPr>
              <w:t>年度高新技术企业认定通过奖励天河区区级第一年</w:t>
            </w:r>
            <w:r>
              <w:rPr>
                <w:rFonts w:ascii="宋体" w:hAnsi="宋体" w:cs="宋体" w:eastAsia="宋体" w:hint="default"/>
                <w:sz w:val="18"/>
                <w:szCs w:val="18"/>
              </w:rPr>
              <w:t> 配套资金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120,000.00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规模以上软件企业营收增长支持专项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222,300.00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广州高新技术产业开发区天河科技园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2,495,000.00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32"/>
                <w:w w:val="95"/>
                <w:sz w:val="18"/>
                <w:szCs w:val="18"/>
              </w:rPr>
              <w:t> </w:t>
            </w:r>
            <w:r>
              <w:rPr>
                <w:rFonts w:ascii="宋体" w:hAnsi="宋体" w:cs="宋体" w:eastAsia="宋体" w:hint="default"/>
                <w:w w:val="95"/>
                <w:sz w:val="18"/>
                <w:szCs w:val="18"/>
              </w:rPr>
              <w:t>年博士工作站建站补贴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500,000.00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22"/>
                <w:w w:val="95"/>
                <w:sz w:val="18"/>
                <w:szCs w:val="18"/>
              </w:rPr>
              <w:t> </w:t>
            </w:r>
            <w:r>
              <w:rPr>
                <w:rFonts w:ascii="宋体" w:hAnsi="宋体" w:cs="宋体" w:eastAsia="宋体" w:hint="default"/>
                <w:w w:val="95"/>
                <w:sz w:val="18"/>
                <w:szCs w:val="18"/>
              </w:rPr>
              <w:t>年度高新技术企业认定通过奖励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120,000.00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宋体" w:hAnsi="宋体" w:cs="宋体" w:eastAsia="宋体" w:hint="default"/>
                <w:w w:val="95"/>
                <w:sz w:val="18"/>
                <w:szCs w:val="18"/>
              </w:rPr>
              <w:t>年度天河区企业 </w:t>
            </w:r>
            <w:r>
              <w:rPr>
                <w:rFonts w:ascii="Arial" w:hAnsi="Arial" w:cs="Arial" w:eastAsia="Arial" w:hint="default"/>
                <w:w w:val="95"/>
                <w:sz w:val="18"/>
                <w:szCs w:val="18"/>
              </w:rPr>
              <w:t>R</w:t>
            </w:r>
            <w:r>
              <w:rPr>
                <w:rFonts w:ascii="宋体" w:hAnsi="宋体" w:cs="宋体" w:eastAsia="宋体" w:hint="default"/>
                <w:w w:val="95"/>
                <w:sz w:val="18"/>
                <w:szCs w:val="18"/>
              </w:rPr>
              <w:t>＆</w:t>
            </w:r>
            <w:r>
              <w:rPr>
                <w:rFonts w:ascii="Arial" w:hAnsi="Arial" w:cs="Arial" w:eastAsia="Arial" w:hint="default"/>
                <w:w w:val="95"/>
                <w:sz w:val="18"/>
                <w:szCs w:val="18"/>
              </w:rPr>
              <w:t>D</w:t>
            </w:r>
            <w:r>
              <w:rPr>
                <w:rFonts w:ascii="Arial" w:hAnsi="Arial" w:cs="Arial" w:eastAsia="Arial" w:hint="default"/>
                <w:spacing w:val="-9"/>
                <w:w w:val="95"/>
                <w:sz w:val="18"/>
                <w:szCs w:val="18"/>
              </w:rPr>
              <w:t> </w:t>
            </w:r>
            <w:r>
              <w:rPr>
                <w:rFonts w:ascii="宋体" w:hAnsi="宋体" w:cs="宋体" w:eastAsia="宋体" w:hint="default"/>
                <w:w w:val="95"/>
                <w:sz w:val="18"/>
                <w:szCs w:val="18"/>
              </w:rPr>
              <w:t>投入支持专项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378,700.00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22"/>
                <w:w w:val="95"/>
                <w:sz w:val="18"/>
                <w:szCs w:val="18"/>
              </w:rPr>
              <w:t> </w:t>
            </w:r>
            <w:r>
              <w:rPr>
                <w:rFonts w:ascii="宋体" w:hAnsi="宋体" w:cs="宋体" w:eastAsia="宋体" w:hint="default"/>
                <w:w w:val="95"/>
                <w:sz w:val="18"/>
                <w:szCs w:val="18"/>
              </w:rPr>
              <w:t>年度高新技术企业认定通过奖励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信息系统集成资质认证（三级）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3,700.00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38"/>
                <w:w w:val="95"/>
                <w:sz w:val="18"/>
                <w:szCs w:val="18"/>
              </w:rPr>
              <w:t> </w:t>
            </w:r>
            <w:r>
              <w:rPr>
                <w:rFonts w:ascii="宋体" w:hAnsi="宋体" w:cs="宋体" w:eastAsia="宋体" w:hint="default"/>
                <w:w w:val="95"/>
                <w:sz w:val="18"/>
                <w:szCs w:val="18"/>
              </w:rPr>
              <w:t>年广州市企业研发后补助专题区级财政补助资金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15,500.00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Arial" w:hAnsi="Arial" w:cs="Arial" w:eastAsia="Arial" w:hint="default"/>
                <w:w w:val="95"/>
                <w:sz w:val="18"/>
                <w:szCs w:val="18"/>
              </w:rPr>
              <w:t>2017 </w:t>
            </w:r>
            <w:r>
              <w:rPr>
                <w:rFonts w:ascii="宋体" w:hAnsi="宋体" w:cs="宋体" w:eastAsia="宋体" w:hint="default"/>
                <w:spacing w:val="-3"/>
                <w:w w:val="95"/>
                <w:sz w:val="18"/>
                <w:szCs w:val="18"/>
              </w:rPr>
              <w:t>年广州市企业研发经费投入后补助专项资金【市财政</w:t>
            </w:r>
            <w:r>
              <w:rPr>
                <w:rFonts w:ascii="宋体" w:hAnsi="宋体" w:cs="宋体" w:eastAsia="宋体" w:hint="default"/>
                <w:spacing w:val="-64"/>
                <w:w w:val="95"/>
                <w:sz w:val="18"/>
                <w:szCs w:val="18"/>
              </w:rPr>
              <w:t> </w:t>
            </w:r>
            <w:r>
              <w:rPr>
                <w:rFonts w:ascii="宋体" w:hAnsi="宋体" w:cs="宋体" w:eastAsia="宋体" w:hint="default"/>
                <w:spacing w:val="-64"/>
                <w:w w:val="95"/>
                <w:sz w:val="18"/>
                <w:szCs w:val="18"/>
              </w:rPr>
            </w:r>
            <w:r>
              <w:rPr>
                <w:rFonts w:ascii="宋体" w:hAnsi="宋体" w:cs="宋体" w:eastAsia="宋体" w:hint="default"/>
                <w:sz w:val="18"/>
                <w:szCs w:val="18"/>
              </w:rPr>
              <w:t>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15,500.00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85"/>
                <w:sz w:val="18"/>
                <w:szCs w:val="18"/>
              </w:rPr>
              <w:t>ISO20000</w:t>
            </w:r>
            <w:r>
              <w:rPr>
                <w:rFonts w:ascii="宋体" w:hAnsi="宋体" w:cs="宋体" w:eastAsia="宋体" w:hint="default"/>
                <w:w w:val="85"/>
                <w:sz w:val="18"/>
                <w:szCs w:val="18"/>
              </w:rPr>
              <w:t>、</w:t>
            </w:r>
            <w:r>
              <w:rPr>
                <w:rFonts w:ascii="Arial" w:hAnsi="Arial" w:cs="Arial" w:eastAsia="Arial" w:hint="default"/>
                <w:w w:val="85"/>
                <w:sz w:val="18"/>
                <w:szCs w:val="18"/>
              </w:rPr>
              <w:t>ISO27001  </w:t>
            </w:r>
            <w:r>
              <w:rPr>
                <w:rFonts w:ascii="Arial" w:hAnsi="Arial" w:cs="Arial" w:eastAsia="Arial" w:hint="default"/>
                <w:spacing w:val="1"/>
                <w:w w:val="85"/>
                <w:sz w:val="18"/>
                <w:szCs w:val="18"/>
              </w:rPr>
              <w:t> </w:t>
            </w:r>
            <w:r>
              <w:rPr>
                <w:rFonts w:ascii="宋体" w:hAnsi="宋体" w:cs="宋体" w:eastAsia="宋体" w:hint="default"/>
                <w:w w:val="85"/>
                <w:sz w:val="18"/>
                <w:szCs w:val="18"/>
              </w:rPr>
              <w:t>以及三证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2,700.00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专利资助（一体化应急管理系统等三项专利）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8"/>
                <w:szCs w:val="18"/>
              </w:rPr>
            </w:pPr>
            <w:r>
              <w:rPr>
                <w:rFonts w:ascii="Arial"/>
                <w:spacing w:val="-1"/>
                <w:w w:val="80"/>
                <w:sz w:val="18"/>
              </w:rPr>
              <w:t>2,000.00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物业费补助及项目扶持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551,692.04</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5"/>
                <w:sz w:val="18"/>
                <w:szCs w:val="18"/>
              </w:rPr>
              <w:t> </w:t>
            </w:r>
            <w:r>
              <w:rPr>
                <w:rFonts w:ascii="宋体" w:hAnsi="宋体" w:cs="宋体" w:eastAsia="宋体" w:hint="default"/>
                <w:spacing w:val="3"/>
                <w:sz w:val="18"/>
                <w:szCs w:val="18"/>
              </w:rPr>
              <w:t>年广州市黄埔区广州开发区促进现代服务业发展高</w:t>
            </w:r>
            <w:r>
              <w:rPr>
                <w:rFonts w:ascii="宋体" w:hAnsi="宋体" w:cs="宋体" w:eastAsia="宋体" w:hint="default"/>
                <w:sz w:val="18"/>
                <w:szCs w:val="18"/>
              </w:rPr>
              <w:t> 管人才奖励金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面向移动互联网的云安全审计与防护技术研究及产业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31"/>
                <w:w w:val="95"/>
                <w:sz w:val="18"/>
                <w:szCs w:val="18"/>
              </w:rPr>
              <w:t> </w:t>
            </w:r>
            <w:r>
              <w:rPr>
                <w:rFonts w:ascii="宋体" w:hAnsi="宋体" w:cs="宋体" w:eastAsia="宋体" w:hint="default"/>
                <w:w w:val="95"/>
                <w:sz w:val="18"/>
                <w:szCs w:val="18"/>
              </w:rPr>
              <w:t>年广州市企业研发经费投入后补助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1,098,600.00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w w:val="95"/>
                <w:sz w:val="18"/>
                <w:szCs w:val="18"/>
              </w:rPr>
              <w:t>黄埔区、广州开发区 </w:t>
            </w:r>
            <w:r>
              <w:rPr>
                <w:rFonts w:ascii="Arial" w:hAnsi="Arial" w:cs="Arial" w:eastAsia="Arial" w:hint="default"/>
                <w:w w:val="95"/>
                <w:sz w:val="18"/>
                <w:szCs w:val="18"/>
              </w:rPr>
              <w:t>2018 </w:t>
            </w:r>
            <w:r>
              <w:rPr>
                <w:rFonts w:ascii="Arial" w:hAnsi="Arial" w:cs="Arial" w:eastAsia="Arial" w:hint="default"/>
                <w:spacing w:val="26"/>
                <w:w w:val="95"/>
                <w:sz w:val="18"/>
                <w:szCs w:val="18"/>
              </w:rPr>
              <w:t> </w:t>
            </w:r>
            <w:r>
              <w:rPr>
                <w:rFonts w:ascii="宋体" w:hAnsi="宋体" w:cs="宋体" w:eastAsia="宋体" w:hint="default"/>
                <w:w w:val="95"/>
                <w:sz w:val="18"/>
                <w:szCs w:val="18"/>
              </w:rPr>
              <w:t>年度瞪羚专项扶持资金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1,050,000.00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3"/>
              <w:jc w:val="left"/>
              <w:rPr>
                <w:rFonts w:ascii="宋体" w:hAnsi="宋体" w:cs="宋体" w:eastAsia="宋体" w:hint="default"/>
                <w:sz w:val="18"/>
                <w:szCs w:val="18"/>
              </w:rPr>
            </w:pPr>
            <w:r>
              <w:rPr>
                <w:rFonts w:ascii="Arial" w:hAnsi="Arial" w:cs="Arial" w:eastAsia="Arial" w:hint="default"/>
                <w:w w:val="95"/>
                <w:sz w:val="18"/>
                <w:szCs w:val="18"/>
              </w:rPr>
              <w:t>"</w:t>
            </w:r>
            <w:r>
              <w:rPr>
                <w:rFonts w:ascii="宋体" w:hAnsi="宋体" w:cs="宋体" w:eastAsia="宋体" w:hint="default"/>
                <w:w w:val="95"/>
                <w:sz w:val="18"/>
                <w:szCs w:val="18"/>
              </w:rPr>
              <w:t>中国制造 </w:t>
            </w:r>
            <w:r>
              <w:rPr>
                <w:rFonts w:ascii="Arial" w:hAnsi="Arial" w:cs="Arial" w:eastAsia="Arial" w:hint="default"/>
                <w:w w:val="95"/>
                <w:sz w:val="18"/>
                <w:szCs w:val="18"/>
              </w:rPr>
              <w:t>2025"</w:t>
            </w:r>
            <w:r>
              <w:rPr>
                <w:rFonts w:ascii="宋体" w:hAnsi="宋体" w:cs="宋体" w:eastAsia="宋体" w:hint="default"/>
                <w:w w:val="95"/>
                <w:sz w:val="18"/>
                <w:szCs w:val="18"/>
              </w:rPr>
              <w:t>产业发展资金（军工研发）</w:t>
            </w:r>
            <w:r>
              <w:rPr>
                <w:rFonts w:ascii="Arial" w:hAnsi="Arial" w:cs="Arial" w:eastAsia="Arial" w:hint="default"/>
                <w:w w:val="95"/>
                <w:sz w:val="18"/>
                <w:szCs w:val="18"/>
              </w:rPr>
              <w:t>-</w:t>
            </w:r>
            <w:r>
              <w:rPr>
                <w:rFonts w:ascii="宋体" w:hAnsi="宋体" w:cs="宋体" w:eastAsia="宋体" w:hint="default"/>
                <w:w w:val="95"/>
                <w:sz w:val="18"/>
                <w:szCs w:val="18"/>
              </w:rPr>
              <w:t>数据处理系统</w:t>
            </w:r>
            <w:r>
              <w:rPr>
                <w:rFonts w:ascii="宋体" w:hAnsi="宋体" w:cs="宋体" w:eastAsia="宋体" w:hint="default"/>
                <w:spacing w:val="-39"/>
                <w:w w:val="95"/>
                <w:sz w:val="18"/>
                <w:szCs w:val="18"/>
              </w:rPr>
              <w:t> </w:t>
            </w:r>
            <w:r>
              <w:rPr>
                <w:rFonts w:ascii="宋体" w:hAnsi="宋体" w:cs="宋体" w:eastAsia="宋体" w:hint="default"/>
                <w:sz w:val="18"/>
                <w:szCs w:val="18"/>
              </w:rPr>
              <w:t>安全改造研制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1,720,000.00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w w:val="95"/>
                <w:sz w:val="18"/>
                <w:szCs w:val="18"/>
              </w:rPr>
              <w:t>广州市黄埔区 </w:t>
            </w:r>
            <w:r>
              <w:rPr>
                <w:rFonts w:ascii="Arial" w:hAnsi="Arial" w:cs="Arial" w:eastAsia="Arial" w:hint="default"/>
                <w:w w:val="95"/>
                <w:sz w:val="18"/>
                <w:szCs w:val="18"/>
              </w:rPr>
              <w:t>2018</w:t>
            </w:r>
            <w:r>
              <w:rPr>
                <w:rFonts w:ascii="Arial" w:hAnsi="Arial" w:cs="Arial" w:eastAsia="Arial" w:hint="default"/>
                <w:spacing w:val="28"/>
                <w:w w:val="95"/>
                <w:sz w:val="18"/>
                <w:szCs w:val="18"/>
              </w:rPr>
              <w:t> </w:t>
            </w:r>
            <w:r>
              <w:rPr>
                <w:rFonts w:ascii="宋体" w:hAnsi="宋体" w:cs="宋体" w:eastAsia="宋体" w:hint="default"/>
                <w:w w:val="95"/>
                <w:sz w:val="18"/>
                <w:szCs w:val="18"/>
              </w:rPr>
              <w:t>年度总部企业奖励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451,322.00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pacing w:val="-3"/>
                <w:w w:val="95"/>
                <w:sz w:val="18"/>
                <w:szCs w:val="18"/>
              </w:rPr>
              <w:t>广州开发区科技创新局（黄埔区科技局）</w:t>
            </w:r>
            <w:r>
              <w:rPr>
                <w:rFonts w:ascii="Arial" w:hAnsi="Arial" w:cs="Arial" w:eastAsia="Arial" w:hint="default"/>
                <w:spacing w:val="-3"/>
                <w:w w:val="95"/>
                <w:sz w:val="18"/>
                <w:szCs w:val="18"/>
              </w:rPr>
              <w:t>2017 </w:t>
            </w:r>
            <w:r>
              <w:rPr>
                <w:rFonts w:ascii="宋体" w:hAnsi="宋体" w:cs="宋体" w:eastAsia="宋体" w:hint="default"/>
                <w:w w:val="95"/>
                <w:sz w:val="18"/>
                <w:szCs w:val="18"/>
              </w:rPr>
              <w:t>年广州市企</w:t>
            </w:r>
            <w:r>
              <w:rPr>
                <w:rFonts w:ascii="宋体" w:hAnsi="宋体" w:cs="宋体" w:eastAsia="宋体" w:hint="default"/>
                <w:spacing w:val="-54"/>
                <w:w w:val="95"/>
                <w:sz w:val="18"/>
                <w:szCs w:val="18"/>
              </w:rPr>
              <w:t> </w:t>
            </w:r>
            <w:r>
              <w:rPr>
                <w:rFonts w:ascii="宋体" w:hAnsi="宋体" w:cs="宋体" w:eastAsia="宋体" w:hint="default"/>
                <w:sz w:val="18"/>
                <w:szCs w:val="18"/>
              </w:rPr>
              <w:t>业研究开发机构建设专项第二批项目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600,000.00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2"/>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5"/>
                <w:sz w:val="18"/>
                <w:szCs w:val="18"/>
              </w:rPr>
              <w:t> </w:t>
            </w:r>
            <w:r>
              <w:rPr>
                <w:rFonts w:ascii="宋体" w:hAnsi="宋体" w:cs="宋体" w:eastAsia="宋体" w:hint="default"/>
                <w:spacing w:val="3"/>
                <w:sz w:val="18"/>
                <w:szCs w:val="18"/>
              </w:rPr>
              <w:t>年度广州市企业研究开发机构建设专项区级承担资</w:t>
            </w:r>
            <w:r>
              <w:rPr>
                <w:rFonts w:ascii="宋体" w:hAnsi="宋体" w:cs="宋体" w:eastAsia="宋体" w:hint="default"/>
                <w:sz w:val="18"/>
                <w:szCs w:val="18"/>
              </w:rPr>
              <w:t> 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400,000.00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22"/>
                <w:w w:val="95"/>
                <w:sz w:val="18"/>
                <w:szCs w:val="18"/>
              </w:rPr>
              <w:t> </w:t>
            </w:r>
            <w:r>
              <w:rPr>
                <w:rFonts w:ascii="宋体" w:hAnsi="宋体" w:cs="宋体" w:eastAsia="宋体" w:hint="default"/>
                <w:w w:val="95"/>
                <w:sz w:val="18"/>
                <w:szCs w:val="18"/>
              </w:rPr>
              <w:t>广州市企业研发经费投入后补助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38,300.00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28"/>
                <w:w w:val="95"/>
                <w:sz w:val="18"/>
                <w:szCs w:val="18"/>
              </w:rPr>
              <w:t> </w:t>
            </w:r>
            <w:r>
              <w:rPr>
                <w:rFonts w:ascii="宋体" w:hAnsi="宋体" w:cs="宋体" w:eastAsia="宋体" w:hint="default"/>
                <w:w w:val="95"/>
                <w:sz w:val="18"/>
                <w:szCs w:val="18"/>
              </w:rPr>
              <w:t>年“创客广东”新一代信息技术创新创业大赛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50,000.00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Arial" w:hAnsi="Arial" w:cs="Arial" w:eastAsia="Arial" w:hint="default"/>
                <w:spacing w:val="31"/>
                <w:w w:val="95"/>
                <w:sz w:val="18"/>
                <w:szCs w:val="18"/>
              </w:rPr>
              <w:t> </w:t>
            </w:r>
            <w:r>
              <w:rPr>
                <w:rFonts w:ascii="宋体" w:hAnsi="宋体" w:cs="宋体" w:eastAsia="宋体" w:hint="default"/>
                <w:w w:val="95"/>
                <w:sz w:val="18"/>
                <w:szCs w:val="18"/>
              </w:rPr>
              <w:t>年广州市企业研发后补助专项经费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29,700.00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2016 </w:t>
            </w:r>
            <w:r>
              <w:rPr>
                <w:rFonts w:ascii="Arial" w:hAnsi="Arial" w:cs="Arial" w:eastAsia="Arial" w:hint="default"/>
                <w:spacing w:val="40"/>
                <w:w w:val="95"/>
                <w:sz w:val="18"/>
                <w:szCs w:val="18"/>
              </w:rPr>
              <w:t> </w:t>
            </w:r>
            <w:r>
              <w:rPr>
                <w:rFonts w:ascii="宋体" w:hAnsi="宋体" w:cs="宋体" w:eastAsia="宋体" w:hint="default"/>
                <w:w w:val="95"/>
                <w:sz w:val="18"/>
                <w:szCs w:val="18"/>
              </w:rPr>
              <w:t>年度广州市科技创新小巨人企业入库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广州市科技创新委员会广州华炜科技有限公司</w:t>
            </w:r>
            <w:r>
              <w:rPr>
                <w:rFonts w:ascii="宋体" w:hAnsi="宋体" w:cs="宋体" w:eastAsia="宋体" w:hint="default"/>
                <w:spacing w:val="-38"/>
                <w:sz w:val="18"/>
                <w:szCs w:val="18"/>
              </w:rPr>
              <w:t> </w:t>
            </w:r>
            <w:r>
              <w:rPr>
                <w:rFonts w:ascii="Arial" w:hAnsi="Arial" w:cs="Arial" w:eastAsia="Arial" w:hint="default"/>
                <w:sz w:val="18"/>
                <w:szCs w:val="18"/>
              </w:rPr>
              <w:t>2017 </w:t>
            </w:r>
            <w:r>
              <w:rPr>
                <w:rFonts w:ascii="宋体" w:hAnsi="宋体" w:cs="宋体" w:eastAsia="宋体" w:hint="default"/>
                <w:sz w:val="18"/>
                <w:szCs w:val="18"/>
              </w:rPr>
              <w:t>年度 高新技术企业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250,000.00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76"/>
        <w:gridCol w:w="1277"/>
        <w:gridCol w:w="1274"/>
        <w:gridCol w:w="2069"/>
      </w:tblGrid>
      <w:tr>
        <w:trPr>
          <w:trHeight w:val="67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578" w:right="556" w:hanging="2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w w:val="95"/>
                <w:sz w:val="18"/>
                <w:szCs w:val="18"/>
              </w:rPr>
              <w:t>广州市科技创新委员会 </w:t>
            </w:r>
            <w:r>
              <w:rPr>
                <w:rFonts w:ascii="Arial" w:hAnsi="Arial" w:cs="Arial" w:eastAsia="Arial" w:hint="default"/>
                <w:w w:val="95"/>
                <w:sz w:val="18"/>
                <w:szCs w:val="18"/>
              </w:rPr>
              <w:t>2018 </w:t>
            </w:r>
            <w:r>
              <w:rPr>
                <w:rFonts w:ascii="Arial" w:hAnsi="Arial" w:cs="Arial" w:eastAsia="Arial" w:hint="default"/>
                <w:spacing w:val="17"/>
                <w:w w:val="95"/>
                <w:sz w:val="18"/>
                <w:szCs w:val="18"/>
              </w:rPr>
              <w:t> </w:t>
            </w:r>
            <w:r>
              <w:rPr>
                <w:rFonts w:ascii="宋体" w:hAnsi="宋体" w:cs="宋体" w:eastAsia="宋体" w:hint="default"/>
                <w:w w:val="95"/>
                <w:sz w:val="18"/>
                <w:szCs w:val="18"/>
              </w:rPr>
              <w:t>年企业研发后补助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162,600.00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东莞市市场监督管理局企业专利资助收入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33,000.00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22"/>
                <w:w w:val="95"/>
                <w:sz w:val="18"/>
                <w:szCs w:val="18"/>
              </w:rPr>
              <w:t> </w:t>
            </w:r>
            <w:r>
              <w:rPr>
                <w:rFonts w:ascii="宋体" w:hAnsi="宋体" w:cs="宋体" w:eastAsia="宋体" w:hint="default"/>
                <w:w w:val="95"/>
                <w:sz w:val="18"/>
                <w:szCs w:val="18"/>
              </w:rPr>
              <w:t>年科技型中小企业、新型专利奖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26,000.00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宜春市高安市工业发展奖励资金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23"/>
                <w:w w:val="95"/>
                <w:sz w:val="18"/>
                <w:szCs w:val="18"/>
              </w:rPr>
              <w:t> </w:t>
            </w:r>
            <w:r>
              <w:rPr>
                <w:rFonts w:ascii="宋体" w:hAnsi="宋体" w:cs="宋体" w:eastAsia="宋体" w:hint="default"/>
                <w:w w:val="95"/>
                <w:sz w:val="18"/>
                <w:szCs w:val="18"/>
              </w:rPr>
              <w:t>年瞪羚专项扶持资金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180,900.00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广州市商务委</w:t>
            </w:r>
            <w:r>
              <w:rPr>
                <w:rFonts w:ascii="宋体" w:hAnsi="宋体" w:cs="宋体" w:eastAsia="宋体" w:hint="default"/>
                <w:spacing w:val="-39"/>
                <w:sz w:val="18"/>
                <w:szCs w:val="18"/>
              </w:rPr>
              <w:t> </w:t>
            </w:r>
            <w:r>
              <w:rPr>
                <w:rFonts w:ascii="Arial" w:hAnsi="Arial" w:cs="Arial" w:eastAsia="Arial" w:hint="default"/>
                <w:sz w:val="18"/>
                <w:szCs w:val="18"/>
              </w:rPr>
              <w:t>2017 </w:t>
            </w:r>
            <w:r>
              <w:rPr>
                <w:rFonts w:ascii="宋体" w:hAnsi="宋体" w:cs="宋体" w:eastAsia="宋体" w:hint="default"/>
                <w:sz w:val="18"/>
                <w:szCs w:val="18"/>
              </w:rPr>
              <w:t>年度广州市商务发展专项资金（零售 与生活服务事项）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1,500.00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广州开发区知识产权局（黄埔区知识产权局）知识产权规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范化管理标准认证资助费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200,000.00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广州开发区知识产权局（黄埔区知识产权局）软件著作登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记资助费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1,050,000.00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广州开发区知识产权局</w:t>
            </w:r>
            <w:r>
              <w:rPr>
                <w:rFonts w:ascii="宋体" w:hAnsi="宋体" w:cs="宋体" w:eastAsia="宋体" w:hint="default"/>
                <w:spacing w:val="-39"/>
                <w:sz w:val="18"/>
                <w:szCs w:val="18"/>
              </w:rPr>
              <w:t> </w:t>
            </w:r>
            <w:r>
              <w:rPr>
                <w:rFonts w:ascii="Arial" w:hAnsi="Arial" w:cs="Arial" w:eastAsia="Arial" w:hint="default"/>
                <w:sz w:val="18"/>
                <w:szCs w:val="18"/>
              </w:rPr>
              <w:t>2018 </w:t>
            </w:r>
            <w:r>
              <w:rPr>
                <w:rFonts w:ascii="宋体" w:hAnsi="宋体" w:cs="宋体" w:eastAsia="宋体" w:hint="default"/>
                <w:sz w:val="18"/>
                <w:szCs w:val="18"/>
              </w:rPr>
              <w:t>年度电商知识产权保护优势 单位项目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2,860,000.00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广州开发区商务局（黄埔商务局）促进现代服务业发展奖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励金电子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浦东新区“十三五”扶持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3"/>
                <w:w w:val="80"/>
                <w:sz w:val="18"/>
              </w:rPr>
              <w:t>112,000.00</w:t>
            </w:r>
            <w:r>
              <w:rPr>
                <w:rFonts w:ascii="Arial"/>
                <w:spacing w:val="-3"/>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Arial" w:hAnsi="Arial" w:cs="Arial" w:eastAsia="Arial" w:hint="default"/>
                <w:sz w:val="18"/>
                <w:szCs w:val="18"/>
              </w:rPr>
            </w:pPr>
            <w:r>
              <w:rPr>
                <w:rFonts w:ascii="宋体" w:hAnsi="宋体" w:cs="宋体" w:eastAsia="宋体" w:hint="default"/>
                <w:w w:val="90"/>
                <w:sz w:val="18"/>
                <w:szCs w:val="18"/>
              </w:rPr>
              <w:t>小巨人奖励</w:t>
            </w:r>
            <w:r>
              <w:rPr>
                <w:rFonts w:ascii="宋体" w:hAnsi="宋体" w:cs="宋体" w:eastAsia="宋体" w:hint="default"/>
                <w:spacing w:val="-34"/>
                <w:w w:val="90"/>
                <w:sz w:val="18"/>
                <w:szCs w:val="18"/>
              </w:rPr>
              <w:t> </w:t>
            </w:r>
            <w:r>
              <w:rPr>
                <w:rFonts w:ascii="Arial" w:hAnsi="Arial" w:cs="Arial" w:eastAsia="Arial" w:hint="default"/>
                <w:w w:val="90"/>
                <w:sz w:val="18"/>
                <w:szCs w:val="18"/>
              </w:rPr>
              <w:t>2046010233</w:t>
            </w:r>
            <w:r>
              <w:rPr>
                <w:rFonts w:ascii="Arial" w:hAnsi="Arial" w:cs="Arial" w:eastAsia="Arial"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23"/>
                <w:w w:val="95"/>
                <w:sz w:val="18"/>
                <w:szCs w:val="18"/>
              </w:rPr>
              <w:t> </w:t>
            </w:r>
            <w:r>
              <w:rPr>
                <w:rFonts w:ascii="宋体" w:hAnsi="宋体" w:cs="宋体" w:eastAsia="宋体" w:hint="default"/>
                <w:w w:val="95"/>
                <w:sz w:val="18"/>
                <w:szCs w:val="18"/>
              </w:rPr>
              <w:t>年企业研究开发资助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573,000.00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38"/>
                <w:w w:val="95"/>
                <w:sz w:val="18"/>
                <w:szCs w:val="18"/>
              </w:rPr>
              <w:t> </w:t>
            </w:r>
            <w:r>
              <w:rPr>
                <w:rFonts w:ascii="宋体" w:hAnsi="宋体" w:cs="宋体" w:eastAsia="宋体" w:hint="default"/>
                <w:w w:val="95"/>
                <w:sz w:val="18"/>
                <w:szCs w:val="18"/>
              </w:rPr>
              <w:t>年深圳市第一批计算机软件著作权登记资助拔款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6,400.00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国家高新技术企业倍增支持计划项目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30,000.00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w w:val="95"/>
                <w:sz w:val="18"/>
                <w:szCs w:val="18"/>
              </w:rPr>
              <w:t>2018 </w:t>
            </w:r>
            <w:r>
              <w:rPr>
                <w:rFonts w:ascii="Arial" w:hAnsi="Arial" w:cs="Arial" w:eastAsia="Arial" w:hint="default"/>
                <w:spacing w:val="31"/>
                <w:w w:val="95"/>
                <w:sz w:val="18"/>
                <w:szCs w:val="18"/>
              </w:rPr>
              <w:t> </w:t>
            </w:r>
            <w:r>
              <w:rPr>
                <w:rFonts w:ascii="宋体" w:hAnsi="宋体" w:cs="宋体" w:eastAsia="宋体" w:hint="default"/>
                <w:w w:val="95"/>
                <w:sz w:val="18"/>
                <w:szCs w:val="18"/>
              </w:rPr>
              <w:t>年国家高新技术企业认定奖补资金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w w:val="81"/>
                <w:sz w:val="18"/>
              </w:rPr>
              <w:t>-</w:t>
            </w:r>
            <w:r>
              <w:rPr>
                <w:rFonts w:ascii="Arial"/>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88,052,201.95</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73,827,634.79</w:t>
            </w:r>
            <w:r>
              <w:rPr>
                <w:rFonts w:ascii="Arial"/>
                <w:spacing w:val="-1"/>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Arial" w:hAnsi="Arial" w:cs="Arial" w:eastAsia="Arial" w:hint="default"/>
                <w:sz w:val="18"/>
                <w:szCs w:val="18"/>
              </w:rPr>
            </w:pPr>
            <w:r>
              <w:rPr>
                <w:rFonts w:ascii="Arial" w:hAnsi="Arial" w:cs="Arial" w:eastAsia="Arial" w:hint="default"/>
                <w:spacing w:val="-3"/>
                <w:w w:val="90"/>
                <w:sz w:val="18"/>
                <w:szCs w:val="18"/>
              </w:rPr>
              <w:t>——</w:t>
            </w:r>
            <w:r>
              <w:rPr>
                <w:rFonts w:ascii="Arial" w:hAnsi="Arial" w:cs="Arial" w:eastAsia="Arial"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left="212" w:right="0"/>
        <w:jc w:val="left"/>
        <w:rPr>
          <w:b w:val="0"/>
          <w:bCs w:val="0"/>
        </w:rPr>
      </w:pPr>
      <w:bookmarkStart w:name="50、投资收益" w:id="361"/>
      <w:bookmarkEnd w:id="361"/>
      <w:r>
        <w:rPr>
          <w:b w:val="0"/>
          <w:bCs w:val="0"/>
        </w:rPr>
      </w:r>
      <w:r>
        <w:rPr>
          <w:rFonts w:ascii="Times New Roman" w:hAnsi="Times New Roman" w:cs="Times New Roman" w:eastAsia="Times New Roman" w:hint="default"/>
        </w:rPr>
        <w:t>50</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226,492.69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2" w:right="0"/>
              <w:jc w:val="left"/>
              <w:rPr>
                <w:rFonts w:ascii="Times New Roman" w:hAnsi="Times New Roman" w:cs="Times New Roman" w:eastAsia="Times New Roman" w:hint="default"/>
                <w:sz w:val="18"/>
                <w:szCs w:val="18"/>
              </w:rPr>
            </w:pPr>
            <w:r>
              <w:rPr>
                <w:rFonts w:ascii="Times New Roman"/>
                <w:sz w:val="18"/>
              </w:rPr>
              <w:t>-1,046,685.03</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406,061.97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52,288.74</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45,258.00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债权投资在持有期间取得的利息收入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其他债权投资在持有期间取得的利息收入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处置其他债权投资取得的投资收益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16,816.41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364,192.30</w:t>
            </w:r>
          </w:p>
        </w:tc>
      </w:tr>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644,869.95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-584,945.99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1、信用减值损失" w:id="362"/>
      <w:bookmarkEnd w:id="362"/>
      <w:r>
        <w:rPr>
          <w:b w:val="0"/>
          <w:bCs w:val="0"/>
        </w:rPr>
      </w:r>
      <w:r>
        <w:rPr>
          <w:rFonts w:ascii="Times New Roman" w:hAnsi="Times New Roman" w:cs="Times New Roman" w:eastAsia="Times New Roman" w:hint="default"/>
        </w:rPr>
        <w:t>51</w:t>
      </w:r>
      <w:r>
        <w:rPr/>
        <w:t>、信用减值损失</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其他债权投资减值损失</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合同资产减值损失</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-435,027,793.19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-435,027,793.19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2、资产减值损失" w:id="363"/>
      <w:bookmarkEnd w:id="363"/>
      <w:r>
        <w:rPr>
          <w:b w:val="0"/>
          <w:bCs w:val="0"/>
        </w:rPr>
      </w:r>
      <w:r>
        <w:rPr>
          <w:rFonts w:ascii="Times New Roman" w:hAnsi="Times New Roman" w:cs="Times New Roman" w:eastAsia="Times New Roman" w:hint="default"/>
        </w:rPr>
        <w:t>52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-161,678,986.72</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二、存货跌价损失及合同履约成本减值 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-99,581,486.13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-751,082,564.81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-58,044,003.18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-850,695,950.94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-219,644,989.90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3、资产处置收益" w:id="364"/>
      <w:bookmarkEnd w:id="364"/>
      <w:r>
        <w:rPr>
          <w:b w:val="0"/>
          <w:bCs w:val="0"/>
        </w:rPr>
      </w:r>
      <w:r>
        <w:rPr>
          <w:rFonts w:ascii="Times New Roman" w:hAnsi="Times New Roman" w:cs="Times New Roman" w:eastAsia="Times New Roman" w:hint="default"/>
        </w:rPr>
        <w:t>53</w:t>
      </w:r>
      <w:r>
        <w:rPr/>
        <w:t>、资产处置收益</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18,331,083.25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4、营业外收入" w:id="365"/>
      <w:bookmarkEnd w:id="365"/>
      <w:r>
        <w:rPr>
          <w:b w:val="0"/>
          <w:bCs w:val="0"/>
        </w:rPr>
      </w:r>
      <w:r>
        <w:rPr>
          <w:rFonts w:ascii="Times New Roman" w:hAnsi="Times New Roman" w:cs="Times New Roman" w:eastAsia="Times New Roman" w:hint="default"/>
        </w:rPr>
        <w:t>54</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2,224.47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542,933.64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542,933.64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久悬未决收入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595,933.64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115,426.69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595,933.64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55、营业外支出" w:id="366"/>
      <w:bookmarkEnd w:id="366"/>
      <w:r>
        <w:rPr>
          <w:b w:val="0"/>
          <w:bCs w:val="0"/>
        </w:rPr>
      </w:r>
      <w:r>
        <w:rPr>
          <w:rFonts w:ascii="Times New Roman" w:hAnsi="Times New Roman" w:cs="Times New Roman" w:eastAsia="Times New Roman" w:hint="default"/>
        </w:rPr>
        <w:t>55</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370"/>
        <w:gridCol w:w="2396"/>
        <w:gridCol w:w="2393"/>
        <w:gridCol w:w="2393"/>
      </w:tblGrid>
      <w:tr>
        <w:trPr>
          <w:trHeight w:val="161" w:hRule="exact"/>
        </w:trPr>
        <w:tc>
          <w:tcPr>
            <w:tcW w:w="2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29,699,899.64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5,005,250.30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29,699,899.64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826,865.70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734,659.64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826,865.70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129,126.78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79,300.90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129,126.78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30,810,892.12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6,669,210.84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30,810,892.12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6、所得税费用" w:id="367"/>
      <w:bookmarkEnd w:id="367"/>
      <w:r>
        <w:rPr>
          <w:b w:val="0"/>
          <w:bCs w:val="0"/>
        </w:rPr>
      </w:r>
      <w:r>
        <w:rPr>
          <w:rFonts w:ascii="Times New Roman" w:hAnsi="Times New Roman" w:cs="Times New Roman" w:eastAsia="Times New Roman" w:hint="default"/>
        </w:rPr>
        <w:t>56</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368"/>
      <w:bookmarkEnd w:id="36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50,970,248.60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83,133,390.17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-90,752,223.51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-16,768,258.84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-39,781,974.91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66,365,131.33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369"/>
      <w:bookmarkEnd w:id="36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-949,957,706.93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-94,960,158.41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-21,251,900.26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96,296.37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-100,817.04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76,302,703.62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-3,704,130.83</w:t>
            </w:r>
          </w:p>
        </w:tc>
      </w:tr>
      <w:tr>
        <w:trPr>
          <w:trHeight w:val="71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9,420,946.38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税率变动对递延所得税资产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递延所得税费用变动影响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7,737,939.59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-13,322,810.19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-39,781,974.91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57、现金流量表项目" w:id="370"/>
      <w:bookmarkEnd w:id="370"/>
      <w:r>
        <w:rPr>
          <w:b w:val="0"/>
          <w:bCs w:val="0"/>
        </w:rPr>
      </w:r>
      <w:r>
        <w:rPr>
          <w:rFonts w:ascii="Times New Roman" w:hAnsi="Times New Roman" w:cs="Times New Roman" w:eastAsia="Times New Roman" w:hint="default"/>
        </w:rPr>
        <w:t>57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收到的其他与经营活动有关的现金" w:id="371"/>
      <w:bookmarkEnd w:id="37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政府专项补贴款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36,235,900.60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36,140,368.48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2,191,056.12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2,891,082.92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70,387,939.28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229,638,876.32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139,286,640.44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10,686,930.49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258,788,466.93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268,670,327.72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支付的其他与经营活动有关的现金" w:id="372"/>
      <w:bookmarkEnd w:id="37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4,619,367.41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5,862,901.15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支付的往来款、销售费用及管理费用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350,750,380.34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269,327,858.92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355,369,747.75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275,190,760.07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收到的其他与投资活动有关的现金" w:id="373"/>
      <w:bookmarkEnd w:id="37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40,000,001.00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支付的其他与投资活动有关的现金" w:id="374"/>
      <w:bookmarkEnd w:id="37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处置子公司现金净流出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285,046.69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285,046.69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收到的其他与筹资活动有关的现金" w:id="375"/>
      <w:bookmarkEnd w:id="37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募集资金专户利息收入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6,929.49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807,723.57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133,536,000.01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84,156,116.43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133,542,929.50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84,963,840.00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支付的其他与筹资活动有关的现金" w:id="376"/>
      <w:bookmarkEnd w:id="37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支付的银行承兑汇票或履约保证金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161,968,929.27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102,579,223.22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支付融资服务费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47,891,736.50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27,028,122.21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股权激励股份回购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5,625,160.00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2,389,440.00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215,485,825.77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131,996,785.43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8、现金流量表补充资料" w:id="377"/>
      <w:bookmarkEnd w:id="377"/>
      <w:r>
        <w:rPr>
          <w:b w:val="0"/>
          <w:bCs w:val="0"/>
        </w:rPr>
      </w:r>
      <w:r>
        <w:rPr>
          <w:rFonts w:ascii="Times New Roman" w:hAnsi="Times New Roman" w:cs="Times New Roman" w:eastAsia="Times New Roman" w:hint="default"/>
        </w:rPr>
        <w:t>58</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378"/>
      <w:bookmarkEnd w:id="37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-910,175,732.02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421,841,626.34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1,285,723,744.13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219,644,989.90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237,867,386.51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144,295,142.52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使用权资产折旧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92,462,817.80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67,990,283.50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6,220,199.54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11,465,497.66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2,673.12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-18,331,083.25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29,699,899.64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5,003,025.83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170,396,015.09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161,213,990.54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-644,869.95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584,945.99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-85,819,165.04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-23,359,766.06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r>
        <w:rPr/>
        <w:pict>
          <v:group style="position:absolute;margin-left:223.369995pt;margin-top:107.719986pt;width:151.25pt;height:20.65pt;mso-position-horizontal-relative:page;mso-position-vertical-relative:page;z-index:-1431544" coordorigin="4467,2154" coordsize="3025,413">
            <v:group style="position:absolute;left:4478;top:2165;width:2;height:392" coordorigin="4478,2165" coordsize="2,392">
              <v:shape style="position:absolute;left:4478;top:2165;width:2;height:392" coordorigin="4478,2165" coordsize="0,392" path="m4478,2165l4478,2556e" filled="false" stroked="true" strokeweight="1.08pt" strokecolor="#ffffff">
                <v:path arrowok="t"/>
              </v:shape>
            </v:group>
            <v:group style="position:absolute;left:4489;top:2165;width:3003;height:392" coordorigin="4489,2165" coordsize="3003,392">
              <v:shape style="position:absolute;left:4489;top:2165;width:3003;height:392" coordorigin="4489,2165" coordsize="3003,392" path="m4489,2556l7492,2556,7492,2165,4489,2165,4489,255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39"/>
        <w:gridCol w:w="202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441,941.53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6,591,507.22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66" w:right="0"/>
              <w:jc w:val="left"/>
              <w:rPr>
                <w:rFonts w:ascii="Times New Roman" w:hAnsi="Times New Roman" w:cs="Times New Roman" w:eastAsia="Times New Roman" w:hint="default"/>
                <w:sz w:val="18"/>
                <w:szCs w:val="18"/>
              </w:rPr>
            </w:pPr>
            <w:r>
              <w:rPr>
                <w:rFonts w:ascii="Times New Roman"/>
                <w:sz w:val="18"/>
              </w:rPr>
              <w:t>24,254,409.97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-24,160,756.60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7" w:right="0"/>
              <w:jc w:val="left"/>
              <w:rPr>
                <w:rFonts w:ascii="Times New Roman" w:hAnsi="Times New Roman" w:cs="Times New Roman" w:eastAsia="Times New Roman" w:hint="default"/>
                <w:sz w:val="18"/>
                <w:szCs w:val="18"/>
              </w:rPr>
            </w:pPr>
            <w:r>
              <w:rPr>
                <w:rFonts w:ascii="Times New Roman"/>
                <w:sz w:val="18"/>
              </w:rPr>
              <w:t>-1,030,059,185.77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-777,958,633.48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-108,829,078.61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-25,566,320.64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842" w:right="0"/>
              <w:jc w:val="left"/>
              <w:rPr>
                <w:rFonts w:ascii="Times New Roman" w:hAnsi="Times New Roman" w:cs="Times New Roman" w:eastAsia="Times New Roman" w:hint="default"/>
                <w:sz w:val="18"/>
                <w:szCs w:val="18"/>
              </w:rPr>
            </w:pPr>
            <w:r>
              <w:rPr>
                <w:rFonts w:ascii="Times New Roman"/>
                <w:sz w:val="18"/>
              </w:rPr>
              <w:t>-288,458,944.06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169,254,449.47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70,733,600.89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1,031,747,914.75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1,031,747,914.75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1,581,414,095.69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842" w:right="0"/>
              <w:jc w:val="left"/>
              <w:rPr>
                <w:rFonts w:ascii="Times New Roman" w:hAnsi="Times New Roman" w:cs="Times New Roman" w:eastAsia="Times New Roman" w:hint="default"/>
                <w:sz w:val="18"/>
                <w:szCs w:val="18"/>
              </w:rPr>
            </w:pPr>
            <w:r>
              <w:rPr>
                <w:rFonts w:ascii="Times New Roman"/>
                <w:sz w:val="18"/>
              </w:rPr>
              <w:t>-961,014,313.86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-549,666,180.94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支付的取得子公司的现金净额" w:id="379"/>
      <w:bookmarkEnd w:id="37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本期收到的处置子公司的现金净额" w:id="380"/>
      <w:bookmarkEnd w:id="38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现金和现金等价物的构成" w:id="381"/>
      <w:bookmarkEnd w:id="38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70,733,600.89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1,031,747,914.75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299,537.60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1,921,759.41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70,434,063.29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1,029,826,155.34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70,733,600.89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1" w:right="0"/>
              <w:jc w:val="left"/>
              <w:rPr>
                <w:rFonts w:ascii="Times New Roman" w:hAnsi="Times New Roman" w:cs="Times New Roman" w:eastAsia="Times New Roman" w:hint="default"/>
                <w:sz w:val="18"/>
                <w:szCs w:val="18"/>
              </w:rPr>
            </w:pPr>
            <w:r>
              <w:rPr>
                <w:rFonts w:ascii="Times New Roman"/>
                <w:sz w:val="18"/>
              </w:rPr>
              <w:t>1,031,747,914.75</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9、所有权或使用权受到限制的资产" w:id="382"/>
      <w:bookmarkEnd w:id="382"/>
      <w:r>
        <w:rPr>
          <w:b w:val="0"/>
          <w:bCs w:val="0"/>
        </w:rPr>
      </w:r>
      <w:r>
        <w:rPr>
          <w:rFonts w:ascii="Times New Roman" w:hAnsi="Times New Roman" w:cs="Times New Roman" w:eastAsia="Times New Roman" w:hint="default"/>
        </w:rPr>
        <w:t>59</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204,371,481.77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详见本节注释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中受限制的货币资金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20,163,472.73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融资租赁抵押物</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143,244,681.12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借款抵押物</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76,389,428.00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借款质押物</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903,530,598.23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借款抵押物</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175,180,682.81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借款抵押物</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1,522,880,344.66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133" w:firstLine="427"/>
        <w:jc w:val="left"/>
      </w:pPr>
      <w:r>
        <w:rPr>
          <w:rFonts w:ascii="Times New Roman" w:hAnsi="Times New Roman" w:cs="Times New Roman" w:eastAsia="Times New Roman" w:hint="default"/>
          <w:spacing w:val="-2"/>
        </w:rPr>
        <w:t>1</w:t>
      </w:r>
      <w:r>
        <w:rPr>
          <w:spacing w:val="-2"/>
        </w:rPr>
        <w:t>、公司以编号为</w:t>
      </w:r>
      <w:r>
        <w:rPr>
          <w:rFonts w:ascii="Times New Roman" w:hAnsi="Times New Roman" w:cs="Times New Roman" w:eastAsia="Times New Roman" w:hint="default"/>
          <w:spacing w:val="-2"/>
        </w:rPr>
        <w:t>180071906180017</w:t>
      </w:r>
      <w:r>
        <w:rPr>
          <w:spacing w:val="-2"/>
        </w:rPr>
        <w:t>的</w:t>
      </w:r>
      <w:r>
        <w:rPr>
          <w:rFonts w:ascii="Times New Roman" w:hAnsi="Times New Roman" w:cs="Times New Roman" w:eastAsia="Times New Roman" w:hint="default"/>
          <w:spacing w:val="-2"/>
        </w:rPr>
        <w:t>3000</w:t>
      </w:r>
      <w:r>
        <w:rPr>
          <w:spacing w:val="-2"/>
        </w:rPr>
        <w:t>万元单位定期存款为质押，取得浙商银行股份有限公司广州</w:t>
      </w:r>
      <w:r>
        <w:rPr>
          <w:w w:val="100"/>
        </w:rPr>
        <w:t> </w:t>
      </w:r>
      <w:r>
        <w:rPr/>
        <w:t>分行人民币</w:t>
      </w:r>
      <w:r>
        <w:rPr>
          <w:rFonts w:ascii="Times New Roman" w:hAnsi="Times New Roman" w:cs="Times New Roman" w:eastAsia="Times New Roman" w:hint="default"/>
        </w:rPr>
        <w:t>3000</w:t>
      </w:r>
      <w:r>
        <w:rPr/>
        <w:t>万元短期借款，期限为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日，详见注释</w:t>
      </w:r>
      <w:r>
        <w:rPr>
          <w:rFonts w:ascii="Times New Roman" w:hAnsi="Times New Roman" w:cs="Times New Roman" w:eastAsia="Times New Roman" w:hint="default"/>
        </w:rPr>
        <w:t>22.</w:t>
      </w:r>
      <w:r>
        <w:rPr/>
        <w:t>短期借款；</w:t>
      </w:r>
    </w:p>
    <w:p>
      <w:pPr>
        <w:pStyle w:val="BodyText"/>
        <w:spacing w:line="240" w:lineRule="auto" w:before="5"/>
        <w:ind w:left="580" w:right="1133"/>
        <w:jc w:val="left"/>
      </w:pPr>
      <w:r>
        <w:rPr>
          <w:rFonts w:ascii="Times New Roman" w:hAnsi="Times New Roman" w:cs="Times New Roman" w:eastAsia="Times New Roman" w:hint="default"/>
        </w:rPr>
        <w:t>2</w:t>
      </w:r>
      <w:r>
        <w:rPr/>
        <w:t>、期末用于质押的应收账款账面价值为</w:t>
      </w:r>
      <w:r>
        <w:rPr>
          <w:rFonts w:ascii="Times New Roman" w:hAnsi="Times New Roman" w:cs="Times New Roman" w:eastAsia="Times New Roman" w:hint="default"/>
        </w:rPr>
        <w:t>76,389,428.00</w:t>
      </w:r>
      <w:r>
        <w:rPr/>
        <w:t>元，详见注释</w:t>
      </w:r>
      <w:r>
        <w:rPr>
          <w:rFonts w:ascii="Times New Roman" w:hAnsi="Times New Roman" w:cs="Times New Roman" w:eastAsia="Times New Roman" w:hint="default"/>
        </w:rPr>
        <w:t>22.</w:t>
      </w:r>
      <w:r>
        <w:rPr/>
        <w:t>短期借款；</w:t>
      </w:r>
    </w:p>
    <w:p>
      <w:pPr>
        <w:pStyle w:val="BodyText"/>
        <w:spacing w:line="240" w:lineRule="auto" w:before="21"/>
        <w:ind w:left="580" w:right="982"/>
        <w:jc w:val="left"/>
      </w:pPr>
      <w:r>
        <w:rPr>
          <w:rFonts w:ascii="Times New Roman" w:hAnsi="Times New Roman" w:cs="Times New Roman" w:eastAsia="Times New Roman" w:hint="default"/>
        </w:rPr>
        <w:t>3</w:t>
      </w:r>
      <w:r>
        <w:rPr/>
        <w:t>、期末用于抵押的在建工程账面价值为</w:t>
      </w:r>
      <w:r>
        <w:rPr>
          <w:rFonts w:ascii="Times New Roman" w:hAnsi="Times New Roman" w:cs="Times New Roman" w:eastAsia="Times New Roman" w:hint="default"/>
        </w:rPr>
        <w:t>903,530,598.23</w:t>
      </w:r>
      <w:r>
        <w:rPr/>
        <w:t>元，详见注释</w:t>
      </w:r>
      <w:r>
        <w:rPr>
          <w:rFonts w:ascii="Times New Roman" w:hAnsi="Times New Roman" w:cs="Times New Roman" w:eastAsia="Times New Roman" w:hint="default"/>
        </w:rPr>
        <w:t>22.</w:t>
      </w:r>
      <w:r>
        <w:rPr/>
        <w:t>短期借款及注释</w:t>
      </w:r>
      <w:r>
        <w:rPr>
          <w:rFonts w:ascii="Times New Roman" w:hAnsi="Times New Roman" w:cs="Times New Roman" w:eastAsia="Times New Roman" w:hint="default"/>
        </w:rPr>
        <w:t>31.</w:t>
      </w:r>
      <w:r>
        <w:rPr/>
        <w:t>长期借款；</w:t>
      </w:r>
    </w:p>
    <w:p>
      <w:pPr>
        <w:pStyle w:val="BodyText"/>
        <w:spacing w:line="240" w:lineRule="auto" w:before="21"/>
        <w:ind w:left="580" w:right="1133"/>
        <w:jc w:val="left"/>
      </w:pPr>
      <w:r>
        <w:rPr>
          <w:rFonts w:ascii="Times New Roman" w:hAnsi="Times New Roman" w:cs="Times New Roman" w:eastAsia="Times New Roman" w:hint="default"/>
        </w:rPr>
        <w:t>4</w:t>
      </w:r>
      <w:r>
        <w:rPr/>
        <w:t>、期末用于抵押的固定资产账面价值为</w:t>
      </w:r>
      <w:r>
        <w:rPr>
          <w:rFonts w:ascii="Times New Roman" w:hAnsi="Times New Roman" w:cs="Times New Roman" w:eastAsia="Times New Roman" w:hint="default"/>
        </w:rPr>
        <w:t>20,163,472.73</w:t>
      </w:r>
      <w:r>
        <w:rPr/>
        <w:t>元，详见注释</w:t>
      </w:r>
      <w:r>
        <w:rPr>
          <w:rFonts w:ascii="Times New Roman" w:hAnsi="Times New Roman" w:cs="Times New Roman" w:eastAsia="Times New Roman" w:hint="default"/>
        </w:rPr>
        <w:t>33.</w:t>
      </w:r>
      <w:r>
        <w:rPr/>
        <w:t>长期应付款；</w:t>
      </w:r>
    </w:p>
    <w:p>
      <w:pPr>
        <w:pStyle w:val="BodyText"/>
        <w:spacing w:line="256" w:lineRule="auto" w:before="21"/>
        <w:ind w:right="1133" w:firstLine="427"/>
        <w:jc w:val="left"/>
      </w:pPr>
      <w:r>
        <w:rPr>
          <w:rFonts w:ascii="Times New Roman" w:hAnsi="Times New Roman" w:cs="Times New Roman" w:eastAsia="Times New Roman" w:hint="default"/>
          <w:spacing w:val="-3"/>
        </w:rPr>
        <w:t>5</w:t>
      </w:r>
      <w:r>
        <w:rPr>
          <w:spacing w:val="-3"/>
        </w:rPr>
        <w:t>、期末用于抵押的无形资产账面价值为</w:t>
      </w:r>
      <w:r>
        <w:rPr>
          <w:rFonts w:ascii="Times New Roman" w:hAnsi="Times New Roman" w:cs="Times New Roman" w:eastAsia="Times New Roman" w:hint="default"/>
          <w:spacing w:val="-3"/>
        </w:rPr>
        <w:t>143,244,681.12</w:t>
      </w:r>
      <w:r>
        <w:rPr>
          <w:spacing w:val="-3"/>
        </w:rPr>
        <w:t>元，详见注释</w:t>
      </w:r>
      <w:r>
        <w:rPr>
          <w:rFonts w:ascii="Times New Roman" w:hAnsi="Times New Roman" w:cs="Times New Roman" w:eastAsia="Times New Roman" w:hint="default"/>
          <w:spacing w:val="-3"/>
        </w:rPr>
        <w:t>22.</w:t>
      </w:r>
      <w:r>
        <w:rPr>
          <w:spacing w:val="-3"/>
        </w:rPr>
        <w:t>短期借款、注释</w:t>
      </w:r>
      <w:r>
        <w:rPr>
          <w:rFonts w:ascii="Times New Roman" w:hAnsi="Times New Roman" w:cs="Times New Roman" w:eastAsia="Times New Roman" w:hint="default"/>
          <w:spacing w:val="-3"/>
        </w:rPr>
        <w:t>31.</w:t>
      </w:r>
      <w:r>
        <w:rPr>
          <w:spacing w:val="-3"/>
        </w:rPr>
        <w:t>长期借款及</w:t>
      </w:r>
      <w:r>
        <w:rPr>
          <w:w w:val="100"/>
        </w:rPr>
        <w:t> </w:t>
      </w:r>
      <w:r>
        <w:rPr/>
        <w:t>注释</w:t>
      </w:r>
      <w:r>
        <w:rPr>
          <w:rFonts w:ascii="Times New Roman" w:hAnsi="Times New Roman" w:cs="Times New Roman" w:eastAsia="Times New Roman" w:hint="default"/>
        </w:rPr>
        <w:t>33.</w:t>
      </w:r>
      <w:r>
        <w:rPr/>
        <w:t>长期应付款；</w:t>
      </w:r>
    </w:p>
    <w:p>
      <w:pPr>
        <w:pStyle w:val="BodyText"/>
        <w:spacing w:line="240" w:lineRule="auto" w:before="5"/>
        <w:ind w:left="580" w:right="1133"/>
        <w:jc w:val="left"/>
      </w:pPr>
      <w:r>
        <w:rPr>
          <w:rFonts w:ascii="Times New Roman" w:hAnsi="Times New Roman" w:cs="Times New Roman" w:eastAsia="Times New Roman" w:hint="default"/>
        </w:rPr>
        <w:t>6</w:t>
      </w:r>
      <w:r>
        <w:rPr/>
        <w:t>、期末用于抵押的持有待售资产账面价值为</w:t>
      </w:r>
      <w:r>
        <w:rPr>
          <w:rFonts w:ascii="Times New Roman" w:hAnsi="Times New Roman" w:cs="Times New Roman" w:eastAsia="Times New Roman" w:hint="default"/>
        </w:rPr>
        <w:t>175,180,682.81</w:t>
      </w:r>
      <w:r>
        <w:rPr/>
        <w:t>元，详见注释</w:t>
      </w:r>
      <w:r>
        <w:rPr>
          <w:rFonts w:ascii="Times New Roman" w:hAnsi="Times New Roman" w:cs="Times New Roman" w:eastAsia="Times New Roman" w:hint="default"/>
        </w:rPr>
        <w:t>22.</w:t>
      </w:r>
      <w:r>
        <w:rPr/>
        <w:t>短期借款。</w:t>
      </w:r>
    </w:p>
    <w:p>
      <w:pPr>
        <w:spacing w:line="240" w:lineRule="auto" w:before="8"/>
        <w:rPr>
          <w:rFonts w:ascii="宋体" w:hAnsi="宋体" w:cs="宋体" w:eastAsia="宋体" w:hint="default"/>
          <w:sz w:val="24"/>
          <w:szCs w:val="24"/>
        </w:rPr>
      </w:pPr>
    </w:p>
    <w:p>
      <w:pPr>
        <w:pStyle w:val="Heading3"/>
        <w:spacing w:line="240" w:lineRule="auto"/>
        <w:ind w:right="1133"/>
        <w:jc w:val="left"/>
        <w:rPr>
          <w:b w:val="0"/>
          <w:bCs w:val="0"/>
        </w:rPr>
      </w:pPr>
      <w:bookmarkStart w:name="60、政府补助" w:id="383"/>
      <w:bookmarkEnd w:id="383"/>
      <w:r>
        <w:rPr>
          <w:b w:val="0"/>
          <w:bCs w:val="0"/>
        </w:rPr>
      </w:r>
      <w:r>
        <w:rPr>
          <w:rFonts w:ascii="Times New Roman" w:hAnsi="Times New Roman" w:cs="Times New Roman" w:eastAsia="Times New Roman" w:hint="default"/>
        </w:rPr>
        <w:t>60</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384"/>
      <w:bookmarkEnd w:id="38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18,668,167.42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18,668,167.42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35,192,732.36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35,192,732.36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政府补助退回情况" w:id="385"/>
      <w:bookmarkEnd w:id="38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spacing w:line="506" w:lineRule="auto" w:before="0"/>
        <w:ind w:left="152" w:right="8330" w:firstLine="0"/>
        <w:jc w:val="left"/>
        <w:rPr>
          <w:rFonts w:ascii="宋体" w:hAnsi="宋体" w:cs="宋体" w:eastAsia="宋体" w:hint="default"/>
          <w:sz w:val="18"/>
          <w:szCs w:val="18"/>
        </w:rPr>
      </w:pPr>
      <w:bookmarkStart w:name="八、合并范围的变更" w:id="386"/>
      <w:bookmarkEnd w:id="386"/>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7"/>
      <w:bookmarkEnd w:id="38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1133"/>
        <w:jc w:val="left"/>
        <w:rPr>
          <w:b w:val="0"/>
          <w:bCs w:val="0"/>
        </w:rPr>
      </w:pPr>
      <w:bookmarkStart w:name="2、同一控制下企业合并" w:id="388"/>
      <w:bookmarkEnd w:id="38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反向购买" w:id="389"/>
      <w:bookmarkEnd w:id="38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处置子公司" w:id="390"/>
      <w:bookmarkEnd w:id="39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85"/>
        <w:gridCol w:w="900"/>
        <w:gridCol w:w="737"/>
        <w:gridCol w:w="735"/>
        <w:gridCol w:w="734"/>
        <w:gridCol w:w="737"/>
        <w:gridCol w:w="929"/>
        <w:gridCol w:w="734"/>
        <w:gridCol w:w="737"/>
        <w:gridCol w:w="737"/>
        <w:gridCol w:w="734"/>
        <w:gridCol w:w="737"/>
        <w:gridCol w:w="737"/>
      </w:tblGrid>
      <w:tr>
        <w:trPr>
          <w:trHeight w:val="2897"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347" w:right="7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3"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6"/>
              <w:jc w:val="center"/>
              <w:rPr>
                <w:rFonts w:ascii="宋体" w:hAnsi="宋体" w:cs="宋体" w:eastAsia="宋体" w:hint="default"/>
                <w:sz w:val="18"/>
                <w:szCs w:val="18"/>
              </w:rPr>
            </w:pPr>
            <w:r>
              <w:rPr>
                <w:rFonts w:ascii="宋体" w:hAnsi="宋体" w:cs="宋体" w:eastAsia="宋体" w:hint="default"/>
                <w:sz w:val="18"/>
                <w:szCs w:val="18"/>
              </w:rPr>
              <w:t>处置价款 与处置投 资对应的 合并财务 报表层面 享有该子 公司净资 产份额的 差额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40" w:hRule="exact"/>
        </w:trPr>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0"/>
              <w:jc w:val="both"/>
              <w:rPr>
                <w:rFonts w:ascii="宋体" w:hAnsi="宋体" w:cs="宋体" w:eastAsia="宋体" w:hint="default"/>
                <w:sz w:val="18"/>
                <w:szCs w:val="18"/>
              </w:rPr>
            </w:pPr>
            <w:r>
              <w:rPr>
                <w:rFonts w:ascii="宋体" w:hAnsi="宋体" w:cs="宋体" w:eastAsia="宋体" w:hint="default"/>
                <w:sz w:val="18"/>
                <w:szCs w:val="18"/>
              </w:rPr>
              <w:t>广西蓝盾 智慧城市 信息技术 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299,000.00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股权交 割完毕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-240.81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5、其他原因的合并范围变动" w:id="391"/>
      <w:bookmarkEnd w:id="39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33"/>
        <w:jc w:val="left"/>
      </w:pPr>
      <w:r>
        <w:rPr/>
        <w:t>说明其他原因导致的合并范围变动（如，新设子公司、清算子公司等）及其相关情况：</w:t>
      </w:r>
    </w:p>
    <w:p>
      <w:pPr>
        <w:pStyle w:val="BodyText"/>
        <w:spacing w:line="240" w:lineRule="auto" w:before="75"/>
        <w:ind w:left="580" w:right="1133"/>
        <w:jc w:val="left"/>
      </w:pPr>
      <w:r>
        <w:rPr>
          <w:rFonts w:ascii="Times New Roman" w:hAnsi="Times New Roman" w:cs="Times New Roman" w:eastAsia="Times New Roman" w:hint="default"/>
        </w:rPr>
        <w:t>1</w:t>
      </w:r>
      <w:r>
        <w:rPr/>
        <w:t>、新设子公司</w:t>
      </w:r>
    </w:p>
    <w:p>
      <w:pPr>
        <w:pStyle w:val="BodyText"/>
        <w:spacing w:line="256" w:lineRule="auto" w:before="21"/>
        <w:ind w:right="1133" w:firstLine="427"/>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日，公司全资子公司中经汇通电子商务有限公司投资设立控股子公司始兴县都亨加油站有</w:t>
      </w:r>
      <w:r>
        <w:rPr>
          <w:w w:val="100"/>
        </w:rPr>
        <w:t> </w:t>
      </w:r>
      <w:r>
        <w:rPr/>
        <w:t>限公司，注册资本</w:t>
      </w:r>
      <w:r>
        <w:rPr>
          <w:rFonts w:ascii="Times New Roman" w:hAnsi="Times New Roman" w:cs="Times New Roman" w:eastAsia="Times New Roman" w:hint="default"/>
        </w:rPr>
        <w:t>3,000.00</w:t>
      </w:r>
      <w:r>
        <w:rPr/>
        <w:t>万元；</w:t>
      </w:r>
    </w:p>
    <w:p>
      <w:pPr>
        <w:pStyle w:val="BodyText"/>
        <w:spacing w:line="240" w:lineRule="auto" w:before="5"/>
        <w:ind w:left="580"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日，公司投资设立全资子公司湖北蓝盾网信科技有限公司，注册资本</w:t>
      </w:r>
      <w:r>
        <w:rPr>
          <w:rFonts w:ascii="Times New Roman" w:hAnsi="Times New Roman" w:cs="Times New Roman" w:eastAsia="Times New Roman" w:hint="default"/>
        </w:rPr>
        <w:t>1000.00</w:t>
      </w:r>
      <w:r>
        <w:rPr/>
        <w:t>万元；</w:t>
      </w:r>
    </w:p>
    <w:p>
      <w:pPr>
        <w:pStyle w:val="BodyText"/>
        <w:spacing w:line="240" w:lineRule="auto" w:before="21"/>
        <w:ind w:left="580"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日，公司投资设立全资子公司广东和诚科技孵化器有限公司，注册资本</w:t>
      </w:r>
      <w:r>
        <w:rPr>
          <w:rFonts w:ascii="Times New Roman" w:hAnsi="Times New Roman" w:cs="Times New Roman" w:eastAsia="Times New Roman" w:hint="default"/>
        </w:rPr>
        <w:t>28,365.50</w:t>
      </w:r>
      <w:r>
        <w:rPr/>
        <w:t>万元；</w:t>
      </w:r>
    </w:p>
    <w:p>
      <w:pPr>
        <w:pStyle w:val="BodyText"/>
        <w:spacing w:line="256" w:lineRule="auto" w:before="21"/>
        <w:ind w:right="1133" w:firstLine="427"/>
        <w:jc w:val="left"/>
      </w:pPr>
      <w:r>
        <w:rPr>
          <w:rFonts w:ascii="Times New Roman" w:hAnsi="Times New Roman" w:cs="Times New Roman" w:eastAsia="Times New Roman" w:hint="default"/>
          <w:spacing w:val="-4"/>
          <w:w w:val="100"/>
        </w:rPr>
        <w:t>2019</w:t>
      </w:r>
      <w:r>
        <w:rPr>
          <w:spacing w:val="-4"/>
          <w:w w:val="100"/>
        </w:rPr>
        <w:t>年</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2</w:t>
      </w:r>
      <w:r>
        <w:rPr>
          <w:spacing w:val="-4"/>
          <w:w w:val="100"/>
        </w:rPr>
        <w:t>日，公司全资子公司中经汇通电子商务有限公司</w:t>
      </w:r>
      <w:r>
        <w:rPr>
          <w:rFonts w:ascii="Times New Roman" w:hAnsi="Times New Roman" w:cs="Times New Roman" w:eastAsia="Times New Roman" w:hint="default"/>
          <w:spacing w:val="-4"/>
          <w:w w:val="100"/>
        </w:rPr>
        <w:t>100%</w:t>
      </w:r>
      <w:r>
        <w:rPr>
          <w:spacing w:val="-4"/>
          <w:w w:val="100"/>
        </w:rPr>
        <w:t>收购全资子公司广州市汇特慧科技有</w:t>
      </w:r>
      <w:r>
        <w:rPr>
          <w:w w:val="100"/>
        </w:rPr>
        <w:t> </w:t>
      </w:r>
      <w:r>
        <w:rPr/>
        <w:t>限公司，注册资本</w:t>
      </w:r>
      <w:r>
        <w:rPr>
          <w:rFonts w:ascii="Times New Roman" w:hAnsi="Times New Roman" w:cs="Times New Roman" w:eastAsia="Times New Roman" w:hint="default"/>
        </w:rPr>
        <w:t>520.00</w:t>
      </w:r>
      <w:r>
        <w:rPr/>
        <w:t>万元。</w:t>
      </w:r>
    </w:p>
    <w:p>
      <w:pPr>
        <w:pStyle w:val="BodyText"/>
        <w:spacing w:line="240" w:lineRule="auto" w:before="5"/>
        <w:ind w:left="580" w:right="1133"/>
        <w:jc w:val="left"/>
      </w:pPr>
      <w:r>
        <w:rPr>
          <w:rFonts w:ascii="Times New Roman" w:hAnsi="Times New Roman" w:cs="Times New Roman" w:eastAsia="Times New Roman" w:hint="default"/>
        </w:rPr>
        <w:t>2</w:t>
      </w:r>
      <w:r>
        <w:rPr/>
        <w:t>、清算子公司</w:t>
      </w:r>
    </w:p>
    <w:p>
      <w:pPr>
        <w:pStyle w:val="BodyText"/>
        <w:spacing w:line="259" w:lineRule="auto" w:before="21"/>
        <w:ind w:right="1133" w:firstLine="427"/>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日，公司全资子公司蓝盾信息安全技术有限公司注销全资子公司新疆蓝盾信息安全技术有</w:t>
      </w:r>
      <w:r>
        <w:rPr>
          <w:w w:val="100"/>
        </w:rPr>
        <w:t> </w:t>
      </w:r>
      <w:r>
        <w:rPr/>
        <w:t>限公司；</w:t>
      </w:r>
    </w:p>
    <w:p>
      <w:pPr>
        <w:pStyle w:val="BodyText"/>
        <w:spacing w:line="256" w:lineRule="auto" w:before="20"/>
        <w:ind w:right="1133" w:firstLine="336"/>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16</w:t>
      </w:r>
      <w:r>
        <w:rPr>
          <w:spacing w:val="-3"/>
        </w:rPr>
        <w:t>日，公司全资子公司香港蓝盾投资管理有限公司注销全资子公司香港蓝盾信息安全科技有</w:t>
      </w:r>
      <w:r>
        <w:rPr>
          <w:w w:val="100"/>
        </w:rPr>
        <w:t> </w:t>
      </w:r>
      <w:r>
        <w:rPr/>
        <w:t>限公司。</w:t>
      </w:r>
    </w:p>
    <w:p>
      <w:pPr>
        <w:spacing w:line="240" w:lineRule="auto" w:before="9"/>
        <w:rPr>
          <w:rFonts w:ascii="宋体" w:hAnsi="宋体" w:cs="宋体" w:eastAsia="宋体" w:hint="default"/>
          <w:sz w:val="22"/>
          <w:szCs w:val="22"/>
        </w:rPr>
      </w:pPr>
    </w:p>
    <w:p>
      <w:pPr>
        <w:pStyle w:val="Heading2"/>
        <w:spacing w:line="240" w:lineRule="auto"/>
        <w:ind w:right="1133"/>
        <w:jc w:val="left"/>
        <w:rPr>
          <w:b w:val="0"/>
          <w:bCs w:val="0"/>
        </w:rPr>
      </w:pPr>
      <w:bookmarkStart w:name="九、在其他主体中的权益" w:id="392"/>
      <w:bookmarkEnd w:id="392"/>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中的权益" w:id="393"/>
      <w:bookmarkEnd w:id="39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企业集团的构成" w:id="394"/>
      <w:bookmarkEnd w:id="39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蓝盾信息安全技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广东省蓝盾职业 培训学院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教育培训服务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广东蓝盾乐庚信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广东蓝盾移动互 联网信息科技有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广州市奔特信息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广东蓝盾投资管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租赁和商务服务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广东省南方信息 技术研究院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广东蓝盾新微安 全科技有限公司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北京京穗蓝盾信 息安全技术有限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广西蓝盾信息安 全技术有限公司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深圳中科蓝盾信 息安全技术有限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交通运输、仓储 和邮政业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广东汇青信息科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成都蓝盾网信科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西咸新区蓝盾信 息安全技术有限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广东蓝盾教育科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香港蓝盾投资管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广州天锐锋信息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广州华炜科技有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中经汇通电子商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汇通宝支付有限 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深圳市蓝盾满泰 科技发展有限公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广州蓝盾数据安 全技术创新中心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75"/>
              <w:jc w:val="left"/>
              <w:rPr>
                <w:rFonts w:ascii="宋体" w:hAnsi="宋体" w:cs="宋体" w:eastAsia="宋体" w:hint="default"/>
                <w:sz w:val="18"/>
                <w:szCs w:val="18"/>
              </w:rPr>
            </w:pPr>
            <w:r>
              <w:rPr>
                <w:rFonts w:ascii="宋体" w:hAnsi="宋体" w:cs="宋体" w:eastAsia="宋体" w:hint="default"/>
                <w:sz w:val="18"/>
                <w:szCs w:val="18"/>
              </w:rPr>
              <w:t>东莞市华炜雷电 防护设备有限公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4"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江西华炜电气技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南京微润科技有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居民服务、修理 和其他服务业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东莞市新铂铼电 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广州华炜测控技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福建中经汇通有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广州蓝盾工控技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广州市满泰信息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湖北蓝盾信息安 全技术有限公司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北京华炜思创科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广东中经汇通交 通运输有限公司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交通运输、仓储 和邮政业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四川中科蓝盾信 息安全技术有限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陕西蓝盾云信息 安全技术有限公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西咸市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西咸市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广东和诚科技孵 化器有限公司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湖北蓝盾网信科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始兴县都亨加油 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始兴县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始兴县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零售业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广州市汇特慧科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40" w:lineRule="auto" w:before="94"/>
        <w:ind w:left="573" w:right="982"/>
        <w:jc w:val="left"/>
      </w:pPr>
      <w:r>
        <w:rPr/>
        <w:t>广东蓝盾新微安全科技有限公司、广东蓝盾教育科技有限公司、广州市满泰信息科技有限公司、深圳</w:t>
      </w:r>
    </w:p>
    <w:p>
      <w:pPr>
        <w:spacing w:after="0" w:line="240" w:lineRule="auto"/>
        <w:jc w:val="left"/>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1133"/>
        <w:jc w:val="left"/>
      </w:pPr>
      <w:r>
        <w:rPr/>
        <w:t>中科蓝盾信息安全技术有限公司、始兴县都亨加油站有限公司的少数股东尚未投入资本金，表决权为</w:t>
      </w:r>
    </w:p>
    <w:p>
      <w:pPr>
        <w:pStyle w:val="BodyText"/>
        <w:spacing w:line="240" w:lineRule="auto" w:before="37"/>
        <w:ind w:right="1133"/>
        <w:jc w:val="left"/>
      </w:pPr>
      <w:r>
        <w:rPr>
          <w:rFonts w:ascii="Times New Roman" w:hAnsi="Times New Roman" w:cs="Times New Roman" w:eastAsia="Times New Roman" w:hint="default"/>
        </w:rPr>
        <w:t>100.00%</w:t>
      </w:r>
      <w:r>
        <w:rPr/>
        <w:t>。</w:t>
      </w:r>
    </w:p>
    <w:p>
      <w:pPr>
        <w:spacing w:line="240" w:lineRule="auto" w:before="0"/>
        <w:rPr>
          <w:rFonts w:ascii="宋体" w:hAnsi="宋体" w:cs="宋体" w:eastAsia="宋体" w:hint="default"/>
          <w:sz w:val="22"/>
          <w:szCs w:val="22"/>
        </w:rPr>
      </w:pPr>
    </w:p>
    <w:p>
      <w:pPr>
        <w:spacing w:before="145"/>
        <w:ind w:left="152" w:right="113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w:t>
      </w:r>
    </w:p>
    <w:p>
      <w:pPr>
        <w:pStyle w:val="BodyText"/>
        <w:spacing w:line="256" w:lineRule="auto" w:before="96"/>
        <w:ind w:right="1133" w:firstLine="420"/>
        <w:jc w:val="left"/>
      </w:pPr>
      <w:r>
        <w:rPr>
          <w:spacing w:val="-3"/>
        </w:rPr>
        <w:t>子公司广东汇青信息科技有限公司，持股比例为</w:t>
      </w:r>
      <w:r>
        <w:rPr>
          <w:rFonts w:ascii="Times New Roman" w:hAnsi="Times New Roman" w:cs="Times New Roman" w:eastAsia="Times New Roman" w:hint="default"/>
          <w:spacing w:val="-3"/>
        </w:rPr>
        <w:t>50.00%</w:t>
      </w:r>
      <w:r>
        <w:rPr>
          <w:spacing w:val="-3"/>
        </w:rPr>
        <w:t>，根据第一次股东会决议公司有权任免子公司</w:t>
      </w:r>
      <w:r>
        <w:rPr>
          <w:w w:val="100"/>
        </w:rPr>
        <w:t> </w:t>
      </w:r>
      <w:r>
        <w:rPr/>
        <w:t>广东汇青信息科技有限公司的董事会多数成员，可以对子公司广东汇青信息科技有限公司实施控制。</w:t>
      </w:r>
    </w:p>
    <w:p>
      <w:pPr>
        <w:spacing w:line="240" w:lineRule="auto" w:before="8"/>
        <w:rPr>
          <w:rFonts w:ascii="宋体" w:hAnsi="宋体" w:cs="宋体" w:eastAsia="宋体" w:hint="default"/>
          <w:sz w:val="24"/>
          <w:szCs w:val="24"/>
        </w:rPr>
      </w:pPr>
    </w:p>
    <w:p>
      <w:pPr>
        <w:pStyle w:val="Heading3"/>
        <w:spacing w:line="240" w:lineRule="auto"/>
        <w:ind w:right="1133"/>
        <w:jc w:val="left"/>
        <w:rPr>
          <w:b w:val="0"/>
          <w:bCs w:val="0"/>
        </w:rPr>
      </w:pPr>
      <w:bookmarkStart w:name="（2）重要的非全资子公司" w:id="395"/>
      <w:bookmarkEnd w:id="39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广东蓝盾乐庚信息技术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-4,876,565.11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10,922,069.97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北京京穗蓝盾信息安全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-3,753,653.43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-16,837,606.79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深圳市蓝盾满泰科技发 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37,747,819.50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160,507,083.10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5"/>
        <w:rPr>
          <w:rFonts w:ascii="宋体" w:hAnsi="宋体" w:cs="宋体" w:eastAsia="宋体" w:hint="default"/>
          <w:sz w:val="24"/>
          <w:szCs w:val="24"/>
        </w:rPr>
      </w:pPr>
    </w:p>
    <w:p>
      <w:pPr>
        <w:pStyle w:val="Heading3"/>
        <w:spacing w:line="240" w:lineRule="auto"/>
        <w:ind w:left="1120" w:right="0"/>
        <w:jc w:val="left"/>
        <w:rPr>
          <w:b w:val="0"/>
          <w:bCs w:val="0"/>
        </w:rPr>
      </w:pPr>
      <w:r>
        <w:rPr/>
        <w:pict>
          <v:group style="position:absolute;margin-left:70.559998pt;margin-top:-.716299pt;width:700.9pt;height:.1pt;mso-position-horizontal-relative:page;mso-position-vertical-relative:paragraph;z-index:2248" coordorigin="1411,-14" coordsize="14018,2">
            <v:shape style="position:absolute;left:1411;top:-14;width:14018;height:2" coordorigin="1411,-14" coordsize="14018,0" path="m1411,-14l15429,-14e" filled="false" stroked="true" strokeweight=".72pt" strokecolor="#000000">
              <v:path arrowok="t"/>
            </v:shape>
            <w10:wrap type="none"/>
          </v:group>
        </w:pict>
      </w:r>
      <w:bookmarkStart w:name="（3）重要非全资子公司的主要财务信息" w:id="396"/>
      <w:bookmarkEnd w:id="396"/>
      <w:r>
        <w:rPr>
          <w:b w:val="0"/>
          <w:bCs w:val="0"/>
        </w:rPr>
      </w:r>
      <w:r>
        <w:rPr>
          <w:spacing w:val="-1"/>
        </w:rPr>
        <w:t>（</w:t>
      </w:r>
      <w:r>
        <w:rPr>
          <w:rFonts w:ascii="Times New Roman" w:hAnsi="Times New Roman" w:cs="Times New Roman" w:eastAsia="Times New Roman" w:hint="default"/>
          <w:spacing w:val="-1"/>
        </w:rPr>
        <w:t>3</w:t>
      </w:r>
      <w:r>
        <w:rPr>
          <w:spacing w:val="-1"/>
        </w:rPr>
        <w:t>）重要非全资子公司的主要财务信息</w:t>
      </w:r>
      <w:r>
        <w:rPr>
          <w:b w:val="0"/>
          <w:bCs w:val="0"/>
          <w:spacing w:val="-1"/>
        </w:rPr>
      </w:r>
    </w:p>
    <w:p>
      <w:pPr>
        <w:spacing w:before="15"/>
        <w:ind w:left="11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38"/>
          <w:footerReference w:type="default" r:id="rId39"/>
          <w:pgSz w:w="16840" w:h="11910" w:orient="landscape"/>
          <w:pgMar w:header="0" w:footer="0" w:top="800" w:bottom="0" w:left="320" w:right="320"/>
          <w:cols w:num="2" w:equalWidth="0">
            <w:col w:w="4812" w:space="5277"/>
            <w:col w:w="6111"/>
          </w:cols>
        </w:sectPr>
      </w:pPr>
    </w:p>
    <w:p>
      <w:pPr>
        <w:spacing w:line="240" w:lineRule="auto" w:before="9"/>
        <w:rPr>
          <w:rFonts w:ascii="宋体" w:hAnsi="宋体" w:cs="宋体" w:eastAsia="宋体" w:hint="default"/>
          <w:sz w:val="23"/>
          <w:szCs w:val="23"/>
        </w:rPr>
      </w:pPr>
    </w:p>
    <w:p>
      <w:pPr>
        <w:spacing w:before="44"/>
        <w:ind w:left="0" w:right="111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72"/>
        <w:gridCol w:w="1217"/>
        <w:gridCol w:w="1274"/>
        <w:gridCol w:w="1261"/>
        <w:gridCol w:w="1260"/>
        <w:gridCol w:w="1142"/>
        <w:gridCol w:w="1232"/>
        <w:gridCol w:w="1183"/>
        <w:gridCol w:w="1183"/>
        <w:gridCol w:w="1217"/>
        <w:gridCol w:w="1260"/>
        <w:gridCol w:w="1049"/>
        <w:gridCol w:w="1203"/>
      </w:tblGrid>
      <w:tr>
        <w:trPr>
          <w:trHeight w:val="410" w:hRule="exact"/>
        </w:trPr>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38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09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1472" w:type="dxa"/>
            <w:vMerge/>
            <w:tcBorders>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8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32"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23" w:right="176"/>
              <w:jc w:val="left"/>
              <w:rPr>
                <w:rFonts w:ascii="宋体" w:hAnsi="宋体" w:cs="宋体" w:eastAsia="宋体" w:hint="default"/>
                <w:sz w:val="18"/>
                <w:szCs w:val="18"/>
              </w:rPr>
            </w:pPr>
            <w:r>
              <w:rPr>
                <w:rFonts w:ascii="宋体" w:hAnsi="宋体" w:cs="宋体" w:eastAsia="宋体" w:hint="default"/>
                <w:sz w:val="18"/>
                <w:szCs w:val="18"/>
              </w:rPr>
              <w:t>广东蓝盾乐庚信 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11,942,384.83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20,846,901.55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32,789,286.38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2,889,390.79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785,860.67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3,675,251.46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25,671,077.92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26,821,056.20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52,492,134.12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10,695,974.74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428,790.99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11,124,765.73</w:t>
            </w:r>
          </w:p>
        </w:tc>
      </w:tr>
      <w:tr>
        <w:trPr>
          <w:trHeight w:val="1052"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4"/>
              <w:ind w:left="23" w:right="176"/>
              <w:jc w:val="both"/>
              <w:rPr>
                <w:rFonts w:ascii="宋体" w:hAnsi="宋体" w:cs="宋体" w:eastAsia="宋体" w:hint="default"/>
                <w:sz w:val="18"/>
                <w:szCs w:val="18"/>
              </w:rPr>
            </w:pPr>
            <w:r>
              <w:rPr>
                <w:rFonts w:ascii="宋体" w:hAnsi="宋体" w:cs="宋体" w:eastAsia="宋体" w:hint="default"/>
                <w:sz w:val="18"/>
                <w:szCs w:val="18"/>
              </w:rPr>
              <w:t>北京京穗蓝盾信 息安全技术有限 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14,099,025.94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16,283,126.47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30,382,152.41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64,744,615.25</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64,744,615.25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38,425,301.78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17,325,675.77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55,750,977.55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82,452,923.18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82,452,923.18</w:t>
            </w:r>
          </w:p>
        </w:tc>
      </w:tr>
      <w:tr>
        <w:trPr>
          <w:trHeight w:val="1054"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23" w:right="176"/>
              <w:jc w:val="both"/>
              <w:rPr>
                <w:rFonts w:ascii="宋体" w:hAnsi="宋体" w:cs="宋体" w:eastAsia="宋体" w:hint="default"/>
                <w:sz w:val="18"/>
                <w:szCs w:val="18"/>
              </w:rPr>
            </w:pPr>
            <w:r>
              <w:rPr>
                <w:rFonts w:ascii="宋体" w:hAnsi="宋体" w:cs="宋体" w:eastAsia="宋体" w:hint="default"/>
                <w:sz w:val="18"/>
                <w:szCs w:val="18"/>
              </w:rPr>
              <w:t>深圳市蓝盾满泰 科技发展有限公 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596,417,661.10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109,398,806.18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705,816,467.28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296,107,141.00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20,957,701.48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317,064,842.48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428,579,110.00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100,502,395.36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529,081,505.36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238,582,869.61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239,282,869.61</w:t>
            </w:r>
            <w:r>
              <w:rPr>
                <w:rFonts w:ascii="Times New Roman"/>
                <w:sz w:val="18"/>
              </w:rPr>
            </w:r>
          </w:p>
        </w:tc>
      </w:tr>
    </w:tbl>
    <w:p>
      <w:pPr>
        <w:spacing w:before="53"/>
        <w:ind w:left="0" w:right="111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8"/>
          <w:szCs w:val="8"/>
        </w:rPr>
      </w:pPr>
    </w:p>
    <w:tbl>
      <w:tblPr>
        <w:tblW w:w="0" w:type="auto"/>
        <w:jc w:val="left"/>
        <w:tblInd w:w="1115" w:type="dxa"/>
        <w:tblLayout w:type="fixed"/>
        <w:tblCellMar>
          <w:top w:w="0" w:type="dxa"/>
          <w:left w:w="0" w:type="dxa"/>
          <w:bottom w:w="0" w:type="dxa"/>
          <w:right w:w="0" w:type="dxa"/>
        </w:tblCellMar>
        <w:tblLook w:val="01E0"/>
      </w:tblPr>
      <w:tblGrid>
        <w:gridCol w:w="3036"/>
        <w:gridCol w:w="1208"/>
        <w:gridCol w:w="1222"/>
        <w:gridCol w:w="1260"/>
        <w:gridCol w:w="1292"/>
        <w:gridCol w:w="1229"/>
        <w:gridCol w:w="1200"/>
        <w:gridCol w:w="1275"/>
        <w:gridCol w:w="1351"/>
      </w:tblGrid>
      <w:tr>
        <w:trPr>
          <w:trHeight w:val="412" w:hRule="exact"/>
        </w:trPr>
        <w:tc>
          <w:tcPr>
            <w:tcW w:w="3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9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0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32" w:hRule="exact"/>
        </w:trPr>
        <w:tc>
          <w:tcPr>
            <w:tcW w:w="3036"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3"/>
              <w:ind w:left="460" w:right="99"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综合收益总额</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3"/>
              <w:ind w:left="580" w:right="38"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r>
      <w:tr>
        <w:trPr>
          <w:trHeight w:val="410" w:hRule="exact"/>
        </w:trPr>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3,515,926.43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-12,191,412.78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-12,191,412.78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5,137,373.43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5,789,861.22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0" w:right="0"/>
              <w:jc w:val="left"/>
              <w:rPr>
                <w:rFonts w:ascii="Times New Roman" w:hAnsi="Times New Roman" w:cs="Times New Roman" w:eastAsia="Times New Roman" w:hint="default"/>
                <w:sz w:val="18"/>
                <w:szCs w:val="18"/>
              </w:rPr>
            </w:pPr>
            <w:r>
              <w:rPr>
                <w:rFonts w:ascii="Times New Roman"/>
                <w:sz w:val="18"/>
              </w:rPr>
              <w:t>-6,118,617.55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2" w:right="0"/>
              <w:jc w:val="center"/>
              <w:rPr>
                <w:rFonts w:ascii="Times New Roman" w:hAnsi="Times New Roman" w:cs="Times New Roman" w:eastAsia="Times New Roman" w:hint="default"/>
                <w:sz w:val="18"/>
                <w:szCs w:val="18"/>
              </w:rPr>
            </w:pPr>
            <w:r>
              <w:rPr>
                <w:rFonts w:ascii="Times New Roman"/>
                <w:sz w:val="18"/>
              </w:rPr>
              <w:t>-6,118,617.55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-5,029,428.88</w:t>
            </w:r>
          </w:p>
        </w:tc>
      </w:tr>
      <w:tr>
        <w:trPr>
          <w:trHeight w:val="410" w:hRule="exact"/>
        </w:trPr>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8,515,672.05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-7,660,517.21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-7,660,517.21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-3,723,276.31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39,190,672.97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-10,206,245.77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6" w:right="0"/>
              <w:jc w:val="center"/>
              <w:rPr>
                <w:rFonts w:ascii="Times New Roman" w:hAnsi="Times New Roman" w:cs="Times New Roman" w:eastAsia="Times New Roman" w:hint="default"/>
                <w:sz w:val="18"/>
                <w:szCs w:val="18"/>
              </w:rPr>
            </w:pPr>
            <w:r>
              <w:rPr>
                <w:rFonts w:ascii="Times New Roman"/>
                <w:sz w:val="18"/>
              </w:rPr>
              <w:t>-10,206,245.77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25,213,731.87</w:t>
            </w:r>
          </w:p>
        </w:tc>
      </w:tr>
      <w:tr>
        <w:trPr>
          <w:trHeight w:val="413" w:hRule="exact"/>
        </w:trPr>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225,008,806.11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98,952,989.05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98,952,989.05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-41,912,195.11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267,765,883.67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85,941,773.24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6" w:right="0"/>
              <w:jc w:val="center"/>
              <w:rPr>
                <w:rFonts w:ascii="Times New Roman" w:hAnsi="Times New Roman" w:cs="Times New Roman" w:eastAsia="Times New Roman" w:hint="default"/>
                <w:sz w:val="18"/>
                <w:szCs w:val="18"/>
              </w:rPr>
            </w:pPr>
            <w:r>
              <w:rPr>
                <w:rFonts w:ascii="Times New Roman"/>
                <w:sz w:val="18"/>
              </w:rPr>
              <w:t>95,108,653.86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12,731,626.98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76"/>
        <w:ind w:left="0" w:right="1113" w:firstLine="0"/>
        <w:jc w:val="right"/>
        <w:rPr>
          <w:rFonts w:ascii="Times New Roman" w:hAnsi="Times New Roman" w:cs="Times New Roman" w:eastAsia="Times New Roman" w:hint="default"/>
          <w:sz w:val="18"/>
          <w:szCs w:val="18"/>
        </w:rPr>
      </w:pPr>
      <w:r>
        <w:rPr>
          <w:rFonts w:ascii="Times New Roman"/>
          <w:sz w:val="18"/>
        </w:rPr>
        <w:t>234</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14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31"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320" w:right="32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bookmarkStart w:name="（4）使用企业集团资产和清偿企业集团债务的重大限制" w:id="397"/>
      <w:bookmarkEnd w:id="39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向纳入合并财务报表范围的结构化主体提供的财务支持或其他支持" w:id="398"/>
      <w:bookmarkEnd w:id="39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在子公司的所有者权益份额发生变化且仍控制子公司的交易" w:id="399"/>
      <w:bookmarkEnd w:id="39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在合营安排或联营企业中的权益" w:id="400"/>
      <w:bookmarkEnd w:id="40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的合营企业或联营企业" w:id="401"/>
      <w:bookmarkEnd w:id="40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上海戎磐网络科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Heading3"/>
        <w:spacing w:line="240" w:lineRule="auto" w:before="36"/>
        <w:ind w:right="1133"/>
        <w:jc w:val="left"/>
        <w:rPr>
          <w:b w:val="0"/>
          <w:bCs w:val="0"/>
        </w:rPr>
      </w:pPr>
      <w:bookmarkStart w:name="（2）重要联营企业的主要财务信息" w:id="402"/>
      <w:bookmarkEnd w:id="402"/>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上海戎磐网络科技有限公司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上海戎磐网络科技有限公司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12,211,422.43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10,633,485.19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436,312.64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755,618.40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12,647,735.07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11,389,103.59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1,625,727.05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371,158.14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1,625,727.05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371,158.14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16,861.28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11,005,146.74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11,017,945.45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10,001,029.35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10,003,589.09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0"/>
          <w:pgSz w:w="11910" w:h="16840"/>
          <w:pgMar w:footer="980" w:header="0" w:top="1100" w:bottom="1160" w:left="980" w:right="0"/>
          <w:pgNumType w:start="235"/>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10,001,029.35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10,003,589.09</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4,780,139.08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7,423,636.25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17,945.45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17,945.45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不重要的合营企业和联营企业的汇总财务信息" w:id="403"/>
      <w:bookmarkEnd w:id="403"/>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合营企业或联营企业向本公司转移资金的能力存在重大限制的说明" w:id="404"/>
      <w:bookmarkEnd w:id="404"/>
      <w:r>
        <w:rPr>
          <w:b w:val="0"/>
          <w:bCs w:val="0"/>
        </w:rPr>
      </w:r>
      <w:r>
        <w:rPr/>
        <w:t>（</w:t>
      </w:r>
      <w:r>
        <w:rPr>
          <w:rFonts w:ascii="Times New Roman" w:hAnsi="Times New Roman" w:cs="Times New Roman" w:eastAsia="Times New Roman" w:hint="default"/>
        </w:rPr>
        <w:t>4</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合营企业或联营企业发生的超额亏损" w:id="405"/>
      <w:bookmarkEnd w:id="405"/>
      <w:r>
        <w:rPr>
          <w:b w:val="0"/>
          <w:bCs w:val="0"/>
        </w:rPr>
      </w:r>
      <w:r>
        <w:rPr/>
        <w:t>（</w:t>
      </w:r>
      <w:r>
        <w:rPr>
          <w:rFonts w:ascii="Times New Roman" w:hAnsi="Times New Roman" w:cs="Times New Roman" w:eastAsia="Times New Roman" w:hint="default"/>
        </w:rPr>
        <w:t>5</w:t>
      </w:r>
      <w:r>
        <w:rPr/>
        <w:t>）合营企业或联营企业发生的超额亏损</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与合营企业投资相关的未确认承诺" w:id="406"/>
      <w:bookmarkEnd w:id="406"/>
      <w:r>
        <w:rPr>
          <w:b w:val="0"/>
          <w:bCs w:val="0"/>
        </w:rPr>
      </w:r>
      <w:r>
        <w:rPr/>
        <w:t>（</w:t>
      </w:r>
      <w:r>
        <w:rPr>
          <w:rFonts w:ascii="Times New Roman" w:hAnsi="Times New Roman" w:cs="Times New Roman" w:eastAsia="Times New Roman" w:hint="default"/>
        </w:rPr>
        <w:t>6</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与合营企业或联营企业投资相关的或有负债" w:id="407"/>
      <w:bookmarkEnd w:id="407"/>
      <w:r>
        <w:rPr>
          <w:b w:val="0"/>
          <w:bCs w:val="0"/>
        </w:rPr>
      </w:r>
      <w:r>
        <w:rPr/>
        <w:t>（</w:t>
      </w:r>
      <w:r>
        <w:rPr>
          <w:rFonts w:ascii="Times New Roman" w:hAnsi="Times New Roman" w:cs="Times New Roman" w:eastAsia="Times New Roman" w:hint="default"/>
        </w:rPr>
        <w:t>7</w:t>
      </w:r>
      <w:r>
        <w:rPr/>
        <w:t>）与合营企业或联营企业投资相关的或有负债</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十、关联方及关联交易" w:id="408"/>
      <w:bookmarkEnd w:id="408"/>
      <w:r>
        <w:rPr>
          <w:b w:val="0"/>
          <w:bCs w:val="0"/>
        </w:rPr>
      </w:r>
      <w:r>
        <w:rPr/>
        <w:t>十、关联方及关联交易</w:t>
      </w:r>
      <w:r>
        <w:rPr>
          <w:b w:val="0"/>
          <w:bCs w:val="0"/>
        </w:rPr>
      </w:r>
    </w:p>
    <w:p>
      <w:pPr>
        <w:spacing w:line="240" w:lineRule="auto" w:before="12"/>
        <w:rPr>
          <w:rFonts w:ascii="宋体" w:hAnsi="宋体" w:cs="宋体" w:eastAsia="宋体" w:hint="default"/>
          <w:b/>
          <w:bCs/>
          <w:sz w:val="24"/>
          <w:szCs w:val="24"/>
        </w:rPr>
      </w:pPr>
    </w:p>
    <w:p>
      <w:pPr>
        <w:spacing w:line="576" w:lineRule="auto" w:before="0"/>
        <w:ind w:left="573" w:right="6474" w:hanging="421"/>
        <w:jc w:val="left"/>
        <w:rPr>
          <w:rFonts w:ascii="宋体" w:hAnsi="宋体" w:cs="宋体" w:eastAsia="宋体" w:hint="default"/>
          <w:sz w:val="21"/>
          <w:szCs w:val="21"/>
        </w:rPr>
      </w:pPr>
      <w:bookmarkStart w:name="1、本企业的母公司情况" w:id="409"/>
      <w:bookmarkEnd w:id="4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本企业最终控制方是柯宗庆、柯宗贵。</w:t>
      </w:r>
    </w:p>
    <w:p>
      <w:pPr>
        <w:spacing w:before="157"/>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7"/>
          <w:szCs w:val="27"/>
        </w:rPr>
      </w:pPr>
    </w:p>
    <w:p>
      <w:pPr>
        <w:pStyle w:val="BodyText"/>
        <w:spacing w:line="328" w:lineRule="auto" w:before="36"/>
        <w:ind w:right="1133" w:firstLine="420"/>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日，中经汇通有限责任公司持有公司</w:t>
      </w:r>
      <w:r>
        <w:rPr>
          <w:rFonts w:ascii="Times New Roman" w:hAnsi="Times New Roman" w:cs="Times New Roman" w:eastAsia="Times New Roman" w:hint="default"/>
          <w:spacing w:val="-2"/>
        </w:rPr>
        <w:t>7.44%</w:t>
      </w:r>
      <w:r>
        <w:rPr>
          <w:spacing w:val="-2"/>
        </w:rPr>
        <w:t>股权，根据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日与公司实际控</w:t>
      </w:r>
      <w:r>
        <w:rPr>
          <w:w w:val="100"/>
        </w:rPr>
        <w:t> </w:t>
      </w:r>
      <w:r>
        <w:rPr/>
        <w:t>制人签署的《一致行动协议》，中经汇通有限责任公司与公司实际控制人构成一致行动人。</w:t>
      </w:r>
    </w:p>
    <w:p>
      <w:pPr>
        <w:spacing w:line="240" w:lineRule="auto" w:before="11"/>
        <w:rPr>
          <w:rFonts w:ascii="宋体" w:hAnsi="宋体" w:cs="宋体" w:eastAsia="宋体" w:hint="default"/>
          <w:sz w:val="19"/>
          <w:szCs w:val="19"/>
        </w:rPr>
      </w:pPr>
    </w:p>
    <w:p>
      <w:pPr>
        <w:pStyle w:val="Heading3"/>
        <w:spacing w:line="240" w:lineRule="auto"/>
        <w:ind w:right="1133"/>
        <w:jc w:val="left"/>
        <w:rPr>
          <w:b w:val="0"/>
          <w:bCs w:val="0"/>
        </w:rPr>
      </w:pPr>
      <w:bookmarkStart w:name="2、本企业的子公司情况" w:id="410"/>
      <w:bookmarkEnd w:id="41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本企业子公司的情况详见附注九（一）在子公司中的权益。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本企业合营和联营企业情况" w:id="411"/>
      <w:bookmarkEnd w:id="411"/>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本企业重要的合营或联营企业详见附注九（三）在合营安排或联营企业中的权益。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其他关联方情况" w:id="412"/>
      <w:bookmarkEnd w:id="41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广州博饶投资合伙企业（有限合伙）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广州臻泰企业咨询管理合伙企业（有限合伙）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实际控制人及其关联自然人投资及任职的企业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广州蓝耀医药科技有限公司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广州蓝锦生物科技有限公司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广州蓝亮医药科技有限公司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广州蓝盾融轩投资有限公司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广州市昇佰投资管理合伙企业（有限合伙）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广州华粤汇智教育科技有限公司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广东蓝盾赢融资产管理有限公司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广州景辕投资管理合伙企业（有限合伙）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广州景轩投资管理有限公司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广州奥邦投资咨询有限公司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广西壮方生物科技有限公司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实际控制人的关联自然人投资及任职的企业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广东蓝安控股有限公司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广州市创御信息科技有限公司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广州腾硕投资管理有限公司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广州仁强投资管理合伙企业（有限合伙）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萍乡市智逸投资管理合伙企业（有限合伙）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广东格灵教育信息技术有限公司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广州格灵信息科技有限公司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广州美声计算机科技有限公司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广东捷晶软件科技有限公司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Sect Blooming Investments</w:t>
            </w:r>
            <w:r>
              <w:rPr>
                <w:rFonts w:ascii="Times New Roman"/>
                <w:spacing w:val="-11"/>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Getlearn Education Group</w:t>
            </w:r>
            <w:r>
              <w:rPr>
                <w:rFonts w:ascii="Times New Roman"/>
                <w:spacing w:val="-12"/>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Getlearn International Education</w:t>
            </w:r>
            <w:r>
              <w:rPr>
                <w:rFonts w:ascii="Times New Roman"/>
                <w:spacing w:val="-14"/>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香港格灵教育有限公司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格灵教育信息技术有限公司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广州市澳澜投资管理有限公司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广州锋昊环保科技有限公司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广州创瑞投资合伙企业（有限合伙）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深圳欣昌管理咨询合伙企业（有限合伙）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深圳市华融股权投资管理有限公司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深圳市景诚投资管理有限公司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广东迅通科技股份有限公司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广东迅通信息传输分析有限公司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广东迅网视通科技有限公司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实际控制人任职及母公司投资的企业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珠海横琴蓝曜投资管理合伙企业（有限合伙）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Swoop Success International</w:t>
            </w:r>
            <w:r>
              <w:rPr>
                <w:rFonts w:ascii="Times New Roman"/>
                <w:spacing w:val="-10"/>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China Express Holding Group</w:t>
            </w:r>
            <w:r>
              <w:rPr>
                <w:rFonts w:ascii="Times New Roman"/>
                <w:spacing w:val="-12"/>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Chinex International</w:t>
            </w:r>
            <w:r>
              <w:rPr>
                <w:rFonts w:ascii="Times New Roman"/>
                <w:spacing w:val="-10"/>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China Express (HK) Group</w:t>
            </w:r>
            <w:r>
              <w:rPr>
                <w:rFonts w:ascii="Times New Roman"/>
                <w:spacing w:val="-10"/>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广州市经汇投资管理有限公司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Winner choice International</w:t>
            </w:r>
            <w:r>
              <w:rPr>
                <w:rFonts w:ascii="Times New Roman"/>
                <w:spacing w:val="-17"/>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Access Universe International</w:t>
            </w:r>
            <w:r>
              <w:rPr>
                <w:rFonts w:ascii="Times New Roman"/>
                <w:spacing w:val="-15"/>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China Express (Cayman)Holdings</w:t>
            </w:r>
            <w:r>
              <w:rPr>
                <w:rFonts w:ascii="Times New Roman"/>
                <w:spacing w:val="-14"/>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China Express Group</w:t>
            </w:r>
            <w:r>
              <w:rPr>
                <w:rFonts w:ascii="Times New Roman"/>
                <w:spacing w:val="-9"/>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广州航运汇通有限责任公司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中经穗港（广州）科技有限公司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广州宏景数码科技有限公司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实际控制人的关联自然人投资及任职的企业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广州蓝中鹰科技有限公司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北京国政精英教育咨询有限公司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实际控制人的关联自然人投资及任职的企业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萍乡市尚通投资管理合伙企业（有限合伙）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实际控制人的关联自然人投资及任职的企业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萍乡市捷瑞投资管理合伙企业（有限合伙）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广州中唯股权投资企业（有限合伙）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广州市子乔商业管理有限公司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广州鸿蒙信息科技有限公司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实际控制人的关联自然人投资及任职的企业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广东汇金智科环保科技有限公司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实际控制人的关联自然人任职的企业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广州安必平医药科技股份有限公司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广东电声市场营销股份有限公司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广州中康资讯股份有限公司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雅安正兴汉白玉股份有限公司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独立董事任职企业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广州杰德环保科技有限公司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广州市饶兴投资管理有限公司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水晶球教育信息技术有限公司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监事的关联自然人投资及任职的企业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广州市协瑞投资咨询有限公司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广州兴饶创业投资企业（有限合伙）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广州聆创信息科技有限公司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广州中朗投资咨询有限公司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南平市瑞兴达股权投资合伙企业（有限合伙）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监事的关联自然人控制及任职的企业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广州伍安信息技术有限公司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高管的关联自然人投资及任职的企业</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关联交易情况" w:id="413"/>
      <w:bookmarkEnd w:id="41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414"/>
      <w:bookmarkEnd w:id="41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20"/>
          <w:szCs w:val="20"/>
        </w:rPr>
      </w:pPr>
    </w:p>
    <w:p>
      <w:pPr>
        <w:pStyle w:val="BodyText"/>
        <w:spacing w:line="240" w:lineRule="auto"/>
        <w:ind w:left="573" w:right="1133"/>
        <w:jc w:val="left"/>
      </w:pPr>
      <w:r>
        <w:rPr/>
        <w:t>存在控制关系且已纳入公司合并财务报表范围的子公司，其相互间交易及母子公司交易已作抵销。</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bookmarkStart w:name="（2）关联担保情况" w:id="415"/>
      <w:bookmarkEnd w:id="415"/>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80" w:top="1100" w:bottom="1160" w:left="980" w:right="0"/>
        </w:sectPr>
      </w:pPr>
    </w:p>
    <w:p>
      <w:pPr>
        <w:spacing w:line="360" w:lineRule="auto" w:before="44"/>
        <w:ind w:left="152" w:right="160" w:firstLine="0"/>
        <w:jc w:val="left"/>
        <w:rPr>
          <w:rFonts w:ascii="宋体" w:hAnsi="宋体" w:cs="宋体" w:eastAsia="宋体" w:hint="default"/>
          <w:sz w:val="18"/>
          <w:szCs w:val="18"/>
        </w:rPr>
      </w:pPr>
      <w:r>
        <w:rPr>
          <w:rFonts w:ascii="宋体" w:hAnsi="宋体" w:cs="宋体" w:eastAsia="宋体" w:hint="default"/>
          <w:sz w:val="18"/>
          <w:szCs w:val="18"/>
        </w:rPr>
        <w:t>本公司作为担保方 无</w:t>
      </w:r>
    </w:p>
    <w:p>
      <w:pPr>
        <w:spacing w:before="25"/>
        <w:ind w:left="152" w:right="-2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73" w:space="70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柯宗贵、柯宗庆、柯宗 耀、陈色琴、谭爱武、 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柯宗贵、柯宗庆、柯宗 耀、陈色琴、谭爱武、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李庆红</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柯宗贵、柯宗庆、柯宗 耀、中经汇通有限责任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柯宗贵、柯宗庆、柯宗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4,411,507.50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4,673,625.00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柯宗庆、柯宗贵、柯瑞 达、柯宗耀、李庆红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柯宗耀、柯瑞达、李庆 红、中经汇通有限责任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柯宗耀、柯瑞达、李庆 红、中经汇通有限责任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柯宗耀、柯瑞达、李庆 红、中经汇通有限责任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柯宗贵、柯宗耀、柯宗 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62,198,400.00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柯宗耀、柯宗庆、柯宗 贵、柯瑞达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柯宗耀、柯宗庆、柯宗 贵、柯瑞达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柯宗耀、柯宗庆、柯宗 贵、柯瑞达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柯宗贵、柯宗耀、柯宗 庆、李庆红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柯宗贵、柯宗耀、柯宗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庆</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柯宗贵、柯宗耀、柯宗 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柯宗庆、柯宗贵、柯宗 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柯宗贵、柯宗耀、张越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柯宗贵、柯宗耀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3,879,120.00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关键管理人员报酬" w:id="416"/>
      <w:bookmarkEnd w:id="416"/>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十一、股份支付" w:id="417"/>
      <w:bookmarkEnd w:id="417"/>
      <w:r>
        <w:rPr>
          <w:b w:val="0"/>
          <w:bCs w:val="0"/>
        </w:rPr>
      </w:r>
      <w:r>
        <w:rPr/>
        <w:t>十一、股份支付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股份支付总体情况" w:id="418"/>
      <w:bookmarkEnd w:id="41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以权益结算的股份支付情况" w:id="419"/>
      <w:bookmarkEnd w:id="41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2"/>
              <w:jc w:val="left"/>
              <w:rPr>
                <w:rFonts w:ascii="宋体" w:hAnsi="宋体" w:cs="宋体" w:eastAsia="宋体" w:hint="default"/>
                <w:sz w:val="18"/>
                <w:szCs w:val="18"/>
              </w:rPr>
            </w:pPr>
            <w:r>
              <w:rPr>
                <w:rFonts w:ascii="宋体" w:hAnsi="宋体" w:cs="宋体" w:eastAsia="宋体" w:hint="default"/>
                <w:sz w:val="18"/>
                <w:szCs w:val="18"/>
              </w:rPr>
              <w:t>结合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期权定价模型以及金融工程中的无套 利理论和看涨</w:t>
            </w:r>
            <w:r>
              <w:rPr>
                <w:rFonts w:ascii="Times New Roman" w:hAnsi="Times New Roman" w:cs="Times New Roman" w:eastAsia="Times New Roman" w:hint="default"/>
                <w:sz w:val="18"/>
                <w:szCs w:val="18"/>
              </w:rPr>
              <w:t>-</w:t>
            </w:r>
            <w:r>
              <w:rPr>
                <w:rFonts w:ascii="宋体" w:hAnsi="宋体" w:cs="宋体" w:eastAsia="宋体" w:hint="default"/>
                <w:sz w:val="18"/>
                <w:szCs w:val="18"/>
              </w:rPr>
              <w:t>看跌平价关系式确定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激励对象持有的股份数</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20,594,520.00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240,869.61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以现金结算的股份支付情况" w:id="420"/>
      <w:bookmarkEnd w:id="42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421"/>
      <w:bookmarkEnd w:id="421"/>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96" w:lineRule="auto" w:before="100"/>
        <w:ind w:left="152" w:right="7154" w:firstLine="0"/>
        <w:jc w:val="left"/>
        <w:rPr>
          <w:rFonts w:ascii="宋体" w:hAnsi="宋体" w:cs="宋体" w:eastAsia="宋体" w:hint="default"/>
          <w:sz w:val="21"/>
          <w:szCs w:val="21"/>
        </w:rPr>
      </w:pPr>
      <w:bookmarkStart w:name="十二、承诺及或有事项" w:id="422"/>
      <w:bookmarkEnd w:id="422"/>
      <w:r>
        <w:rPr/>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bookmarkStart w:name="1、重要承诺事项" w:id="423"/>
      <w:bookmarkEnd w:id="42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资产负债表日存在的重要承诺</w:t>
      </w:r>
    </w:p>
    <w:p>
      <w:pPr>
        <w:pStyle w:val="Heading3"/>
        <w:spacing w:line="259" w:lineRule="exact"/>
        <w:ind w:left="573" w:right="1133"/>
        <w:jc w:val="left"/>
        <w:rPr>
          <w:b w:val="0"/>
          <w:bCs w:val="0"/>
        </w:rPr>
      </w:pPr>
      <w:r>
        <w:rPr/>
        <w:t>（</w:t>
      </w:r>
      <w:r>
        <w:rPr>
          <w:rFonts w:ascii="Times New Roman" w:hAnsi="Times New Roman" w:cs="Times New Roman" w:eastAsia="Times New Roman" w:hint="default"/>
        </w:rPr>
        <w:t>1</w:t>
      </w:r>
      <w:r>
        <w:rPr/>
        <w:t>）已签订的正在或准备履行的资产处置情况</w:t>
      </w:r>
      <w:r>
        <w:rPr>
          <w:b w:val="0"/>
          <w:bCs w:val="0"/>
        </w:rPr>
      </w:r>
    </w:p>
    <w:p>
      <w:pPr>
        <w:pStyle w:val="BodyText"/>
        <w:spacing w:line="328" w:lineRule="auto" w:before="107"/>
        <w:ind w:left="573" w:right="98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）对外转让子公司</w:t>
      </w:r>
      <w:r>
        <w:rPr>
          <w:w w:val="100"/>
        </w:rPr>
        <w:t> </w:t>
      </w:r>
      <w:r>
        <w:rPr>
          <w:spacing w:val="-3"/>
          <w:w w:val="100"/>
        </w:rPr>
        <w:t>根据</w:t>
      </w:r>
      <w:r>
        <w:rPr>
          <w:rFonts w:ascii="Times New Roman" w:hAnsi="Times New Roman" w:cs="Times New Roman" w:eastAsia="Times New Roman" w:hint="default"/>
          <w:spacing w:val="-3"/>
          <w:w w:val="100"/>
        </w:rPr>
        <w:t>2019</w:t>
      </w:r>
      <w:r>
        <w:rPr>
          <w:spacing w:val="-3"/>
          <w:w w:val="100"/>
        </w:rPr>
        <w:t>年</w:t>
      </w:r>
      <w:r>
        <w:rPr>
          <w:rFonts w:ascii="Times New Roman" w:hAnsi="Times New Roman" w:cs="Times New Roman" w:eastAsia="Times New Roman" w:hint="default"/>
          <w:spacing w:val="-3"/>
          <w:w w:val="100"/>
        </w:rPr>
        <w:t>10</w:t>
      </w:r>
      <w:r>
        <w:rPr>
          <w:spacing w:val="-3"/>
          <w:w w:val="100"/>
        </w:rPr>
        <w:t>月</w:t>
      </w:r>
      <w:r>
        <w:rPr>
          <w:rFonts w:ascii="Times New Roman" w:hAnsi="Times New Roman" w:cs="Times New Roman" w:eastAsia="Times New Roman" w:hint="default"/>
          <w:spacing w:val="-3"/>
          <w:w w:val="100"/>
        </w:rPr>
        <w:t>29</w:t>
      </w:r>
      <w:r>
        <w:rPr>
          <w:spacing w:val="-3"/>
          <w:w w:val="100"/>
        </w:rPr>
        <w:t>日股东决议，公司同意将持有的广东和诚科技孵化器有限公司</w:t>
      </w:r>
      <w:r>
        <w:rPr>
          <w:rFonts w:ascii="Times New Roman" w:hAnsi="Times New Roman" w:cs="Times New Roman" w:eastAsia="Times New Roman" w:hint="default"/>
          <w:spacing w:val="-3"/>
          <w:w w:val="100"/>
        </w:rPr>
        <w:t>100%</w:t>
      </w:r>
      <w:r>
        <w:rPr>
          <w:spacing w:val="-3"/>
          <w:w w:val="100"/>
        </w:rPr>
        <w:t>股权以</w:t>
      </w:r>
      <w:r>
        <w:rPr>
          <w:rFonts w:ascii="Times New Roman" w:hAnsi="Times New Roman" w:cs="Times New Roman" w:eastAsia="Times New Roman" w:hint="default"/>
          <w:spacing w:val="-3"/>
          <w:w w:val="100"/>
        </w:rPr>
        <w:t>28,800.00</w:t>
      </w:r>
    </w:p>
    <w:p>
      <w:pPr>
        <w:pStyle w:val="BodyText"/>
        <w:spacing w:line="240" w:lineRule="auto" w:before="24"/>
        <w:ind w:right="982"/>
        <w:jc w:val="left"/>
      </w:pPr>
      <w:r>
        <w:rPr/>
        <w:t>万元转让给科学城（广州）投资集团有限公司（以下简称</w:t>
      </w:r>
      <w:r>
        <w:rPr>
          <w:rFonts w:ascii="Times New Roman" w:hAnsi="Times New Roman" w:cs="Times New Roman" w:eastAsia="Times New Roman" w:hint="default"/>
        </w:rPr>
        <w:t>“</w:t>
      </w:r>
      <w:r>
        <w:rPr/>
        <w:t>科学城集团</w:t>
      </w:r>
      <w:r>
        <w:rPr>
          <w:rFonts w:ascii="Times New Roman" w:hAnsi="Times New Roman" w:cs="Times New Roman" w:eastAsia="Times New Roman" w:hint="default"/>
        </w:rPr>
        <w:t>”</w:t>
      </w:r>
      <w:r>
        <w:rPr/>
        <w:t>），双方于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日签订了</w:t>
      </w:r>
    </w:p>
    <w:p>
      <w:pPr>
        <w:spacing w:after="0" w:line="240" w:lineRule="auto"/>
        <w:jc w:val="left"/>
        <w:sectPr>
          <w:pgSz w:w="11910" w:h="16840"/>
          <w:pgMar w:header="0"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《股权转让合同》，截止资产负债表日该项股权转让尚未完成，公司将广东和诚科技孵化器有限公司账面</w:t>
      </w:r>
      <w:r>
        <w:rPr>
          <w:spacing w:val="-43"/>
        </w:rPr>
        <w:t> </w:t>
      </w:r>
      <w:r>
        <w:rPr>
          <w:spacing w:val="-43"/>
        </w:rPr>
      </w:r>
      <w:r>
        <w:rPr/>
        <w:t>对应的资产及负债划分至持有待售资产和持有待售负债列报。</w:t>
      </w:r>
    </w:p>
    <w:p>
      <w:pPr>
        <w:pStyle w:val="Heading3"/>
        <w:spacing w:line="240" w:lineRule="auto" w:before="27"/>
        <w:ind w:left="573" w:right="1133"/>
        <w:jc w:val="left"/>
        <w:rPr>
          <w:b w:val="0"/>
          <w:bCs w:val="0"/>
        </w:rPr>
      </w:pPr>
      <w:r>
        <w:rPr/>
        <w:t>（</w:t>
      </w:r>
      <w:r>
        <w:rPr>
          <w:rFonts w:ascii="Times New Roman" w:hAnsi="Times New Roman" w:cs="Times New Roman" w:eastAsia="Times New Roman" w:hint="default"/>
        </w:rPr>
        <w:t>2</w:t>
      </w:r>
      <w:r>
        <w:rPr/>
        <w:t>）其他重大财务承诺事项</w:t>
      </w:r>
      <w:r>
        <w:rPr>
          <w:b w:val="0"/>
          <w:bCs w:val="0"/>
        </w:rPr>
      </w:r>
    </w:p>
    <w:p>
      <w:pPr>
        <w:pStyle w:val="BodyText"/>
        <w:spacing w:line="240" w:lineRule="auto" w:before="110"/>
        <w:ind w:left="573" w:right="1133"/>
        <w:jc w:val="left"/>
      </w:pPr>
      <w:r>
        <w:rPr>
          <w:rFonts w:ascii="Times New Roman" w:hAnsi="Times New Roman" w:cs="Times New Roman" w:eastAsia="Times New Roman" w:hint="default"/>
        </w:rPr>
        <w:t>1</w:t>
      </w:r>
      <w:r>
        <w:rPr/>
        <w:t>）抵押资产情况</w:t>
      </w:r>
    </w:p>
    <w:p>
      <w:pPr>
        <w:pStyle w:val="BodyText"/>
        <w:spacing w:line="348" w:lineRule="auto" w:before="110"/>
        <w:ind w:left="573" w:right="1133"/>
        <w:jc w:val="left"/>
      </w:pPr>
      <w:r>
        <w:rPr/>
        <w:t>①交通银行股份有限公司广州天河北支行</w:t>
      </w:r>
      <w:r>
        <w:rPr>
          <w:spacing w:val="-24"/>
        </w:rPr>
        <w:t> </w:t>
      </w:r>
      <w:r>
        <w:rPr/>
        <w:t>抵押</w:t>
      </w:r>
      <w:r>
        <w:rPr>
          <w:spacing w:val="-102"/>
        </w:rPr>
        <w:t> </w:t>
      </w:r>
      <w:r>
        <w:rPr>
          <w:spacing w:val="-102"/>
        </w:rPr>
      </w:r>
      <w:r>
        <w:rPr/>
        <w:t>公司以位于广州市天河区天慧路</w:t>
      </w:r>
      <w:r>
        <w:rPr>
          <w:rFonts w:ascii="Times New Roman" w:hAnsi="Times New Roman" w:cs="Times New Roman" w:eastAsia="Times New Roman" w:hint="default"/>
        </w:rPr>
        <w:t>16</w:t>
      </w:r>
      <w:r>
        <w:rPr/>
        <w:t>号首层等</w:t>
      </w:r>
      <w:r>
        <w:rPr>
          <w:rFonts w:ascii="Times New Roman" w:hAnsi="Times New Roman" w:cs="Times New Roman" w:eastAsia="Times New Roman" w:hint="default"/>
        </w:rPr>
        <w:t>6</w:t>
      </w:r>
      <w:r>
        <w:rPr/>
        <w:t>套可研用房（产权证书编号为粤（</w:t>
      </w:r>
      <w:r>
        <w:rPr>
          <w:rFonts w:ascii="Times New Roman" w:hAnsi="Times New Roman" w:cs="Times New Roman" w:eastAsia="Times New Roman" w:hint="default"/>
        </w:rPr>
        <w:t>2019</w:t>
      </w:r>
      <w:r>
        <w:rPr/>
        <w:t>）广州市不动产</w:t>
      </w:r>
    </w:p>
    <w:p>
      <w:pPr>
        <w:pStyle w:val="BodyText"/>
        <w:spacing w:line="331" w:lineRule="auto" w:before="5"/>
        <w:ind w:right="982"/>
        <w:jc w:val="left"/>
      </w:pPr>
      <w:r>
        <w:rPr/>
        <w:t>权第</w:t>
      </w:r>
      <w:r>
        <w:rPr>
          <w:rFonts w:ascii="Times New Roman" w:hAnsi="Times New Roman" w:cs="Times New Roman" w:eastAsia="Times New Roman" w:hint="default"/>
        </w:rPr>
        <w:t>02214252</w:t>
      </w:r>
      <w:r>
        <w:rPr/>
        <w:t>号、粤（</w:t>
      </w:r>
      <w:r>
        <w:rPr>
          <w:rFonts w:ascii="Times New Roman" w:hAnsi="Times New Roman" w:cs="Times New Roman" w:eastAsia="Times New Roman" w:hint="default"/>
        </w:rPr>
        <w:t>2019</w:t>
      </w:r>
      <w:r>
        <w:rPr/>
        <w:t>）广州市不动产权第</w:t>
      </w:r>
      <w:r>
        <w:rPr>
          <w:rFonts w:ascii="Times New Roman" w:hAnsi="Times New Roman" w:cs="Times New Roman" w:eastAsia="Times New Roman" w:hint="default"/>
        </w:rPr>
        <w:t>02214303</w:t>
      </w:r>
      <w:r>
        <w:rPr/>
        <w:t>号、粤（</w:t>
      </w:r>
      <w:r>
        <w:rPr>
          <w:rFonts w:ascii="Times New Roman" w:hAnsi="Times New Roman" w:cs="Times New Roman" w:eastAsia="Times New Roman" w:hint="default"/>
        </w:rPr>
        <w:t>2019</w:t>
      </w:r>
      <w:r>
        <w:rPr/>
        <w:t>）广州市不动产权第</w:t>
      </w:r>
      <w:r>
        <w:rPr>
          <w:rFonts w:ascii="Times New Roman" w:hAnsi="Times New Roman" w:cs="Times New Roman" w:eastAsia="Times New Roman" w:hint="default"/>
        </w:rPr>
        <w:t>02214461</w:t>
      </w:r>
      <w:r>
        <w:rPr/>
        <w:t>号、</w:t>
      </w:r>
      <w:r>
        <w:rPr>
          <w:spacing w:val="-3"/>
          <w:w w:val="100"/>
        </w:rPr>
        <w:t> </w:t>
      </w:r>
      <w:r>
        <w:rPr>
          <w:spacing w:val="-2"/>
        </w:rPr>
        <w:t>粤（</w:t>
      </w:r>
      <w:r>
        <w:rPr>
          <w:rFonts w:ascii="Times New Roman" w:hAnsi="Times New Roman" w:cs="Times New Roman" w:eastAsia="Times New Roman" w:hint="default"/>
          <w:spacing w:val="-2"/>
        </w:rPr>
        <w:t>2019</w:t>
      </w:r>
      <w:r>
        <w:rPr>
          <w:spacing w:val="-2"/>
        </w:rPr>
        <w:t>）广州市不动产权第</w:t>
      </w:r>
      <w:r>
        <w:rPr>
          <w:rFonts w:ascii="Times New Roman" w:hAnsi="Times New Roman" w:cs="Times New Roman" w:eastAsia="Times New Roman" w:hint="default"/>
          <w:spacing w:val="-2"/>
        </w:rPr>
        <w:t>02214419</w:t>
      </w:r>
      <w:r>
        <w:rPr>
          <w:spacing w:val="-2"/>
        </w:rPr>
        <w:t>号、粤（</w:t>
      </w:r>
      <w:r>
        <w:rPr>
          <w:rFonts w:ascii="Times New Roman" w:hAnsi="Times New Roman" w:cs="Times New Roman" w:eastAsia="Times New Roman" w:hint="default"/>
          <w:spacing w:val="-2"/>
        </w:rPr>
        <w:t>2019</w:t>
      </w:r>
      <w:r>
        <w:rPr>
          <w:spacing w:val="-2"/>
        </w:rPr>
        <w:t>）广州市不动产权第</w:t>
      </w:r>
      <w:r>
        <w:rPr>
          <w:rFonts w:ascii="Times New Roman" w:hAnsi="Times New Roman" w:cs="Times New Roman" w:eastAsia="Times New Roman" w:hint="default"/>
          <w:spacing w:val="-2"/>
        </w:rPr>
        <w:t>02214418</w:t>
      </w:r>
      <w:r>
        <w:rPr>
          <w:spacing w:val="-2"/>
        </w:rPr>
        <w:t>号、粤（</w:t>
      </w:r>
      <w:r>
        <w:rPr>
          <w:rFonts w:ascii="Times New Roman" w:hAnsi="Times New Roman" w:cs="Times New Roman" w:eastAsia="Times New Roman" w:hint="default"/>
          <w:spacing w:val="-2"/>
        </w:rPr>
        <w:t>2019</w:t>
      </w:r>
      <w:r>
        <w:rPr>
          <w:spacing w:val="-2"/>
        </w:rPr>
        <w:t>）广州市</w:t>
      </w:r>
      <w:r>
        <w:rPr>
          <w:spacing w:val="-32"/>
        </w:rPr>
        <w:t> </w:t>
      </w:r>
      <w:r>
        <w:rPr/>
        <w:t>不动产权第</w:t>
      </w:r>
      <w:r>
        <w:rPr>
          <w:rFonts w:ascii="Times New Roman" w:hAnsi="Times New Roman" w:cs="Times New Roman" w:eastAsia="Times New Roman" w:hint="default"/>
        </w:rPr>
        <w:t>02214416</w:t>
      </w:r>
      <w:r>
        <w:rPr/>
        <w:t>号）及</w:t>
      </w:r>
      <w:r>
        <w:rPr>
          <w:rFonts w:ascii="Times New Roman" w:hAnsi="Times New Roman" w:cs="Times New Roman" w:eastAsia="Times New Roman" w:hint="default"/>
        </w:rPr>
        <w:t>188</w:t>
      </w:r>
      <w:r>
        <w:rPr/>
        <w:t>套车库合计账面价值为</w:t>
      </w:r>
      <w:r>
        <w:rPr>
          <w:rFonts w:ascii="Times New Roman" w:hAnsi="Times New Roman" w:cs="Times New Roman" w:eastAsia="Times New Roman" w:hint="default"/>
        </w:rPr>
        <w:t>285,643,807.52</w:t>
      </w:r>
      <w:r>
        <w:rPr/>
        <w:t>元的投资性房地产，对公司与交通银</w:t>
      </w:r>
      <w:r>
        <w:rPr>
          <w:spacing w:val="-82"/>
        </w:rPr>
        <w:t> </w:t>
      </w:r>
      <w:r>
        <w:rPr>
          <w:spacing w:val="-82"/>
        </w:rPr>
      </w:r>
      <w:r>
        <w:rPr/>
        <w:t>行天河北支行签订的粤天河北</w:t>
      </w:r>
      <w:r>
        <w:rPr>
          <w:rFonts w:ascii="Times New Roman" w:hAnsi="Times New Roman" w:cs="Times New Roman" w:eastAsia="Times New Roman" w:hint="default"/>
        </w:rPr>
        <w:t>2018</w:t>
      </w:r>
      <w:r>
        <w:rPr/>
        <w:t>年借字</w:t>
      </w:r>
      <w:r>
        <w:rPr>
          <w:rFonts w:ascii="Times New Roman" w:hAnsi="Times New Roman" w:cs="Times New Roman" w:eastAsia="Times New Roman" w:hint="default"/>
        </w:rPr>
        <w:t>013</w:t>
      </w:r>
      <w:r>
        <w:rPr/>
        <w:t>号、粤天河北</w:t>
      </w:r>
      <w:r>
        <w:rPr>
          <w:rFonts w:ascii="Times New Roman" w:hAnsi="Times New Roman" w:cs="Times New Roman" w:eastAsia="Times New Roman" w:hint="default"/>
        </w:rPr>
        <w:t>2015</w:t>
      </w:r>
      <w:r>
        <w:rPr/>
        <w:t>年固贷字</w:t>
      </w:r>
      <w:r>
        <w:rPr>
          <w:rFonts w:ascii="Times New Roman" w:hAnsi="Times New Roman" w:cs="Times New Roman" w:eastAsia="Times New Roman" w:hint="default"/>
        </w:rPr>
        <w:t>001</w:t>
      </w:r>
      <w:r>
        <w:rPr/>
        <w:t>号、粤天河北</w:t>
      </w:r>
      <w:r>
        <w:rPr>
          <w:rFonts w:ascii="Times New Roman" w:hAnsi="Times New Roman" w:cs="Times New Roman" w:eastAsia="Times New Roman" w:hint="default"/>
        </w:rPr>
        <w:t>2019</w:t>
      </w:r>
      <w:r>
        <w:rPr/>
        <w:t>年借字</w:t>
      </w:r>
      <w:r>
        <w:rPr>
          <w:rFonts w:ascii="Times New Roman" w:hAnsi="Times New Roman" w:cs="Times New Roman" w:eastAsia="Times New Roman" w:hint="default"/>
        </w:rPr>
        <w:t>004</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4"/>
        </w:rPr>
        <w:t>号、粤天河北</w:t>
      </w:r>
      <w:r>
        <w:rPr>
          <w:rFonts w:ascii="Times New Roman" w:hAnsi="Times New Roman" w:cs="Times New Roman" w:eastAsia="Times New Roman" w:hint="default"/>
          <w:spacing w:val="-4"/>
        </w:rPr>
        <w:t>2019</w:t>
      </w:r>
      <w:r>
        <w:rPr>
          <w:spacing w:val="-4"/>
        </w:rPr>
        <w:t>年借字</w:t>
      </w:r>
      <w:r>
        <w:rPr>
          <w:rFonts w:ascii="Times New Roman" w:hAnsi="Times New Roman" w:cs="Times New Roman" w:eastAsia="Times New Roman" w:hint="default"/>
          <w:spacing w:val="-4"/>
        </w:rPr>
        <w:t>008</w:t>
      </w:r>
      <w:r>
        <w:rPr>
          <w:spacing w:val="-4"/>
        </w:rPr>
        <w:t>号贷款合同提供最高额抵押担保，抵押合同编号为粤天河北</w:t>
      </w:r>
      <w:r>
        <w:rPr>
          <w:rFonts w:ascii="Times New Roman" w:hAnsi="Times New Roman" w:cs="Times New Roman" w:eastAsia="Times New Roman" w:hint="default"/>
          <w:spacing w:val="-4"/>
        </w:rPr>
        <w:t>2018</w:t>
      </w:r>
      <w:r>
        <w:rPr>
          <w:spacing w:val="-4"/>
        </w:rPr>
        <w:t>年抵字</w:t>
      </w:r>
      <w:r>
        <w:rPr>
          <w:rFonts w:ascii="Times New Roman" w:hAnsi="Times New Roman" w:cs="Times New Roman" w:eastAsia="Times New Roman" w:hint="default"/>
          <w:spacing w:val="-4"/>
        </w:rPr>
        <w:t>002</w:t>
      </w:r>
      <w:r>
        <w:rPr>
          <w:spacing w:val="-4"/>
        </w:rPr>
        <w:t>号、</w:t>
      </w:r>
      <w:r>
        <w:rPr>
          <w:spacing w:val="-29"/>
        </w:rPr>
        <w:t> </w:t>
      </w:r>
      <w:r>
        <w:rPr/>
        <w:t>粤天河北</w:t>
      </w:r>
      <w:r>
        <w:rPr>
          <w:rFonts w:ascii="Times New Roman" w:hAnsi="Times New Roman" w:cs="Times New Roman" w:eastAsia="Times New Roman" w:hint="default"/>
        </w:rPr>
        <w:t>2019</w:t>
      </w:r>
      <w:r>
        <w:rPr/>
        <w:t>年抵字</w:t>
      </w:r>
      <w:r>
        <w:rPr>
          <w:rFonts w:ascii="Times New Roman" w:hAnsi="Times New Roman" w:cs="Times New Roman" w:eastAsia="Times New Roman" w:hint="default"/>
        </w:rPr>
        <w:t>001</w:t>
      </w:r>
      <w:r>
        <w:rPr/>
        <w:t>号、粤天河北</w:t>
      </w:r>
      <w:r>
        <w:rPr>
          <w:rFonts w:ascii="Times New Roman" w:hAnsi="Times New Roman" w:cs="Times New Roman" w:eastAsia="Times New Roman" w:hint="default"/>
        </w:rPr>
        <w:t>2019</w:t>
      </w:r>
      <w:r>
        <w:rPr/>
        <w:t>年抵字</w:t>
      </w:r>
      <w:r>
        <w:rPr>
          <w:rFonts w:ascii="Times New Roman" w:hAnsi="Times New Roman" w:cs="Times New Roman" w:eastAsia="Times New Roman" w:hint="default"/>
        </w:rPr>
        <w:t>004</w:t>
      </w:r>
      <w:r>
        <w:rPr/>
        <w:t>号、粤天河北</w:t>
      </w:r>
      <w:r>
        <w:rPr>
          <w:rFonts w:ascii="Times New Roman" w:hAnsi="Times New Roman" w:cs="Times New Roman" w:eastAsia="Times New Roman" w:hint="default"/>
        </w:rPr>
        <w:t>2019</w:t>
      </w:r>
      <w:r>
        <w:rPr/>
        <w:t>年抵字</w:t>
      </w:r>
      <w:r>
        <w:rPr>
          <w:rFonts w:ascii="Times New Roman" w:hAnsi="Times New Roman" w:cs="Times New Roman" w:eastAsia="Times New Roman" w:hint="default"/>
        </w:rPr>
        <w:t>005</w:t>
      </w:r>
      <w:r>
        <w:rPr/>
        <w:t>号、粤天河北</w:t>
      </w:r>
      <w:r>
        <w:rPr>
          <w:rFonts w:ascii="Times New Roman" w:hAnsi="Times New Roman" w:cs="Times New Roman" w:eastAsia="Times New Roman" w:hint="default"/>
        </w:rPr>
        <w:t>2019</w:t>
      </w:r>
      <w:r>
        <w:rPr/>
        <w:t>年抵</w:t>
      </w:r>
      <w:r>
        <w:rPr>
          <w:spacing w:val="-28"/>
        </w:rPr>
        <w:t> </w:t>
      </w:r>
      <w:r>
        <w:rPr>
          <w:spacing w:val="-2"/>
        </w:rPr>
        <w:t>字</w:t>
      </w:r>
      <w:r>
        <w:rPr>
          <w:rFonts w:ascii="Times New Roman" w:hAnsi="Times New Roman" w:cs="Times New Roman" w:eastAsia="Times New Roman" w:hint="default"/>
          <w:spacing w:val="-2"/>
        </w:rPr>
        <w:t>006</w:t>
      </w:r>
      <w:r>
        <w:rPr>
          <w:spacing w:val="-2"/>
        </w:rPr>
        <w:t>号、粤天河北</w:t>
      </w:r>
      <w:r>
        <w:rPr>
          <w:rFonts w:ascii="Times New Roman" w:hAnsi="Times New Roman" w:cs="Times New Roman" w:eastAsia="Times New Roman" w:hint="default"/>
          <w:spacing w:val="-2"/>
        </w:rPr>
        <w:t>2019</w:t>
      </w:r>
      <w:r>
        <w:rPr>
          <w:spacing w:val="-2"/>
        </w:rPr>
        <w:t>年抵字</w:t>
      </w:r>
      <w:r>
        <w:rPr>
          <w:rFonts w:ascii="Times New Roman" w:hAnsi="Times New Roman" w:cs="Times New Roman" w:eastAsia="Times New Roman" w:hint="default"/>
          <w:spacing w:val="-2"/>
        </w:rPr>
        <w:t>007</w:t>
      </w:r>
      <w:r>
        <w:rPr>
          <w:spacing w:val="-2"/>
        </w:rPr>
        <w:t>号、粤天河北</w:t>
      </w:r>
      <w:r>
        <w:rPr>
          <w:rFonts w:ascii="Times New Roman" w:hAnsi="Times New Roman" w:cs="Times New Roman" w:eastAsia="Times New Roman" w:hint="default"/>
          <w:spacing w:val="-2"/>
        </w:rPr>
        <w:t>2019</w:t>
      </w:r>
      <w:r>
        <w:rPr>
          <w:spacing w:val="-2"/>
        </w:rPr>
        <w:t>年抵字</w:t>
      </w:r>
      <w:r>
        <w:rPr>
          <w:rFonts w:ascii="Times New Roman" w:hAnsi="Times New Roman" w:cs="Times New Roman" w:eastAsia="Times New Roman" w:hint="default"/>
          <w:spacing w:val="-2"/>
        </w:rPr>
        <w:t>009</w:t>
      </w:r>
      <w:r>
        <w:rPr>
          <w:spacing w:val="-2"/>
        </w:rPr>
        <w:t>号、粤天河北</w:t>
      </w:r>
      <w:r>
        <w:rPr>
          <w:rFonts w:ascii="Times New Roman" w:hAnsi="Times New Roman" w:cs="Times New Roman" w:eastAsia="Times New Roman" w:hint="default"/>
          <w:spacing w:val="-2"/>
        </w:rPr>
        <w:t>2019</w:t>
      </w:r>
      <w:r>
        <w:rPr>
          <w:spacing w:val="-2"/>
        </w:rPr>
        <w:t>年抵字</w:t>
      </w:r>
      <w:r>
        <w:rPr>
          <w:rFonts w:ascii="Times New Roman" w:hAnsi="Times New Roman" w:cs="Times New Roman" w:eastAsia="Times New Roman" w:hint="default"/>
          <w:spacing w:val="-2"/>
        </w:rPr>
        <w:t>010</w:t>
      </w:r>
      <w:r>
        <w:rPr>
          <w:spacing w:val="-2"/>
        </w:rPr>
        <w:t>号、粤天河北</w:t>
      </w:r>
      <w:r>
        <w:rPr>
          <w:spacing w:val="-26"/>
        </w:rPr>
        <w:t> </w:t>
      </w:r>
      <w:r>
        <w:rPr>
          <w:spacing w:val="-26"/>
        </w:rPr>
      </w:r>
      <w:r>
        <w:rPr>
          <w:rFonts w:ascii="Times New Roman" w:hAnsi="Times New Roman" w:cs="Times New Roman" w:eastAsia="Times New Roman" w:hint="default"/>
        </w:rPr>
        <w:t>2019</w:t>
      </w:r>
      <w:r>
        <w:rPr/>
        <w:t>年抵字</w:t>
      </w:r>
      <w:r>
        <w:rPr>
          <w:rFonts w:ascii="Times New Roman" w:hAnsi="Times New Roman" w:cs="Times New Roman" w:eastAsia="Times New Roman" w:hint="default"/>
        </w:rPr>
        <w:t>011</w:t>
      </w:r>
      <w:r>
        <w:rPr/>
        <w:t>号。</w:t>
      </w:r>
    </w:p>
    <w:p>
      <w:pPr>
        <w:pStyle w:val="BodyText"/>
        <w:spacing w:line="350" w:lineRule="auto" w:before="19"/>
        <w:ind w:left="573" w:right="1133"/>
        <w:jc w:val="left"/>
      </w:pPr>
      <w:r>
        <w:rPr/>
        <w:t>②长沙银行股份有限公司广州分行</w:t>
      </w:r>
      <w:r>
        <w:rPr>
          <w:spacing w:val="-21"/>
        </w:rPr>
        <w:t> </w:t>
      </w:r>
      <w:r>
        <w:rPr>
          <w:spacing w:val="-3"/>
        </w:rPr>
        <w:t>抵押</w:t>
      </w:r>
      <w:r>
        <w:rPr>
          <w:spacing w:val="-103"/>
        </w:rPr>
        <w:t> </w:t>
      </w:r>
      <w:r>
        <w:rPr>
          <w:spacing w:val="-103"/>
        </w:rPr>
      </w:r>
      <w:r>
        <w:rPr>
          <w:spacing w:val="-1"/>
        </w:rPr>
        <w:t>公司以无形资产账面价值为</w:t>
      </w:r>
      <w:r>
        <w:rPr>
          <w:rFonts w:ascii="Times New Roman" w:hAnsi="Times New Roman" w:cs="Times New Roman" w:eastAsia="Times New Roman" w:hint="default"/>
          <w:spacing w:val="-1"/>
        </w:rPr>
        <w:t>91,619,255.70</w:t>
      </w:r>
      <w:r>
        <w:rPr>
          <w:spacing w:val="-1"/>
        </w:rPr>
        <w:t>元的土地使用权对蓝盾信息安全技术有限公司与长沙银行股</w:t>
      </w:r>
    </w:p>
    <w:p>
      <w:pPr>
        <w:pStyle w:val="BodyText"/>
        <w:spacing w:line="328" w:lineRule="auto" w:before="3"/>
        <w:ind w:right="1130"/>
        <w:jc w:val="both"/>
      </w:pPr>
      <w:r>
        <w:rPr>
          <w:spacing w:val="-1"/>
        </w:rPr>
        <w:t>份有限公司广州分行签订的编号为</w:t>
      </w:r>
      <w:r>
        <w:rPr>
          <w:rFonts w:ascii="Times New Roman" w:hAnsi="Times New Roman" w:cs="Times New Roman" w:eastAsia="Times New Roman" w:hint="default"/>
          <w:spacing w:val="-1"/>
        </w:rPr>
        <w:t>C2016060000001484</w:t>
      </w:r>
      <w:r>
        <w:rPr>
          <w:spacing w:val="-1"/>
        </w:rPr>
        <w:t>人民币综合授信额度合同提供最高额抵押担保，抵</w:t>
      </w:r>
      <w:r>
        <w:rPr>
          <w:spacing w:val="-5"/>
        </w:rPr>
        <w:t> </w:t>
      </w:r>
      <w:r>
        <w:rPr>
          <w:spacing w:val="-5"/>
        </w:rPr>
      </w:r>
      <w:r>
        <w:rPr/>
        <w:t>押担保的最高债权额为</w:t>
      </w:r>
      <w:r>
        <w:rPr>
          <w:rFonts w:ascii="Times New Roman" w:hAnsi="Times New Roman" w:cs="Times New Roman" w:eastAsia="Times New Roman" w:hint="default"/>
        </w:rPr>
        <w:t>2</w:t>
      </w:r>
      <w:r>
        <w:rPr/>
        <w:t>亿元。</w:t>
      </w:r>
    </w:p>
    <w:p>
      <w:pPr>
        <w:pStyle w:val="BodyText"/>
        <w:spacing w:line="350" w:lineRule="auto" w:before="24"/>
        <w:ind w:left="573" w:right="1133"/>
        <w:jc w:val="left"/>
      </w:pPr>
      <w:r>
        <w:rPr/>
        <w:t>③工商银行股份有限公司广州陵园西路支行</w:t>
      </w:r>
      <w:r>
        <w:rPr>
          <w:spacing w:val="-22"/>
        </w:rPr>
        <w:t> </w:t>
      </w:r>
      <w:r>
        <w:rPr>
          <w:spacing w:val="-3"/>
        </w:rPr>
        <w:t>质押</w:t>
      </w:r>
      <w:r>
        <w:rPr>
          <w:spacing w:val="-3"/>
          <w:w w:val="100"/>
        </w:rPr>
        <w:t> </w:t>
      </w:r>
      <w:r>
        <w:rPr>
          <w:spacing w:val="-4"/>
        </w:rPr>
        <w:t>公司以深圳市蓝盾满泰科技发展有限公司</w:t>
      </w:r>
      <w:r>
        <w:rPr>
          <w:rFonts w:ascii="Times New Roman" w:hAnsi="Times New Roman" w:cs="Times New Roman" w:eastAsia="Times New Roman" w:hint="default"/>
          <w:spacing w:val="-4"/>
        </w:rPr>
        <w:t>60%</w:t>
      </w:r>
      <w:r>
        <w:rPr>
          <w:spacing w:val="-4"/>
        </w:rPr>
        <w:t>股权，作为（</w:t>
      </w:r>
      <w:r>
        <w:rPr>
          <w:rFonts w:ascii="Times New Roman" w:hAnsi="Times New Roman" w:cs="Times New Roman" w:eastAsia="Times New Roman" w:hint="default"/>
          <w:spacing w:val="-4"/>
        </w:rPr>
        <w:t>2016</w:t>
      </w:r>
      <w:r>
        <w:rPr>
          <w:spacing w:val="-4"/>
        </w:rPr>
        <w:t>年直投）（债投）字</w:t>
      </w:r>
      <w:r>
        <w:rPr>
          <w:rFonts w:ascii="Times New Roman" w:hAnsi="Times New Roman" w:cs="Times New Roman" w:eastAsia="Times New Roman" w:hint="default"/>
          <w:spacing w:val="-4"/>
        </w:rPr>
        <w:t>021</w:t>
      </w:r>
      <w:r>
        <w:rPr>
          <w:spacing w:val="-4"/>
        </w:rPr>
        <w:t>号借款的增信</w:t>
      </w:r>
    </w:p>
    <w:p>
      <w:pPr>
        <w:pStyle w:val="BodyText"/>
        <w:spacing w:line="331" w:lineRule="auto"/>
        <w:ind w:right="1126"/>
        <w:jc w:val="both"/>
      </w:pPr>
      <w:r>
        <w:rPr>
          <w:spacing w:val="-2"/>
        </w:rPr>
        <w:t>措施，于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日与银行签订深圳市蓝盾满泰科技发展有限公司股权质押合同（白）字</w:t>
      </w:r>
      <w:r>
        <w:rPr>
          <w:rFonts w:ascii="Times New Roman" w:hAnsi="Times New Roman" w:cs="Times New Roman" w:eastAsia="Times New Roman" w:hint="default"/>
          <w:spacing w:val="-2"/>
        </w:rPr>
        <w:t>20170105</w:t>
      </w:r>
      <w:r>
        <w:rPr>
          <w:spacing w:val="-2"/>
        </w:rPr>
        <w:t>号并</w:t>
      </w:r>
      <w:r>
        <w:rPr>
          <w:spacing w:val="-29"/>
        </w:rPr>
        <w:t> </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日完成股权出质设立登记手续。</w:t>
      </w:r>
    </w:p>
    <w:p>
      <w:pPr>
        <w:pStyle w:val="BodyText"/>
        <w:spacing w:line="348" w:lineRule="auto" w:before="21"/>
        <w:ind w:left="573" w:right="1133"/>
        <w:jc w:val="left"/>
      </w:pPr>
      <w:r>
        <w:rPr/>
        <w:t>④江西银行股份有限公司广州分行</w:t>
      </w:r>
      <w:r>
        <w:rPr>
          <w:spacing w:val="-21"/>
        </w:rPr>
        <w:t> </w:t>
      </w:r>
      <w:r>
        <w:rPr>
          <w:spacing w:val="-3"/>
        </w:rPr>
        <w:t>质押</w:t>
      </w:r>
      <w:r>
        <w:rPr>
          <w:spacing w:val="-103"/>
        </w:rPr>
        <w:t> </w:t>
      </w:r>
      <w:r>
        <w:rPr>
          <w:spacing w:val="-103"/>
        </w:rPr>
      </w:r>
      <w:r>
        <w:rPr/>
        <w:t>公司以广州华炜科技有限公司</w:t>
      </w:r>
      <w:r>
        <w:rPr>
          <w:rFonts w:ascii="Times New Roman" w:hAnsi="Times New Roman" w:cs="Times New Roman" w:eastAsia="Times New Roman" w:hint="default"/>
        </w:rPr>
        <w:t>100%</w:t>
      </w:r>
      <w:r>
        <w:rPr/>
        <w:t>股权与西咸新区蓝盾信息安全技术有限公司</w:t>
      </w:r>
      <w:r>
        <w:rPr>
          <w:rFonts w:ascii="Times New Roman" w:hAnsi="Times New Roman" w:cs="Times New Roman" w:eastAsia="Times New Roman" w:hint="default"/>
        </w:rPr>
        <w:t>100%</w:t>
      </w:r>
      <w:r>
        <w:rPr/>
        <w:t>股权，对公司与</w:t>
      </w:r>
    </w:p>
    <w:p>
      <w:pPr>
        <w:pStyle w:val="BodyText"/>
        <w:spacing w:line="331" w:lineRule="auto" w:before="5"/>
        <w:ind w:right="1128"/>
        <w:jc w:val="both"/>
      </w:pPr>
      <w:r>
        <w:rPr>
          <w:spacing w:val="-1"/>
        </w:rPr>
        <w:t>银行签订的江银广分越支借字第</w:t>
      </w:r>
      <w:r>
        <w:rPr>
          <w:rFonts w:ascii="Times New Roman" w:hAnsi="Times New Roman" w:cs="Times New Roman" w:eastAsia="Times New Roman" w:hint="default"/>
          <w:spacing w:val="-1"/>
        </w:rPr>
        <w:t>1820006-002</w:t>
      </w:r>
      <w:r>
        <w:rPr>
          <w:spacing w:val="-1"/>
        </w:rPr>
        <w:t>号贷款合同提供最高额抵押担保，于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日与银行签</w:t>
      </w:r>
      <w:r>
        <w:rPr>
          <w:spacing w:val="-45"/>
        </w:rPr>
        <w:t> </w:t>
      </w:r>
      <w:r>
        <w:rPr>
          <w:spacing w:val="-45"/>
        </w:rPr>
      </w:r>
      <w:r>
        <w:rPr>
          <w:spacing w:val="-1"/>
        </w:rPr>
        <w:t>订广州华炜科技有限公司</w:t>
      </w:r>
      <w:r>
        <w:rPr>
          <w:rFonts w:ascii="Times New Roman" w:hAnsi="Times New Roman" w:cs="Times New Roman" w:eastAsia="Times New Roman" w:hint="default"/>
          <w:spacing w:val="-1"/>
        </w:rPr>
        <w:t>100%</w:t>
      </w:r>
      <w:r>
        <w:rPr>
          <w:spacing w:val="-1"/>
        </w:rPr>
        <w:t>股权质押合同江银广分越支高质字第</w:t>
      </w:r>
      <w:r>
        <w:rPr>
          <w:rFonts w:ascii="Times New Roman" w:hAnsi="Times New Roman" w:cs="Times New Roman" w:eastAsia="Times New Roman" w:hint="default"/>
          <w:spacing w:val="-1"/>
        </w:rPr>
        <w:t>182006-001</w:t>
      </w:r>
      <w:r>
        <w:rPr>
          <w:spacing w:val="-1"/>
        </w:rPr>
        <w:t>号并于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15</w:t>
      </w:r>
      <w:r>
        <w:rPr>
          <w:spacing w:val="-1"/>
        </w:rPr>
        <w:t>日完成</w:t>
      </w:r>
      <w:r>
        <w:rPr>
          <w:spacing w:val="-9"/>
        </w:rPr>
        <w:t> </w:t>
      </w:r>
      <w:r>
        <w:rPr>
          <w:spacing w:val="-4"/>
          <w:w w:val="100"/>
        </w:rPr>
        <w:t>股权出质设立登记手续；于</w:t>
      </w:r>
      <w:r>
        <w:rPr>
          <w:rFonts w:ascii="Times New Roman" w:hAnsi="Times New Roman" w:cs="Times New Roman" w:eastAsia="Times New Roman" w:hint="default"/>
          <w:spacing w:val="-4"/>
          <w:w w:val="100"/>
        </w:rPr>
        <w:t>2019</w:t>
      </w: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23</w:t>
      </w:r>
      <w:r>
        <w:rPr>
          <w:spacing w:val="-4"/>
          <w:w w:val="100"/>
        </w:rPr>
        <w:t>日与银行签订西咸新区蓝盾信息安全技术有限公司</w:t>
      </w:r>
      <w:r>
        <w:rPr>
          <w:rFonts w:ascii="Times New Roman" w:hAnsi="Times New Roman" w:cs="Times New Roman" w:eastAsia="Times New Roman" w:hint="default"/>
          <w:spacing w:val="-4"/>
          <w:w w:val="100"/>
        </w:rPr>
        <w:t>100%</w:t>
      </w:r>
      <w:r>
        <w:rPr>
          <w:spacing w:val="-4"/>
          <w:w w:val="100"/>
        </w:rPr>
        <w:t>股权质押</w:t>
      </w:r>
      <w:r>
        <w:rPr>
          <w:spacing w:val="-60"/>
          <w:w w:val="100"/>
        </w:rPr>
        <w:t> </w:t>
      </w:r>
      <w:r>
        <w:rPr/>
        <w:t>合同江银广分越支高质字第</w:t>
      </w:r>
      <w:r>
        <w:rPr>
          <w:rFonts w:ascii="Times New Roman" w:hAnsi="Times New Roman" w:cs="Times New Roman" w:eastAsia="Times New Roman" w:hint="default"/>
        </w:rPr>
        <w:t>182006-002</w:t>
      </w:r>
      <w:r>
        <w:rPr/>
        <w:t>号并于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日完成股权出质设立登记手续。</w:t>
      </w:r>
    </w:p>
    <w:p>
      <w:pPr>
        <w:pStyle w:val="BodyText"/>
        <w:spacing w:line="328" w:lineRule="auto" w:before="21"/>
        <w:ind w:left="573" w:right="1133"/>
        <w:jc w:val="left"/>
      </w:pPr>
      <w:r>
        <w:rPr/>
        <w:t>⑤浙商银行股份有限公司广州分行</w:t>
      </w:r>
      <w:r>
        <w:rPr>
          <w:spacing w:val="-21"/>
        </w:rPr>
        <w:t> </w:t>
      </w:r>
      <w:r>
        <w:rPr>
          <w:spacing w:val="-3"/>
        </w:rPr>
        <w:t>抵押</w:t>
      </w:r>
      <w:r>
        <w:rPr>
          <w:rFonts w:ascii="Times New Roman" w:hAnsi="Times New Roman" w:cs="Times New Roman" w:eastAsia="Times New Roman" w:hint="default"/>
          <w:spacing w:val="-3"/>
        </w:rPr>
        <w:t>+</w:t>
      </w:r>
      <w:r>
        <w:rPr>
          <w:spacing w:val="-3"/>
        </w:rPr>
        <w:t>质押</w:t>
      </w:r>
      <w:r>
        <w:rPr>
          <w:spacing w:val="-97"/>
        </w:rPr>
        <w:t> </w:t>
      </w:r>
      <w:r>
        <w:rPr/>
        <w:t>公司以位于成都高新区中和街道观东社区</w:t>
      </w:r>
      <w:r>
        <w:rPr>
          <w:rFonts w:ascii="Times New Roman" w:hAnsi="Times New Roman" w:cs="Times New Roman" w:eastAsia="Times New Roman" w:hint="default"/>
        </w:rPr>
        <w:t>8</w:t>
      </w:r>
      <w:r>
        <w:rPr/>
        <w:t>组、</w:t>
      </w:r>
      <w:r>
        <w:rPr>
          <w:rFonts w:ascii="Times New Roman" w:hAnsi="Times New Roman" w:cs="Times New Roman" w:eastAsia="Times New Roman" w:hint="default"/>
        </w:rPr>
        <w:t>9</w:t>
      </w:r>
      <w:r>
        <w:rPr/>
        <w:t>组（产权证书编号为成高国用（</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31151</w:t>
      </w:r>
      <w:r>
        <w:rPr/>
        <w:t>号）</w:t>
      </w:r>
    </w:p>
    <w:p>
      <w:pPr>
        <w:pStyle w:val="BodyText"/>
        <w:spacing w:line="331" w:lineRule="auto" w:before="24"/>
        <w:ind w:right="1128"/>
        <w:jc w:val="both"/>
      </w:pPr>
      <w:r>
        <w:rPr>
          <w:spacing w:val="-2"/>
        </w:rPr>
        <w:t>账面价值为</w:t>
      </w:r>
      <w:r>
        <w:rPr>
          <w:rFonts w:ascii="Times New Roman" w:hAnsi="Times New Roman" w:cs="Times New Roman" w:eastAsia="Times New Roman" w:hint="default"/>
          <w:spacing w:val="-2"/>
        </w:rPr>
        <w:t>45,908,307.16</w:t>
      </w:r>
      <w:r>
        <w:rPr>
          <w:spacing w:val="-2"/>
        </w:rPr>
        <w:t>元的土地使用权、账面价值为</w:t>
      </w:r>
      <w:r>
        <w:rPr>
          <w:rFonts w:ascii="Times New Roman" w:hAnsi="Times New Roman" w:cs="Times New Roman" w:eastAsia="Times New Roman" w:hint="default"/>
          <w:spacing w:val="-2"/>
        </w:rPr>
        <w:t>511,032,095.92</w:t>
      </w:r>
      <w:r>
        <w:rPr>
          <w:spacing w:val="-2"/>
        </w:rPr>
        <w:t>元的在建工程对公司与浙商银行股份</w:t>
      </w:r>
      <w:r>
        <w:rPr>
          <w:spacing w:val="-16"/>
        </w:rPr>
        <w:t> </w:t>
      </w:r>
      <w:r>
        <w:rPr>
          <w:spacing w:val="-16"/>
        </w:rPr>
      </w:r>
      <w:r>
        <w:rPr/>
        <w:t>有限公司广州分行签订的（</w:t>
      </w:r>
      <w:r>
        <w:rPr>
          <w:rFonts w:ascii="Times New Roman" w:hAnsi="Times New Roman" w:cs="Times New Roman" w:eastAsia="Times New Roman" w:hint="default"/>
        </w:rPr>
        <w:t>20810000</w:t>
      </w:r>
      <w:r>
        <w:rPr/>
        <w:t>）浙商银固借字（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01289</w:t>
      </w:r>
      <w:r>
        <w:rPr/>
        <w:t>号借款合同提供最高额抵押担保，</w:t>
      </w:r>
      <w:r>
        <w:rPr>
          <w:spacing w:val="-29"/>
        </w:rPr>
        <w:t> </w:t>
      </w:r>
      <w:r>
        <w:rPr>
          <w:spacing w:val="-29"/>
        </w:rPr>
      </w:r>
      <w:r>
        <w:rPr>
          <w:spacing w:val="-1"/>
        </w:rPr>
        <w:t>抵押合同编号为（</w:t>
      </w:r>
      <w:r>
        <w:rPr>
          <w:rFonts w:ascii="Times New Roman" w:hAnsi="Times New Roman" w:cs="Times New Roman" w:eastAsia="Times New Roman" w:hint="default"/>
          <w:spacing w:val="-1"/>
        </w:rPr>
        <w:t>581003</w:t>
      </w:r>
      <w:r>
        <w:rPr>
          <w:spacing w:val="-1"/>
        </w:rPr>
        <w:t>）浙商银抵字（</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00008</w:t>
      </w:r>
      <w:r>
        <w:rPr>
          <w:spacing w:val="-1"/>
        </w:rPr>
        <w:t>号；公司以成都蓝盾网信科技有限公司</w:t>
      </w:r>
      <w:r>
        <w:rPr>
          <w:rFonts w:ascii="Times New Roman" w:hAnsi="Times New Roman" w:cs="Times New Roman" w:eastAsia="Times New Roman" w:hint="default"/>
          <w:spacing w:val="-1"/>
        </w:rPr>
        <w:t>100%</w:t>
      </w:r>
      <w:r>
        <w:rPr>
          <w:spacing w:val="-1"/>
        </w:rPr>
        <w:t>的股</w:t>
      </w:r>
      <w:r>
        <w:rPr>
          <w:spacing w:val="-47"/>
        </w:rPr>
        <w:t> </w:t>
      </w:r>
      <w:r>
        <w:rPr/>
        <w:t>权对公司与浙商银行股份有限公司广州分行签订的（</w:t>
      </w:r>
      <w:r>
        <w:rPr>
          <w:rFonts w:ascii="Times New Roman" w:hAnsi="Times New Roman" w:cs="Times New Roman" w:eastAsia="Times New Roman" w:hint="default"/>
        </w:rPr>
        <w:t>20810000</w:t>
      </w:r>
      <w:r>
        <w:rPr/>
        <w:t>）浙商银固借字（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01289</w:t>
      </w:r>
      <w:r>
        <w:rPr/>
        <w:t>号借款合</w:t>
      </w:r>
    </w:p>
    <w:p>
      <w:pPr>
        <w:spacing w:after="0" w:line="331" w:lineRule="auto"/>
        <w:jc w:val="both"/>
        <w:sectPr>
          <w:pgSz w:w="11910" w:h="16840"/>
          <w:pgMar w:header="0"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right="0"/>
        <w:jc w:val="both"/>
      </w:pPr>
      <w:r>
        <w:rPr/>
        <w:t>同提供质押担保，质押合同编号为（</w:t>
      </w:r>
      <w:r>
        <w:rPr>
          <w:rFonts w:ascii="Times New Roman" w:hAnsi="Times New Roman" w:cs="Times New Roman" w:eastAsia="Times New Roman" w:hint="default"/>
        </w:rPr>
        <w:t>581003</w:t>
      </w:r>
      <w:r>
        <w:rPr/>
        <w:t>）浙商银权质字（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00009</w:t>
      </w:r>
      <w:r>
        <w:rPr/>
        <w:t>号。</w:t>
      </w:r>
    </w:p>
    <w:p>
      <w:pPr>
        <w:pStyle w:val="BodyText"/>
        <w:spacing w:line="240" w:lineRule="auto" w:before="110"/>
        <w:ind w:left="573" w:right="982"/>
        <w:jc w:val="left"/>
      </w:pPr>
      <w:r>
        <w:rPr/>
        <w:t>公</w:t>
      </w:r>
      <w:r>
        <w:rPr>
          <w:spacing w:val="-64"/>
        </w:rPr>
        <w:t> </w:t>
      </w:r>
      <w:r>
        <w:rPr/>
        <w:t>司</w:t>
      </w:r>
      <w:r>
        <w:rPr>
          <w:spacing w:val="-66"/>
        </w:rPr>
        <w:t> </w:t>
      </w:r>
      <w:r>
        <w:rPr/>
        <w:t>以</w:t>
      </w:r>
      <w:r>
        <w:rPr>
          <w:spacing w:val="-66"/>
        </w:rPr>
        <w:t> </w:t>
      </w:r>
      <w:r>
        <w:rPr/>
        <w:t>存</w:t>
      </w:r>
      <w:r>
        <w:rPr>
          <w:spacing w:val="-64"/>
        </w:rPr>
        <w:t> </w:t>
      </w:r>
      <w:r>
        <w:rPr/>
        <w:t>于</w:t>
      </w:r>
      <w:r>
        <w:rPr>
          <w:spacing w:val="-66"/>
        </w:rPr>
        <w:t> </w:t>
      </w:r>
      <w:r>
        <w:rPr/>
        <w:t>浙</w:t>
      </w:r>
      <w:r>
        <w:rPr>
          <w:spacing w:val="-66"/>
        </w:rPr>
        <w:t> </w:t>
      </w:r>
      <w:r>
        <w:rPr/>
        <w:t>商</w:t>
      </w:r>
      <w:r>
        <w:rPr>
          <w:spacing w:val="-64"/>
        </w:rPr>
        <w:t> </w:t>
      </w:r>
      <w:r>
        <w:rPr/>
        <w:t>银</w:t>
      </w:r>
      <w:r>
        <w:rPr>
          <w:spacing w:val="-66"/>
        </w:rPr>
        <w:t> </w:t>
      </w:r>
      <w:r>
        <w:rPr/>
        <w:t>行</w:t>
      </w:r>
      <w:r>
        <w:rPr>
          <w:spacing w:val="-66"/>
        </w:rPr>
        <w:t> </w:t>
      </w:r>
      <w:r>
        <w:rPr/>
        <w:t>股</w:t>
      </w:r>
      <w:r>
        <w:rPr>
          <w:spacing w:val="-64"/>
        </w:rPr>
        <w:t> </w:t>
      </w:r>
      <w:r>
        <w:rPr/>
        <w:t>份</w:t>
      </w:r>
      <w:r>
        <w:rPr>
          <w:spacing w:val="-66"/>
        </w:rPr>
        <w:t> </w:t>
      </w:r>
      <w:r>
        <w:rPr/>
        <w:t>有</w:t>
      </w:r>
      <w:r>
        <w:rPr>
          <w:spacing w:val="-66"/>
        </w:rPr>
        <w:t> </w:t>
      </w:r>
      <w:r>
        <w:rPr/>
        <w:t>限</w:t>
      </w:r>
      <w:r>
        <w:rPr>
          <w:spacing w:val="-64"/>
        </w:rPr>
        <w:t> </w:t>
      </w:r>
      <w:r>
        <w:rPr/>
        <w:t>公</w:t>
      </w:r>
      <w:r>
        <w:rPr>
          <w:spacing w:val="-66"/>
        </w:rPr>
        <w:t> </w:t>
      </w:r>
      <w:r>
        <w:rPr/>
        <w:t>司</w:t>
      </w:r>
      <w:r>
        <w:rPr>
          <w:spacing w:val="-66"/>
        </w:rPr>
        <w:t> </w:t>
      </w:r>
      <w:r>
        <w:rPr/>
        <w:t>广</w:t>
      </w:r>
      <w:r>
        <w:rPr>
          <w:spacing w:val="-66"/>
        </w:rPr>
        <w:t> </w:t>
      </w:r>
      <w:r>
        <w:rPr/>
        <w:t>州</w:t>
      </w:r>
      <w:r>
        <w:rPr>
          <w:spacing w:val="-64"/>
        </w:rPr>
        <w:t> </w:t>
      </w:r>
      <w:r>
        <w:rPr/>
        <w:t>分</w:t>
      </w:r>
      <w:r>
        <w:rPr>
          <w:spacing w:val="-66"/>
        </w:rPr>
        <w:t> </w:t>
      </w:r>
      <w:r>
        <w:rPr/>
        <w:t>行</w:t>
      </w:r>
      <w:r>
        <w:rPr>
          <w:spacing w:val="-59"/>
        </w:rPr>
        <w:t> </w:t>
      </w:r>
      <w:r>
        <w:rPr/>
        <w:t>的</w:t>
      </w:r>
      <w:r>
        <w:rPr>
          <w:spacing w:val="-66"/>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14"/>
        </w:rPr>
        <w:t> </w:t>
      </w:r>
      <w:r>
        <w:rPr/>
        <w:t>元</w:t>
      </w:r>
      <w:r>
        <w:rPr>
          <w:spacing w:val="-66"/>
        </w:rPr>
        <w:t> </w:t>
      </w:r>
      <w:r>
        <w:rPr/>
        <w:t>定</w:t>
      </w:r>
      <w:r>
        <w:rPr>
          <w:spacing w:val="-66"/>
        </w:rPr>
        <w:t> </w:t>
      </w:r>
      <w:r>
        <w:rPr/>
        <w:t>期</w:t>
      </w:r>
      <w:r>
        <w:rPr>
          <w:spacing w:val="-64"/>
        </w:rPr>
        <w:t> </w:t>
      </w:r>
      <w:r>
        <w:rPr/>
        <w:t>存</w:t>
      </w:r>
      <w:r>
        <w:rPr>
          <w:spacing w:val="-66"/>
        </w:rPr>
        <w:t> </w:t>
      </w:r>
      <w:r>
        <w:rPr/>
        <w:t>款</w:t>
      </w:r>
      <w:r>
        <w:rPr>
          <w:spacing w:val="-66"/>
        </w:rPr>
        <w:t> </w:t>
      </w:r>
      <w:r>
        <w:rPr/>
        <w:t>，</w:t>
      </w:r>
      <w:r>
        <w:rPr>
          <w:spacing w:val="-64"/>
        </w:rPr>
        <w:t> </w:t>
      </w:r>
      <w:r>
        <w:rPr/>
        <w:t>对</w:t>
      </w:r>
      <w:r>
        <w:rPr>
          <w:spacing w:val="-66"/>
        </w:rPr>
        <w:t> </w:t>
      </w:r>
      <w:r>
        <w:rPr/>
        <w:t>借</w:t>
      </w:r>
      <w:r>
        <w:rPr>
          <w:spacing w:val="-66"/>
        </w:rPr>
        <w:t> </w:t>
      </w:r>
      <w:r>
        <w:rPr/>
        <w:t>据</w:t>
      </w:r>
      <w:r>
        <w:rPr>
          <w:spacing w:val="-66"/>
        </w:rPr>
        <w:t> </w:t>
      </w:r>
      <w:r>
        <w:rPr/>
        <w:t>编</w:t>
      </w:r>
      <w:r>
        <w:rPr>
          <w:spacing w:val="-64"/>
        </w:rPr>
        <w:t> </w:t>
      </w:r>
      <w:r>
        <w:rPr/>
        <w:t>号</w:t>
      </w:r>
      <w:r>
        <w:rPr>
          <w:spacing w:val="-66"/>
        </w:rPr>
        <w:t> </w:t>
      </w:r>
      <w:r>
        <w:rPr/>
        <w:t>为</w:t>
      </w:r>
    </w:p>
    <w:p>
      <w:pPr>
        <w:pStyle w:val="BodyText"/>
        <w:spacing w:line="240" w:lineRule="auto" w:before="107"/>
        <w:ind w:right="0"/>
        <w:jc w:val="both"/>
      </w:pPr>
      <w:r>
        <w:rPr>
          <w:rFonts w:ascii="Times New Roman" w:hAnsi="Times New Roman" w:cs="Times New Roman" w:eastAsia="Times New Roman" w:hint="default"/>
        </w:rPr>
        <w:t>BD20190619000244</w:t>
      </w:r>
      <w:r>
        <w:rPr/>
        <w:t>的贷款提供质押。</w:t>
      </w:r>
    </w:p>
    <w:p>
      <w:pPr>
        <w:pStyle w:val="BodyText"/>
        <w:spacing w:line="350" w:lineRule="auto" w:before="110"/>
        <w:ind w:left="573" w:right="1133"/>
        <w:jc w:val="left"/>
      </w:pPr>
      <w:r>
        <w:rPr/>
        <w:t>⑥招商银行股份有限公司广州富力中心支行</w:t>
      </w:r>
      <w:r>
        <w:rPr>
          <w:spacing w:val="-22"/>
        </w:rPr>
        <w:t> </w:t>
      </w:r>
      <w:r>
        <w:rPr>
          <w:spacing w:val="-3"/>
        </w:rPr>
        <w:t>质押</w:t>
      </w:r>
      <w:r>
        <w:rPr>
          <w:spacing w:val="-3"/>
          <w:w w:val="100"/>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日与招商银行富力中心支行签订了一年的一亿五千万元整的授信协议，由蓝盾信</w:t>
      </w:r>
    </w:p>
    <w:p>
      <w:pPr>
        <w:pStyle w:val="BodyText"/>
        <w:spacing w:line="336" w:lineRule="auto"/>
        <w:ind w:right="1105"/>
        <w:jc w:val="both"/>
      </w:pPr>
      <w:r>
        <w:rPr>
          <w:spacing w:val="-2"/>
        </w:rPr>
        <w:t>息安全技术股份有限公司、蓝盾信息安全技术有限公司、柯宗庆、柯宗贵、柯宗耀作为连带责任保证人。</w:t>
      </w:r>
      <w:r>
        <w:rPr>
          <w:spacing w:val="-21"/>
        </w:rPr>
        <w:t> </w:t>
      </w:r>
      <w:r>
        <w:rPr>
          <w:spacing w:val="-21"/>
        </w:rPr>
      </w:r>
      <w:r>
        <w:rPr/>
        <w:t>在授信协议下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日以账面金额为</w:t>
      </w:r>
      <w:r>
        <w:rPr>
          <w:rFonts w:ascii="Times New Roman" w:hAnsi="Times New Roman" w:cs="Times New Roman" w:eastAsia="Times New Roman" w:hint="default"/>
        </w:rPr>
        <w:t>30,625,522.00</w:t>
      </w:r>
      <w:r>
        <w:rPr/>
        <w:t>元为质押向招商银行广州富力中心支行借入借款</w:t>
      </w:r>
      <w:r>
        <w:rPr>
          <w:spacing w:val="-101"/>
        </w:rPr>
        <w:t> </w:t>
      </w:r>
      <w:r>
        <w:rPr>
          <w:spacing w:val="-101"/>
        </w:rPr>
      </w:r>
      <w:r>
        <w:rPr>
          <w:rFonts w:ascii="Times New Roman" w:hAnsi="Times New Roman" w:cs="Times New Roman" w:eastAsia="Times New Roman" w:hint="default"/>
          <w:spacing w:val="-1"/>
        </w:rPr>
        <w:t>23,080,000.00</w:t>
      </w:r>
      <w:r>
        <w:rPr>
          <w:spacing w:val="-1"/>
        </w:rPr>
        <w:t>元，期限半年，利率为</w:t>
      </w:r>
      <w:r>
        <w:rPr>
          <w:rFonts w:ascii="Times New Roman" w:hAnsi="Times New Roman" w:cs="Times New Roman" w:eastAsia="Times New Roman" w:hint="default"/>
          <w:spacing w:val="-1"/>
        </w:rPr>
        <w:t>5.22%</w:t>
      </w:r>
      <w:r>
        <w:rPr>
          <w:spacing w:val="-1"/>
        </w:rPr>
        <w:t>，已于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号偿还借款</w:t>
      </w:r>
      <w:r>
        <w:rPr>
          <w:rFonts w:ascii="Times New Roman" w:hAnsi="Times New Roman" w:cs="Times New Roman" w:eastAsia="Times New Roman" w:hint="default"/>
          <w:spacing w:val="-1"/>
        </w:rPr>
        <w:t>10,080,000.00</w:t>
      </w:r>
      <w:r>
        <w:rPr>
          <w:spacing w:val="-1"/>
        </w:rPr>
        <w:t>元</w:t>
      </w:r>
      <w:r>
        <w:rPr>
          <w:rFonts w:ascii="Times New Roman" w:hAnsi="Times New Roman" w:cs="Times New Roman" w:eastAsia="Times New Roman" w:hint="default"/>
          <w:spacing w:val="-1"/>
        </w:rPr>
        <w:t>,</w:t>
      </w:r>
      <w:r>
        <w:rPr>
          <w:spacing w:val="-1"/>
        </w:rPr>
        <w:t>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3"/>
        </w:rPr>
        <w:t> </w:t>
      </w:r>
      <w:r>
        <w:rPr>
          <w:spacing w:val="5"/>
        </w:rPr>
        <w:t>日逾期，逾期利率</w:t>
      </w:r>
      <w:r>
        <w:rPr>
          <w:rFonts w:ascii="Times New Roman" w:hAnsi="Times New Roman" w:cs="Times New Roman" w:eastAsia="Times New Roman" w:hint="default"/>
          <w:spacing w:val="5"/>
        </w:rPr>
        <w:t>7.83%</w:t>
      </w:r>
      <w:r>
        <w:rPr>
          <w:spacing w:val="5"/>
        </w:rPr>
        <w:t>，截止</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日未偿还金额为</w:t>
      </w:r>
      <w:r>
        <w:rPr>
          <w:rFonts w:ascii="Times New Roman" w:hAnsi="Times New Roman" w:cs="Times New Roman" w:eastAsia="Times New Roman" w:hint="default"/>
          <w:spacing w:val="5"/>
        </w:rPr>
        <w:t>13,000,000.00</w:t>
      </w:r>
      <w:r>
        <w:rPr>
          <w:spacing w:val="5"/>
        </w:rPr>
        <w:t>元；</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15</w:t>
      </w:r>
      <w:r>
        <w:rPr>
          <w:spacing w:val="5"/>
        </w:rPr>
        <w:t>日以账面价值为</w:t>
      </w:r>
      <w:r>
        <w:rPr>
          <w:spacing w:val="19"/>
        </w:rPr>
        <w:t> </w:t>
      </w:r>
      <w:r>
        <w:rPr>
          <w:spacing w:val="19"/>
        </w:rPr>
      </w:r>
      <w:r>
        <w:rPr>
          <w:rFonts w:ascii="Times New Roman" w:hAnsi="Times New Roman" w:cs="Times New Roman" w:eastAsia="Times New Roman" w:hint="default"/>
        </w:rPr>
        <w:t>8,248,864.00</w:t>
      </w:r>
      <w:r>
        <w:rPr/>
        <w:t>的应收账款作为质押借入</w:t>
      </w:r>
      <w:r>
        <w:rPr>
          <w:rFonts w:ascii="Times New Roman" w:hAnsi="Times New Roman" w:cs="Times New Roman" w:eastAsia="Times New Roman" w:hint="default"/>
        </w:rPr>
        <w:t>6,420,000.00</w:t>
      </w:r>
      <w:r>
        <w:rPr/>
        <w:t>元，期限半年，利率</w:t>
      </w:r>
      <w:r>
        <w:rPr>
          <w:rFonts w:ascii="Times New Roman" w:hAnsi="Times New Roman" w:cs="Times New Roman" w:eastAsia="Times New Roman" w:hint="default"/>
        </w:rPr>
        <w:t>5.22%</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号偿还借款</w:t>
      </w:r>
    </w:p>
    <w:p>
      <w:pPr>
        <w:pStyle w:val="BodyText"/>
        <w:spacing w:line="328" w:lineRule="auto" w:before="17"/>
        <w:ind w:right="1128"/>
        <w:jc w:val="both"/>
      </w:pPr>
      <w:r>
        <w:rPr>
          <w:rFonts w:ascii="Times New Roman" w:hAnsi="Times New Roman" w:cs="Times New Roman" w:eastAsia="Times New Roman" w:hint="default"/>
          <w:spacing w:val="-3"/>
        </w:rPr>
        <w:t>20,000.00</w:t>
      </w:r>
      <w:r>
        <w:rPr>
          <w:spacing w:val="-3"/>
        </w:rPr>
        <w:t>元，在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14</w:t>
      </w:r>
      <w:r>
        <w:rPr>
          <w:spacing w:val="-3"/>
        </w:rPr>
        <w:t>号逾期，逾期利率</w:t>
      </w:r>
      <w:r>
        <w:rPr>
          <w:rFonts w:ascii="Times New Roman" w:hAnsi="Times New Roman" w:cs="Times New Roman" w:eastAsia="Times New Roman" w:hint="default"/>
          <w:spacing w:val="-3"/>
        </w:rPr>
        <w:t>7.83%</w:t>
      </w:r>
      <w:r>
        <w:rPr>
          <w:spacing w:val="-3"/>
        </w:rPr>
        <w:t>，截止</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日还有</w:t>
      </w:r>
      <w:r>
        <w:rPr>
          <w:rFonts w:ascii="Times New Roman" w:hAnsi="Times New Roman" w:cs="Times New Roman" w:eastAsia="Times New Roman" w:hint="default"/>
          <w:spacing w:val="-3"/>
        </w:rPr>
        <w:t>6,400,000.00</w:t>
      </w:r>
      <w:r>
        <w:rPr>
          <w:spacing w:val="-3"/>
        </w:rPr>
        <w:t>元未偿还；</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45"/>
        </w:rPr>
        <w:t> </w:t>
      </w:r>
      <w:r>
        <w:rPr>
          <w:spacing w:val="-2"/>
        </w:rPr>
        <w:t>月</w:t>
      </w:r>
      <w:r>
        <w:rPr>
          <w:rFonts w:ascii="Times New Roman" w:hAnsi="Times New Roman" w:cs="Times New Roman" w:eastAsia="Times New Roman" w:hint="default"/>
          <w:spacing w:val="-2"/>
        </w:rPr>
        <w:t>28</w:t>
      </w:r>
      <w:r>
        <w:rPr>
          <w:spacing w:val="-2"/>
        </w:rPr>
        <w:t>号以账面价值</w:t>
      </w:r>
      <w:r>
        <w:rPr>
          <w:rFonts w:ascii="Times New Roman" w:hAnsi="Times New Roman" w:cs="Times New Roman" w:eastAsia="Times New Roman" w:hint="default"/>
          <w:spacing w:val="-2"/>
        </w:rPr>
        <w:t>37,515,042.00</w:t>
      </w:r>
      <w:r>
        <w:rPr>
          <w:spacing w:val="-2"/>
        </w:rPr>
        <w:t>元的应收账款为质押借入</w:t>
      </w:r>
      <w:r>
        <w:rPr>
          <w:rFonts w:ascii="Times New Roman" w:hAnsi="Times New Roman" w:cs="Times New Roman" w:eastAsia="Times New Roman" w:hint="default"/>
          <w:spacing w:val="-2"/>
        </w:rPr>
        <w:t>30,000,000.00</w:t>
      </w:r>
      <w:r>
        <w:rPr>
          <w:spacing w:val="-2"/>
        </w:rPr>
        <w:t>元，期限半年，利率</w:t>
      </w:r>
      <w:r>
        <w:rPr>
          <w:rFonts w:ascii="Times New Roman" w:hAnsi="Times New Roman" w:cs="Times New Roman" w:eastAsia="Times New Roman" w:hint="default"/>
          <w:spacing w:val="-2"/>
        </w:rPr>
        <w:t>5.22%</w:t>
      </w:r>
      <w:r>
        <w:rPr>
          <w:spacing w:val="-2"/>
        </w:rPr>
        <w:t>，在</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日逾期，逾期利率</w:t>
      </w:r>
      <w:r>
        <w:rPr>
          <w:rFonts w:ascii="Times New Roman" w:hAnsi="Times New Roman" w:cs="Times New Roman" w:eastAsia="Times New Roman" w:hint="default"/>
        </w:rPr>
        <w:t>7.83%</w:t>
      </w:r>
      <w:r>
        <w:rPr/>
        <w:t>，截止</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日还未偿还。</w:t>
      </w:r>
    </w:p>
    <w:p>
      <w:pPr>
        <w:pStyle w:val="BodyText"/>
        <w:spacing w:line="240" w:lineRule="auto" w:before="24"/>
        <w:ind w:left="57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日，上述借款余额为</w:t>
      </w:r>
      <w:r>
        <w:rPr>
          <w:rFonts w:ascii="Times New Roman" w:hAnsi="Times New Roman" w:cs="Times New Roman" w:eastAsia="Times New Roman" w:hint="default"/>
        </w:rPr>
        <w:t>49,400,000.00</w:t>
      </w:r>
      <w:r>
        <w:rPr/>
        <w:t>元。</w:t>
      </w:r>
    </w:p>
    <w:p>
      <w:pPr>
        <w:pStyle w:val="BodyText"/>
        <w:spacing w:line="350" w:lineRule="auto" w:before="107"/>
        <w:ind w:left="573" w:right="1133"/>
        <w:jc w:val="left"/>
      </w:pPr>
      <w:r>
        <w:rPr/>
        <w:t>⑦平安银行股份有限公司广州流花支行</w:t>
      </w:r>
      <w:r>
        <w:rPr>
          <w:spacing w:val="-21"/>
        </w:rPr>
        <w:t> </w:t>
      </w:r>
      <w:r>
        <w:rPr>
          <w:spacing w:val="-3"/>
        </w:rPr>
        <w:t>质押</w:t>
      </w:r>
      <w:r>
        <w:rPr>
          <w:spacing w:val="-3"/>
          <w:w w:val="100"/>
        </w:rPr>
        <w:t> </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24</w:t>
      </w:r>
      <w:r>
        <w:rPr>
          <w:spacing w:val="-3"/>
        </w:rPr>
        <w:t>日与平安银行广州流花支行签订了</w:t>
      </w:r>
      <w:r>
        <w:rPr>
          <w:rFonts w:ascii="Times New Roman" w:hAnsi="Times New Roman" w:cs="Times New Roman" w:eastAsia="Times New Roman" w:hint="default"/>
          <w:spacing w:val="-3"/>
        </w:rPr>
        <w:t>10,000,000.00</w:t>
      </w:r>
      <w:r>
        <w:rPr>
          <w:spacing w:val="-3"/>
        </w:rPr>
        <w:t>美元额度的离岸贷款合同，以江西</w:t>
      </w:r>
    </w:p>
    <w:p>
      <w:pPr>
        <w:pStyle w:val="BodyText"/>
        <w:spacing w:line="338" w:lineRule="auto" w:before="3"/>
        <w:ind w:right="1133"/>
        <w:jc w:val="both"/>
      </w:pPr>
      <w:r>
        <w:rPr>
          <w:spacing w:val="2"/>
        </w:rPr>
        <w:t>银行广州分行开立的由蓝盾信息安全技术股份有限公司、柯宗庆、柯宗贵、柯宗耀提供担保，以保证金</w:t>
      </w:r>
      <w:r>
        <w:rPr>
          <w:spacing w:val="-30"/>
        </w:rPr>
        <w:t> </w:t>
      </w:r>
      <w:r>
        <w:rPr>
          <w:spacing w:val="-30"/>
        </w:rPr>
      </w:r>
      <w:r>
        <w:rPr>
          <w:rFonts w:ascii="Times New Roman" w:hAnsi="Times New Roman" w:cs="Times New Roman" w:eastAsia="Times New Roman" w:hint="default"/>
          <w:spacing w:val="-1"/>
        </w:rPr>
        <w:t>19,290,000.00</w:t>
      </w:r>
      <w:r>
        <w:rPr>
          <w:spacing w:val="-1"/>
        </w:rPr>
        <w:t>元为质押的融资性保函</w:t>
      </w:r>
      <w:r>
        <w:rPr>
          <w:rFonts w:ascii="Times New Roman" w:hAnsi="Times New Roman" w:cs="Times New Roman" w:eastAsia="Times New Roman" w:hint="default"/>
          <w:spacing w:val="-1"/>
        </w:rPr>
        <w:t>/</w:t>
      </w:r>
      <w:r>
        <w:rPr>
          <w:spacing w:val="-1"/>
        </w:rPr>
        <w:t>备用信用证为担保。</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21</w:t>
      </w:r>
      <w:r>
        <w:rPr>
          <w:spacing w:val="-1"/>
        </w:rPr>
        <w:t>日公司向平安银行借入</w:t>
      </w:r>
      <w:r>
        <w:rPr>
          <w:rFonts w:ascii="Times New Roman" w:hAnsi="Times New Roman" w:cs="Times New Roman" w:eastAsia="Times New Roman" w:hint="default"/>
          <w:spacing w:val="-1"/>
        </w:rPr>
        <w:t>9,500,000.00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美元折合人民币</w:t>
      </w:r>
      <w:r>
        <w:rPr>
          <w:rFonts w:ascii="Times New Roman" w:hAnsi="Times New Roman" w:cs="Times New Roman" w:eastAsia="Times New Roman" w:hint="default"/>
        </w:rPr>
        <w:t>62,198,400.00</w:t>
      </w:r>
      <w:r>
        <w:rPr/>
        <w:t>元，贷款利率</w:t>
      </w:r>
      <w:r>
        <w:rPr>
          <w:rFonts w:ascii="Times New Roman" w:hAnsi="Times New Roman" w:cs="Times New Roman" w:eastAsia="Times New Roman" w:hint="default"/>
        </w:rPr>
        <w:t>3.65%</w:t>
      </w:r>
      <w:r>
        <w:rPr/>
        <w:t>，期限为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日到</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w:t>
      </w:r>
    </w:p>
    <w:p>
      <w:pPr>
        <w:pStyle w:val="BodyText"/>
        <w:spacing w:line="348" w:lineRule="auto" w:before="14"/>
        <w:ind w:left="573" w:right="1133"/>
        <w:jc w:val="left"/>
      </w:pPr>
      <w:r>
        <w:rPr/>
        <w:t>⑧科学城（广州）融资租赁有限公司</w:t>
      </w:r>
      <w:r>
        <w:rPr>
          <w:w w:val="100"/>
        </w:rPr>
        <w:t> </w:t>
      </w:r>
      <w:r>
        <w:rPr>
          <w:spacing w:val="-1"/>
        </w:rPr>
        <w:t>公司以固定资产账面价值为</w:t>
      </w:r>
      <w:r>
        <w:rPr>
          <w:rFonts w:ascii="Times New Roman" w:hAnsi="Times New Roman" w:cs="Times New Roman" w:eastAsia="Times New Roman" w:hint="default"/>
          <w:spacing w:val="-1"/>
        </w:rPr>
        <w:t>20,698,762.27</w:t>
      </w:r>
      <w:r>
        <w:rPr>
          <w:spacing w:val="-1"/>
        </w:rPr>
        <w:t>元的电子设备对公司与科学城（广州）融资租赁有限公司签</w:t>
      </w:r>
    </w:p>
    <w:p>
      <w:pPr>
        <w:pStyle w:val="BodyText"/>
        <w:spacing w:line="331" w:lineRule="auto" w:before="5"/>
        <w:ind w:right="1128"/>
        <w:jc w:val="both"/>
      </w:pPr>
      <w:r>
        <w:rPr>
          <w:spacing w:val="-1"/>
        </w:rPr>
        <w:t>订的编号为</w:t>
      </w:r>
      <w:r>
        <w:rPr>
          <w:rFonts w:ascii="Times New Roman" w:hAnsi="Times New Roman" w:cs="Times New Roman" w:eastAsia="Times New Roman" w:hint="default"/>
          <w:spacing w:val="-1"/>
        </w:rPr>
        <w:t>KXCHZ2019031</w:t>
      </w:r>
      <w:r>
        <w:rPr>
          <w:spacing w:val="-1"/>
        </w:rPr>
        <w:t>的融资租赁合同提供最高额抵押担保，最高抵押担保额为</w:t>
      </w:r>
      <w:r>
        <w:rPr>
          <w:rFonts w:ascii="Times New Roman" w:hAnsi="Times New Roman" w:cs="Times New Roman" w:eastAsia="Times New Roman" w:hint="default"/>
          <w:spacing w:val="-1"/>
        </w:rPr>
        <w:t>28,221,087.00</w:t>
      </w:r>
      <w:r>
        <w:rPr>
          <w:spacing w:val="-1"/>
        </w:rPr>
        <w:t>元，抵</w:t>
      </w:r>
      <w:r>
        <w:rPr>
          <w:spacing w:val="-9"/>
        </w:rPr>
        <w:t> </w:t>
      </w:r>
      <w:r>
        <w:rPr/>
        <w:t>押合同编号为</w:t>
      </w:r>
      <w:r>
        <w:rPr>
          <w:rFonts w:ascii="Times New Roman" w:hAnsi="Times New Roman" w:cs="Times New Roman" w:eastAsia="Times New Roman" w:hint="default"/>
        </w:rPr>
        <w:t>KXCHZ2019031-03</w:t>
      </w:r>
      <w:r>
        <w:rPr/>
        <w:t>。</w:t>
      </w:r>
    </w:p>
    <w:p>
      <w:pPr>
        <w:pStyle w:val="BodyText"/>
        <w:spacing w:line="331" w:lineRule="auto" w:before="19"/>
        <w:ind w:right="1128" w:firstLine="420"/>
        <w:jc w:val="both"/>
      </w:pPr>
      <w:r>
        <w:rPr>
          <w:spacing w:val="-1"/>
        </w:rPr>
        <w:t>公司以固定资产评估价值为</w:t>
      </w:r>
      <w:r>
        <w:rPr>
          <w:rFonts w:ascii="Times New Roman" w:hAnsi="Times New Roman" w:cs="Times New Roman" w:eastAsia="Times New Roman" w:hint="default"/>
          <w:spacing w:val="-1"/>
        </w:rPr>
        <w:t>65,598,467.00</w:t>
      </w:r>
      <w:r>
        <w:rPr>
          <w:spacing w:val="-1"/>
        </w:rPr>
        <w:t>元的电子设备对公司与科学城（广州）融资租赁有限公司签</w:t>
      </w:r>
      <w:r>
        <w:rPr>
          <w:w w:val="100"/>
        </w:rPr>
        <w:t> </w:t>
      </w:r>
      <w:r>
        <w:rPr>
          <w:spacing w:val="-1"/>
        </w:rPr>
        <w:t>订的编号为</w:t>
      </w:r>
      <w:r>
        <w:rPr>
          <w:rFonts w:ascii="Times New Roman" w:hAnsi="Times New Roman" w:cs="Times New Roman" w:eastAsia="Times New Roman" w:hint="default"/>
          <w:spacing w:val="-1"/>
        </w:rPr>
        <w:t>KXCHZ2019024</w:t>
      </w:r>
      <w:r>
        <w:rPr>
          <w:spacing w:val="-1"/>
        </w:rPr>
        <w:t>的融资租赁合同提供最高额抵押担保，最高抵押担保额为</w:t>
      </w:r>
      <w:r>
        <w:rPr>
          <w:rFonts w:ascii="Times New Roman" w:hAnsi="Times New Roman" w:cs="Times New Roman" w:eastAsia="Times New Roman" w:hint="default"/>
          <w:spacing w:val="-1"/>
        </w:rPr>
        <w:t>65,598,467.00</w:t>
      </w:r>
      <w:r>
        <w:rPr>
          <w:spacing w:val="-1"/>
        </w:rPr>
        <w:t>元，抵</w:t>
      </w:r>
      <w:r>
        <w:rPr>
          <w:spacing w:val="-9"/>
        </w:rPr>
        <w:t> </w:t>
      </w:r>
      <w:r>
        <w:rPr/>
        <w:t>押合同编号为</w:t>
      </w:r>
      <w:r>
        <w:rPr>
          <w:rFonts w:ascii="Times New Roman" w:hAnsi="Times New Roman" w:cs="Times New Roman" w:eastAsia="Times New Roman" w:hint="default"/>
        </w:rPr>
        <w:t>KXCHZ2019024-03</w:t>
      </w:r>
      <w:r>
        <w:rPr/>
        <w:t>。</w:t>
      </w:r>
    </w:p>
    <w:p>
      <w:pPr>
        <w:pStyle w:val="BodyText"/>
        <w:spacing w:line="331" w:lineRule="auto" w:before="19"/>
        <w:ind w:left="573" w:right="1133"/>
        <w:jc w:val="left"/>
      </w:pPr>
      <w:r>
        <w:rPr/>
        <w:t>除存在上述承诺事项外，截止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日，公司无其他应披露未披露的重要承诺事项。</w:t>
      </w:r>
      <w:r>
        <w:rPr>
          <w:w w:val="100"/>
        </w:rPr>
        <w:t> </w:t>
      </w:r>
      <w:r>
        <w:rPr>
          <w:spacing w:val="-2"/>
        </w:rPr>
        <w:t>注：与合营企业投资相关的未确认承诺索引至</w:t>
      </w:r>
      <w:r>
        <w:rPr>
          <w:rFonts w:ascii="Times New Roman" w:hAnsi="Times New Roman" w:cs="Times New Roman" w:eastAsia="Times New Roman" w:hint="default"/>
          <w:spacing w:val="-2"/>
        </w:rPr>
        <w:t>“</w:t>
      </w:r>
      <w:r>
        <w:rPr>
          <w:spacing w:val="-2"/>
        </w:rPr>
        <w:t>附注九、在其他主体中的权益</w:t>
      </w:r>
      <w:r>
        <w:rPr>
          <w:rFonts w:ascii="Times New Roman" w:hAnsi="Times New Roman" w:cs="Times New Roman" w:eastAsia="Times New Roman" w:hint="default"/>
          <w:spacing w:val="-2"/>
        </w:rPr>
        <w:t>”</w:t>
      </w:r>
      <w:r>
        <w:rPr>
          <w:spacing w:val="-2"/>
        </w:rPr>
        <w:t>部分相应内容。</w:t>
      </w:r>
    </w:p>
    <w:p>
      <w:pPr>
        <w:spacing w:line="240" w:lineRule="auto" w:before="13"/>
        <w:rPr>
          <w:rFonts w:ascii="宋体" w:hAnsi="宋体" w:cs="宋体" w:eastAsia="宋体" w:hint="default"/>
          <w:sz w:val="17"/>
          <w:szCs w:val="17"/>
        </w:rPr>
      </w:pPr>
    </w:p>
    <w:p>
      <w:pPr>
        <w:pStyle w:val="Heading3"/>
        <w:spacing w:line="240" w:lineRule="auto"/>
        <w:ind w:right="0"/>
        <w:jc w:val="both"/>
        <w:rPr>
          <w:b w:val="0"/>
          <w:bCs w:val="0"/>
        </w:rPr>
      </w:pPr>
      <w:bookmarkStart w:name="2、或有事项" w:id="424"/>
      <w:bookmarkEnd w:id="42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506" w:lineRule="auto"/>
        <w:ind w:right="4917"/>
        <w:jc w:val="left"/>
        <w:rPr>
          <w:b w:val="0"/>
          <w:bCs w:val="0"/>
        </w:rPr>
      </w:pPr>
      <w:r>
        <w:rPr/>
        <w:pict>
          <v:shape style="position:absolute;margin-left:56.279999pt;margin-top:46.943695pt;width:427.55pt;height:35.4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8"/>
                    <w:gridCol w:w="1022"/>
                    <w:gridCol w:w="6498"/>
                  </w:tblGrid>
                  <w:tr>
                    <w:trPr>
                      <w:trHeight w:val="34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涉诉法院</w:t>
                        </w:r>
                        <w:r>
                          <w:rPr>
                            <w:rFonts w:ascii="宋体" w:hAnsi="宋体" w:cs="宋体" w:eastAsia="宋体" w:hint="default"/>
                            <w:sz w:val="18"/>
                            <w:szCs w:val="18"/>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涉诉主体</w:t>
                        </w:r>
                        <w:r>
                          <w:rPr>
                            <w:rFonts w:ascii="宋体" w:hAnsi="宋体" w:cs="宋体" w:eastAsia="宋体" w:hint="default"/>
                            <w:sz w:val="18"/>
                            <w:szCs w:val="18"/>
                          </w:rPr>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案情介绍</w:t>
                        </w:r>
                        <w:r>
                          <w:rPr>
                            <w:rFonts w:ascii="宋体" w:hAnsi="宋体" w:cs="宋体" w:eastAsia="宋体" w:hint="default"/>
                            <w:sz w:val="18"/>
                            <w:szCs w:val="18"/>
                          </w:rPr>
                        </w:r>
                      </w:p>
                    </w:tc>
                  </w:tr>
                  <w:tr>
                    <w:trPr>
                      <w:trHeight w:val="34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天河区</w:t>
                        </w:r>
                        <w:r>
                          <w:rPr>
                            <w:rFonts w:ascii="宋体" w:hAnsi="宋体" w:cs="宋体" w:eastAsia="宋体" w:hint="default"/>
                            <w:sz w:val="18"/>
                            <w:szCs w:val="18"/>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中经电商</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月，中经电商与长沙银行广州分行签订《长沙银行人民币综合授信额度</w:t>
                        </w:r>
                      </w:p>
                    </w:tc>
                  </w:tr>
                </w:tbl>
                <w:p>
                  <w:pPr/>
                </w:p>
              </w:txbxContent>
            </v:textbox>
            <w10:wrap type="none"/>
          </v:shape>
        </w:pict>
      </w:r>
      <w:bookmarkStart w:name="（1）资产负债表日存在的重要或有事项" w:id="425"/>
      <w:bookmarkEnd w:id="425"/>
      <w:r>
        <w:rPr>
          <w:b w:val="0"/>
          <w:bCs w:val="0"/>
        </w:rPr>
      </w:r>
      <w:r>
        <w:rPr/>
        <w:t>（</w:t>
      </w:r>
      <w:r>
        <w:rPr>
          <w:rFonts w:ascii="Times New Roman" w:hAnsi="Times New Roman" w:cs="Times New Roman" w:eastAsia="Times New Roman" w:hint="default"/>
        </w:rPr>
        <w:t>1</w:t>
      </w:r>
      <w:r>
        <w:rPr/>
        <w:t>）资产负债表日存在的重要或有事项</w:t>
      </w:r>
      <w:r>
        <w:rPr>
          <w:w w:val="100"/>
        </w:rPr>
        <w:t> </w:t>
      </w:r>
      <w:r>
        <w:rPr>
          <w:spacing w:val="-1"/>
        </w:rPr>
        <w:t>未决诉讼或仲裁形成的或有事项及其财务影响：</w:t>
      </w:r>
      <w:r>
        <w:rPr>
          <w:b w:val="0"/>
          <w:bCs w:val="0"/>
          <w:spacing w:val="-1"/>
        </w:rPr>
      </w:r>
    </w:p>
    <w:p>
      <w:pPr>
        <w:spacing w:after="0" w:line="506" w:lineRule="auto"/>
        <w:jc w:val="left"/>
        <w:sectPr>
          <w:pgSz w:w="11910" w:h="16840"/>
          <w:pgMar w:header="0" w:footer="980" w:top="1100" w:bottom="1160" w:left="980" w:right="0"/>
        </w:sectPr>
      </w:pPr>
    </w:p>
    <w:p>
      <w:pPr>
        <w:spacing w:line="240" w:lineRule="auto" w:before="0"/>
        <w:rPr>
          <w:rFonts w:ascii="宋体" w:hAnsi="宋体" w:cs="宋体" w:eastAsia="宋体" w:hint="default"/>
          <w:b/>
          <w:bCs/>
          <w:sz w:val="20"/>
          <w:szCs w:val="20"/>
        </w:rPr>
      </w:pPr>
      <w:r>
        <w:rPr/>
        <w:pict>
          <v:shape style="position:absolute;margin-left:56.279999pt;margin-top:71.999985pt;width:427.55pt;height:682.2pt;mso-position-horizontal-relative:page;mso-position-vertical-relative:page;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8"/>
                    <w:gridCol w:w="1022"/>
                    <w:gridCol w:w="6498"/>
                  </w:tblGrid>
                  <w:tr>
                    <w:trPr>
                      <w:trHeight w:val="2532"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17"/>
                          <w:ind w:left="317" w:right="0"/>
                          <w:jc w:val="left"/>
                          <w:rPr>
                            <w:rFonts w:ascii="宋体" w:hAnsi="宋体" w:cs="宋体" w:eastAsia="宋体" w:hint="default"/>
                            <w:sz w:val="18"/>
                            <w:szCs w:val="18"/>
                          </w:rPr>
                        </w:pPr>
                        <w:r>
                          <w:rPr>
                            <w:rFonts w:ascii="宋体" w:hAnsi="宋体" w:cs="宋体" w:eastAsia="宋体" w:hint="default"/>
                            <w:b/>
                            <w:bCs/>
                            <w:sz w:val="18"/>
                            <w:szCs w:val="18"/>
                          </w:rPr>
                          <w:t>法院</w:t>
                        </w:r>
                        <w:r>
                          <w:rPr>
                            <w:rFonts w:ascii="宋体" w:hAnsi="宋体" w:cs="宋体" w:eastAsia="宋体" w:hint="default"/>
                            <w:sz w:val="18"/>
                            <w:szCs w:val="18"/>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35" w:right="230"/>
                          <w:jc w:val="left"/>
                          <w:rPr>
                            <w:rFonts w:ascii="宋体" w:hAnsi="宋体" w:cs="宋体" w:eastAsia="宋体" w:hint="default"/>
                            <w:sz w:val="18"/>
                            <w:szCs w:val="18"/>
                          </w:rPr>
                        </w:pPr>
                        <w:r>
                          <w:rPr>
                            <w:rFonts w:ascii="宋体" w:hAnsi="宋体" w:cs="宋体" w:eastAsia="宋体" w:hint="default"/>
                            <w:sz w:val="18"/>
                            <w:szCs w:val="18"/>
                          </w:rPr>
                          <w:t>柯宗庆 柯宗贵</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1"/>
                          <w:jc w:val="both"/>
                          <w:rPr>
                            <w:rFonts w:ascii="宋体" w:hAnsi="宋体" w:cs="宋体" w:eastAsia="宋体" w:hint="default"/>
                            <w:sz w:val="18"/>
                            <w:szCs w:val="18"/>
                          </w:rPr>
                        </w:pPr>
                        <w:r>
                          <w:rPr>
                            <w:rFonts w:ascii="宋体" w:hAnsi="宋体" w:cs="宋体" w:eastAsia="宋体" w:hint="default"/>
                            <w:sz w:val="18"/>
                            <w:szCs w:val="18"/>
                          </w:rPr>
                          <w:t>合同》，长沙银行广州分行向中经电商提供最高额为</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万元的银行额度贷款，</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由发行人及其实际控制人柯宗庆、柯宗贵为中经电商上述额度项下借款提供最高额</w:t>
                        </w:r>
                        <w:r>
                          <w:rPr>
                            <w:rFonts w:ascii="宋体" w:hAnsi="宋体" w:cs="宋体" w:eastAsia="宋体" w:hint="default"/>
                            <w:sz w:val="18"/>
                            <w:szCs w:val="18"/>
                          </w:rPr>
                          <w:t> 无限连带责任保证担保。</w:t>
                        </w:r>
                      </w:p>
                      <w:p>
                        <w:pPr>
                          <w:pStyle w:val="TableParagraph"/>
                          <w:spacing w:line="307" w:lineRule="auto" w:before="24"/>
                          <w:ind w:left="4" w:right="-2"/>
                          <w:jc w:val="both"/>
                          <w:rPr>
                            <w:rFonts w:ascii="宋体" w:hAnsi="宋体" w:cs="宋体" w:eastAsia="宋体" w:hint="default"/>
                            <w:sz w:val="18"/>
                            <w:szCs w:val="18"/>
                          </w:rPr>
                        </w:pPr>
                        <w:r>
                          <w:rPr>
                            <w:rFonts w:ascii="宋体" w:hAnsi="宋体" w:cs="宋体" w:eastAsia="宋体" w:hint="default"/>
                            <w:spacing w:val="-2"/>
                            <w:sz w:val="18"/>
                            <w:szCs w:val="18"/>
                          </w:rPr>
                          <w:t>②</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月，因中经电商未能按期偿还长沙银行广州流花支行</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万元本金及相</w:t>
                        </w:r>
                        <w:r>
                          <w:rPr>
                            <w:rFonts w:ascii="宋体" w:hAnsi="宋体" w:cs="宋体" w:eastAsia="宋体" w:hint="default"/>
                            <w:spacing w:val="-57"/>
                            <w:sz w:val="18"/>
                            <w:szCs w:val="18"/>
                          </w:rPr>
                          <w:t> </w:t>
                        </w:r>
                        <w:r>
                          <w:rPr>
                            <w:rFonts w:ascii="宋体" w:hAnsi="宋体" w:cs="宋体" w:eastAsia="宋体" w:hint="default"/>
                            <w:sz w:val="18"/>
                            <w:szCs w:val="18"/>
                          </w:rPr>
                          <w:t>应利息，长沙银行广州分行向天河区法院提起诉讼，要求中经电商偿还长沙银行广</w:t>
                        </w:r>
                        <w:r>
                          <w:rPr>
                            <w:rFonts w:ascii="宋体" w:hAnsi="宋体" w:cs="宋体" w:eastAsia="宋体" w:hint="default"/>
                            <w:sz w:val="18"/>
                            <w:szCs w:val="18"/>
                          </w:rPr>
                          <w:t> </w:t>
                        </w:r>
                        <w:r>
                          <w:rPr>
                            <w:rFonts w:ascii="宋体" w:hAnsi="宋体" w:cs="宋体" w:eastAsia="宋体" w:hint="default"/>
                            <w:spacing w:val="-2"/>
                            <w:sz w:val="18"/>
                            <w:szCs w:val="18"/>
                          </w:rPr>
                          <w:t>州分行借款本金</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万元及其相应利息</w:t>
                        </w:r>
                        <w:r>
                          <w:rPr>
                            <w:rFonts w:ascii="Times New Roman" w:hAnsi="Times New Roman" w:cs="Times New Roman" w:eastAsia="Times New Roman" w:hint="default"/>
                            <w:spacing w:val="-2"/>
                            <w:sz w:val="18"/>
                            <w:szCs w:val="18"/>
                          </w:rPr>
                          <w:t>86,395.83</w:t>
                        </w:r>
                        <w:r>
                          <w:rPr>
                            <w:rFonts w:ascii="宋体" w:hAnsi="宋体" w:cs="宋体" w:eastAsia="宋体" w:hint="default"/>
                            <w:spacing w:val="-2"/>
                            <w:sz w:val="18"/>
                            <w:szCs w:val="18"/>
                          </w:rPr>
                          <w:t>元，并要求发行人及其实际控制人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柯宗庆、柯宗贵为中经电商上述债务承担连带清偿责任。</w:t>
                        </w:r>
                      </w:p>
                      <w:p>
                        <w:pPr>
                          <w:pStyle w:val="TableParagraph"/>
                          <w:spacing w:line="240" w:lineRule="auto" w:before="26"/>
                          <w:ind w:left="4" w:right="0"/>
                          <w:jc w:val="both"/>
                          <w:rPr>
                            <w:rFonts w:ascii="宋体" w:hAnsi="宋体" w:cs="宋体" w:eastAsia="宋体" w:hint="default"/>
                            <w:sz w:val="18"/>
                            <w:szCs w:val="18"/>
                          </w:rPr>
                        </w:pPr>
                        <w:r>
                          <w:rPr>
                            <w:rFonts w:ascii="宋体" w:hAnsi="宋体" w:cs="宋体" w:eastAsia="宋体" w:hint="default"/>
                            <w:sz w:val="18"/>
                            <w:szCs w:val="18"/>
                          </w:rPr>
                          <w:t>③根据天河区法院下发的传票，该案拟定于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日开庭审理。</w:t>
                        </w:r>
                      </w:p>
                    </w:tc>
                  </w:tr>
                  <w:tr>
                    <w:trPr>
                      <w:trHeight w:val="1906" w:hRule="exact"/>
                    </w:trPr>
                    <w:tc>
                      <w:tcPr>
                        <w:tcW w:w="1008" w:type="dxa"/>
                        <w:vMerge/>
                        <w:tcBorders>
                          <w:left w:val="single" w:sz="6" w:space="0" w:color="000000"/>
                          <w:bottom w:val="single" w:sz="6" w:space="0" w:color="000000"/>
                          <w:right w:val="single" w:sz="6" w:space="0" w:color="000000"/>
                        </w:tcBorders>
                      </w:tcPr>
                      <w:p>
                        <w:pPr/>
                      </w:p>
                    </w:tc>
                    <w:tc>
                      <w:tcPr>
                        <w:tcW w:w="7521"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因该项诉讼事宜，发行人及其实际控制人柯宗庆、柯宗贵作为担保方亦被长沙银行广州分行列为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被告提起诉讼，因长沙银行广州分行申请诉前财产保全，发行人位于广州市萝岗区瑞和路以西 瑞源路以北、土地使用权证为</w:t>
                        </w:r>
                        <w:r>
                          <w:rPr>
                            <w:rFonts w:ascii="Times New Roman" w:hAnsi="Times New Roman" w:cs="Times New Roman" w:eastAsia="Times New Roman" w:hint="default"/>
                            <w:sz w:val="18"/>
                            <w:szCs w:val="18"/>
                          </w:rPr>
                          <w:t>“</w:t>
                        </w:r>
                        <w:r>
                          <w:rPr>
                            <w:rFonts w:ascii="宋体" w:hAnsi="宋体" w:cs="宋体" w:eastAsia="宋体" w:hint="default"/>
                            <w:sz w:val="18"/>
                            <w:szCs w:val="18"/>
                          </w:rPr>
                          <w:t>穗符国用（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050001113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的一宗国有土地使用权被天河</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区法院第一次轮候查封，柯宗庆所持发行人</w:t>
                        </w:r>
                        <w:r>
                          <w:rPr>
                            <w:rFonts w:ascii="Times New Roman" w:hAnsi="Times New Roman" w:cs="Times New Roman" w:eastAsia="Times New Roman" w:hint="default"/>
                            <w:sz w:val="18"/>
                            <w:szCs w:val="18"/>
                          </w:rPr>
                          <w:t>456,911</w:t>
                        </w:r>
                        <w:r>
                          <w:rPr>
                            <w:rFonts w:ascii="宋体" w:hAnsi="宋体" w:cs="宋体" w:eastAsia="宋体" w:hint="default"/>
                            <w:sz w:val="18"/>
                            <w:szCs w:val="18"/>
                          </w:rPr>
                          <w:t>股股份、柯宗贵所持发行人</w:t>
                        </w:r>
                        <w:r>
                          <w:rPr>
                            <w:rFonts w:ascii="Times New Roman" w:hAnsi="Times New Roman" w:cs="Times New Roman" w:eastAsia="Times New Roman" w:hint="default"/>
                            <w:sz w:val="18"/>
                            <w:szCs w:val="18"/>
                          </w:rPr>
                          <w:t>1,617,603</w:t>
                        </w:r>
                        <w:r>
                          <w:rPr>
                            <w:rFonts w:ascii="宋体" w:hAnsi="宋体" w:cs="宋体" w:eastAsia="宋体" w:hint="default"/>
                            <w:sz w:val="18"/>
                            <w:szCs w:val="18"/>
                          </w:rPr>
                          <w:t>股股份 </w:t>
                        </w:r>
                        <w:r>
                          <w:rPr>
                            <w:rFonts w:ascii="Times New Roman" w:hAnsi="Times New Roman" w:cs="Times New Roman" w:eastAsia="Times New Roman" w:hint="default"/>
                            <w:spacing w:val="-2"/>
                            <w:sz w:val="18"/>
                            <w:szCs w:val="18"/>
                          </w:rPr>
                          <w:t>7,120,000</w:t>
                        </w:r>
                        <w:r>
                          <w:rPr>
                            <w:rFonts w:ascii="宋体" w:hAnsi="宋体" w:cs="宋体" w:eastAsia="宋体" w:hint="default"/>
                            <w:spacing w:val="-2"/>
                            <w:sz w:val="18"/>
                            <w:szCs w:val="18"/>
                          </w:rPr>
                          <w:t>股股份天河区法院冻结。根据发行人陈述及经柯宗庆、柯宗贵确认，截至本法律意见书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出具之日，其二人尚未收到有关法院寄送的与上述查封、冻结相关之诉讼文书。</w:t>
                        </w:r>
                      </w:p>
                    </w:tc>
                  </w:tr>
                  <w:tr>
                    <w:trPr>
                      <w:trHeight w:val="3156" w:hRule="exact"/>
                    </w:trPr>
                    <w:tc>
                      <w:tcPr>
                        <w:tcW w:w="1008" w:type="dxa"/>
                        <w:vMerge w:val="restart"/>
                        <w:tcBorders>
                          <w:top w:val="single" w:sz="6" w:space="0" w:color="000000"/>
                          <w:left w:val="single" w:sz="6" w:space="0" w:color="000000"/>
                          <w:right w:val="single" w:sz="6" w:space="0" w:color="000000"/>
                        </w:tcBorders>
                      </w:tcPr>
                      <w:p>
                        <w:pPr>
                          <w:pStyle w:val="TableParagraph"/>
                          <w:spacing w:line="316" w:lineRule="auto" w:before="20"/>
                          <w:ind w:left="317" w:right="221" w:hanging="89"/>
                          <w:jc w:val="left"/>
                          <w:rPr>
                            <w:rFonts w:ascii="宋体" w:hAnsi="宋体" w:cs="宋体" w:eastAsia="宋体" w:hint="default"/>
                            <w:sz w:val="18"/>
                            <w:szCs w:val="18"/>
                          </w:rPr>
                        </w:pPr>
                        <w:r>
                          <w:rPr>
                            <w:rFonts w:ascii="宋体" w:hAnsi="宋体" w:cs="宋体" w:eastAsia="宋体" w:hint="default"/>
                            <w:b/>
                            <w:bCs/>
                            <w:sz w:val="18"/>
                            <w:szCs w:val="18"/>
                          </w:rPr>
                          <w:t>越秀区</w:t>
                        </w:r>
                        <w:r>
                          <w:rPr>
                            <w:rFonts w:ascii="宋体" w:hAnsi="宋体" w:cs="宋体" w:eastAsia="宋体" w:hint="default"/>
                            <w:b/>
                            <w:bCs/>
                            <w:w w:val="99"/>
                            <w:sz w:val="18"/>
                            <w:szCs w:val="18"/>
                          </w:rPr>
                          <w:t> </w:t>
                        </w:r>
                        <w:r>
                          <w:rPr>
                            <w:rFonts w:ascii="宋体" w:hAnsi="宋体" w:cs="宋体" w:eastAsia="宋体" w:hint="default"/>
                            <w:b/>
                            <w:bCs/>
                            <w:sz w:val="18"/>
                            <w:szCs w:val="18"/>
                          </w:rPr>
                          <w:t>法院</w:t>
                        </w:r>
                        <w:r>
                          <w:rPr>
                            <w:rFonts w:ascii="宋体" w:hAnsi="宋体" w:cs="宋体" w:eastAsia="宋体" w:hint="default"/>
                            <w:sz w:val="18"/>
                            <w:szCs w:val="18"/>
                          </w:rPr>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46" w:right="139"/>
                          <w:jc w:val="center"/>
                          <w:rPr>
                            <w:rFonts w:ascii="宋体" w:hAnsi="宋体" w:cs="宋体" w:eastAsia="宋体" w:hint="default"/>
                            <w:sz w:val="18"/>
                            <w:szCs w:val="18"/>
                          </w:rPr>
                        </w:pPr>
                        <w:r>
                          <w:rPr>
                            <w:rFonts w:ascii="宋体" w:hAnsi="宋体" w:cs="宋体" w:eastAsia="宋体" w:hint="default"/>
                            <w:sz w:val="18"/>
                            <w:szCs w:val="18"/>
                          </w:rPr>
                          <w:t>蓝盾技术 中经电商 发行人 柯宗庆 柯宗贵</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月，蓝盾技术与浦发银行广州东风支行签订《融资额度协议》，浦发银</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2"/>
                            <w:sz w:val="18"/>
                            <w:szCs w:val="18"/>
                          </w:rPr>
                          <w:t>行广州东风支行向蓝盾技术提供最高额为</w:t>
                        </w:r>
                        <w:r>
                          <w:rPr>
                            <w:rFonts w:ascii="Times New Roman" w:hAnsi="Times New Roman" w:cs="Times New Roman" w:eastAsia="Times New Roman" w:hint="default"/>
                            <w:spacing w:val="-2"/>
                            <w:sz w:val="18"/>
                            <w:szCs w:val="18"/>
                          </w:rPr>
                          <w:t>7,000</w:t>
                        </w:r>
                        <w:r>
                          <w:rPr>
                            <w:rFonts w:ascii="宋体" w:hAnsi="宋体" w:cs="宋体" w:eastAsia="宋体" w:hint="default"/>
                            <w:spacing w:val="-2"/>
                            <w:sz w:val="18"/>
                            <w:szCs w:val="18"/>
                          </w:rPr>
                          <w:t>万元的银行融资额度，由发行人、中</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经电商、柯宗庆、柯宗贵、中经汇通、柯宗耀、柯瑞达为蓝盾技术该额度项下借款</w:t>
                        </w:r>
                        <w:r>
                          <w:rPr>
                            <w:rFonts w:ascii="宋体" w:hAnsi="宋体" w:cs="宋体" w:eastAsia="宋体" w:hint="default"/>
                            <w:sz w:val="18"/>
                            <w:szCs w:val="18"/>
                          </w:rPr>
                          <w:t> 提供连带保证责任担保。</w:t>
                        </w:r>
                      </w:p>
                      <w:p>
                        <w:pPr>
                          <w:pStyle w:val="TableParagraph"/>
                          <w:spacing w:line="309" w:lineRule="auto" w:before="26"/>
                          <w:ind w:left="4" w:right="-7"/>
                          <w:jc w:val="both"/>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月，因蓝盾技术未能按期偿还浦发银行广州东风支行</w:t>
                        </w:r>
                        <w:r>
                          <w:rPr>
                            <w:rFonts w:ascii="Times New Roman" w:hAnsi="Times New Roman" w:cs="Times New Roman" w:eastAsia="Times New Roman" w:hint="default"/>
                            <w:sz w:val="18"/>
                            <w:szCs w:val="18"/>
                          </w:rPr>
                          <w:t>56,990,936.11</w:t>
                        </w:r>
                        <w:r>
                          <w:rPr>
                            <w:rFonts w:ascii="宋体" w:hAnsi="宋体" w:cs="宋体" w:eastAsia="宋体" w:hint="default"/>
                            <w:sz w:val="18"/>
                            <w:szCs w:val="18"/>
                          </w:rPr>
                          <w:t>元本</w:t>
                        </w:r>
                        <w:r>
                          <w:rPr>
                            <w:rFonts w:ascii="宋体" w:hAnsi="宋体" w:cs="宋体" w:eastAsia="宋体" w:hint="default"/>
                            <w:spacing w:val="-56"/>
                            <w:sz w:val="18"/>
                            <w:szCs w:val="18"/>
                          </w:rPr>
                          <w:t> </w:t>
                        </w:r>
                        <w:r>
                          <w:rPr>
                            <w:rFonts w:ascii="宋体" w:hAnsi="宋体" w:cs="宋体" w:eastAsia="宋体" w:hint="default"/>
                            <w:sz w:val="18"/>
                            <w:szCs w:val="18"/>
                          </w:rPr>
                          <w:t>金及相应利息，浦发银行广州东风支行向越秀区法院提起诉讼，要求蓝盾技术偿还</w:t>
                        </w:r>
                        <w:r>
                          <w:rPr>
                            <w:rFonts w:ascii="宋体" w:hAnsi="宋体" w:cs="宋体" w:eastAsia="宋体" w:hint="default"/>
                            <w:sz w:val="18"/>
                            <w:szCs w:val="18"/>
                          </w:rPr>
                          <w:t> </w:t>
                        </w:r>
                        <w:r>
                          <w:rPr>
                            <w:rFonts w:ascii="宋体" w:hAnsi="宋体" w:cs="宋体" w:eastAsia="宋体" w:hint="default"/>
                            <w:spacing w:val="2"/>
                            <w:sz w:val="18"/>
                            <w:szCs w:val="18"/>
                          </w:rPr>
                          <w:t>浦发银行广州东风支行借款本金</w:t>
                        </w:r>
                        <w:r>
                          <w:rPr>
                            <w:rFonts w:ascii="Times New Roman" w:hAnsi="Times New Roman" w:cs="Times New Roman" w:eastAsia="Times New Roman" w:hint="default"/>
                            <w:spacing w:val="2"/>
                            <w:sz w:val="18"/>
                            <w:szCs w:val="18"/>
                          </w:rPr>
                          <w:t>56,990,936.11</w:t>
                        </w:r>
                        <w:r>
                          <w:rPr>
                            <w:rFonts w:ascii="宋体" w:hAnsi="宋体" w:cs="宋体" w:eastAsia="宋体" w:hint="default"/>
                            <w:spacing w:val="2"/>
                            <w:sz w:val="18"/>
                            <w:szCs w:val="18"/>
                          </w:rPr>
                          <w:t>元及利息</w:t>
                        </w:r>
                        <w:r>
                          <w:rPr>
                            <w:rFonts w:ascii="Times New Roman" w:hAnsi="Times New Roman" w:cs="Times New Roman" w:eastAsia="Times New Roman" w:hint="default"/>
                            <w:spacing w:val="2"/>
                            <w:sz w:val="18"/>
                            <w:szCs w:val="18"/>
                          </w:rPr>
                          <w:t>212,369.25</w:t>
                        </w:r>
                        <w:r>
                          <w:rPr>
                            <w:rFonts w:ascii="宋体" w:hAnsi="宋体" w:cs="宋体" w:eastAsia="宋体" w:hint="default"/>
                            <w:spacing w:val="2"/>
                            <w:sz w:val="18"/>
                            <w:szCs w:val="18"/>
                          </w:rPr>
                          <w:t>元，并要求发行</w:t>
                        </w:r>
                        <w:r>
                          <w:rPr>
                            <w:rFonts w:ascii="宋体" w:hAnsi="宋体" w:cs="宋体" w:eastAsia="宋体" w:hint="default"/>
                            <w:spacing w:val="-75"/>
                            <w:sz w:val="18"/>
                            <w:szCs w:val="18"/>
                          </w:rPr>
                          <w:t> </w:t>
                        </w:r>
                        <w:r>
                          <w:rPr>
                            <w:rFonts w:ascii="宋体" w:hAnsi="宋体" w:cs="宋体" w:eastAsia="宋体" w:hint="default"/>
                            <w:sz w:val="18"/>
                            <w:szCs w:val="18"/>
                          </w:rPr>
                          <w:t>人、中经电商、柯宗庆、柯宗贵、中经汇通、柯宗耀、柯瑞达对蓝盾技术上述债务</w:t>
                        </w:r>
                        <w:r>
                          <w:rPr>
                            <w:rFonts w:ascii="宋体" w:hAnsi="宋体" w:cs="宋体" w:eastAsia="宋体" w:hint="default"/>
                            <w:sz w:val="18"/>
                            <w:szCs w:val="18"/>
                          </w:rPr>
                          <w:t> 承担连带清偿责任。</w:t>
                        </w:r>
                      </w:p>
                      <w:p>
                        <w:pPr>
                          <w:pStyle w:val="TableParagraph"/>
                          <w:spacing w:line="240"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③根据越秀区法院下发的传票，该案拟定于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日开庭审理。</w:t>
                        </w:r>
                      </w:p>
                    </w:tc>
                  </w:tr>
                  <w:tr>
                    <w:trPr>
                      <w:trHeight w:val="3154" w:hRule="exact"/>
                    </w:trPr>
                    <w:tc>
                      <w:tcPr>
                        <w:tcW w:w="1008" w:type="dxa"/>
                        <w:vMerge/>
                        <w:tcBorders>
                          <w:left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月，中经电商与浦发银行广州东风支行签订《融资额度协议》，浦发银</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2"/>
                            <w:sz w:val="18"/>
                            <w:szCs w:val="18"/>
                          </w:rPr>
                          <w:t>行广州东风支行向中经电商提供最高额为</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万元的银行融资额度，由发行人、蓝</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盾技术、柯宗庆、柯宗贵、中经汇通、柯宗耀、柯瑞达为蓝盾技术该额度项下借款</w:t>
                        </w:r>
                        <w:r>
                          <w:rPr>
                            <w:rFonts w:ascii="宋体" w:hAnsi="宋体" w:cs="宋体" w:eastAsia="宋体" w:hint="default"/>
                            <w:sz w:val="18"/>
                            <w:szCs w:val="18"/>
                          </w:rPr>
                          <w:t> 提供连带保证责任担保。</w:t>
                        </w:r>
                      </w:p>
                      <w:p>
                        <w:pPr>
                          <w:pStyle w:val="TableParagraph"/>
                          <w:spacing w:line="309" w:lineRule="auto" w:before="26"/>
                          <w:ind w:left="4" w:right="-7"/>
                          <w:jc w:val="both"/>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月，因中经电商未能按期偿还浦发银行广州东风支行</w:t>
                        </w:r>
                        <w:r>
                          <w:rPr>
                            <w:rFonts w:ascii="Times New Roman" w:hAnsi="Times New Roman" w:cs="Times New Roman" w:eastAsia="Times New Roman" w:hint="default"/>
                            <w:sz w:val="18"/>
                            <w:szCs w:val="18"/>
                          </w:rPr>
                          <w:t>49,994,236.71</w:t>
                        </w:r>
                        <w:r>
                          <w:rPr>
                            <w:rFonts w:ascii="宋体" w:hAnsi="宋体" w:cs="宋体" w:eastAsia="宋体" w:hint="default"/>
                            <w:sz w:val="18"/>
                            <w:szCs w:val="18"/>
                          </w:rPr>
                          <w:t>元本</w:t>
                        </w:r>
                        <w:r>
                          <w:rPr>
                            <w:rFonts w:ascii="宋体" w:hAnsi="宋体" w:cs="宋体" w:eastAsia="宋体" w:hint="default"/>
                            <w:spacing w:val="-56"/>
                            <w:sz w:val="18"/>
                            <w:szCs w:val="18"/>
                          </w:rPr>
                          <w:t> </w:t>
                        </w:r>
                        <w:r>
                          <w:rPr>
                            <w:rFonts w:ascii="宋体" w:hAnsi="宋体" w:cs="宋体" w:eastAsia="宋体" w:hint="default"/>
                            <w:sz w:val="18"/>
                            <w:szCs w:val="18"/>
                          </w:rPr>
                          <w:t>金及相应利息，浦发银行广州东风支行向越秀区法院提起诉讼，要求中经电商偿还</w:t>
                        </w:r>
                        <w:r>
                          <w:rPr>
                            <w:rFonts w:ascii="宋体" w:hAnsi="宋体" w:cs="宋体" w:eastAsia="宋体" w:hint="default"/>
                            <w:sz w:val="18"/>
                            <w:szCs w:val="18"/>
                          </w:rPr>
                          <w:t> </w:t>
                        </w:r>
                        <w:r>
                          <w:rPr>
                            <w:rFonts w:ascii="宋体" w:hAnsi="宋体" w:cs="宋体" w:eastAsia="宋体" w:hint="default"/>
                            <w:spacing w:val="2"/>
                            <w:sz w:val="18"/>
                            <w:szCs w:val="18"/>
                          </w:rPr>
                          <w:t>浦发银行广州东风支行借款本金</w:t>
                        </w:r>
                        <w:r>
                          <w:rPr>
                            <w:rFonts w:ascii="Times New Roman" w:hAnsi="Times New Roman" w:cs="Times New Roman" w:eastAsia="Times New Roman" w:hint="default"/>
                            <w:spacing w:val="2"/>
                            <w:sz w:val="18"/>
                            <w:szCs w:val="18"/>
                          </w:rPr>
                          <w:t>49,994,236.71</w:t>
                        </w:r>
                        <w:r>
                          <w:rPr>
                            <w:rFonts w:ascii="宋体" w:hAnsi="宋体" w:cs="宋体" w:eastAsia="宋体" w:hint="default"/>
                            <w:spacing w:val="2"/>
                            <w:sz w:val="18"/>
                            <w:szCs w:val="18"/>
                          </w:rPr>
                          <w:t>元及利息</w:t>
                        </w:r>
                        <w:r>
                          <w:rPr>
                            <w:rFonts w:ascii="Times New Roman" w:hAnsi="Times New Roman" w:cs="Times New Roman" w:eastAsia="Times New Roman" w:hint="default"/>
                            <w:spacing w:val="2"/>
                            <w:sz w:val="18"/>
                            <w:szCs w:val="18"/>
                          </w:rPr>
                          <w:t>183,767.87</w:t>
                        </w:r>
                        <w:r>
                          <w:rPr>
                            <w:rFonts w:ascii="宋体" w:hAnsi="宋体" w:cs="宋体" w:eastAsia="宋体" w:hint="default"/>
                            <w:spacing w:val="2"/>
                            <w:sz w:val="18"/>
                            <w:szCs w:val="18"/>
                          </w:rPr>
                          <w:t>元，并要求发行</w:t>
                        </w:r>
                        <w:r>
                          <w:rPr>
                            <w:rFonts w:ascii="宋体" w:hAnsi="宋体" w:cs="宋体" w:eastAsia="宋体" w:hint="default"/>
                            <w:spacing w:val="-75"/>
                            <w:sz w:val="18"/>
                            <w:szCs w:val="18"/>
                          </w:rPr>
                          <w:t> </w:t>
                        </w:r>
                        <w:r>
                          <w:rPr>
                            <w:rFonts w:ascii="宋体" w:hAnsi="宋体" w:cs="宋体" w:eastAsia="宋体" w:hint="default"/>
                            <w:sz w:val="18"/>
                            <w:szCs w:val="18"/>
                          </w:rPr>
                          <w:t>人、蓝盾技术、柯宗庆、柯宗贵、中经汇通、柯宗耀、柯瑞达对中经电商上述债务</w:t>
                        </w:r>
                        <w:r>
                          <w:rPr>
                            <w:rFonts w:ascii="宋体" w:hAnsi="宋体" w:cs="宋体" w:eastAsia="宋体" w:hint="default"/>
                            <w:sz w:val="18"/>
                            <w:szCs w:val="18"/>
                          </w:rPr>
                          <w:t> 承担连带清偿责任</w:t>
                        </w:r>
                      </w:p>
                      <w:p>
                        <w:pPr>
                          <w:pStyle w:val="TableParagraph"/>
                          <w:spacing w:line="240"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③根据越秀区法院下发的传票，该案拟定于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日开庭审理。</w:t>
                        </w:r>
                      </w:p>
                    </w:tc>
                  </w:tr>
                  <w:tr>
                    <w:trPr>
                      <w:trHeight w:val="1597" w:hRule="exact"/>
                    </w:trPr>
                    <w:tc>
                      <w:tcPr>
                        <w:tcW w:w="1008" w:type="dxa"/>
                        <w:vMerge/>
                        <w:tcBorders>
                          <w:left w:val="single" w:sz="6" w:space="0" w:color="000000"/>
                          <w:bottom w:val="single" w:sz="6" w:space="0" w:color="000000"/>
                          <w:right w:val="single" w:sz="6" w:space="0" w:color="000000"/>
                        </w:tcBorders>
                      </w:tcPr>
                      <w:p>
                        <w:pPr/>
                      </w:p>
                    </w:tc>
                    <w:tc>
                      <w:tcPr>
                        <w:tcW w:w="7521"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1"/>
                          <w:jc w:val="both"/>
                          <w:rPr>
                            <w:rFonts w:ascii="宋体" w:hAnsi="宋体" w:cs="宋体" w:eastAsia="宋体" w:hint="default"/>
                            <w:sz w:val="18"/>
                            <w:szCs w:val="18"/>
                          </w:rPr>
                        </w:pPr>
                        <w:r>
                          <w:rPr>
                            <w:rFonts w:ascii="宋体" w:hAnsi="宋体" w:cs="宋体" w:eastAsia="宋体" w:hint="default"/>
                            <w:spacing w:val="-2"/>
                            <w:sz w:val="18"/>
                            <w:szCs w:val="18"/>
                          </w:rPr>
                          <w:t>因该两项诉讼事宜，发行人及其实际控制人柯宗庆、柯宗贵作为担保方亦被浦发银行广州东风支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行列为被告提起诉讼，因浦发银行广州东风支行申请诉前财产保全，发行人位于广州市萝岗区瑞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和路以西，瑞源路以北、土地使用权证为</w:t>
                        </w:r>
                        <w:r>
                          <w:rPr>
                            <w:rFonts w:ascii="Times New Roman" w:hAnsi="Times New Roman" w:cs="Times New Roman" w:eastAsia="Times New Roman" w:hint="default"/>
                            <w:sz w:val="18"/>
                            <w:szCs w:val="18"/>
                          </w:rPr>
                          <w:t>“</w:t>
                        </w:r>
                        <w:r>
                          <w:rPr>
                            <w:rFonts w:ascii="宋体" w:hAnsi="宋体" w:cs="宋体" w:eastAsia="宋体" w:hint="default"/>
                            <w:sz w:val="18"/>
                            <w:szCs w:val="18"/>
                          </w:rPr>
                          <w:t>穗符国用（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050001113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的一宗国有土地使</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用权被越秀区法院查封。根据发行人陈述，截至本法律意见书出具之日，发行人尚未收到有关法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院寄送的与上述查封相关之诉讼文书。</w:t>
                        </w:r>
                      </w:p>
                    </w:tc>
                  </w:tr>
                  <w:tr>
                    <w:trPr>
                      <w:trHeight w:val="1284"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7" w:right="0"/>
                          <w:jc w:val="left"/>
                          <w:rPr>
                            <w:rFonts w:ascii="宋体" w:hAnsi="宋体" w:cs="宋体" w:eastAsia="宋体" w:hint="default"/>
                            <w:sz w:val="18"/>
                            <w:szCs w:val="18"/>
                          </w:rPr>
                        </w:pPr>
                        <w:r>
                          <w:rPr>
                            <w:rFonts w:ascii="宋体" w:hAnsi="宋体" w:cs="宋体" w:eastAsia="宋体" w:hint="default"/>
                            <w:b/>
                            <w:bCs/>
                            <w:sz w:val="18"/>
                            <w:szCs w:val="18"/>
                          </w:rPr>
                          <w:t>其他诉讼</w:t>
                        </w:r>
                        <w:r>
                          <w:rPr>
                            <w:rFonts w:ascii="宋体" w:hAnsi="宋体" w:cs="宋体" w:eastAsia="宋体" w:hint="default"/>
                            <w:sz w:val="18"/>
                            <w:szCs w:val="18"/>
                          </w:rPr>
                        </w:r>
                      </w:p>
                    </w:tc>
                    <w:tc>
                      <w:tcPr>
                        <w:tcW w:w="7521"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4"/>
                          <w:jc w:val="both"/>
                          <w:rPr>
                            <w:rFonts w:ascii="宋体" w:hAnsi="宋体" w:cs="宋体" w:eastAsia="宋体" w:hint="default"/>
                            <w:sz w:val="18"/>
                            <w:szCs w:val="18"/>
                          </w:rPr>
                        </w:pPr>
                        <w:r>
                          <w:rPr>
                            <w:rFonts w:ascii="宋体" w:hAnsi="宋体" w:cs="宋体" w:eastAsia="宋体" w:hint="default"/>
                            <w:spacing w:val="-2"/>
                            <w:sz w:val="18"/>
                            <w:szCs w:val="18"/>
                          </w:rPr>
                          <w:t>除前述诉讼事项外，根据发行人陈述及其发布于信息披露网站之《关于全资子公司中经汇通电子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商务有限公司经营情况及风险的提示性公告》（发布日期</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日），发行人全资子公司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中经电商因网络服务合同纠纷、合同纠纷等事项涉及若干诉讼，根据上述公告显示，截至</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20"/>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日，中经电商上述纠纷涉及金额合计约</w:t>
                        </w:r>
                        <w:r>
                          <w:rPr>
                            <w:rFonts w:ascii="Times New Roman" w:hAnsi="Times New Roman" w:cs="Times New Roman" w:eastAsia="Times New Roman" w:hint="default"/>
                            <w:sz w:val="18"/>
                            <w:szCs w:val="18"/>
                          </w:rPr>
                          <w:t>700</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44"/>
        <w:ind w:left="0" w:right="219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2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注：与合营企业或联营企业投资相关的或有负债索引至</w:t>
      </w:r>
      <w:r>
        <w:rPr>
          <w:rFonts w:ascii="Times New Roman" w:hAnsi="Times New Roman" w:cs="Times New Roman" w:eastAsia="Times New Roman" w:hint="default"/>
          <w:sz w:val="18"/>
          <w:szCs w:val="18"/>
        </w:rPr>
        <w:t>“</w:t>
      </w:r>
      <w:r>
        <w:rPr>
          <w:rFonts w:ascii="宋体" w:hAnsi="宋体" w:cs="宋体" w:eastAsia="宋体" w:hint="default"/>
          <w:sz w:val="18"/>
          <w:szCs w:val="18"/>
        </w:rPr>
        <w:t>附注九、在其他主体中的权益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部分相应内容。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公司没有需要披露的重要或有事项，也应予以说明" w:id="426"/>
      <w:bookmarkEnd w:id="42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十三、资产负债表日后事项" w:id="427"/>
      <w:bookmarkEnd w:id="427"/>
      <w:r>
        <w:rPr>
          <w:b w:val="0"/>
          <w:bCs w:val="0"/>
        </w:rPr>
      </w: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506" w:lineRule="auto"/>
        <w:ind w:right="8752"/>
        <w:jc w:val="left"/>
        <w:rPr>
          <w:rFonts w:ascii="宋体" w:hAnsi="宋体" w:cs="宋体" w:eastAsia="宋体" w:hint="default"/>
          <w:b w:val="0"/>
          <w:bCs w:val="0"/>
        </w:rPr>
      </w:pPr>
      <w:bookmarkStart w:name="1、重要的非调整事项" w:id="428"/>
      <w:bookmarkEnd w:id="428"/>
      <w:r>
        <w:rPr>
          <w:b w:val="0"/>
          <w:bCs w:val="0"/>
        </w:rPr>
      </w:r>
      <w:r>
        <w:rPr>
          <w:rFonts w:ascii="Times New Roman" w:hAnsi="Times New Roman" w:cs="Times New Roman" w:eastAsia="Times New Roman" w:hint="default"/>
        </w:rPr>
        <w:t>1</w:t>
      </w:r>
      <w:r>
        <w:rPr/>
        <w:t>、重要的非调整事项</w:t>
      </w:r>
      <w:r>
        <w:rPr>
          <w:w w:val="100"/>
        </w:rPr>
        <w:t> </w:t>
      </w:r>
      <w:r>
        <w:rPr>
          <w:rFonts w:ascii="宋体" w:hAnsi="宋体" w:cs="宋体" w:eastAsia="宋体" w:hint="default"/>
          <w:b w:val="0"/>
          <w:bCs w:val="0"/>
        </w:rPr>
        <w:t>无</w:t>
      </w:r>
    </w:p>
    <w:p>
      <w:pPr>
        <w:pStyle w:val="Heading3"/>
        <w:spacing w:line="240" w:lineRule="auto" w:before="102"/>
        <w:ind w:right="1133"/>
        <w:jc w:val="left"/>
        <w:rPr>
          <w:b w:val="0"/>
          <w:bCs w:val="0"/>
        </w:rPr>
      </w:pPr>
      <w:bookmarkStart w:name="2、 利润分配情况" w:id="429"/>
      <w:bookmarkEnd w:id="42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销售退回" w:id="430"/>
      <w:bookmarkEnd w:id="43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其他资产负债表日后事项说明" w:id="431"/>
      <w:bookmarkEnd w:id="43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spacing w:line="506" w:lineRule="auto" w:before="0"/>
        <w:ind w:left="152" w:right="8592" w:firstLine="0"/>
        <w:jc w:val="left"/>
        <w:rPr>
          <w:rFonts w:ascii="宋体" w:hAnsi="宋体" w:cs="宋体" w:eastAsia="宋体" w:hint="default"/>
          <w:sz w:val="18"/>
          <w:szCs w:val="18"/>
        </w:rPr>
      </w:pPr>
      <w:bookmarkStart w:name="十四、其他重要事项" w:id="432"/>
      <w:bookmarkEnd w:id="432"/>
      <w:r>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bookmarkStart w:name="1、前期会计差错更正" w:id="433"/>
      <w:bookmarkEnd w:id="4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1133"/>
        <w:jc w:val="left"/>
        <w:rPr>
          <w:b w:val="0"/>
          <w:bCs w:val="0"/>
        </w:rPr>
      </w:pPr>
      <w:bookmarkStart w:name="2、债务重组" w:id="434"/>
      <w:bookmarkEnd w:id="43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资产置换" w:id="435"/>
      <w:bookmarkEnd w:id="43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非货币性资产交换" w:id="436"/>
      <w:bookmarkEnd w:id="43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其他资产置换" w:id="437"/>
      <w:bookmarkEnd w:id="43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left="932" w:right="0"/>
        <w:jc w:val="left"/>
        <w:rPr>
          <w:b w:val="0"/>
          <w:bCs w:val="0"/>
        </w:rPr>
      </w:pPr>
      <w:bookmarkStart w:name="4、年金计划" w:id="438"/>
      <w:bookmarkEnd w:id="43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5"/>
        <w:rPr>
          <w:rFonts w:ascii="宋体" w:hAnsi="宋体" w:cs="宋体" w:eastAsia="宋体" w:hint="default"/>
          <w:b/>
          <w:bCs/>
          <w:sz w:val="26"/>
          <w:szCs w:val="26"/>
        </w:rPr>
      </w:pPr>
    </w:p>
    <w:p>
      <w:pPr>
        <w:spacing w:before="0"/>
        <w:ind w:left="93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left="932" w:right="0"/>
        <w:jc w:val="left"/>
        <w:rPr>
          <w:b w:val="0"/>
          <w:bCs w:val="0"/>
        </w:rPr>
      </w:pPr>
      <w:bookmarkStart w:name="5、终止经营" w:id="439"/>
      <w:bookmarkEnd w:id="43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2"/>
        <w:rPr>
          <w:rFonts w:ascii="宋体" w:hAnsi="宋体" w:cs="宋体" w:eastAsia="宋体" w:hint="default"/>
          <w:b/>
          <w:bCs/>
          <w:sz w:val="26"/>
          <w:szCs w:val="26"/>
        </w:rPr>
      </w:pPr>
    </w:p>
    <w:p>
      <w:pPr>
        <w:spacing w:before="0"/>
        <w:ind w:left="93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left="932" w:right="0"/>
        <w:jc w:val="left"/>
        <w:rPr>
          <w:b w:val="0"/>
          <w:bCs w:val="0"/>
        </w:rPr>
      </w:pPr>
      <w:bookmarkStart w:name="6、分部信息" w:id="440"/>
      <w:bookmarkEnd w:id="44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4"/>
        <w:rPr>
          <w:rFonts w:ascii="宋体" w:hAnsi="宋体" w:cs="宋体" w:eastAsia="宋体" w:hint="default"/>
          <w:b/>
          <w:bCs/>
          <w:sz w:val="26"/>
          <w:szCs w:val="26"/>
        </w:rPr>
      </w:pPr>
    </w:p>
    <w:p>
      <w:pPr>
        <w:spacing w:before="0"/>
        <w:ind w:left="93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1"/>
        <w:ind w:left="932" w:right="0"/>
        <w:jc w:val="left"/>
        <w:rPr>
          <w:b w:val="0"/>
          <w:bCs w:val="0"/>
        </w:rPr>
      </w:pPr>
      <w:bookmarkStart w:name="7、其他对投资者决策有影响的重要交易和事项" w:id="441"/>
      <w:bookmarkEnd w:id="44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spacing w:before="0"/>
        <w:ind w:left="93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left="932" w:right="0"/>
        <w:jc w:val="left"/>
        <w:rPr>
          <w:b w:val="0"/>
          <w:bCs w:val="0"/>
        </w:rPr>
      </w:pPr>
      <w:bookmarkStart w:name="十五、母公司财务报表主要项目注释" w:id="442"/>
      <w:bookmarkEnd w:id="442"/>
      <w:r>
        <w:rPr>
          <w:b w:val="0"/>
          <w:bCs w:val="0"/>
        </w:rPr>
      </w: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932" w:right="0"/>
        <w:jc w:val="left"/>
        <w:rPr>
          <w:b w:val="0"/>
          <w:bCs w:val="0"/>
        </w:rPr>
      </w:pPr>
      <w:bookmarkStart w:name="1、应收账款" w:id="443"/>
      <w:bookmarkEnd w:id="44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32" w:right="0"/>
        <w:jc w:val="left"/>
        <w:rPr>
          <w:b w:val="0"/>
          <w:bCs w:val="0"/>
        </w:rPr>
      </w:pPr>
      <w:bookmarkStart w:name="（1）应收账款分类披露" w:id="444"/>
      <w:bookmarkEnd w:id="4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63"/>
        <w:gridCol w:w="1266"/>
        <w:gridCol w:w="763"/>
        <w:gridCol w:w="1198"/>
        <w:gridCol w:w="763"/>
        <w:gridCol w:w="1222"/>
        <w:gridCol w:w="1166"/>
        <w:gridCol w:w="797"/>
        <w:gridCol w:w="1217"/>
        <w:gridCol w:w="790"/>
        <w:gridCol w:w="1217"/>
      </w:tblGrid>
      <w:tr>
        <w:trPr>
          <w:trHeight w:val="399" w:hRule="exact"/>
        </w:trPr>
        <w:tc>
          <w:tcPr>
            <w:tcW w:w="863" w:type="dxa"/>
            <w:vMerge w:val="restart"/>
            <w:tcBorders>
              <w:top w:val="single" w:sz="4" w:space="0" w:color="000000"/>
              <w:left w:val="single" w:sz="4" w:space="0" w:color="000000"/>
              <w:right w:val="single" w:sz="4" w:space="0" w:color="000000"/>
            </w:tcBorders>
            <w:shd w:val="clear" w:color="auto" w:fill="D2D2D2"/>
          </w:tcPr>
          <w:p>
            <w:pPr/>
          </w:p>
        </w:tc>
        <w:tc>
          <w:tcPr>
            <w:tcW w:w="52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863" w:type="dxa"/>
            <w:vMerge/>
            <w:tcBorders>
              <w:left w:val="single" w:sz="4" w:space="0" w:color="000000"/>
              <w:bottom w:val="nil" w:sz="6" w:space="0" w:color="auto"/>
              <w:right w:val="single" w:sz="4" w:space="0" w:color="000000"/>
            </w:tcBorders>
            <w:shd w:val="clear" w:color="auto" w:fill="D2D2D2"/>
          </w:tcPr>
          <w:p>
            <w:pPr/>
          </w:p>
        </w:tc>
        <w:tc>
          <w:tcPr>
            <w:tcW w:w="20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1" w:hRule="exact"/>
        </w:trPr>
        <w:tc>
          <w:tcPr>
            <w:tcW w:w="8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030" w:type="dxa"/>
            <w:gridSpan w:val="2"/>
            <w:vMerge/>
            <w:tcBorders>
              <w:left w:val="single" w:sz="4" w:space="0" w:color="000000"/>
              <w:bottom w:val="single" w:sz="4" w:space="0" w:color="000000"/>
              <w:right w:val="single" w:sz="4" w:space="0" w:color="000000"/>
            </w:tcBorders>
            <w:shd w:val="clear" w:color="auto" w:fill="D2D2D2"/>
          </w:tcPr>
          <w:p>
            <w:pPr/>
          </w:p>
        </w:tc>
        <w:tc>
          <w:tcPr>
            <w:tcW w:w="1961" w:type="dxa"/>
            <w:gridSpan w:val="2"/>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963" w:type="dxa"/>
            <w:gridSpan w:val="2"/>
            <w:vMerge/>
            <w:tcBorders>
              <w:left w:val="single" w:sz="4" w:space="0" w:color="000000"/>
              <w:bottom w:val="single" w:sz="4" w:space="0" w:color="000000"/>
              <w:right w:val="single" w:sz="4" w:space="0" w:color="000000"/>
            </w:tcBorders>
            <w:shd w:val="clear" w:color="auto" w:fill="D2D2D2"/>
          </w:tcPr>
          <w:p>
            <w:pPr/>
          </w:p>
        </w:tc>
        <w:tc>
          <w:tcPr>
            <w:tcW w:w="2007" w:type="dxa"/>
            <w:gridSpan w:val="2"/>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863" w:type="dxa"/>
            <w:vMerge/>
            <w:tcBorders>
              <w:left w:val="single" w:sz="4" w:space="0" w:color="000000"/>
              <w:bottom w:val="nil" w:sz="6" w:space="0" w:color="auto"/>
              <w:right w:val="single" w:sz="4" w:space="0" w:color="000000"/>
            </w:tcBorders>
            <w:shd w:val="clear" w:color="auto" w:fill="D2D2D2"/>
          </w:tcPr>
          <w:p>
            <w:pPr/>
          </w:p>
        </w:tc>
        <w:tc>
          <w:tcPr>
            <w:tcW w:w="1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22" w:type="dxa"/>
            <w:vMerge w:val="restart"/>
            <w:tcBorders>
              <w:top w:val="single" w:sz="4" w:space="0" w:color="000000"/>
              <w:left w:val="single" w:sz="10" w:space="0" w:color="D2D2D2"/>
              <w:right w:val="single" w:sz="10" w:space="0" w:color="D2D2D2"/>
            </w:tcBorders>
          </w:tcPr>
          <w:p>
            <w:pPr/>
          </w:p>
        </w:tc>
        <w:tc>
          <w:tcPr>
            <w:tcW w:w="11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
        </w:tc>
      </w:tr>
      <w:tr>
        <w:trPr>
          <w:trHeight w:val="391" w:hRule="exact"/>
        </w:trPr>
        <w:tc>
          <w:tcPr>
            <w:tcW w:w="863" w:type="dxa"/>
            <w:vMerge w:val="restart"/>
            <w:tcBorders>
              <w:top w:val="nil" w:sz="6" w:space="0" w:color="auto"/>
              <w:left w:val="single" w:sz="4" w:space="0" w:color="000000"/>
              <w:right w:val="single" w:sz="4" w:space="0" w:color="000000"/>
            </w:tcBorders>
            <w:shd w:val="clear" w:color="auto" w:fill="D2D2D2"/>
          </w:tcPr>
          <w:p>
            <w:pPr/>
          </w:p>
        </w:tc>
        <w:tc>
          <w:tcPr>
            <w:tcW w:w="12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1222" w:type="dxa"/>
            <w:vMerge/>
            <w:tcBorders>
              <w:left w:val="single" w:sz="10" w:space="0" w:color="D2D2D2"/>
              <w:right w:val="single" w:sz="10" w:space="0" w:color="D2D2D2"/>
            </w:tcBorders>
          </w:tcPr>
          <w:p>
            <w:pPr/>
          </w:p>
        </w:tc>
        <w:tc>
          <w:tcPr>
            <w:tcW w:w="11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217" w:type="dxa"/>
            <w:vMerge/>
            <w:tcBorders>
              <w:left w:val="single" w:sz="9" w:space="0" w:color="D2D2D2"/>
              <w:right w:val="single" w:sz="4" w:space="0" w:color="000000"/>
            </w:tcBorders>
          </w:tcPr>
          <w:p>
            <w:pPr/>
          </w:p>
        </w:tc>
      </w:tr>
      <w:tr>
        <w:trPr>
          <w:trHeight w:val="161"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10" w:space="0" w:color="D2D2D2"/>
              <w:bottom w:val="single" w:sz="4" w:space="0" w:color="000000"/>
              <w:right w:val="single" w:sz="10" w:space="0" w:color="D2D2D2"/>
            </w:tcBorders>
          </w:tcPr>
          <w:p>
            <w:pPr/>
          </w:p>
        </w:tc>
        <w:tc>
          <w:tcPr>
            <w:tcW w:w="11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r>
      <w:tr>
        <w:trPr>
          <w:trHeight w:val="1337"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按组合计 提坏账准 备的应收 账款</w:t>
            </w:r>
          </w:p>
        </w:tc>
        <w:tc>
          <w:tcPr>
            <w:tcW w:w="12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285,851,752.10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52,665,543.07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233,186,209.03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84,289,861.00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47,769,685.94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36,520,175.06</w:t>
            </w: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282,952,213.42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52,665,543.07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230,286,670.35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82,570,377.72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97.96%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47,769,685.94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34,800,691.78</w:t>
            </w: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关联方组 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2,899,538.68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119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2,899,538.68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1,719,483.28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121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1,719,483.28</w:t>
            </w: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285,851,752.10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52,665,543.07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233,186,209.03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84,289,861.00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47,769,685.94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36,520,175.06</w:t>
            </w:r>
          </w:p>
        </w:tc>
      </w:tr>
    </w:tbl>
    <w:p>
      <w:pPr>
        <w:spacing w:before="49"/>
        <w:ind w:left="9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按组合计提坏账准备：账龄组合</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929" w:type="dxa"/>
        <w:tblLayout w:type="fixed"/>
        <w:tblCellMar>
          <w:top w:w="0" w:type="dxa"/>
          <w:left w:w="0" w:type="dxa"/>
          <w:bottom w:w="0" w:type="dxa"/>
          <w:right w:w="0" w:type="dxa"/>
        </w:tblCellMar>
        <w:tblLook w:val="01E0"/>
      </w:tblPr>
      <w:tblGrid>
        <w:gridCol w:w="2392"/>
        <w:gridCol w:w="2391"/>
        <w:gridCol w:w="2393"/>
        <w:gridCol w:w="2381"/>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234,393,141.58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9" w:right="0"/>
              <w:jc w:val="left"/>
              <w:rPr>
                <w:rFonts w:ascii="Times New Roman" w:hAnsi="Times New Roman" w:cs="Times New Roman" w:eastAsia="Times New Roman" w:hint="default"/>
                <w:sz w:val="18"/>
                <w:szCs w:val="18"/>
              </w:rPr>
            </w:pPr>
            <w:r>
              <w:rPr>
                <w:rFonts w:ascii="Times New Roman"/>
                <w:sz w:val="18"/>
              </w:rPr>
              <w:t>11,719,657.08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20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509,346.00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119,553.84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35,866.15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6,483,932.43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3,241,966.22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19,145,602.75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15,316,482.20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22,300,636.82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22,300,636.82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282,952,213.42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52,665,543.07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按组合计提坏账准备：关联方组合</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1,786,415.20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1,113,123.48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2,899,538.68</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236,179,556.78</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1,622,469.48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119,553.84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6,483,932.43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19,145,602.75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22,300,636.82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285,851,752.10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注：包含单项计提和组合计提。</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本期计提、收回或转回的坏账准备情况" w:id="445"/>
      <w:bookmarkEnd w:id="4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47,769,685.94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9,056,985.32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52,665,543.07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47,769,685.94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9,056,985.32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4,226,000.00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52,665,543.07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本期实际核销的应收账款情况" w:id="446"/>
      <w:bookmarkEnd w:id="44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4,226,000.00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东莞市绿洲电脑有限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应收项目款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4,226,000.00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核销审批表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4,226,000.00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应收账款情况" w:id="447"/>
      <w:bookmarkEnd w:id="44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广州市康讯动力科技有限公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499,975.00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广州胜鸿电子科技有限公司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492,250.00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广州市德慷电子有限公司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广州鸿德信息科技有限公司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腾展信息科技股份有限公司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44,348,700.00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15.51%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448"/>
      <w:bookmarkEnd w:id="44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转移应收账款且继续涉入形成的资产、负债金额" w:id="449"/>
      <w:bookmarkEnd w:id="44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其他应收款" w:id="450"/>
      <w:bookmarkEnd w:id="45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 w:id="451"/>
      <w:bookmarkEnd w:id="451"/>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452"/>
      <w:bookmarkEnd w:id="452"/>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315,974.76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451,535.83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391,127.00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501,565.74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856,069.00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856,069.00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251,336,284.11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137,883,608.69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253,184,893.61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139,612,340.52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453"/>
      <w:bookmarkEnd w:id="45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2"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838,797.97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838,797.97</w:t>
            </w:r>
          </w:p>
        </w:tc>
      </w:tr>
      <w:tr>
        <w:trPr>
          <w:trHeight w:val="162"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154,921.69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154,921.69</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988,719.66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988,719.66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124,986,525.86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127,045,700.75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926,893.00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202,124.00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253,184,893.61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454"/>
      <w:bookmarkEnd w:id="45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838,797.97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154,921.69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35,000.00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988,719.66</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838,797.97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154,921.69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35,000.00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988,719.66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本期实际核销的其他应收款情况" w:id="455"/>
      <w:bookmarkEnd w:id="45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按欠款方归集的期末余额前五名的其他应收款情况" w:id="456"/>
      <w:bookmarkEnd w:id="45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西咸新区蓝盾信息安 全技术有限公司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173,229,255.96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68.42%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中经汇通电子商务有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69,967,653.15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广东汇青信息科技有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深圳中科蓝盾信息安 全技术有限公司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珠海市为世贸易有限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635,069.00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508,055.20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250,081,978.11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508,055.20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6）涉及政府补助的应收款项" w:id="457"/>
      <w:bookmarkEnd w:id="45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bookmarkStart w:name="无" w:id="458"/>
      <w:bookmarkEnd w:id="458"/>
      <w:r>
        <w:rPr/>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因金融资产转移而终止确认的其他应收款" w:id="459"/>
      <w:bookmarkEnd w:id="45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转移其他应收款且继续涉入形成的资产、负债金额" w:id="460"/>
      <w:bookmarkEnd w:id="46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3、长期股权投资" w:id="461"/>
      <w:bookmarkEnd w:id="46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3,737,310,432.00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3,737,310,432.00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3,737,482,420.40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3,737,482,420.40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5,006,984.52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5,006,984.52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3,737,310,432.00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3,737,310,432.00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3,742,489,404.92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3,742,489,404.92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462"/>
      <w:bookmarkEnd w:id="46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61"/>
        <w:gridCol w:w="1376"/>
        <w:gridCol w:w="1262"/>
        <w:gridCol w:w="1224"/>
        <w:gridCol w:w="1138"/>
        <w:gridCol w:w="689"/>
        <w:gridCol w:w="1325"/>
        <w:gridCol w:w="898"/>
      </w:tblGrid>
      <w:tr>
        <w:trPr>
          <w:trHeight w:val="403" w:hRule="exact"/>
        </w:trPr>
        <w:tc>
          <w:tcPr>
            <w:tcW w:w="1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00" w:lineRule="auto"/>
              <w:ind w:left="472" w:right="111"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3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00" w:lineRule="auto"/>
              <w:ind w:left="449" w:right="84"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27" w:hRule="exact"/>
        </w:trPr>
        <w:tc>
          <w:tcPr>
            <w:tcW w:w="1661"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5"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蓝盾信息安全技术 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409,722,498.96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151,061.04</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409,873,560.00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广东省蓝盾职业培 训学院</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13,107,383.83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2,616.17</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85"/>
              <w:jc w:val="left"/>
              <w:rPr>
                <w:rFonts w:ascii="宋体" w:hAnsi="宋体" w:cs="宋体" w:eastAsia="宋体" w:hint="default"/>
                <w:sz w:val="18"/>
                <w:szCs w:val="18"/>
              </w:rPr>
            </w:pPr>
            <w:r>
              <w:rPr>
                <w:rFonts w:ascii="宋体" w:hAnsi="宋体" w:cs="宋体" w:eastAsia="宋体" w:hint="default"/>
                <w:sz w:val="18"/>
                <w:szCs w:val="18"/>
              </w:rPr>
              <w:t>广东蓝盾乐庚信息 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19,870,780.69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-61,920.69</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19,808,860.00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both"/>
              <w:rPr>
                <w:rFonts w:ascii="宋体" w:hAnsi="宋体" w:cs="宋体" w:eastAsia="宋体" w:hint="default"/>
                <w:sz w:val="18"/>
                <w:szCs w:val="18"/>
              </w:rPr>
            </w:pPr>
            <w:r>
              <w:rPr>
                <w:rFonts w:ascii="宋体" w:hAnsi="宋体" w:cs="宋体" w:eastAsia="宋体" w:hint="default"/>
                <w:sz w:val="18"/>
                <w:szCs w:val="18"/>
              </w:rPr>
              <w:t>广东蓝盾移动互联 网信息科技有限公 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广州市奔特信息科 技有限公司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广东蓝盾投资管理</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661"/>
        <w:gridCol w:w="1376"/>
        <w:gridCol w:w="1262"/>
        <w:gridCol w:w="1224"/>
        <w:gridCol w:w="1138"/>
        <w:gridCol w:w="689"/>
        <w:gridCol w:w="1325"/>
        <w:gridCol w:w="898"/>
      </w:tblGrid>
      <w:tr>
        <w:trPr>
          <w:trHeight w:val="36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6"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广东省南方信息技 术研究院</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广东蓝盾新微安全 科技有限公司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7,736,776.59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1,003.41</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7,737,780.00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北京京穗蓝盾信息 安全技术有限公司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广西蓝盾信息安全 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深圳中科蓝盾信息 安全技术有限公司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广东汇青信息科技 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成都蓝盾网信科技 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西咸新区蓝盾信息 安全技术有限公司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广东蓝盾教育科技 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香港蓝盾投资管理 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1,396,752.00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1,396,752.00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广州天锐锋信息科 技有限公司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广州华炜科技有限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422,587,128.33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46,351.67</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422,633,480.00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中经汇通电子商务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汇通宝支 付有限责任公司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深圳市蓝盾满泰科 技发展有限公司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582,000,000.00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582,000,000.00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广西蓝盾智慧城市 信息技术有限公司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311,100.00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both"/>
              <w:rPr>
                <w:rFonts w:ascii="宋体" w:hAnsi="宋体" w:cs="宋体" w:eastAsia="宋体" w:hint="default"/>
                <w:sz w:val="18"/>
                <w:szCs w:val="18"/>
              </w:rPr>
            </w:pPr>
            <w:r>
              <w:rPr>
                <w:rFonts w:ascii="宋体" w:hAnsi="宋体" w:cs="宋体" w:eastAsia="宋体" w:hint="default"/>
                <w:sz w:val="18"/>
                <w:szCs w:val="18"/>
              </w:rPr>
              <w:t>广州蓝盾数据安全 技术创新中心有限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广东和诚科技孵化 器有限公司</w:t>
            </w:r>
          </w:p>
        </w:tc>
        <w:tc>
          <w:tcPr>
            <w:tcW w:w="1376"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177,161,592.49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177,161,592.49</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3,737,482,420.40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177,300,704.09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177,472,692.49</w:t>
            </w:r>
          </w:p>
        </w:tc>
        <w:tc>
          <w:tcPr>
            <w:tcW w:w="11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3,737,310,432.00</w:t>
            </w: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bookmarkStart w:name="（2）对联营、合营企业投资" w:id="463"/>
      <w:bookmarkEnd w:id="46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2"/>
        <w:gridCol w:w="1015"/>
        <w:gridCol w:w="578"/>
        <w:gridCol w:w="800"/>
        <w:gridCol w:w="797"/>
        <w:gridCol w:w="799"/>
        <w:gridCol w:w="663"/>
        <w:gridCol w:w="934"/>
        <w:gridCol w:w="631"/>
        <w:gridCol w:w="1150"/>
        <w:gridCol w:w="612"/>
        <w:gridCol w:w="799"/>
      </w:tblGrid>
      <w:tr>
        <w:trPr>
          <w:trHeight w:val="403" w:hRule="exact"/>
        </w:trPr>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635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61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4"/>
              <w:ind w:left="31"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12"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7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9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5" w:type="dxa"/>
            <w:tcBorders>
              <w:top w:val="single" w:sz="4" w:space="0" w:color="000000"/>
              <w:left w:val="single" w:sz="12" w:space="0" w:color="D2D2D2"/>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7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both"/>
              <w:rPr>
                <w:rFonts w:ascii="宋体" w:hAnsi="宋体" w:cs="宋体" w:eastAsia="宋体" w:hint="default"/>
                <w:sz w:val="18"/>
                <w:szCs w:val="18"/>
              </w:rPr>
            </w:pPr>
            <w:r>
              <w:rPr>
                <w:rFonts w:ascii="宋体" w:hAnsi="宋体" w:cs="宋体" w:eastAsia="宋体" w:hint="default"/>
                <w:sz w:val="18"/>
                <w:szCs w:val="18"/>
              </w:rPr>
              <w:t>深圳市蓝盾 中美信息技 术创新投资 企业（有限 合伙）</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5,006,984.52</w:t>
            </w:r>
          </w:p>
        </w:tc>
        <w:tc>
          <w:tcPr>
            <w:tcW w:w="57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-6,984.52</w:t>
            </w:r>
          </w:p>
        </w:tc>
        <w:tc>
          <w:tcPr>
            <w:tcW w:w="799"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5,006,984.52</w:t>
            </w:r>
          </w:p>
        </w:tc>
        <w:tc>
          <w:tcPr>
            <w:tcW w:w="57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-6,984.52</w:t>
            </w:r>
          </w:p>
        </w:tc>
        <w:tc>
          <w:tcPr>
            <w:tcW w:w="799"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5,006,984.52</w:t>
            </w:r>
          </w:p>
        </w:tc>
        <w:tc>
          <w:tcPr>
            <w:tcW w:w="57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-6,984.52</w:t>
            </w:r>
          </w:p>
        </w:tc>
        <w:tc>
          <w:tcPr>
            <w:tcW w:w="799"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营业收入和营业成本" w:id="464"/>
      <w:bookmarkEnd w:id="46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401,045,049.46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234,589,905.84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254,544,173.64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72,165,106.51</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4,776,970.04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1,420,449.20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2,638,980.57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1,145,396.31</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405,822,019.50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236,010,355.04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257,183,154.21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73,310,502.82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投资收益" w:id="465"/>
      <w:bookmarkEnd w:id="46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5,717.16</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-12,099.00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-19,083.52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40,005,717.16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十六、补充资料" w:id="466"/>
      <w:bookmarkEnd w:id="466"/>
      <w:r>
        <w:rPr>
          <w:b w:val="0"/>
          <w:bCs w:val="0"/>
        </w:rPr>
      </w: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467"/>
      <w:bookmarkEnd w:id="46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-29,684,286.64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40,043,900.60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-8,775.44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-515,058.84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19,802.85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201,268.14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-277,632.22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9,931,946.61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2"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7"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48,008,301.35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依据国家对软件行业的总体政策导向， 预期软件增值税退税的税收优惠政策将 在较长时期内保持稳定，故定义为经常 性损益。</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净资产收益率及每股收益" w:id="468"/>
      <w:bookmarkEnd w:id="46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-0.77</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84"/>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3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365" w:right="1133"/>
        <w:jc w:val="left"/>
        <w:rPr>
          <w:b w:val="0"/>
          <w:bCs w:val="0"/>
        </w:rPr>
      </w:pPr>
      <w:bookmarkStart w:name="第十三节备查文件目录" w:id="469"/>
      <w:bookmarkEnd w:id="469"/>
      <w:r>
        <w:rPr>
          <w:b w:val="0"/>
          <w:bCs w:val="0"/>
        </w:rPr>
      </w:r>
      <w:bookmarkStart w:name="_bookmark12" w:id="470"/>
      <w:bookmarkEnd w:id="470"/>
      <w:r>
        <w:rPr>
          <w:b w:val="0"/>
          <w:bCs w:val="0"/>
        </w:rPr>
      </w:r>
      <w:r>
        <w:rPr/>
        <w:t>第十三节备查文件目录</w:t>
      </w:r>
      <w:r>
        <w:rPr>
          <w:b w:val="0"/>
          <w:bCs w:val="0"/>
        </w:rPr>
      </w:r>
    </w:p>
    <w:p>
      <w:pPr>
        <w:spacing w:line="240" w:lineRule="auto" w:before="9"/>
        <w:rPr>
          <w:rFonts w:ascii="宋体" w:hAnsi="宋体" w:cs="宋体" w:eastAsia="宋体" w:hint="default"/>
          <w:b/>
          <w:bCs/>
          <w:sz w:val="47"/>
          <w:szCs w:val="47"/>
        </w:rPr>
      </w:pPr>
    </w:p>
    <w:p>
      <w:pPr>
        <w:pStyle w:val="BodyText"/>
        <w:spacing w:line="348" w:lineRule="auto"/>
        <w:ind w:right="1133" w:firstLine="420"/>
        <w:jc w:val="left"/>
      </w:pPr>
      <w:r>
        <w:rPr>
          <w:spacing w:val="-2"/>
        </w:rPr>
        <w:t>一、载有公司法定代表人、主管会计工作负责人、公司会计机构负责人（会计主管人员）签名并盖章</w:t>
      </w:r>
      <w:r>
        <w:rPr>
          <w:w w:val="100"/>
        </w:rPr>
        <w:t> </w:t>
      </w:r>
      <w:r>
        <w:rPr/>
        <w:t>的财务报表。</w:t>
      </w:r>
    </w:p>
    <w:p>
      <w:pPr>
        <w:pStyle w:val="BodyText"/>
        <w:spacing w:line="384" w:lineRule="auto" w:before="72"/>
        <w:ind w:left="573" w:right="1133"/>
        <w:jc w:val="left"/>
      </w:pPr>
      <w:r>
        <w:rPr/>
        <w:t>二、载有会计师事务所盖章、注册会计师签名并盖章的审计报告原件。</w:t>
      </w:r>
      <w:r>
        <w:rPr>
          <w:w w:val="100"/>
        </w:rPr>
        <w:t> </w:t>
      </w:r>
      <w:r>
        <w:rPr>
          <w:spacing w:val="-2"/>
        </w:rPr>
        <w:t>三、报告期内在中国证监会指定网站上公开披露过的所有公司文件的正本及公告的原稿。</w:t>
      </w:r>
      <w:r>
        <w:rPr>
          <w:spacing w:val="-31"/>
        </w:rPr>
        <w:t> </w:t>
      </w:r>
      <w:r>
        <w:rPr>
          <w:spacing w:val="-31"/>
        </w:rPr>
      </w:r>
      <w:r>
        <w:rPr/>
        <w:t>四、经公司法定代表人签名的</w:t>
      </w:r>
      <w:r>
        <w:rPr>
          <w:rFonts w:ascii="Times New Roman" w:hAnsi="Times New Roman" w:cs="Times New Roman" w:eastAsia="Times New Roman" w:hint="default"/>
        </w:rPr>
        <w:t>2019</w:t>
      </w:r>
      <w:r>
        <w:rPr/>
        <w:t>年年度报告文本原件。</w:t>
      </w:r>
    </w:p>
    <w:p>
      <w:pPr>
        <w:pStyle w:val="BodyText"/>
        <w:spacing w:line="240" w:lineRule="auto" w:before="11"/>
        <w:ind w:left="573" w:right="1133"/>
        <w:jc w:val="left"/>
      </w:pPr>
      <w:r>
        <w:rPr/>
        <w:t>五、其他相关资料。</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573" w:right="1133"/>
        <w:jc w:val="left"/>
      </w:pPr>
      <w:r>
        <w:rPr/>
        <w:t>以上备查文件的备置地点：公司证券部</w:t>
      </w:r>
    </w:p>
    <w:p>
      <w:pPr>
        <w:spacing w:after="0" w:line="240" w:lineRule="auto"/>
        <w:jc w:val="left"/>
        <w:sectPr>
          <w:pgSz w:w="11910" w:h="16840"/>
          <w:pgMar w:header="0"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4" w:right="1133"/>
        <w:jc w:val="left"/>
        <w:rPr>
          <w:b w:val="0"/>
          <w:bCs w:val="0"/>
        </w:rPr>
      </w:pPr>
      <w:bookmarkStart w:name="第十四节 商誉减值测试报告" w:id="471"/>
      <w:bookmarkEnd w:id="471"/>
      <w:r>
        <w:rPr>
          <w:b w:val="0"/>
          <w:bCs w:val="0"/>
        </w:rPr>
      </w:r>
      <w:bookmarkStart w:name="_bookmark13" w:id="472"/>
      <w:bookmarkEnd w:id="472"/>
      <w:r>
        <w:rPr>
          <w:b w:val="0"/>
          <w:bCs w:val="0"/>
        </w:rPr>
      </w:r>
      <w:r>
        <w:rPr/>
        <w:t>第十四节</w:t>
      </w:r>
      <w:r>
        <w:rPr>
          <w:spacing w:val="-6"/>
        </w:rPr>
        <w:t> </w:t>
      </w:r>
      <w:r>
        <w:rPr/>
        <w:t>商誉减值测试报告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是否进行减值测试" w:id="473"/>
      <w:bookmarkEnd w:id="473"/>
      <w:r>
        <w:rPr>
          <w:b w:val="0"/>
          <w:bCs w:val="0"/>
        </w:rPr>
      </w:r>
      <w:r>
        <w:rPr/>
        <w:t>一、是否进行减值测试</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二、是否在减值测试中取得以财务报告为目的的评估报告" w:id="474"/>
      <w:bookmarkEnd w:id="474"/>
      <w:r>
        <w:rPr>
          <w:b w:val="0"/>
          <w:bCs w:val="0"/>
        </w:rPr>
      </w:r>
      <w:r>
        <w:rPr/>
        <w:t>二、是否在减值测试中取得以财务报告为目的的评估报告</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45"/>
        <w:gridCol w:w="1625"/>
        <w:gridCol w:w="1399"/>
        <w:gridCol w:w="1414"/>
        <w:gridCol w:w="1263"/>
        <w:gridCol w:w="1824"/>
      </w:tblGrid>
      <w:tr>
        <w:trPr>
          <w:trHeight w:val="404" w:hRule="exact"/>
        </w:trPr>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评估机构</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评估师</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评估报告编号</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评估价值类型</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评估结果</w:t>
            </w:r>
          </w:p>
        </w:tc>
      </w:tr>
      <w:tr>
        <w:trPr>
          <w:trHeight w:val="1337"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蓝盾信息安全技术股份有 限公司并购广州华炜科技 有限公司形成的商誉所在 资产组组合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9"/>
              <w:jc w:val="left"/>
              <w:rPr>
                <w:rFonts w:ascii="宋体" w:hAnsi="宋体" w:cs="宋体" w:eastAsia="宋体" w:hint="default"/>
                <w:sz w:val="18"/>
                <w:szCs w:val="18"/>
              </w:rPr>
            </w:pPr>
            <w:r>
              <w:rPr>
                <w:rFonts w:ascii="宋体" w:hAnsi="宋体" w:cs="宋体" w:eastAsia="宋体" w:hint="default"/>
                <w:sz w:val="18"/>
                <w:szCs w:val="18"/>
              </w:rPr>
              <w:t>广东中广信资产评 估有限公司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谭赞兴、黄爱娟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中广信评报字</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可收回金额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在持续经营前提下，商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誉所在资产组组合可 收回价值为可收回金 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51"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蓝盾信息安全技术股份有 限公司并购中经汇通电子 商务有限公司和汇通宝支 付有限责任公司形成的商 誉所在资产组组合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万隆（上海）资产评</w:t>
            </w:r>
            <w:r>
              <w:rPr>
                <w:rFonts w:ascii="宋体" w:hAnsi="宋体" w:cs="宋体" w:eastAsia="宋体" w:hint="default"/>
                <w:sz w:val="18"/>
                <w:szCs w:val="18"/>
              </w:rPr>
              <w:t> 估有限公司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梁伟钧、吴建璋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万隆评报字</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2020</w:t>
            </w:r>
            <w:r>
              <w:rPr>
                <w:rFonts w:ascii="宋体" w:hAnsi="宋体" w:cs="宋体" w:eastAsia="宋体" w:hint="default"/>
                <w:spacing w:val="-6"/>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可收回金额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4"/>
                <w:sz w:val="18"/>
                <w:szCs w:val="18"/>
              </w:rPr>
              <w:t>在持续经营前提下，商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誉所在资产组组合可 收回价值为可收回金 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38,991.64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49"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蓝盾信息安全技术股份有 限公司收购深圳市蓝盾满 泰科技发展有限公司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股权形成的商誉所在资产 组组合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广东中广信资产评 估有限公司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谭赞兴</w:t>
            </w:r>
            <w:r>
              <w:rPr>
                <w:rFonts w:ascii="宋体" w:hAnsi="宋体" w:cs="宋体" w:eastAsia="宋体" w:hint="default"/>
                <w:spacing w:val="-7"/>
                <w:sz w:val="18"/>
                <w:szCs w:val="18"/>
              </w:rPr>
              <w:t> </w:t>
            </w:r>
            <w:r>
              <w:rPr>
                <w:rFonts w:ascii="宋体" w:hAnsi="宋体" w:cs="宋体" w:eastAsia="宋体" w:hint="default"/>
                <w:sz w:val="18"/>
                <w:szCs w:val="18"/>
              </w:rPr>
              <w:t>、黄爱娟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中广信评报字</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可收回金额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4"/>
                <w:sz w:val="18"/>
                <w:szCs w:val="18"/>
              </w:rPr>
              <w:t>在持续经营前提下，商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誉所在资产组组合可 收回价值为可收回金 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93,570.00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是否存在减值迹象" w:id="475"/>
      <w:bookmarkEnd w:id="475"/>
      <w:r>
        <w:rPr>
          <w:b w:val="0"/>
          <w:bCs w:val="0"/>
        </w:rPr>
      </w:r>
      <w:r>
        <w:rPr/>
        <w:t>三、是否存在减值迹象</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1625"/>
        <w:gridCol w:w="850"/>
        <w:gridCol w:w="1375"/>
        <w:gridCol w:w="924"/>
        <w:gridCol w:w="1227"/>
        <w:gridCol w:w="876"/>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是否存在减值迹象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是否计提减值</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减值依据</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2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 并购广州华炜科技有限公司形成 的商誉所在资产组组合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其他减值迹象</w:t>
            </w:r>
          </w:p>
        </w:tc>
        <w:tc>
          <w:tcPr>
            <w:tcW w:w="85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4"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7"/>
              <w:jc w:val="center"/>
              <w:rPr>
                <w:rFonts w:ascii="宋体" w:hAnsi="宋体" w:cs="宋体" w:eastAsia="宋体" w:hint="default"/>
                <w:sz w:val="18"/>
                <w:szCs w:val="18"/>
              </w:rPr>
            </w:pPr>
            <w:r>
              <w:rPr>
                <w:rFonts w:ascii="宋体" w:hAnsi="宋体" w:cs="宋体" w:eastAsia="宋体" w:hint="default"/>
                <w:sz w:val="18"/>
                <w:szCs w:val="18"/>
              </w:rPr>
              <w:t>专项评估报告</w:t>
            </w:r>
          </w:p>
        </w:tc>
        <w:tc>
          <w:tcPr>
            <w:tcW w:w="8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 并购中经汇通电子商务有限公司 和汇通宝支付有限责任公司形成 的商誉所在资产组组合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其他减值迹象</w:t>
            </w:r>
          </w:p>
        </w:tc>
        <w:tc>
          <w:tcPr>
            <w:tcW w:w="85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4"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z w:val="18"/>
                <w:szCs w:val="18"/>
              </w:rPr>
              <w:t>专项评估报告</w:t>
            </w:r>
          </w:p>
        </w:tc>
        <w:tc>
          <w:tcPr>
            <w:tcW w:w="87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 收购深圳市蓝盾满泰科技发展有 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股权形成的商誉所在 资产组组合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不存在减值迹象</w:t>
            </w:r>
          </w:p>
        </w:tc>
        <w:tc>
          <w:tcPr>
            <w:tcW w:w="85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z w:val="18"/>
                <w:szCs w:val="18"/>
              </w:rPr>
              <w:t>专项评估报告</w:t>
            </w:r>
          </w:p>
        </w:tc>
        <w:tc>
          <w:tcPr>
            <w:tcW w:w="8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1133"/>
        <w:jc w:val="left"/>
        <w:rPr>
          <w:b w:val="0"/>
          <w:bCs w:val="0"/>
        </w:rPr>
      </w:pPr>
      <w:bookmarkStart w:name="四、商誉分摊情况" w:id="476"/>
      <w:bookmarkEnd w:id="476"/>
      <w:r>
        <w:rPr>
          <w:b w:val="0"/>
          <w:bCs w:val="0"/>
        </w:rPr>
      </w:r>
      <w:r>
        <w:rPr/>
        <w:t>四、商誉分摊情况</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58"/>
        <w:gridCol w:w="1899"/>
        <w:gridCol w:w="1738"/>
        <w:gridCol w:w="1438"/>
        <w:gridCol w:w="1676"/>
        <w:gridCol w:w="1262"/>
      </w:tblGrid>
      <w:tr>
        <w:trPr>
          <w:trHeight w:val="715" w:hRule="exact"/>
        </w:trPr>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5" w:right="41" w:hanging="720"/>
              <w:jc w:val="left"/>
              <w:rPr>
                <w:rFonts w:ascii="宋体" w:hAnsi="宋体" w:cs="宋体" w:eastAsia="宋体" w:hint="default"/>
                <w:sz w:val="18"/>
                <w:szCs w:val="18"/>
              </w:rPr>
            </w:pPr>
            <w:r>
              <w:rPr>
                <w:rFonts w:ascii="宋体" w:hAnsi="宋体" w:cs="宋体" w:eastAsia="宋体" w:hint="default"/>
                <w:sz w:val="18"/>
                <w:szCs w:val="18"/>
              </w:rPr>
              <w:t>资产组或资产组组合的 构成</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1" w:hanging="360"/>
              <w:jc w:val="left"/>
              <w:rPr>
                <w:rFonts w:ascii="宋体" w:hAnsi="宋体" w:cs="宋体" w:eastAsia="宋体" w:hint="default"/>
                <w:sz w:val="18"/>
                <w:szCs w:val="18"/>
              </w:rPr>
            </w:pPr>
            <w:r>
              <w:rPr>
                <w:rFonts w:ascii="宋体" w:hAnsi="宋体" w:cs="宋体" w:eastAsia="宋体" w:hint="default"/>
                <w:sz w:val="18"/>
                <w:szCs w:val="18"/>
              </w:rPr>
              <w:t>资产组或资产组组合 的确定方法</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3"/>
              <w:jc w:val="left"/>
              <w:rPr>
                <w:rFonts w:ascii="宋体" w:hAnsi="宋体" w:cs="宋体" w:eastAsia="宋体" w:hint="default"/>
                <w:sz w:val="18"/>
                <w:szCs w:val="18"/>
              </w:rPr>
            </w:pPr>
            <w:r>
              <w:rPr>
                <w:rFonts w:ascii="宋体" w:hAnsi="宋体" w:cs="宋体" w:eastAsia="宋体" w:hint="default"/>
                <w:sz w:val="18"/>
                <w:szCs w:val="18"/>
              </w:rPr>
              <w:t>资产组或资产组 组合的账面金额</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商誉分摊方法</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分摊商誉原值</w:t>
            </w:r>
          </w:p>
        </w:tc>
      </w:tr>
      <w:tr>
        <w:trPr>
          <w:trHeight w:val="227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82"/>
              <w:jc w:val="both"/>
              <w:rPr>
                <w:rFonts w:ascii="宋体" w:hAnsi="宋体" w:cs="宋体" w:eastAsia="宋体" w:hint="default"/>
                <w:sz w:val="18"/>
                <w:szCs w:val="18"/>
              </w:rPr>
            </w:pPr>
            <w:r>
              <w:rPr>
                <w:rFonts w:ascii="宋体" w:hAnsi="宋体" w:cs="宋体" w:eastAsia="宋体" w:hint="default"/>
                <w:sz w:val="18"/>
                <w:szCs w:val="18"/>
              </w:rPr>
              <w:t>蓝盾信息安全技术 股份有限公司并购 广州华炜科技有限 公司形成的商誉所 在资产组组合</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3"/>
              <w:jc w:val="both"/>
              <w:rPr>
                <w:rFonts w:ascii="宋体" w:hAnsi="宋体" w:cs="宋体" w:eastAsia="宋体" w:hint="default"/>
                <w:sz w:val="18"/>
                <w:szCs w:val="18"/>
              </w:rPr>
            </w:pPr>
            <w:r>
              <w:rPr>
                <w:rFonts w:ascii="宋体" w:hAnsi="宋体" w:cs="宋体" w:eastAsia="宋体" w:hint="default"/>
                <w:sz w:val="18"/>
                <w:szCs w:val="18"/>
              </w:rPr>
              <w:t>蓝盾股份并购华炜科技 形成的商誉相关的资产 组组合分为两部分，即 除新铂铼以外的华炜科 技资产组组合及新铂铼 资产组组合。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1"/>
              <w:jc w:val="both"/>
              <w:rPr>
                <w:rFonts w:ascii="宋体" w:hAnsi="宋体" w:cs="宋体" w:eastAsia="宋体" w:hint="default"/>
                <w:sz w:val="18"/>
                <w:szCs w:val="18"/>
              </w:rPr>
            </w:pPr>
            <w:r>
              <w:rPr>
                <w:rFonts w:ascii="宋体" w:hAnsi="宋体" w:cs="宋体" w:eastAsia="宋体" w:hint="default"/>
                <w:sz w:val="18"/>
                <w:szCs w:val="18"/>
              </w:rPr>
              <w:t>考虑管理层对生产经 营活动的管理或监控 方式和对资产的持续 使用或处置的决策方 式，认定的资产组或 资产组组合应能够独 立产生现金流量</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77,634,825.21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0"/>
              <w:jc w:val="both"/>
              <w:rPr>
                <w:rFonts w:ascii="宋体" w:hAnsi="宋体" w:cs="宋体" w:eastAsia="宋体" w:hint="default"/>
                <w:sz w:val="18"/>
                <w:szCs w:val="18"/>
              </w:rPr>
            </w:pPr>
            <w:r>
              <w:rPr>
                <w:rFonts w:ascii="宋体" w:hAnsi="宋体" w:cs="宋体" w:eastAsia="宋体" w:hint="default"/>
                <w:sz w:val="18"/>
                <w:szCs w:val="18"/>
              </w:rPr>
              <w:t>根据购买日资产组 组合各自账面公允 价值占资产组组合 合计账面公允价值 的比例对商誉进行 分摊</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131,421,052.17</w:t>
            </w:r>
          </w:p>
        </w:tc>
      </w:tr>
      <w:tr>
        <w:trPr>
          <w:trHeight w:val="227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蓝盾信息安全技术 股份有限公司并购 中经汇通电子商务 有限公司和汇通宝 支付有限责任公司 形成的商誉所在资 产组组合</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仅包含蓝盾信息安全技 术股份有限公司拟对并 购中经汇通电子商务有 限公司和汇通宝支付有 限责任公司形成的商誉 进行减值测试涉及的该 商誉所在资产组组合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1"/>
              <w:jc w:val="both"/>
              <w:rPr>
                <w:rFonts w:ascii="宋体" w:hAnsi="宋体" w:cs="宋体" w:eastAsia="宋体" w:hint="default"/>
                <w:sz w:val="18"/>
                <w:szCs w:val="18"/>
              </w:rPr>
            </w:pPr>
            <w:r>
              <w:rPr>
                <w:rFonts w:ascii="宋体" w:hAnsi="宋体" w:cs="宋体" w:eastAsia="宋体" w:hint="default"/>
                <w:sz w:val="18"/>
                <w:szCs w:val="18"/>
              </w:rPr>
              <w:t>考虑管理层对生产经 营活动的管理或监控 方式和对资产的持续 使用或处置的决策方 式，认定的资产组或 资产组组合应能够独 立产生现金流量</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1,011,028,593.86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0"/>
              <w:jc w:val="both"/>
              <w:rPr>
                <w:rFonts w:ascii="宋体" w:hAnsi="宋体" w:cs="宋体" w:eastAsia="宋体" w:hint="default"/>
                <w:sz w:val="18"/>
                <w:szCs w:val="18"/>
              </w:rPr>
            </w:pPr>
            <w:r>
              <w:rPr>
                <w:rFonts w:ascii="宋体" w:hAnsi="宋体" w:cs="宋体" w:eastAsia="宋体" w:hint="default"/>
                <w:sz w:val="18"/>
                <w:szCs w:val="18"/>
              </w:rPr>
              <w:t>根据购买日资产组 组合各自账面公允 价值占资产组组合 合计账面公允价值 的比例对商誉进行 分摊</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619,661,612.64</w:t>
            </w:r>
          </w:p>
        </w:tc>
      </w:tr>
      <w:tr>
        <w:trPr>
          <w:trHeight w:val="227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蓝盾信息安全技术 股份有限公司收购 深圳市蓝盾满泰科 技发展有限公司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股权形成的商 誉所在资产组组合</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仅包含蓝盾信息安全技 术股份有限公司拟对收 购深圳市蓝盾满泰科技 发展有限公司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 形成的商誉进行减值测 试涉及的该商誉所在资 产组组合</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1"/>
              <w:jc w:val="both"/>
              <w:rPr>
                <w:rFonts w:ascii="宋体" w:hAnsi="宋体" w:cs="宋体" w:eastAsia="宋体" w:hint="default"/>
                <w:sz w:val="18"/>
                <w:szCs w:val="18"/>
              </w:rPr>
            </w:pPr>
            <w:r>
              <w:rPr>
                <w:rFonts w:ascii="宋体" w:hAnsi="宋体" w:cs="宋体" w:eastAsia="宋体" w:hint="default"/>
                <w:sz w:val="18"/>
                <w:szCs w:val="18"/>
              </w:rPr>
              <w:t>考虑管理层对生产经 营活动的管理或监控 方式和对资产的持续 使用或处置的决策方 式，认定的资产组或 资产组组合应能够独 立产生现金流量</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932,449,186.81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0"/>
              <w:jc w:val="both"/>
              <w:rPr>
                <w:rFonts w:ascii="宋体" w:hAnsi="宋体" w:cs="宋体" w:eastAsia="宋体" w:hint="default"/>
                <w:sz w:val="18"/>
                <w:szCs w:val="18"/>
              </w:rPr>
            </w:pPr>
            <w:r>
              <w:rPr>
                <w:rFonts w:ascii="宋体" w:hAnsi="宋体" w:cs="宋体" w:eastAsia="宋体" w:hint="default"/>
                <w:sz w:val="18"/>
                <w:szCs w:val="18"/>
              </w:rPr>
              <w:t>根据购买日资产组 组合各自账面公允 价值占资产组组合 合计账面公允价值 的比例对商誉进行 分摊</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822,643,361.47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资产组或资产组组合的确定方法是否与以前年度存在差异</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五、商誉减值测试过程" w:id="477"/>
      <w:bookmarkEnd w:id="477"/>
      <w:r>
        <w:rPr>
          <w:b w:val="0"/>
          <w:bCs w:val="0"/>
        </w:rPr>
      </w:r>
      <w:r>
        <w:rPr/>
        <w:t>五、商誉减值测试过程</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重要假设及其理由" w:id="478"/>
      <w:bookmarkEnd w:id="478"/>
      <w:r>
        <w:rPr>
          <w:b w:val="0"/>
          <w:bCs w:val="0"/>
        </w:rPr>
      </w:r>
      <w:r>
        <w:rPr>
          <w:rFonts w:ascii="Times New Roman" w:hAnsi="Times New Roman" w:cs="Times New Roman" w:eastAsia="Times New Roman" w:hint="default"/>
        </w:rPr>
        <w:t>1</w:t>
      </w:r>
      <w:r>
        <w:rPr/>
        <w:t>、重要假设及其理由</w:t>
      </w:r>
      <w:r>
        <w:rPr>
          <w:b w:val="0"/>
          <w:bCs w:val="0"/>
        </w:rPr>
      </w:r>
    </w:p>
    <w:p>
      <w:pPr>
        <w:spacing w:line="240" w:lineRule="auto" w:before="5"/>
        <w:rPr>
          <w:rFonts w:ascii="宋体" w:hAnsi="宋体" w:cs="宋体" w:eastAsia="宋体" w:hint="default"/>
          <w:b/>
          <w:bCs/>
          <w:sz w:val="31"/>
          <w:szCs w:val="31"/>
        </w:rPr>
      </w:pPr>
    </w:p>
    <w:p>
      <w:pPr>
        <w:pStyle w:val="BodyText"/>
        <w:spacing w:line="348" w:lineRule="auto"/>
        <w:ind w:left="573" w:right="1133"/>
        <w:jc w:val="left"/>
      </w:pPr>
      <w:r>
        <w:rPr/>
        <w:t>（一）一般假设</w:t>
      </w:r>
      <w:r>
        <w:rPr>
          <w:spacing w:val="-103"/>
        </w:rPr>
        <w:t> </w:t>
      </w:r>
      <w:r>
        <w:rPr>
          <w:spacing w:val="-103"/>
        </w:rPr>
      </w:r>
      <w:r>
        <w:rPr>
          <w:rFonts w:ascii="宋体" w:hAnsi="宋体" w:cs="宋体" w:eastAsia="宋体" w:hint="default"/>
          <w:spacing w:val="-2"/>
        </w:rPr>
        <w:t>1</w:t>
      </w:r>
      <w:r>
        <w:rPr>
          <w:spacing w:val="-2"/>
        </w:rPr>
        <w:t>、法律法规政策稳定假设：国家对被评估对象所处行业的有关法律法规和政策在预期无重大变化；</w:t>
      </w:r>
    </w:p>
    <w:p>
      <w:pPr>
        <w:pStyle w:val="BodyText"/>
        <w:spacing w:line="350" w:lineRule="auto" w:before="31"/>
        <w:ind w:right="1133" w:firstLine="420"/>
        <w:jc w:val="left"/>
      </w:pPr>
      <w:r>
        <w:rPr>
          <w:rFonts w:ascii="宋体" w:hAnsi="宋体" w:cs="宋体" w:eastAsia="宋体" w:hint="default"/>
        </w:rPr>
        <w:t>2</w:t>
      </w:r>
      <w:r>
        <w:rPr/>
        <w:t>、经济环境稳定假设：是假定评估基准日后国家现行的有关法律法规及政策、国家宏观经济形势无</w:t>
      </w:r>
      <w:r>
        <w:rPr>
          <w:w w:val="100"/>
        </w:rPr>
        <w:t> </w:t>
      </w:r>
      <w:r>
        <w:rPr/>
        <w:t>重大变化，本次交易各方所处地区的政治、经济和社会环境无重大变化；</w:t>
      </w:r>
    </w:p>
    <w:p>
      <w:pPr>
        <w:pStyle w:val="BodyText"/>
        <w:spacing w:line="350" w:lineRule="auto" w:before="27"/>
        <w:ind w:right="1133" w:firstLine="420"/>
        <w:jc w:val="left"/>
      </w:pPr>
      <w:r>
        <w:rPr>
          <w:rFonts w:ascii="宋体" w:hAnsi="宋体" w:cs="宋体" w:eastAsia="宋体" w:hint="default"/>
        </w:rPr>
        <w:t>3</w:t>
      </w:r>
      <w:r>
        <w:rPr/>
        <w:t>、经济政策无重大变化假设：是假定国家有关利率、汇率、赋税基准及税率、政策性征收费用等不</w:t>
      </w:r>
      <w:r>
        <w:rPr>
          <w:w w:val="100"/>
        </w:rPr>
        <w:t> </w:t>
      </w:r>
      <w:r>
        <w:rPr/>
        <w:t>发生重大变化；</w:t>
      </w:r>
    </w:p>
    <w:p>
      <w:pPr>
        <w:pStyle w:val="BodyText"/>
        <w:spacing w:line="348" w:lineRule="auto" w:before="29"/>
        <w:ind w:right="1133" w:firstLine="420"/>
        <w:jc w:val="left"/>
      </w:pPr>
      <w:r>
        <w:rPr>
          <w:rFonts w:ascii="宋体" w:hAnsi="宋体" w:cs="宋体" w:eastAsia="宋体" w:hint="default"/>
        </w:rPr>
        <w:t>4</w:t>
      </w:r>
      <w:r>
        <w:rPr/>
        <w:t>、无不利影响假设：是假定无其他人力不可抗拒因素及不可预见因素对委托人的待估企业造成重大</w:t>
      </w:r>
      <w:r>
        <w:rPr>
          <w:w w:val="100"/>
        </w:rPr>
        <w:t> </w:t>
      </w:r>
      <w:r>
        <w:rPr/>
        <w:t>不利影响；</w:t>
      </w:r>
    </w:p>
    <w:p>
      <w:pPr>
        <w:spacing w:after="0" w:line="348" w:lineRule="auto"/>
        <w:jc w:val="left"/>
        <w:sectPr>
          <w:pgSz w:w="11910" w:h="16840"/>
          <w:pgMar w:header="0"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left="573" w:right="1133"/>
        <w:jc w:val="left"/>
      </w:pPr>
      <w:r>
        <w:rPr>
          <w:rFonts w:ascii="宋体" w:hAnsi="宋体" w:cs="宋体" w:eastAsia="宋体" w:hint="default"/>
        </w:rPr>
        <w:t>5</w:t>
      </w:r>
      <w:r>
        <w:rPr/>
        <w:t>、无瑕疵假设：是假定被评估对象无权属瑕疵事项，或存在的权属瑕疵事项已全部揭示。</w:t>
      </w:r>
    </w:p>
    <w:p>
      <w:pPr>
        <w:pStyle w:val="BodyText"/>
        <w:spacing w:line="348" w:lineRule="auto" w:before="126"/>
        <w:ind w:left="573" w:right="1133"/>
        <w:jc w:val="left"/>
      </w:pPr>
      <w:r>
        <w:rPr/>
        <w:t>（二）经营假设</w:t>
      </w:r>
      <w:r>
        <w:rPr>
          <w:spacing w:val="-103"/>
        </w:rPr>
        <w:t> </w:t>
      </w:r>
      <w:r>
        <w:rPr>
          <w:spacing w:val="-103"/>
        </w:rPr>
      </w:r>
      <w:r>
        <w:rPr>
          <w:rFonts w:ascii="宋体" w:hAnsi="宋体" w:cs="宋体" w:eastAsia="宋体" w:hint="default"/>
          <w:spacing w:val="-2"/>
        </w:rPr>
        <w:t>1</w:t>
      </w:r>
      <w:r>
        <w:rPr>
          <w:spacing w:val="-2"/>
        </w:rPr>
        <w:t>、假设评估对象未来收益期不发生对其经营业绩产生重大影响的诉讼、抵押、担保等事项；</w:t>
      </w:r>
    </w:p>
    <w:p>
      <w:pPr>
        <w:pStyle w:val="BodyText"/>
        <w:spacing w:line="240" w:lineRule="auto" w:before="31"/>
        <w:ind w:left="573" w:right="1133"/>
        <w:jc w:val="left"/>
      </w:pPr>
      <w:r>
        <w:rPr>
          <w:rFonts w:ascii="宋体" w:hAnsi="宋体" w:cs="宋体" w:eastAsia="宋体" w:hint="default"/>
        </w:rPr>
        <w:t>2</w:t>
      </w:r>
      <w:r>
        <w:rPr/>
        <w:t>、持续使用假设：假设评估对象在未来预测期持续经营、评估范围内资产持续使用；</w:t>
      </w:r>
    </w:p>
    <w:p>
      <w:pPr>
        <w:pStyle w:val="BodyText"/>
        <w:spacing w:line="348" w:lineRule="auto" w:before="126"/>
        <w:ind w:right="1133" w:firstLine="420"/>
        <w:jc w:val="left"/>
      </w:pPr>
      <w:r>
        <w:rPr>
          <w:rFonts w:ascii="宋体" w:hAnsi="宋体" w:cs="宋体" w:eastAsia="宋体" w:hint="default"/>
        </w:rPr>
        <w:t>3</w:t>
      </w:r>
      <w:r>
        <w:rPr/>
        <w:t>、一致假设：假设预测期内评估对象所采用的会计政策与评估基准日在重大方面保持一致，具有连</w:t>
      </w:r>
      <w:r>
        <w:rPr>
          <w:w w:val="100"/>
        </w:rPr>
        <w:t> </w:t>
      </w:r>
      <w:r>
        <w:rPr/>
        <w:t>续性和可比性；</w:t>
      </w:r>
    </w:p>
    <w:p>
      <w:pPr>
        <w:pStyle w:val="BodyText"/>
        <w:spacing w:line="240" w:lineRule="auto" w:before="31"/>
        <w:ind w:left="573" w:right="1133"/>
        <w:jc w:val="left"/>
      </w:pPr>
      <w:r>
        <w:rPr>
          <w:rFonts w:ascii="宋体" w:hAnsi="宋体" w:cs="宋体" w:eastAsia="宋体" w:hint="default"/>
        </w:rPr>
        <w:t>4</w:t>
      </w:r>
      <w:r>
        <w:rPr/>
        <w:t>、业务稳定假设：假设经营项目和服务基本保持不变，或其变化可作出预期并可能实现；</w:t>
      </w:r>
    </w:p>
    <w:p>
      <w:pPr>
        <w:pStyle w:val="BodyText"/>
        <w:spacing w:line="350" w:lineRule="auto" w:before="126"/>
        <w:ind w:right="982" w:firstLine="420"/>
        <w:jc w:val="left"/>
      </w:pPr>
      <w:r>
        <w:rPr>
          <w:rFonts w:ascii="宋体" w:hAnsi="宋体" w:cs="宋体" w:eastAsia="宋体" w:hint="default"/>
          <w:spacing w:val="-2"/>
        </w:rPr>
        <w:t>5</w:t>
      </w:r>
      <w:r>
        <w:rPr>
          <w:spacing w:val="-2"/>
        </w:rPr>
        <w:t>、方向一致假设：假设未来预测期评估对象经营相关当事人是负责的，且管理层有能力担当其责任，</w:t>
      </w:r>
      <w:r>
        <w:rPr>
          <w:w w:val="100"/>
        </w:rPr>
        <w:t> </w:t>
      </w:r>
      <w:r>
        <w:rPr/>
        <w:t>在预测期主要管理人员和技术人员基于评估基准日状况，不发生影响其经营变动的重大变更，管理团队稳</w:t>
      </w:r>
      <w:r>
        <w:rPr>
          <w:w w:val="100"/>
        </w:rPr>
        <w:t> </w:t>
      </w:r>
      <w:r>
        <w:rPr/>
        <w:t>定发展，管理制度不发生影响其经营的重大变动；</w:t>
      </w:r>
    </w:p>
    <w:p>
      <w:pPr>
        <w:pStyle w:val="BodyText"/>
        <w:spacing w:line="348" w:lineRule="auto" w:before="29"/>
        <w:ind w:right="1133" w:firstLine="420"/>
        <w:jc w:val="left"/>
      </w:pPr>
      <w:r>
        <w:rPr>
          <w:rFonts w:ascii="宋体" w:hAnsi="宋体" w:cs="宋体" w:eastAsia="宋体" w:hint="default"/>
        </w:rPr>
        <w:t>6</w:t>
      </w:r>
      <w:r>
        <w:rPr/>
        <w:t>、简单再生产假设：假设评估对象每年计提的固定资产折旧可以满足评估对象维持固定资产规模所</w:t>
      </w:r>
      <w:r>
        <w:rPr>
          <w:w w:val="100"/>
        </w:rPr>
        <w:t> </w:t>
      </w:r>
      <w:r>
        <w:rPr/>
        <w:t>需投入的更新支出，此种措施足以保持评估对象的经营生产能力得以持续；</w:t>
      </w:r>
    </w:p>
    <w:p>
      <w:pPr>
        <w:pStyle w:val="BodyText"/>
        <w:spacing w:line="240" w:lineRule="auto" w:before="31"/>
        <w:ind w:left="573" w:right="1133"/>
        <w:jc w:val="left"/>
      </w:pPr>
      <w:r>
        <w:rPr>
          <w:rFonts w:ascii="宋体" w:hAnsi="宋体" w:cs="宋体" w:eastAsia="宋体" w:hint="default"/>
        </w:rPr>
        <w:t>7</w:t>
      </w:r>
      <w:r>
        <w:rPr/>
        <w:t>、现金流方向假设：假设评估对象预测期现金流取得方式为期中取得。</w:t>
      </w:r>
    </w:p>
    <w:p>
      <w:pPr>
        <w:pStyle w:val="BodyText"/>
        <w:spacing w:line="348" w:lineRule="auto" w:before="126"/>
        <w:ind w:left="573" w:right="2602"/>
        <w:jc w:val="left"/>
      </w:pPr>
      <w:r>
        <w:rPr/>
        <w:t>（三）特定假设</w:t>
      </w:r>
      <w:r>
        <w:rPr>
          <w:spacing w:val="-103"/>
        </w:rPr>
        <w:t> </w:t>
      </w:r>
      <w:r>
        <w:rPr>
          <w:spacing w:val="-103"/>
        </w:rPr>
      </w:r>
      <w:r>
        <w:rPr>
          <w:rFonts w:ascii="宋体" w:hAnsi="宋体" w:cs="宋体" w:eastAsia="宋体" w:hint="default"/>
          <w:spacing w:val="-2"/>
        </w:rPr>
        <w:t>1</w:t>
      </w:r>
      <w:r>
        <w:rPr>
          <w:spacing w:val="-2"/>
        </w:rPr>
        <w:t>、假设评估对象所涉及资产的购置、取得等过程均符合国家有关法律法规规定；</w:t>
      </w:r>
    </w:p>
    <w:p>
      <w:pPr>
        <w:pStyle w:val="BodyText"/>
        <w:spacing w:line="350" w:lineRule="auto" w:before="31"/>
        <w:ind w:right="1133" w:firstLine="420"/>
        <w:jc w:val="left"/>
      </w:pPr>
      <w:r>
        <w:rPr>
          <w:rFonts w:ascii="宋体" w:hAnsi="宋体" w:cs="宋体" w:eastAsia="宋体" w:hint="default"/>
        </w:rPr>
        <w:t>2</w:t>
      </w:r>
      <w:r>
        <w:rPr/>
        <w:t>、除已披露情况外，假设评估对象所涉及资产按目前的或既定用途、目的和使用的方式、规模、频</w:t>
      </w:r>
      <w:r>
        <w:rPr>
          <w:w w:val="100"/>
        </w:rPr>
        <w:t> </w:t>
      </w:r>
      <w:r>
        <w:rPr/>
        <w:t>率继续使用；</w:t>
      </w:r>
    </w:p>
    <w:p>
      <w:pPr>
        <w:pStyle w:val="BodyText"/>
        <w:spacing w:line="240" w:lineRule="auto" w:before="27"/>
        <w:ind w:left="573" w:right="1133"/>
        <w:jc w:val="left"/>
      </w:pPr>
      <w:r>
        <w:rPr>
          <w:rFonts w:ascii="宋体" w:hAnsi="宋体" w:cs="宋体" w:eastAsia="宋体" w:hint="default"/>
        </w:rPr>
        <w:t>3</w:t>
      </w:r>
      <w:r>
        <w:rPr/>
        <w:t>、除已披露情况外，假设评估对象所涉及资产不存在抵押、诉讼查封等情况；</w:t>
      </w:r>
    </w:p>
    <w:p>
      <w:pPr>
        <w:pStyle w:val="BodyText"/>
        <w:spacing w:line="350" w:lineRule="auto" w:before="126"/>
        <w:ind w:right="1133" w:firstLine="420"/>
        <w:jc w:val="left"/>
      </w:pPr>
      <w:r>
        <w:rPr>
          <w:rFonts w:ascii="宋体" w:hAnsi="宋体" w:cs="宋体" w:eastAsia="宋体" w:hint="default"/>
        </w:rPr>
        <w:t>4</w:t>
      </w:r>
      <w:r>
        <w:rPr/>
        <w:t>、假设评估对象所涉及资产产权清晰，不涉及任何留置权、地役权，没有受侵犯或无其他负担性限</w:t>
      </w:r>
      <w:r>
        <w:rPr>
          <w:w w:val="100"/>
        </w:rPr>
        <w:t> </w:t>
      </w:r>
      <w:r>
        <w:rPr/>
        <w:t>制，没有可能存在未支付购置款等连带负债及估价范围以外的法律问题；</w:t>
      </w:r>
    </w:p>
    <w:p>
      <w:pPr>
        <w:pStyle w:val="BodyText"/>
        <w:spacing w:line="350" w:lineRule="auto" w:before="27"/>
        <w:ind w:right="1126" w:firstLine="420"/>
        <w:jc w:val="both"/>
      </w:pPr>
      <w:r>
        <w:rPr>
          <w:rFonts w:ascii="宋体" w:hAnsi="宋体" w:cs="宋体" w:eastAsia="宋体" w:hint="default"/>
        </w:rPr>
        <w:t>5</w:t>
      </w:r>
      <w:r>
        <w:rPr/>
        <w:t>、除被告知或披露的情况以外，评估对象及其所涉及的设备等有形资产无影响其持续使用的重大技</w:t>
      </w:r>
      <w:r>
        <w:rPr>
          <w:w w:val="100"/>
        </w:rPr>
        <w:t> </w:t>
      </w:r>
      <w:r>
        <w:rPr>
          <w:spacing w:val="-2"/>
        </w:rPr>
        <w:t>术故障，该等资产中不存在对其价值有不利影响物质，该等资产所在地无危险物及其他有害环境条件对该</w:t>
      </w:r>
      <w:r>
        <w:rPr>
          <w:spacing w:val="-44"/>
        </w:rPr>
        <w:t> </w:t>
      </w:r>
      <w:r>
        <w:rPr>
          <w:spacing w:val="-44"/>
        </w:rPr>
      </w:r>
      <w:r>
        <w:rPr/>
        <w:t>等资产价值产生不利影响。</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bookmarkStart w:name="2、整体资产组或资产组组合账面价值" w:id="479"/>
      <w:bookmarkEnd w:id="479"/>
      <w:r>
        <w:rPr>
          <w:b w:val="0"/>
          <w:bCs w:val="0"/>
        </w:rPr>
      </w:r>
      <w:r>
        <w:rPr>
          <w:rFonts w:ascii="Times New Roman" w:hAnsi="Times New Roman" w:cs="Times New Roman" w:eastAsia="Times New Roman" w:hint="default"/>
        </w:rPr>
        <w:t>2</w:t>
      </w:r>
      <w:r>
        <w:rPr/>
        <w:t>、整体资产组或资产组组合账面价值</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212"/>
        <w:gridCol w:w="1049"/>
        <w:gridCol w:w="1226"/>
        <w:gridCol w:w="1361"/>
        <w:gridCol w:w="1426"/>
      </w:tblGrid>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资产组名称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归属于母公司 股东的商誉账 面价值</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归属于少数 股东的商誉 账面价值</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9" w:right="65" w:hanging="360"/>
              <w:jc w:val="left"/>
              <w:rPr>
                <w:rFonts w:ascii="宋体" w:hAnsi="宋体" w:cs="宋体" w:eastAsia="宋体" w:hint="default"/>
                <w:sz w:val="18"/>
                <w:szCs w:val="18"/>
              </w:rPr>
            </w:pPr>
            <w:r>
              <w:rPr>
                <w:rFonts w:ascii="宋体" w:hAnsi="宋体" w:cs="宋体" w:eastAsia="宋体" w:hint="default"/>
                <w:sz w:val="18"/>
                <w:szCs w:val="18"/>
              </w:rPr>
              <w:t>全部商誉账面 价值</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4"/>
              <w:jc w:val="center"/>
              <w:rPr>
                <w:rFonts w:ascii="宋体" w:hAnsi="宋体" w:cs="宋体" w:eastAsia="宋体" w:hint="default"/>
                <w:sz w:val="18"/>
                <w:szCs w:val="18"/>
              </w:rPr>
            </w:pPr>
            <w:r>
              <w:rPr>
                <w:rFonts w:ascii="宋体" w:hAnsi="宋体" w:cs="宋体" w:eastAsia="宋体" w:hint="default"/>
                <w:sz w:val="18"/>
                <w:szCs w:val="18"/>
              </w:rPr>
              <w:t>资产组或资产组 组合内其他资产 账面价值</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包含商誉的资产 组或资产组组合 账面价值</w:t>
            </w: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蓝盾信息安全技术股份有限公司并购广 州华炜科技有限公司形成的商誉所在资 产组组合</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131,421,052.17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131,421,052.17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77,634,825.21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209,055,877.38</w:t>
            </w:r>
          </w:p>
        </w:tc>
      </w:tr>
      <w:tr>
        <w:trPr>
          <w:trHeight w:val="1337"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蓝盾信息安全技术股份有限公司并购中 经汇通电子商务有限公司和汇通宝支付 有限责任公司形成的商誉所在资产组组 合</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619,661,612.64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619,661,612.64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391,366,981.22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1,011,028,593.86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296"/>
        <w:gridCol w:w="1212"/>
        <w:gridCol w:w="1049"/>
        <w:gridCol w:w="1226"/>
        <w:gridCol w:w="1361"/>
        <w:gridCol w:w="1426"/>
      </w:tblGrid>
      <w:tr>
        <w:trPr>
          <w:trHeight w:val="1028"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蓝盾信息安全技术股份有限公司收购深 圳市蓝盾满泰科技发展有限公司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 形成的商誉所在资产组组合</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493,586,016.88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329,057,344.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822,643,361.47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109,805,825.34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932,449,186.81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可收回金额" w:id="480"/>
      <w:bookmarkEnd w:id="480"/>
      <w:r>
        <w:rPr>
          <w:b w:val="0"/>
          <w:bCs w:val="0"/>
        </w:rPr>
      </w:r>
      <w:r>
        <w:rPr>
          <w:rFonts w:ascii="Times New Roman" w:hAnsi="Times New Roman" w:cs="Times New Roman" w:eastAsia="Times New Roman" w:hint="default"/>
        </w:rPr>
        <w:t>3</w:t>
      </w:r>
      <w:r>
        <w:rPr/>
        <w:t>、可收回金额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公允价值减去处置费用后的净额" w:id="481"/>
      <w:bookmarkEnd w:id="481"/>
      <w:r>
        <w:rPr>
          <w:b w:val="0"/>
          <w:bCs w:val="0"/>
        </w:rPr>
      </w:r>
      <w:r>
        <w:rPr/>
        <w:t>（</w:t>
      </w:r>
      <w:r>
        <w:rPr>
          <w:rFonts w:ascii="Times New Roman" w:hAnsi="Times New Roman" w:cs="Times New Roman" w:eastAsia="Times New Roman" w:hint="default"/>
        </w:rPr>
        <w:t>1</w:t>
      </w:r>
      <w:r>
        <w:rPr/>
        <w:t>）公允价值减去处置费用后的净额</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
        <w:ind w:left="140" w:right="0"/>
        <w:jc w:val="left"/>
        <w:rPr>
          <w:b w:val="0"/>
          <w:bCs w:val="0"/>
        </w:rPr>
      </w:pPr>
      <w:bookmarkStart w:name="（2）预计未来现金净流量的现值" w:id="482"/>
      <w:bookmarkEnd w:id="482"/>
      <w:r>
        <w:rPr>
          <w:b w:val="0"/>
          <w:bCs w:val="0"/>
        </w:rPr>
      </w:r>
      <w:r>
        <w:rPr/>
        <w:t>（</w:t>
      </w:r>
      <w:r>
        <w:rPr>
          <w:rFonts w:ascii="Times New Roman" w:hAnsi="Times New Roman" w:cs="Times New Roman" w:eastAsia="Times New Roman" w:hint="default"/>
        </w:rPr>
        <w:t>2</w:t>
      </w:r>
      <w:r>
        <w:rPr/>
        <w:t>）预计未来现金净流量的现值</w:t>
      </w:r>
      <w:r>
        <w:rPr>
          <w:b w:val="0"/>
          <w:bCs w:val="0"/>
        </w:rPr>
      </w:r>
    </w:p>
    <w:p>
      <w:pPr>
        <w:spacing w:line="240" w:lineRule="auto" w:before="9"/>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11"/>
        <w:ind w:left="0" w:right="1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356"/>
        <w:gridCol w:w="725"/>
        <w:gridCol w:w="1102"/>
        <w:gridCol w:w="1337"/>
        <w:gridCol w:w="1313"/>
        <w:gridCol w:w="1126"/>
        <w:gridCol w:w="1010"/>
        <w:gridCol w:w="751"/>
        <w:gridCol w:w="1150"/>
        <w:gridCol w:w="792"/>
        <w:gridCol w:w="1274"/>
      </w:tblGrid>
      <w:tr>
        <w:trPr>
          <w:trHeight w:val="1051" w:hRule="exact"/>
        </w:trPr>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资产组名称</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预测期 间</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96" w:right="95"/>
              <w:jc w:val="left"/>
              <w:rPr>
                <w:rFonts w:ascii="宋体" w:hAnsi="宋体" w:cs="宋体" w:eastAsia="宋体" w:hint="default"/>
                <w:sz w:val="18"/>
                <w:szCs w:val="18"/>
              </w:rPr>
            </w:pPr>
            <w:r>
              <w:rPr>
                <w:rFonts w:ascii="宋体" w:hAnsi="宋体" w:cs="宋体" w:eastAsia="宋体" w:hint="default"/>
                <w:sz w:val="18"/>
                <w:szCs w:val="18"/>
              </w:rPr>
              <w:t>预测期营业 收入增长率</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预测期利润率</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预测期净利润</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稳定期间</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48" w:right="50"/>
              <w:jc w:val="left"/>
              <w:rPr>
                <w:rFonts w:ascii="宋体" w:hAnsi="宋体" w:cs="宋体" w:eastAsia="宋体" w:hint="default"/>
                <w:sz w:val="18"/>
                <w:szCs w:val="18"/>
              </w:rPr>
            </w:pPr>
            <w:r>
              <w:rPr>
                <w:rFonts w:ascii="宋体" w:hAnsi="宋体" w:cs="宋体" w:eastAsia="宋体" w:hint="default"/>
                <w:sz w:val="18"/>
                <w:szCs w:val="18"/>
              </w:rPr>
              <w:t>稳定期营业 收入增长率</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00" w:right="98"/>
              <w:jc w:val="left"/>
              <w:rPr>
                <w:rFonts w:ascii="宋体" w:hAnsi="宋体" w:cs="宋体" w:eastAsia="宋体" w:hint="default"/>
                <w:sz w:val="18"/>
                <w:szCs w:val="18"/>
              </w:rPr>
            </w:pPr>
            <w:r>
              <w:rPr>
                <w:rFonts w:ascii="宋体" w:hAnsi="宋体" w:cs="宋体" w:eastAsia="宋体" w:hint="default"/>
                <w:sz w:val="18"/>
                <w:szCs w:val="18"/>
              </w:rPr>
              <w:t>稳定期 利润率</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稳定期净利润</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19"/>
              <w:jc w:val="right"/>
              <w:rPr>
                <w:rFonts w:ascii="宋体" w:hAnsi="宋体" w:cs="宋体" w:eastAsia="宋体" w:hint="default"/>
                <w:sz w:val="18"/>
                <w:szCs w:val="18"/>
              </w:rPr>
            </w:pPr>
            <w:r>
              <w:rPr>
                <w:rFonts w:ascii="宋体" w:hAnsi="宋体" w:cs="宋体" w:eastAsia="宋体" w:hint="default"/>
                <w:sz w:val="18"/>
                <w:szCs w:val="18"/>
              </w:rPr>
              <w:t>折现率</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91" w:right="91"/>
              <w:jc w:val="left"/>
              <w:rPr>
                <w:rFonts w:ascii="宋体" w:hAnsi="宋体" w:cs="宋体" w:eastAsia="宋体" w:hint="default"/>
                <w:sz w:val="18"/>
                <w:szCs w:val="18"/>
              </w:rPr>
            </w:pPr>
            <w:r>
              <w:rPr>
                <w:rFonts w:ascii="宋体" w:hAnsi="宋体" w:cs="宋体" w:eastAsia="宋体" w:hint="default"/>
                <w:sz w:val="18"/>
                <w:szCs w:val="18"/>
              </w:rPr>
              <w:t>预计未来现金 净流量的现值</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蓝盾信息安全技术股份有限公司并购广州 华炜科技有限公司形成的商誉所在资产组 组合（除新铂铼以外）</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70.00%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9,495,300.00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67,342,900.00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-111,320,000.00</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蓝盾信息安全技术股份有限公司并购广州 华炜科技有限公司形成的商誉所在资产组 组合（除新铂铼以外）</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40.08%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13.08%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23,754,300.00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67,342,900.00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-22,060,000.00</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蓝盾信息安全技术股份有限公司并购广州 华炜科技有限公司形成的商誉所在资产组 组合（除新铂铼以外）</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33.85%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15.99%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38,858,500.00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67,342,900.00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-14,840,000.00</w:t>
            </w:r>
          </w:p>
        </w:tc>
      </w:tr>
      <w:tr>
        <w:trPr>
          <w:trHeight w:val="105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蓝盾信息安全技术股份有限公司并购广州 华炜科技有限公司形成的商誉所在资产组 组合（除新铂铼以外）</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31.36%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58,635,200.00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67,342,900.00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-9,960,000.00</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蓝盾信息安全技术股份有限公司并购广州 华炜科技有限公司形成的商誉所在资产组 组合（除新铂铼以外）</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15.25%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67,342,900.00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67,342,900.00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10,010,000.00</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4"/>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蓝盾信息安全技术股份有限公司并购中经 汇通电子商务有限公司和汇通宝支付有限 责任公司形成的商誉所在资产组组合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-3.70%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41.97%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158,881,000.00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270,440,000.0</w:t>
            </w:r>
          </w:p>
          <w:p>
            <w:pPr>
              <w:pStyle w:val="TableParagraph"/>
              <w:spacing w:line="240" w:lineRule="auto" w:before="114"/>
              <w:ind w:right="2"/>
              <w:jc w:val="center"/>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-927,256,714.12</w:t>
            </w:r>
          </w:p>
        </w:tc>
      </w:tr>
    </w:tbl>
    <w:p>
      <w:pPr>
        <w:spacing w:after="0" w:line="240" w:lineRule="auto"/>
        <w:jc w:val="center"/>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867" w:footer="980" w:top="1060" w:bottom="1160" w:left="1300" w:right="1300"/>
          <w:pgNumType w:start="263"/>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356"/>
        <w:gridCol w:w="725"/>
        <w:gridCol w:w="1102"/>
        <w:gridCol w:w="1337"/>
        <w:gridCol w:w="1313"/>
        <w:gridCol w:w="1126"/>
        <w:gridCol w:w="1010"/>
        <w:gridCol w:w="751"/>
        <w:gridCol w:w="1150"/>
        <w:gridCol w:w="792"/>
        <w:gridCol w:w="1274"/>
      </w:tblGrid>
      <w:tr>
        <w:trPr>
          <w:trHeight w:val="1068" w:hRule="exact"/>
        </w:trPr>
        <w:tc>
          <w:tcPr>
            <w:tcW w:w="3356" w:type="dxa"/>
            <w:tcBorders>
              <w:top w:val="single" w:sz="15" w:space="0" w:color="000000"/>
              <w:left w:val="single" w:sz="4" w:space="0" w:color="000000"/>
              <w:bottom w:val="single" w:sz="4" w:space="0" w:color="000000"/>
              <w:right w:val="single" w:sz="4" w:space="0" w:color="000000"/>
            </w:tcBorders>
          </w:tcPr>
          <w:p>
            <w:pPr>
              <w:pStyle w:val="TableParagraph"/>
              <w:spacing w:line="326" w:lineRule="auto" w:before="56"/>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蓝盾信息安全技术股份有限公司并购中经 汇通电子商务有限公司和汇通宝支付有限 责任公司形成的商誉所在资产组组合</w:t>
            </w:r>
          </w:p>
        </w:tc>
        <w:tc>
          <w:tcPr>
            <w:tcW w:w="7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w:t>
            </w:r>
          </w:p>
        </w:tc>
        <w:tc>
          <w:tcPr>
            <w:tcW w:w="13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40.29%</w:t>
            </w:r>
          </w:p>
        </w:tc>
        <w:tc>
          <w:tcPr>
            <w:tcW w:w="131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167,758,000.00</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51.12%</w:t>
            </w:r>
          </w:p>
        </w:tc>
        <w:tc>
          <w:tcPr>
            <w:tcW w:w="11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270,440,000.0</w:t>
            </w:r>
          </w:p>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0</w:t>
            </w:r>
          </w:p>
        </w:tc>
        <w:tc>
          <w:tcPr>
            <w:tcW w:w="7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14.32%</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81,496,654.76</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3"/>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蓝盾信息安全技术股份有限公司并购中经 汇通电子商务有限公司和汇通宝支付有限 责任公司形成的商誉所在资产组组合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40.86%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187,161,000.00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270,440,000.0</w:t>
            </w:r>
          </w:p>
          <w:p>
            <w:pPr>
              <w:pStyle w:val="TableParagraph"/>
              <w:spacing w:line="240" w:lineRule="auto" w:before="114"/>
              <w:ind w:right="2"/>
              <w:jc w:val="center"/>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71,803,954.83</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蓝盾信息安全技术股份有限公司并购中经 汇通电子商务有限公司和汇通宝支付有限 责任公司形成的商誉所在资产组组合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49.56%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249,696,000.00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270,440,000.0</w:t>
            </w:r>
          </w:p>
          <w:p>
            <w:pPr>
              <w:pStyle w:val="TableParagraph"/>
              <w:spacing w:line="240" w:lineRule="auto" w:before="113"/>
              <w:ind w:right="2"/>
              <w:jc w:val="center"/>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33,498,206.95</w:t>
            </w:r>
          </w:p>
        </w:tc>
      </w:tr>
      <w:tr>
        <w:trPr>
          <w:trHeight w:val="105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23" w:right="81"/>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蓝盾信息安全技术股份有限公司并购中经 汇通电子商务有限公司和汇通宝支付有限 责任公司形成的商誉所在资产组组合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5.00%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51.12%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270,440,000.00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270,440,000.0</w:t>
            </w:r>
          </w:p>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96,529,088.34</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62"/>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蓝盾信息安全技术股份有限公司收购深圳 市蓝盾满泰科技发展有限公司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股权形 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5.64%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55.61%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132,179,292.81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157,337,821.3</w:t>
            </w:r>
          </w:p>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8,087,702.00</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2"/>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蓝盾信息安全技术股份有限公司收购深圳 市蓝盾满泰科技发展有限公司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股权形 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8.61%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54.68%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141,174,668.49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157,337,821.3</w:t>
            </w:r>
          </w:p>
          <w:p>
            <w:pPr>
              <w:pStyle w:val="TableParagraph"/>
              <w:spacing w:line="240" w:lineRule="auto" w:before="114"/>
              <w:ind w:right="2"/>
              <w:jc w:val="center"/>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115,662,314.00</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2"/>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蓝盾信息安全技术股份有限公司收购深圳 市蓝盾满泰科技发展有限公司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股权形 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6.76%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54.19%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149,370,314.22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157,337,821.3</w:t>
            </w:r>
          </w:p>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108,972,653.00</w:t>
            </w:r>
          </w:p>
        </w:tc>
      </w:tr>
      <w:tr>
        <w:trPr>
          <w:trHeight w:val="105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2"/>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蓝盾信息安全技术股份有限公司收购深圳 市蓝盾满泰科技发展有限公司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股权形 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6.28%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53.70%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157,317,212.33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157,337,821.3</w:t>
            </w:r>
          </w:p>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98,199,328.00</w:t>
            </w:r>
          </w:p>
        </w:tc>
      </w:tr>
      <w:tr>
        <w:trPr>
          <w:trHeight w:val="10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62"/>
              <w:jc w:val="both"/>
              <w:rPr>
                <w:rFonts w:ascii="宋体" w:hAnsi="宋体" w:cs="宋体" w:eastAsia="宋体" w:hint="default"/>
                <w:sz w:val="18"/>
                <w:szCs w:val="18"/>
              </w:rPr>
            </w:pPr>
            <w:r>
              <w:rPr>
                <w:rFonts w:ascii="宋体" w:hAnsi="宋体" w:cs="宋体" w:eastAsia="宋体" w:hint="default"/>
                <w:sz w:val="18"/>
                <w:szCs w:val="18"/>
              </w:rPr>
              <w:t>蓝盾信息安全技术股份有限公司收购深圳 市蓝盾满泰科技发展有限公司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股权形 成的商誉所在资产组组合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1.29%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83"/>
              <w:jc w:val="right"/>
              <w:rPr>
                <w:rFonts w:ascii="Times New Roman" w:hAnsi="Times New Roman" w:cs="Times New Roman" w:eastAsia="Times New Roman" w:hint="default"/>
                <w:sz w:val="18"/>
                <w:szCs w:val="18"/>
              </w:rPr>
            </w:pPr>
            <w:r>
              <w:rPr>
                <w:rFonts w:ascii="Times New Roman"/>
                <w:sz w:val="18"/>
              </w:rPr>
              <w:t>53.03%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157,337,821.35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永续</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157,337,821.3</w:t>
            </w:r>
          </w:p>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89,114,618.00</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007"/>
        <w:gridCol w:w="11930"/>
      </w:tblGrid>
      <w:tr>
        <w:trPr>
          <w:trHeight w:val="461" w:hRule="exact"/>
        </w:trPr>
        <w:tc>
          <w:tcPr>
            <w:tcW w:w="2007"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28" w:lineRule="auto"/>
              <w:ind w:left="98" w:right="96"/>
              <w:jc w:val="left"/>
              <w:rPr>
                <w:rFonts w:ascii="宋体" w:hAnsi="宋体" w:cs="宋体" w:eastAsia="宋体" w:hint="default"/>
                <w:sz w:val="18"/>
                <w:szCs w:val="18"/>
              </w:rPr>
            </w:pPr>
            <w:r>
              <w:rPr>
                <w:rFonts w:ascii="宋体" w:hAnsi="宋体" w:cs="宋体" w:eastAsia="宋体" w:hint="default"/>
                <w:sz w:val="18"/>
                <w:szCs w:val="18"/>
              </w:rPr>
              <w:t>预测期营业收入增长率 是否与以前期间不一致</w:t>
            </w:r>
          </w:p>
        </w:tc>
        <w:tc>
          <w:tcPr>
            <w:tcW w:w="119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3"/>
              <w:ind w:right="58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373" w:hRule="exact"/>
        </w:trPr>
        <w:tc>
          <w:tcPr>
            <w:tcW w:w="2007" w:type="dxa"/>
            <w:vMerge/>
            <w:tcBorders>
              <w:left w:val="single" w:sz="4" w:space="0" w:color="000000"/>
              <w:bottom w:val="single" w:sz="4" w:space="0" w:color="000000"/>
              <w:right w:val="single" w:sz="4" w:space="0" w:color="000000"/>
            </w:tcBorders>
            <w:shd w:val="clear" w:color="auto" w:fill="D2D2D2"/>
          </w:tcPr>
          <w:p>
            <w:pP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蓝盾信息安全技术股份有限公司并购广州华炜科技有限公司形成的商誉所在资产组组合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年预测期营业收入增长率较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年有所变动，主要由于在</w:t>
            </w:r>
          </w:p>
          <w:p>
            <w:pPr>
              <w:pStyle w:val="TableParagraph"/>
              <w:spacing w:line="240" w:lineRule="auto" w:before="7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年国家整体基建项目减少使得产品需求降低的大环境下，近两年公司对其经营策略、业务结构也进行了持续的优化调整，积极向能效管控和立体安</w:t>
            </w:r>
          </w:p>
          <w:p>
            <w:pPr>
              <w:pStyle w:val="TableParagraph"/>
              <w:spacing w:line="240" w:lineRule="auto" w:before="72"/>
              <w:ind w:right="1"/>
              <w:jc w:val="center"/>
              <w:rPr>
                <w:rFonts w:ascii="Times New Roman" w:hAnsi="Times New Roman" w:cs="Times New Roman" w:eastAsia="Times New Roman" w:hint="default"/>
                <w:sz w:val="18"/>
                <w:szCs w:val="18"/>
              </w:rPr>
            </w:pPr>
            <w:r>
              <w:rPr>
                <w:rFonts w:ascii="宋体" w:hAnsi="宋体" w:cs="宋体" w:eastAsia="宋体" w:hint="default"/>
                <w:spacing w:val="-5"/>
                <w:sz w:val="18"/>
                <w:szCs w:val="18"/>
              </w:rPr>
              <w:t>检领域发展，但目前尚未形成规模效应，虽然有部分新增客户，但由于新产品的业务开拓未达预期，老客户的业务收入大幅下降，最终导致华炜科技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年收入出现大幅的下降，因此，基于华炜科技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年的实际情况对预测期营业收入的增长率进行调整。</w:t>
            </w:r>
          </w:p>
        </w:tc>
      </w:tr>
      <w:tr>
        <w:trPr>
          <w:trHeight w:val="792"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5"/>
              <w:ind w:left="458" w:right="96" w:hanging="361"/>
              <w:jc w:val="left"/>
              <w:rPr>
                <w:rFonts w:ascii="宋体" w:hAnsi="宋体" w:cs="宋体" w:eastAsia="宋体" w:hint="default"/>
                <w:sz w:val="18"/>
                <w:szCs w:val="18"/>
              </w:rPr>
            </w:pPr>
            <w:r>
              <w:rPr>
                <w:rFonts w:ascii="宋体" w:hAnsi="宋体" w:cs="宋体" w:eastAsia="宋体" w:hint="default"/>
                <w:sz w:val="18"/>
                <w:szCs w:val="18"/>
              </w:rPr>
              <w:t>预测期利润率是否与以 前期间不一致</w:t>
            </w: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87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54" w:hRule="exact"/>
        </w:trPr>
        <w:tc>
          <w:tcPr>
            <w:tcW w:w="20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26" w:lineRule="auto"/>
              <w:ind w:left="458" w:right="96" w:hanging="361"/>
              <w:jc w:val="left"/>
              <w:rPr>
                <w:rFonts w:ascii="宋体" w:hAnsi="宋体" w:cs="宋体" w:eastAsia="宋体" w:hint="default"/>
                <w:sz w:val="18"/>
                <w:szCs w:val="18"/>
              </w:rPr>
            </w:pPr>
            <w:r>
              <w:rPr>
                <w:rFonts w:ascii="宋体" w:hAnsi="宋体" w:cs="宋体" w:eastAsia="宋体" w:hint="default"/>
                <w:sz w:val="18"/>
                <w:szCs w:val="18"/>
              </w:rPr>
              <w:t>预测期净利润是否与以 前期间不一致</w:t>
            </w: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8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057" w:hRule="exact"/>
        </w:trPr>
        <w:tc>
          <w:tcPr>
            <w:tcW w:w="2007" w:type="dxa"/>
            <w:vMerge/>
            <w:tcBorders>
              <w:left w:val="single" w:sz="4" w:space="0" w:color="000000"/>
              <w:bottom w:val="single" w:sz="4" w:space="0" w:color="000000"/>
              <w:right w:val="single" w:sz="4" w:space="0" w:color="000000"/>
            </w:tcBorders>
            <w:shd w:val="clear" w:color="auto" w:fill="D2D2D2"/>
          </w:tcPr>
          <w:p>
            <w:pP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1" w:right="21" w:hanging="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、蓝盾信息安全技术股份有限公司并购广州华炜科技有限公司形成的商誉所在资产组组合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年稳定期利润率变动，主要系华炜科技的业务结构有所 调整，其毛利率有所不同，另外由于公司新产品的业务开拓未达预期，收入出现大幅的下降使得预测期净利润与以前期间不一致。</w:t>
            </w:r>
          </w:p>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、蓝盾信息安全技术股份有限公司并购中经汇通电子商务有限公司和汇通宝支付有限责任公司形成的商誉所在资产组组合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年预测期净利润较</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p>
          <w:p>
            <w:pPr>
              <w:pStyle w:val="TableParagraph"/>
              <w:spacing w:line="309" w:lineRule="auto" w:before="72"/>
              <w:ind w:left="21" w:right="21" w:hanging="1"/>
              <w:jc w:val="center"/>
              <w:rPr>
                <w:rFonts w:ascii="宋体" w:hAnsi="宋体" w:cs="宋体" w:eastAsia="宋体" w:hint="default"/>
                <w:sz w:val="18"/>
                <w:szCs w:val="18"/>
              </w:rPr>
            </w:pPr>
            <w:r>
              <w:rPr>
                <w:rFonts w:ascii="宋体" w:hAnsi="宋体" w:cs="宋体" w:eastAsia="宋体" w:hint="default"/>
                <w:sz w:val="18"/>
                <w:szCs w:val="18"/>
              </w:rPr>
              <w:t>年有所变动，主要系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年宏观经济形势及行业监管政策发生较大变化，受中美贸易摩擦对物流行业的影响、合作机构保险行业的合规监管以及融资 </w:t>
            </w:r>
            <w:r>
              <w:rPr>
                <w:rFonts w:ascii="宋体" w:hAnsi="宋体" w:cs="宋体" w:eastAsia="宋体" w:hint="default"/>
                <w:spacing w:val="-1"/>
                <w:sz w:val="18"/>
                <w:szCs w:val="18"/>
              </w:rPr>
              <w:t>难融资贵等多方面因素影响，中经电商和汇通宝的业务发展及融资渠道受到较大影响，从而对中经电商和汇通宝本年及未来年度的盈利能力产生了不利</w:t>
            </w:r>
          </w:p>
          <w:p>
            <w:pPr>
              <w:pStyle w:val="TableParagraph"/>
              <w:spacing w:line="240" w:lineRule="auto" w:before="31"/>
              <w:ind w:left="2177" w:right="0"/>
              <w:jc w:val="left"/>
              <w:rPr>
                <w:rFonts w:ascii="宋体" w:hAnsi="宋体" w:cs="宋体" w:eastAsia="宋体" w:hint="default"/>
                <w:sz w:val="18"/>
                <w:szCs w:val="18"/>
              </w:rPr>
            </w:pPr>
            <w:r>
              <w:rPr>
                <w:rFonts w:ascii="宋体" w:hAnsi="宋体" w:cs="宋体" w:eastAsia="宋体" w:hint="default"/>
                <w:sz w:val="18"/>
                <w:szCs w:val="18"/>
              </w:rPr>
              <w:t>影响，因此，使得中经电商及汇通宝预测期的净利润与以前期间不一致。</w:t>
            </w:r>
          </w:p>
        </w:tc>
      </w:tr>
      <w:tr>
        <w:trPr>
          <w:trHeight w:val="1054" w:hRule="exact"/>
        </w:trPr>
        <w:tc>
          <w:tcPr>
            <w:tcW w:w="20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19"/>
              <w:ind w:left="98" w:right="96"/>
              <w:jc w:val="left"/>
              <w:rPr>
                <w:rFonts w:ascii="宋体" w:hAnsi="宋体" w:cs="宋体" w:eastAsia="宋体" w:hint="default"/>
                <w:sz w:val="18"/>
                <w:szCs w:val="18"/>
              </w:rPr>
            </w:pPr>
            <w:r>
              <w:rPr>
                <w:rFonts w:ascii="宋体" w:hAnsi="宋体" w:cs="宋体" w:eastAsia="宋体" w:hint="default"/>
                <w:sz w:val="18"/>
                <w:szCs w:val="18"/>
              </w:rPr>
              <w:t>稳定期营业收入增长率 是否与以前期间不一致</w:t>
            </w: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8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052" w:hRule="exact"/>
        </w:trPr>
        <w:tc>
          <w:tcPr>
            <w:tcW w:w="2007" w:type="dxa"/>
            <w:vMerge/>
            <w:tcBorders>
              <w:left w:val="single" w:sz="4" w:space="0" w:color="000000"/>
              <w:bottom w:val="single" w:sz="4" w:space="0" w:color="000000"/>
              <w:right w:val="single" w:sz="4" w:space="0" w:color="000000"/>
            </w:tcBorders>
            <w:shd w:val="clear" w:color="auto" w:fill="D2D2D2"/>
          </w:tcPr>
          <w:p>
            <w:pPr/>
          </w:p>
        </w:tc>
        <w:tc>
          <w:tcPr>
            <w:tcW w:w="11930" w:type="dxa"/>
            <w:tcBorders>
              <w:top w:val="single" w:sz="4" w:space="0" w:color="000000"/>
              <w:left w:val="single" w:sz="4" w:space="0" w:color="000000"/>
              <w:bottom w:val="single" w:sz="4" w:space="0" w:color="000000"/>
              <w:right w:val="single" w:sz="4" w:space="0" w:color="000000"/>
            </w:tcBorders>
          </w:tcPr>
          <w:p>
            <w:pPr/>
          </w:p>
        </w:tc>
      </w:tr>
      <w:tr>
        <w:trPr>
          <w:trHeight w:val="105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28" w:lineRule="auto"/>
              <w:ind w:left="458" w:right="96" w:hanging="361"/>
              <w:jc w:val="left"/>
              <w:rPr>
                <w:rFonts w:ascii="宋体" w:hAnsi="宋体" w:cs="宋体" w:eastAsia="宋体" w:hint="default"/>
                <w:sz w:val="18"/>
                <w:szCs w:val="18"/>
              </w:rPr>
            </w:pPr>
            <w:r>
              <w:rPr>
                <w:rFonts w:ascii="宋体" w:hAnsi="宋体" w:cs="宋体" w:eastAsia="宋体" w:hint="default"/>
                <w:sz w:val="18"/>
                <w:szCs w:val="18"/>
              </w:rPr>
              <w:t>稳定期利润率是否与以 前期间不一致</w:t>
            </w: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87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007"/>
        <w:gridCol w:w="11930"/>
      </w:tblGrid>
      <w:tr>
        <w:trPr>
          <w:trHeight w:val="1068" w:hRule="exact"/>
        </w:trPr>
        <w:tc>
          <w:tcPr>
            <w:tcW w:w="200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930" w:type="dxa"/>
            <w:tcBorders>
              <w:top w:val="single" w:sz="15" w:space="0" w:color="000000"/>
              <w:left w:val="single" w:sz="4" w:space="0" w:color="000000"/>
              <w:bottom w:val="single" w:sz="4" w:space="0" w:color="000000"/>
              <w:right w:val="single" w:sz="4" w:space="0" w:color="000000"/>
            </w:tcBorders>
          </w:tcPr>
          <w:p>
            <w:pPr/>
          </w:p>
        </w:tc>
      </w:tr>
      <w:tr>
        <w:trPr>
          <w:trHeight w:val="1054" w:hRule="exact"/>
        </w:trPr>
        <w:tc>
          <w:tcPr>
            <w:tcW w:w="20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21"/>
              <w:ind w:left="458" w:right="96" w:hanging="361"/>
              <w:jc w:val="left"/>
              <w:rPr>
                <w:rFonts w:ascii="宋体" w:hAnsi="宋体" w:cs="宋体" w:eastAsia="宋体" w:hint="default"/>
                <w:sz w:val="18"/>
                <w:szCs w:val="18"/>
              </w:rPr>
            </w:pPr>
            <w:r>
              <w:rPr>
                <w:rFonts w:ascii="宋体" w:hAnsi="宋体" w:cs="宋体" w:eastAsia="宋体" w:hint="default"/>
                <w:sz w:val="18"/>
                <w:szCs w:val="18"/>
              </w:rPr>
              <w:t>稳定期净利润是否与以 前期间不一致</w:t>
            </w: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87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54" w:hRule="exact"/>
        </w:trPr>
        <w:tc>
          <w:tcPr>
            <w:tcW w:w="2007" w:type="dxa"/>
            <w:vMerge/>
            <w:tcBorders>
              <w:left w:val="single" w:sz="4" w:space="0" w:color="000000"/>
              <w:bottom w:val="single" w:sz="4" w:space="0" w:color="000000"/>
              <w:right w:val="single" w:sz="4" w:space="0" w:color="000000"/>
            </w:tcBorders>
            <w:shd w:val="clear" w:color="auto" w:fill="D2D2D2"/>
          </w:tcPr>
          <w:p>
            <w:pPr/>
          </w:p>
        </w:tc>
        <w:tc>
          <w:tcPr>
            <w:tcW w:w="11930"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20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19"/>
              <w:ind w:left="729" w:right="96" w:hanging="632"/>
              <w:jc w:val="left"/>
              <w:rPr>
                <w:rFonts w:ascii="宋体" w:hAnsi="宋体" w:cs="宋体" w:eastAsia="宋体" w:hint="default"/>
                <w:sz w:val="18"/>
                <w:szCs w:val="18"/>
              </w:rPr>
            </w:pPr>
            <w:r>
              <w:rPr>
                <w:rFonts w:ascii="宋体" w:hAnsi="宋体" w:cs="宋体" w:eastAsia="宋体" w:hint="default"/>
                <w:sz w:val="18"/>
                <w:szCs w:val="18"/>
              </w:rPr>
              <w:t>折现率是否与以前期间 不一致</w:t>
            </w:r>
          </w:p>
        </w:tc>
        <w:tc>
          <w:tcPr>
            <w:tcW w:w="1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87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54" w:hRule="exact"/>
        </w:trPr>
        <w:tc>
          <w:tcPr>
            <w:tcW w:w="2007" w:type="dxa"/>
            <w:vMerge/>
            <w:tcBorders>
              <w:left w:val="single" w:sz="4" w:space="0" w:color="000000"/>
              <w:bottom w:val="single" w:sz="4" w:space="0" w:color="000000"/>
              <w:right w:val="single" w:sz="4" w:space="0" w:color="000000"/>
            </w:tcBorders>
            <w:shd w:val="clear" w:color="auto" w:fill="D2D2D2"/>
          </w:tcPr>
          <w:p>
            <w:pPr/>
          </w:p>
        </w:tc>
        <w:tc>
          <w:tcPr>
            <w:tcW w:w="11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3"/>
        <w:spacing w:line="240" w:lineRule="auto" w:before="36"/>
        <w:ind w:right="1133"/>
        <w:jc w:val="left"/>
        <w:rPr>
          <w:b w:val="0"/>
          <w:bCs w:val="0"/>
        </w:rPr>
      </w:pPr>
      <w:bookmarkStart w:name="4、商誉减值损失的计算" w:id="483"/>
      <w:bookmarkEnd w:id="483"/>
      <w:r>
        <w:rPr>
          <w:b w:val="0"/>
          <w:bCs w:val="0"/>
        </w:rPr>
      </w:r>
      <w:r>
        <w:rPr>
          <w:rFonts w:ascii="Times New Roman" w:hAnsi="Times New Roman" w:cs="Times New Roman" w:eastAsia="Times New Roman" w:hint="default"/>
        </w:rPr>
        <w:t>4</w:t>
      </w:r>
      <w:r>
        <w:rPr/>
        <w:t>、商誉减值损失的计算</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6"/>
        <w:gridCol w:w="1368"/>
        <w:gridCol w:w="1366"/>
        <w:gridCol w:w="1368"/>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6"/>
              <w:jc w:val="center"/>
              <w:rPr>
                <w:rFonts w:ascii="宋体" w:hAnsi="宋体" w:cs="宋体" w:eastAsia="宋体" w:hint="default"/>
                <w:sz w:val="18"/>
                <w:szCs w:val="18"/>
              </w:rPr>
            </w:pPr>
            <w:r>
              <w:rPr>
                <w:rFonts w:ascii="宋体" w:hAnsi="宋体" w:cs="宋体" w:eastAsia="宋体" w:hint="default"/>
                <w:sz w:val="18"/>
                <w:szCs w:val="18"/>
              </w:rPr>
              <w:t>包含商誉的资产 组或资产组组合 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可收回金额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88" w:right="46" w:hanging="540"/>
              <w:jc w:val="left"/>
              <w:rPr>
                <w:rFonts w:ascii="宋体" w:hAnsi="宋体" w:cs="宋体" w:eastAsia="宋体" w:hint="default"/>
                <w:sz w:val="18"/>
                <w:szCs w:val="18"/>
              </w:rPr>
            </w:pPr>
            <w:r>
              <w:rPr>
                <w:rFonts w:ascii="宋体" w:hAnsi="宋体" w:cs="宋体" w:eastAsia="宋体" w:hint="default"/>
                <w:sz w:val="18"/>
                <w:szCs w:val="18"/>
              </w:rPr>
              <w:t>整体商誉减值准 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归属于母公司股 东的商誉减值准 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 w:right="46"/>
              <w:jc w:val="left"/>
              <w:rPr>
                <w:rFonts w:ascii="宋体" w:hAnsi="宋体" w:cs="宋体" w:eastAsia="宋体" w:hint="default"/>
                <w:sz w:val="18"/>
                <w:szCs w:val="18"/>
              </w:rPr>
            </w:pPr>
            <w:r>
              <w:rPr>
                <w:rFonts w:ascii="宋体" w:hAnsi="宋体" w:cs="宋体" w:eastAsia="宋体" w:hint="default"/>
                <w:sz w:val="18"/>
                <w:szCs w:val="18"/>
              </w:rPr>
              <w:t>以前年度已计提 的商誉减值准备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99" w:right="48" w:hanging="452"/>
              <w:jc w:val="left"/>
              <w:rPr>
                <w:rFonts w:ascii="宋体" w:hAnsi="宋体" w:cs="宋体" w:eastAsia="宋体" w:hint="default"/>
                <w:sz w:val="18"/>
                <w:szCs w:val="18"/>
              </w:rPr>
            </w:pPr>
            <w:r>
              <w:rPr>
                <w:rFonts w:ascii="宋体" w:hAnsi="宋体" w:cs="宋体" w:eastAsia="宋体" w:hint="default"/>
                <w:sz w:val="18"/>
                <w:szCs w:val="18"/>
              </w:rPr>
              <w:t>本年度商誉减值 损失</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蓝盾信息安全技 术股份有限公司 并购广州华炜科 技有限公司形成 的商誉所在资产 组组合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209,055,877.38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189,464,955.35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58,044,003.18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131,420,952.17</w:t>
            </w:r>
          </w:p>
        </w:tc>
      </w:tr>
      <w:tr>
        <w:trPr>
          <w:trHeight w:val="258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蓝盾信息安全技 术股份有限公司 并购中经汇通电 子商务有限公司 和汇通宝支付有 限责任公司形成 的商誉所在资产 组组合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1,011,028,593.86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389,916,369.45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619,661,612.64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619,661,612.64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619,661,612.64</w:t>
            </w:r>
          </w:p>
        </w:tc>
      </w:tr>
      <w:tr>
        <w:trPr>
          <w:trHeight w:val="227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9"/>
              <w:jc w:val="both"/>
              <w:rPr>
                <w:rFonts w:ascii="宋体" w:hAnsi="宋体" w:cs="宋体" w:eastAsia="宋体" w:hint="default"/>
                <w:sz w:val="18"/>
                <w:szCs w:val="18"/>
              </w:rPr>
            </w:pPr>
            <w:r>
              <w:rPr>
                <w:rFonts w:ascii="宋体" w:hAnsi="宋体" w:cs="宋体" w:eastAsia="宋体" w:hint="default"/>
                <w:sz w:val="18"/>
                <w:szCs w:val="18"/>
              </w:rPr>
              <w:t>蓝盾信息安全技 术股份有限公司 收购深圳市蓝盾 满泰科技发展有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 形成的商誉所在 资产组组合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932,449,186.81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
        <w:rPr>
          <w:rFonts w:ascii="宋体" w:hAnsi="宋体" w:cs="宋体" w:eastAsia="宋体" w:hint="default"/>
          <w:sz w:val="18"/>
          <w:szCs w:val="18"/>
        </w:rPr>
      </w:pPr>
    </w:p>
    <w:p>
      <w:pPr>
        <w:pStyle w:val="Heading2"/>
        <w:tabs>
          <w:tab w:pos="993" w:val="left" w:leader="none"/>
        </w:tabs>
        <w:spacing w:line="240" w:lineRule="auto" w:before="26"/>
        <w:ind w:right="1133"/>
        <w:jc w:val="left"/>
        <w:rPr>
          <w:b w:val="0"/>
          <w:bCs w:val="0"/>
        </w:rPr>
      </w:pPr>
      <w:bookmarkStart w:name="四、 未实现盈利预测的标的情况" w:id="484"/>
      <w:bookmarkEnd w:id="484"/>
      <w:r>
        <w:rPr>
          <w:b w:val="0"/>
          <w:bCs w:val="0"/>
        </w:rPr>
      </w:r>
      <w:r>
        <w:rPr/>
        <w:t>四、</w:t>
        <w:tab/>
        <w:t>未实现盈利预测的标的情况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33"/>
        <w:jc w:val="left"/>
      </w:pPr>
      <w:r>
        <w:rPr/>
        <w:t>无。</w:t>
      </w:r>
    </w:p>
    <w:p>
      <w:pPr>
        <w:spacing w:line="240" w:lineRule="auto" w:before="11"/>
        <w:rPr>
          <w:rFonts w:ascii="宋体" w:hAnsi="宋体" w:cs="宋体" w:eastAsia="宋体" w:hint="default"/>
          <w:sz w:val="23"/>
          <w:szCs w:val="23"/>
        </w:rPr>
      </w:pPr>
    </w:p>
    <w:p>
      <w:pPr>
        <w:pStyle w:val="Heading2"/>
        <w:spacing w:line="240" w:lineRule="auto"/>
        <w:ind w:right="1133"/>
        <w:jc w:val="left"/>
        <w:rPr>
          <w:b w:val="0"/>
          <w:bCs w:val="0"/>
        </w:rPr>
      </w:pPr>
      <w:bookmarkStart w:name="七、年度业绩曾下滑50%以上的标的情况" w:id="485"/>
      <w:bookmarkEnd w:id="485"/>
      <w:r>
        <w:rPr>
          <w:b w:val="0"/>
          <w:bCs w:val="0"/>
        </w:rPr>
      </w:r>
      <w:r>
        <w:rPr/>
        <w:t>七、年度业绩曾下滑</w:t>
      </w:r>
      <w:r>
        <w:rPr>
          <w:spacing w:val="-63"/>
        </w:rPr>
        <w:t> </w:t>
      </w:r>
      <w:r>
        <w:rPr>
          <w:rFonts w:ascii="Times New Roman" w:hAnsi="Times New Roman" w:cs="Times New Roman" w:eastAsia="Times New Roman" w:hint="default"/>
        </w:rPr>
        <w:t>50%</w:t>
      </w:r>
      <w:r>
        <w:rPr/>
        <w:t>以上的标的情况</w:t>
      </w:r>
      <w:r>
        <w:rPr>
          <w:b w:val="0"/>
          <w:bCs w:val="0"/>
        </w:rPr>
      </w:r>
    </w:p>
    <w:p>
      <w:pPr>
        <w:spacing w:line="240" w:lineRule="auto" w:before="10"/>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23"/>
        <w:gridCol w:w="1438"/>
        <w:gridCol w:w="1263"/>
        <w:gridCol w:w="1226"/>
        <w:gridCol w:w="1236"/>
        <w:gridCol w:w="1188"/>
        <w:gridCol w:w="889"/>
        <w:gridCol w:w="1308"/>
      </w:tblGrid>
      <w:tr>
        <w:trPr>
          <w:trHeight w:val="714"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标的名称</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对应资产组</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商誉原值</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38" w:right="67" w:hanging="272"/>
              <w:jc w:val="left"/>
              <w:rPr>
                <w:rFonts w:ascii="宋体" w:hAnsi="宋体" w:cs="宋体" w:eastAsia="宋体" w:hint="default"/>
                <w:sz w:val="18"/>
                <w:szCs w:val="18"/>
              </w:rPr>
            </w:pPr>
            <w:r>
              <w:rPr>
                <w:rFonts w:ascii="宋体" w:hAnsi="宋体" w:cs="宋体" w:eastAsia="宋体" w:hint="default"/>
                <w:sz w:val="18"/>
                <w:szCs w:val="18"/>
              </w:rPr>
              <w:t>已计提商誉减 值准备</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4" w:right="71" w:hanging="181"/>
              <w:jc w:val="left"/>
              <w:rPr>
                <w:rFonts w:ascii="宋体" w:hAnsi="宋体" w:cs="宋体" w:eastAsia="宋体" w:hint="default"/>
                <w:sz w:val="18"/>
                <w:szCs w:val="18"/>
              </w:rPr>
            </w:pPr>
            <w:r>
              <w:rPr>
                <w:rFonts w:ascii="宋体" w:hAnsi="宋体" w:cs="宋体" w:eastAsia="宋体" w:hint="default"/>
                <w:sz w:val="18"/>
                <w:szCs w:val="18"/>
              </w:rPr>
              <w:t>本年商誉减值 损失金额</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首次下滑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p>
          <w:p>
            <w:pPr>
              <w:pStyle w:val="TableParagraph"/>
              <w:spacing w:line="240" w:lineRule="auto" w:before="60"/>
              <w:ind w:left="139" w:right="0"/>
              <w:jc w:val="left"/>
              <w:rPr>
                <w:rFonts w:ascii="宋体" w:hAnsi="宋体" w:cs="宋体" w:eastAsia="宋体" w:hint="default"/>
                <w:sz w:val="18"/>
                <w:szCs w:val="18"/>
              </w:rPr>
            </w:pPr>
            <w:r>
              <w:rPr>
                <w:rFonts w:ascii="宋体" w:hAnsi="宋体" w:cs="宋体" w:eastAsia="宋体" w:hint="default"/>
                <w:sz w:val="18"/>
                <w:szCs w:val="18"/>
              </w:rPr>
              <w:t>以上的年度</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下滑趋势 是否扭转</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1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87"/>
              <w:jc w:val="both"/>
              <w:rPr>
                <w:rFonts w:ascii="宋体" w:hAnsi="宋体" w:cs="宋体" w:eastAsia="宋体" w:hint="default"/>
                <w:sz w:val="18"/>
                <w:szCs w:val="18"/>
              </w:rPr>
            </w:pPr>
            <w:r>
              <w:rPr>
                <w:rFonts w:ascii="宋体" w:hAnsi="宋体" w:cs="宋体" w:eastAsia="宋体" w:hint="default"/>
                <w:sz w:val="18"/>
                <w:szCs w:val="18"/>
              </w:rPr>
              <w:t>广州华炜科 技有限公司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蓝盾信息安全技 术股份有限公司 并购广州华炜科 技有限公司形成 的商誉所在资产</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189,464,955.35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189,464,955.35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131,420,952.17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管理层预测未 来市场竞争加 剧，销售增速放 缓成本费用上 升，导致未来现</w:t>
            </w:r>
          </w:p>
        </w:tc>
      </w:tr>
    </w:tbl>
    <w:p>
      <w:pPr>
        <w:spacing w:after="0" w:line="316" w:lineRule="auto"/>
        <w:jc w:val="left"/>
        <w:rPr>
          <w:rFonts w:ascii="宋体" w:hAnsi="宋体" w:cs="宋体" w:eastAsia="宋体" w:hint="default"/>
          <w:sz w:val="18"/>
          <w:szCs w:val="18"/>
        </w:rPr>
        <w:sectPr>
          <w:headerReference w:type="default" r:id="rId43"/>
          <w:footerReference w:type="default" r:id="rId44"/>
          <w:pgSz w:w="11910" w:h="16840"/>
          <w:pgMar w:header="877" w:footer="980" w:top="1100" w:bottom="1160" w:left="980" w:right="0"/>
          <w:pgNumType w:start="267"/>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23"/>
        <w:gridCol w:w="1438"/>
        <w:gridCol w:w="1263"/>
        <w:gridCol w:w="1226"/>
        <w:gridCol w:w="1236"/>
        <w:gridCol w:w="1188"/>
        <w:gridCol w:w="889"/>
        <w:gridCol w:w="1308"/>
      </w:tblGrid>
      <w:tr>
        <w:trPr>
          <w:trHeight w:val="675" w:hRule="exact"/>
        </w:trPr>
        <w:tc>
          <w:tcPr>
            <w:tcW w:w="102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组组合</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2"/>
              <w:jc w:val="left"/>
              <w:rPr>
                <w:rFonts w:ascii="宋体" w:hAnsi="宋体" w:cs="宋体" w:eastAsia="宋体" w:hint="default"/>
                <w:sz w:val="18"/>
                <w:szCs w:val="18"/>
              </w:rPr>
            </w:pPr>
            <w:r>
              <w:rPr>
                <w:rFonts w:ascii="宋体" w:hAnsi="宋体" w:cs="宋体" w:eastAsia="宋体" w:hint="default"/>
                <w:sz w:val="18"/>
                <w:szCs w:val="18"/>
              </w:rPr>
              <w:t>金流入能力下 降。</w:t>
            </w:r>
          </w:p>
        </w:tc>
      </w:tr>
      <w:tr>
        <w:trPr>
          <w:trHeight w:val="258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7"/>
              <w:jc w:val="left"/>
              <w:rPr>
                <w:rFonts w:ascii="宋体" w:hAnsi="宋体" w:cs="宋体" w:eastAsia="宋体" w:hint="default"/>
                <w:sz w:val="18"/>
                <w:szCs w:val="18"/>
              </w:rPr>
            </w:pPr>
            <w:r>
              <w:rPr>
                <w:rFonts w:ascii="宋体" w:hAnsi="宋体" w:cs="宋体" w:eastAsia="宋体" w:hint="default"/>
                <w:sz w:val="18"/>
                <w:szCs w:val="18"/>
              </w:rPr>
              <w:t>中经汇通电 子商务有限 公司和汇通 宝支付有限 责任公司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蓝盾信息安全技 术股份有限公司 并购中经汇通电 子商务有限公司 和汇通宝支付有 限责任公司形成 的商誉所在资产 组组合</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619,661,612.64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619,661,612.64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619,661,612.64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八、未入账资产" w:id="486"/>
      <w:bookmarkEnd w:id="486"/>
      <w:r>
        <w:rPr>
          <w:b w:val="0"/>
          <w:bCs w:val="0"/>
        </w:rPr>
      </w:r>
      <w:r>
        <w:rPr/>
        <w:t>八、未入账资产</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720" type="#_x0000_t75" stroked="false">
          <v:imagedata r:id="rId1" o:title=""/>
        </v:shape>
      </w:pict>
    </w:r>
    <w:r>
      <w:rPr/>
      <w:pict>
        <v:shape style="position:absolute;margin-left:533.099976pt;margin-top:795.637939pt;width:6.5pt;height:11pt;mso-position-horizontal-relative:page;mso-position-vertical-relative:page;z-index:-14326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144" type="#_x0000_t75" stroked="false">
          <v:imagedata r:id="rId1" o:title=""/>
        </v:shape>
      </w:pict>
    </w:r>
    <w:r>
      <w:rPr/>
      <w:pict>
        <v:shape style="position:absolute;margin-left:523.099976pt;margin-top:781.933899pt;width:17.7pt;height:11pt;mso-position-horizontal-relative:page;mso-position-vertical-relative:page;z-index:-143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096" type="#_x0000_t75" stroked="false">
          <v:imagedata r:id="rId1" o:title=""/>
        </v:shape>
      </w:pict>
    </w:r>
    <w:r>
      <w:rPr/>
      <w:pict>
        <v:shape style="position:absolute;margin-left:523.099976pt;margin-top:781.933899pt;width:17.7pt;height:11pt;mso-position-horizontal-relative:page;mso-position-vertical-relative:page;z-index:-143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175</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048" type="#_x0000_t75" stroked="false">
          <v:imagedata r:id="rId1" o:title=""/>
        </v:shape>
      </w:pict>
    </w:r>
    <w:r>
      <w:rPr/>
      <w:pict>
        <v:shape style="position:absolute;margin-left:524.099976pt;margin-top:781.933899pt;width:15.7pt;height:11pt;mso-position-horizontal-relative:page;mso-position-vertical-relative:page;z-index:-1432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000" type="#_x0000_t75" stroked="false">
          <v:imagedata r:id="rId1" o:title=""/>
        </v:shape>
      </w:pict>
    </w:r>
    <w:r>
      <w:rPr/>
      <w:pict>
        <v:shape style="position:absolute;margin-left:524.099976pt;margin-top:781.933899pt;width:15.7pt;height:11pt;mso-position-horizontal-relative:page;mso-position-vertical-relative:page;z-index:-14319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1952" type="#_x0000_t75" stroked="false">
          <v:imagedata r:id="rId1" o:title=""/>
        </v:shape>
      </w:pict>
    </w:r>
    <w:r>
      <w:rPr/>
      <w:pict>
        <v:shape style="position:absolute;margin-left:523.099976pt;margin-top:781.933899pt;width:17.7pt;height:11pt;mso-position-horizontal-relative:page;mso-position-vertical-relative:page;z-index:-1431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203</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1904" type="#_x0000_t75" stroked="false">
          <v:imagedata r:id="rId1" o:title=""/>
        </v:shape>
      </w:pict>
    </w:r>
    <w:r>
      <w:rPr/>
      <w:pict>
        <v:shape style="position:absolute;margin-left:523.099976pt;margin-top:781.933899pt;width:17.7pt;height:11pt;mso-position-horizontal-relative:page;mso-position-vertical-relative:page;z-index:-1431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235</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31832" type="#_x0000_t75" stroked="false">
          <v:imagedata r:id="rId1" o:title=""/>
        </v:shape>
      </w:pict>
    </w:r>
    <w:r>
      <w:rPr/>
      <w:pict>
        <v:shape style="position:absolute;margin-left:754.460022pt;margin-top:535.333923pt;width:17.7pt;height:11pt;mso-position-horizontal-relative:page;mso-position-vertical-relative:page;z-index:-143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263</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672" type="#_x0000_t75" stroked="false">
          <v:imagedata r:id="rId1" o:title=""/>
        </v:shape>
      </w:pict>
    </w:r>
    <w:r>
      <w:rPr/>
      <w:pict>
        <v:shape style="position:absolute;margin-left:527.659973pt;margin-top:781.933899pt;width:13.15pt;height:11pt;mso-position-horizontal-relative:page;mso-position-vertical-relative:page;z-index:-143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1736" type="#_x0000_t75" stroked="false">
          <v:imagedata r:id="rId1" o:title=""/>
        </v:shape>
      </w:pict>
    </w:r>
    <w:r>
      <w:rPr/>
      <w:pict>
        <v:shape style="position:absolute;margin-left:523.099976pt;margin-top:781.933899pt;width:17.7pt;height:11pt;mso-position-horizontal-relative:page;mso-position-vertical-relative:page;z-index:-143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267</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32600" type="#_x0000_t75" stroked="false">
          <v:imagedata r:id="rId1" o:title=""/>
        </v:shape>
      </w:pict>
    </w:r>
    <w:r>
      <w:rPr/>
      <w:pict>
        <v:shape style="position:absolute;margin-left:759.02002pt;margin-top:535.333923pt;width:13.15pt;height:11pt;mso-position-horizontal-relative:page;mso-position-vertical-relative:page;z-index:-1432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504" type="#_x0000_t75" stroked="false">
          <v:imagedata r:id="rId1" o:title=""/>
        </v:shape>
      </w:pict>
    </w:r>
    <w:r>
      <w:rPr/>
      <w:pict>
        <v:shape style="position:absolute;margin-left:527.659973pt;margin-top:781.933899pt;width:13.15pt;height:11pt;mso-position-horizontal-relative:page;mso-position-vertical-relative:page;z-index:-143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456" type="#_x0000_t75" stroked="false">
          <v:imagedata r:id="rId1" o:title=""/>
        </v:shape>
      </w:pict>
    </w:r>
    <w:r>
      <w:rPr/>
      <w:pict>
        <v:shape style="position:absolute;margin-left:524.099976pt;margin-top:781.933899pt;width:15.7pt;height:11pt;mso-position-horizontal-relative:page;mso-position-vertical-relative:page;z-index:-1432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408" type="#_x0000_t75" stroked="false">
          <v:imagedata r:id="rId1" o:title=""/>
        </v:shape>
      </w:pict>
    </w:r>
    <w:r>
      <w:rPr/>
      <w:pict>
        <v:shape style="position:absolute;margin-left:523.099976pt;margin-top:781.933899pt;width:17.7pt;height:11pt;mso-position-horizontal-relative:page;mso-position-vertical-relative:page;z-index:-143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32336" type="#_x0000_t75" stroked="false">
          <v:imagedata r:id="rId1" o:title=""/>
        </v:shape>
      </w:pict>
    </w:r>
    <w:r>
      <w:rPr/>
      <w:pict>
        <v:shape style="position:absolute;margin-left:754.460022pt;margin-top:535.333923pt;width:17.7pt;height:11pt;mso-position-horizontal-relative:page;mso-position-vertical-relative:page;z-index:-143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32288" type="#_x0000_t75" stroked="false">
          <v:imagedata r:id="rId1" o:title=""/>
        </v:shape>
      </w:pict>
    </w:r>
    <w:r>
      <w:rPr/>
      <w:pict>
        <v:shape style="position:absolute;margin-left:754.820007pt;margin-top:535.333923pt;width:17.3pt;height:11pt;mso-position-horizontal-relative:page;mso-position-vertical-relative:page;z-index:-143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32192" type="#_x0000_t75" stroked="false">
          <v:imagedata r:id="rId1" o:title=""/>
        </v:shape>
      </w:pict>
    </w:r>
    <w:r>
      <w:rPr/>
      <w:pict>
        <v:shape style="position:absolute;margin-left:523.460022pt;margin-top:781.933899pt;width:17.3pt;height:11pt;mso-position-horizontal-relative:page;mso-position-vertical-relative:page;z-index:-143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432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4317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431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432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4325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432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432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4322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432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431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7"/>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3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luedon.com/" TargetMode="External"/><Relationship Id="rId10" Type="http://schemas.openxmlformats.org/officeDocument/2006/relationships/hyperlink" Target="mailto:stock@chinabluedon.cn" TargetMode="External"/><Relationship Id="rId11" Type="http://schemas.openxmlformats.org/officeDocument/2006/relationships/hyperlink" Target="mailto:ligensen@chinabluedon.cn" TargetMode="External"/><Relationship Id="rId12" Type="http://schemas.openxmlformats.org/officeDocument/2006/relationships/hyperlink" Target="mailto:lzb@chinabluedon.cn" TargetMode="External"/><Relationship Id="rId13" Type="http://schemas.openxmlformats.org/officeDocument/2006/relationships/hyperlink" Target="http://www.cninfo.com.cn/" TargetMode="External"/><Relationship Id="rId14" Type="http://schemas.openxmlformats.org/officeDocument/2006/relationships/hyperlink" Target="http://irm.cninfo.com.cn/ircs/company/companyDetail?stockcode=30029"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yperlink" Target="http://www.cninfo.com.cn/new/discl" TargetMode="External"/><Relationship Id="rId20" Type="http://schemas.openxmlformats.org/officeDocument/2006/relationships/image" Target="media/image3.jpeg"/><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4.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5.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jpeg"/><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7.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header" Target="header8.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9.xml"/><Relationship Id="rId42" Type="http://schemas.openxmlformats.org/officeDocument/2006/relationships/footer" Target="footer19.xml"/><Relationship Id="rId43" Type="http://schemas.openxmlformats.org/officeDocument/2006/relationships/header" Target="header10.xml"/><Relationship Id="rId44" Type="http://schemas.openxmlformats.org/officeDocument/2006/relationships/footer" Target="footer2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37311</dc:creator>
  <dcterms:created xsi:type="dcterms:W3CDTF">2020-05-19T23:26:16Z</dcterms:created>
  <dcterms:modified xsi:type="dcterms:W3CDTF">2020-05-19T23:26:16Z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